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201930</wp:posOffset>
            </wp:positionH>
            <wp:positionV relativeFrom="page">
              <wp:posOffset>1035685</wp:posOffset>
            </wp:positionV>
            <wp:extent cx="484124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841240" cy="152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spacing w:after="0" w:line="215"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40"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____________________</w:t>
      </w:r>
    </w:p>
    <w:p>
      <w:pPr>
        <w:spacing w:after="0" w:line="3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9"/>
          <w:szCs w:val="29"/>
          <w:b w:val="1"/>
          <w:bCs w:val="1"/>
          <w:color w:val="auto"/>
        </w:rPr>
        <w:t>FORM 40-F</w:t>
      </w:r>
    </w:p>
    <w:p>
      <w:pPr>
        <w:spacing w:after="0" w:line="133" w:lineRule="exact"/>
        <w:rPr>
          <w:sz w:val="24"/>
          <w:szCs w:val="24"/>
          <w:color w:val="auto"/>
        </w:rPr>
      </w:pPr>
    </w:p>
    <w:p>
      <w:pPr>
        <w:ind w:left="580" w:right="5080" w:hanging="5828"/>
        <w:spacing w:after="0" w:line="334" w:lineRule="auto"/>
        <w:tabs>
          <w:tab w:leader="none" w:pos="560" w:val="left"/>
        </w:tabs>
        <w:rPr>
          <w:sz w:val="20"/>
          <w:szCs w:val="20"/>
          <w:color w:val="auto"/>
        </w:rPr>
      </w:pPr>
      <w:r>
        <w:rPr>
          <w:rFonts w:ascii="Times New Roman" w:cs="Times New Roman" w:eastAsia="Times New Roman" w:hAnsi="Times New Roman"/>
          <w:sz w:val="16"/>
          <w:szCs w:val="16"/>
          <w:color w:val="auto"/>
        </w:rPr>
        <w:t>[ ]</w:t>
      </w:r>
      <w:r>
        <w:rPr>
          <w:sz w:val="20"/>
          <w:szCs w:val="20"/>
          <w:color w:val="auto"/>
        </w:rPr>
        <w:tab/>
      </w:r>
      <w:r>
        <w:rPr>
          <w:rFonts w:ascii="Times New Roman" w:cs="Times New Roman" w:eastAsia="Times New Roman" w:hAnsi="Times New Roman"/>
          <w:sz w:val="16"/>
          <w:szCs w:val="16"/>
          <w:color w:val="auto"/>
        </w:rPr>
        <w:t>Registration statement pursuant to Section 12 of the Securities Exchange Act of 1934 or</w:t>
      </w:r>
    </w:p>
    <w:p>
      <w:pPr>
        <w:spacing w:after="0" w:line="1" w:lineRule="exact"/>
        <w:rPr>
          <w:sz w:val="24"/>
          <w:szCs w:val="24"/>
          <w:color w:val="auto"/>
        </w:rPr>
      </w:pPr>
    </w:p>
    <w:p>
      <w:pPr>
        <w:ind w:left="580" w:hanging="566"/>
        <w:spacing w:after="0"/>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report pursuant to Section 13(a) or 15(d) of the Securities Exchange Act of 1934</w:t>
      </w:r>
    </w:p>
    <w:p>
      <w:pPr>
        <w:sectPr>
          <w:pgSz w:w="11900" w:h="16838" w:orient="portrait"/>
          <w:cols w:equalWidth="0" w:num="1">
            <w:col w:w="11240"/>
          </w:cols>
          <w:pgMar w:left="320" w:top="1440" w:right="339" w:bottom="1440" w:gutter="0" w:footer="0" w:header="0"/>
        </w:sectPr>
      </w:pPr>
    </w:p>
    <w:p>
      <w:pPr>
        <w:spacing w:after="0" w:line="400"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fiscal year ended</w:t>
            </w: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gridSpan w:val="2"/>
          </w:tcPr>
          <w:p>
            <w:pPr>
              <w:ind w:left="1220"/>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r>
      <w:tr>
        <w:trPr>
          <w:trHeight w:val="38"/>
        </w:trPr>
        <w:tc>
          <w:tcPr>
            <w:tcW w:w="266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333"/>
        </w:trPr>
        <w:tc>
          <w:tcPr>
            <w:tcW w:w="2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100" w:type="dxa"/>
            <w:vAlign w:val="bottom"/>
            <w:gridSpan w:val="4"/>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____________________</w:t>
            </w:r>
          </w:p>
        </w:tc>
      </w:tr>
      <w:tr>
        <w:trPr>
          <w:trHeight w:val="335"/>
        </w:trPr>
        <w:tc>
          <w:tcPr>
            <w:tcW w:w="2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2"/>
          </w:tcPr>
          <w:p>
            <w:pPr>
              <w:jc w:val="center"/>
              <w:ind w:right="1599"/>
              <w:spacing w:after="0" w:line="331" w:lineRule="exact"/>
              <w:rPr>
                <w:sz w:val="20"/>
                <w:szCs w:val="20"/>
                <w:color w:val="auto"/>
              </w:rPr>
            </w:pPr>
            <w:r>
              <w:rPr>
                <w:rFonts w:ascii="Times New Roman" w:cs="Times New Roman" w:eastAsia="Times New Roman" w:hAnsi="Times New Roman"/>
                <w:sz w:val="29"/>
                <w:szCs w:val="29"/>
                <w:b w:val="1"/>
                <w:bCs w:val="1"/>
                <w:color w:val="auto"/>
              </w:rPr>
              <w:t>Cybin Inc.</w:t>
            </w:r>
          </w:p>
        </w:tc>
      </w:tr>
      <w:tr>
        <w:trPr>
          <w:trHeight w:val="211"/>
        </w:trPr>
        <w:tc>
          <w:tcPr>
            <w:tcW w:w="2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(Exact name of</w:t>
            </w: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Registrant as specified</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 its charter)</w:t>
            </w:r>
          </w:p>
        </w:tc>
      </w:tr>
      <w:tr>
        <w:trPr>
          <w:trHeight w:val="277"/>
        </w:trPr>
        <w:tc>
          <w:tcPr>
            <w:tcW w:w="2660" w:type="dxa"/>
            <w:vAlign w:val="bottom"/>
          </w:tcPr>
          <w:p>
            <w:pPr>
              <w:jc w:val="center"/>
              <w:ind w:left="1039"/>
              <w:spacing w:after="0"/>
              <w:rPr>
                <w:sz w:val="20"/>
                <w:szCs w:val="20"/>
                <w:color w:val="auto"/>
              </w:rPr>
            </w:pPr>
            <w:r>
              <w:rPr>
                <w:rFonts w:ascii="Times New Roman" w:cs="Times New Roman" w:eastAsia="Times New Roman" w:hAnsi="Times New Roman"/>
                <w:sz w:val="16"/>
                <w:szCs w:val="16"/>
                <w:b w:val="1"/>
                <w:bCs w:val="1"/>
                <w:color w:val="auto"/>
                <w:w w:val="99"/>
              </w:rPr>
              <w:t>Ontario</w:t>
            </w:r>
          </w:p>
        </w:tc>
        <w:tc>
          <w:tcPr>
            <w:tcW w:w="1180" w:type="dxa"/>
            <w:vAlign w:val="bottom"/>
          </w:tcPr>
          <w:p>
            <w:pPr>
              <w:spacing w:after="0"/>
              <w:rPr>
                <w:sz w:val="24"/>
                <w:szCs w:val="24"/>
                <w:color w:val="auto"/>
              </w:rPr>
            </w:pPr>
          </w:p>
        </w:tc>
        <w:tc>
          <w:tcPr>
            <w:tcW w:w="2420" w:type="dxa"/>
            <w:vAlign w:val="bottom"/>
            <w:gridSpan w:val="3"/>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2834</w:t>
            </w:r>
          </w:p>
        </w:tc>
        <w:tc>
          <w:tcPr>
            <w:tcW w:w="1680" w:type="dxa"/>
            <w:vAlign w:val="bottom"/>
          </w:tcPr>
          <w:p>
            <w:pPr>
              <w:spacing w:after="0"/>
              <w:rPr>
                <w:sz w:val="24"/>
                <w:szCs w:val="24"/>
                <w:color w:val="auto"/>
              </w:rPr>
            </w:pPr>
          </w:p>
        </w:tc>
      </w:tr>
      <w:tr>
        <w:trPr>
          <w:trHeight w:val="257"/>
        </w:trPr>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(Province or other jurisdiction of incorporation or</w:t>
            </w:r>
          </w:p>
        </w:tc>
        <w:tc>
          <w:tcPr>
            <w:tcW w:w="4100" w:type="dxa"/>
            <w:vAlign w:val="bottom"/>
            <w:gridSpan w:val="4"/>
          </w:tcPr>
          <w:p>
            <w:pPr>
              <w:jc w:val="center"/>
              <w:ind w:right="379"/>
              <w:spacing w:after="0"/>
              <w:rPr>
                <w:sz w:val="20"/>
                <w:szCs w:val="20"/>
                <w:color w:val="auto"/>
              </w:rPr>
            </w:pPr>
            <w:r>
              <w:rPr>
                <w:rFonts w:ascii="Times New Roman" w:cs="Times New Roman" w:eastAsia="Times New Roman" w:hAnsi="Times New Roman"/>
                <w:sz w:val="16"/>
                <w:szCs w:val="16"/>
                <w:color w:val="auto"/>
              </w:rPr>
              <w:t>(Primary Standard Industrial Classification</w:t>
            </w:r>
          </w:p>
        </w:tc>
      </w:tr>
    </w:tbl>
    <w:p>
      <w:pPr>
        <w:ind w:left="1480"/>
        <w:spacing w:after="0"/>
        <w:rPr>
          <w:sz w:val="20"/>
          <w:szCs w:val="20"/>
          <w:color w:val="auto"/>
        </w:rPr>
      </w:pPr>
      <w:r>
        <w:rPr>
          <w:rFonts w:ascii="Times New Roman" w:cs="Times New Roman" w:eastAsia="Times New Roman" w:hAnsi="Times New Roman"/>
          <w:sz w:val="16"/>
          <w:szCs w:val="16"/>
          <w:color w:val="auto"/>
        </w:rPr>
        <w:t>organization)</w:t>
      </w:r>
    </w:p>
    <w:p>
      <w:pPr>
        <w:spacing w:after="0" w:line="57"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6"/>
          <w:szCs w:val="16"/>
          <w:color w:val="auto"/>
        </w:rPr>
        <w:t>Code Number)</w:t>
      </w:r>
    </w:p>
    <w:p>
      <w:pPr>
        <w:spacing w:after="0" w:line="19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100 King Street West, Suite 5600</w:t>
      </w:r>
    </w:p>
    <w:p>
      <w:pPr>
        <w:ind w:left="4360"/>
        <w:spacing w:after="0" w:line="216" w:lineRule="auto"/>
        <w:rPr>
          <w:sz w:val="20"/>
          <w:szCs w:val="20"/>
          <w:color w:val="auto"/>
        </w:rPr>
      </w:pPr>
      <w:r>
        <w:rPr>
          <w:rFonts w:ascii="Times New Roman" w:cs="Times New Roman" w:eastAsia="Times New Roman" w:hAnsi="Times New Roman"/>
          <w:sz w:val="16"/>
          <w:szCs w:val="16"/>
          <w:b w:val="1"/>
          <w:bCs w:val="1"/>
          <w:color w:val="auto"/>
        </w:rPr>
        <w:t>Toronto, Ontario, Canada M5X 1C9</w:t>
      </w:r>
    </w:p>
    <w:p>
      <w:pPr>
        <w:jc w:val="center"/>
        <w:ind w:left="3180"/>
        <w:spacing w:after="0" w:line="207" w:lineRule="auto"/>
        <w:rPr>
          <w:sz w:val="20"/>
          <w:szCs w:val="20"/>
          <w:color w:val="auto"/>
        </w:rPr>
      </w:pPr>
      <w:r>
        <w:rPr>
          <w:rFonts w:ascii="Times New Roman" w:cs="Times New Roman" w:eastAsia="Times New Roman" w:hAnsi="Times New Roman"/>
          <w:sz w:val="16"/>
          <w:szCs w:val="16"/>
          <w:b w:val="1"/>
          <w:bCs w:val="1"/>
          <w:color w:val="auto"/>
        </w:rPr>
        <w:t>(908) 764-8385</w:t>
      </w:r>
    </w:p>
    <w:p>
      <w:pPr>
        <w:jc w:val="center"/>
        <w:ind w:left="3180"/>
        <w:spacing w:after="0"/>
        <w:rPr>
          <w:sz w:val="20"/>
          <w:szCs w:val="20"/>
          <w:color w:val="auto"/>
        </w:rPr>
      </w:pPr>
      <w:r>
        <w:rPr>
          <w:rFonts w:ascii="Times New Roman" w:cs="Times New Roman" w:eastAsia="Times New Roman" w:hAnsi="Times New Roman"/>
          <w:sz w:val="16"/>
          <w:szCs w:val="16"/>
          <w:color w:val="auto"/>
        </w:rPr>
        <w:t>(Address and telephone number of Registrant’s principal executive offices)</w:t>
      </w:r>
    </w:p>
    <w:p>
      <w:pPr>
        <w:spacing w:after="0" w:line="40"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____________________</w:t>
      </w:r>
    </w:p>
    <w:p>
      <w:pPr>
        <w:spacing w:after="0" w:line="6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CT Corporation System</w:t>
      </w:r>
    </w:p>
    <w:p>
      <w:pPr>
        <w:ind w:left="4460"/>
        <w:spacing w:after="0" w:line="216" w:lineRule="auto"/>
        <w:rPr>
          <w:sz w:val="20"/>
          <w:szCs w:val="20"/>
          <w:color w:val="auto"/>
        </w:rPr>
      </w:pPr>
      <w:r>
        <w:rPr>
          <w:rFonts w:ascii="Times New Roman" w:cs="Times New Roman" w:eastAsia="Times New Roman" w:hAnsi="Times New Roman"/>
          <w:sz w:val="16"/>
          <w:szCs w:val="16"/>
          <w:b w:val="1"/>
          <w:bCs w:val="1"/>
          <w:color w:val="auto"/>
        </w:rPr>
        <w:t>1015 15th Street N.W., Suite 1000</w:t>
      </w:r>
    </w:p>
    <w:p>
      <w:pPr>
        <w:jc w:val="center"/>
        <w:ind w:left="3180"/>
        <w:spacing w:after="0" w:line="207" w:lineRule="auto"/>
        <w:rPr>
          <w:sz w:val="20"/>
          <w:szCs w:val="20"/>
          <w:color w:val="auto"/>
        </w:rPr>
      </w:pPr>
      <w:r>
        <w:rPr>
          <w:rFonts w:ascii="Times New Roman" w:cs="Times New Roman" w:eastAsia="Times New Roman" w:hAnsi="Times New Roman"/>
          <w:sz w:val="16"/>
          <w:szCs w:val="16"/>
          <w:b w:val="1"/>
          <w:bCs w:val="1"/>
          <w:color w:val="auto"/>
        </w:rPr>
        <w:t>Washington, DC 20005</w:t>
      </w:r>
    </w:p>
    <w:p>
      <w:pPr>
        <w:jc w:val="center"/>
        <w:ind w:left="3180"/>
        <w:spacing w:after="0" w:line="223" w:lineRule="auto"/>
        <w:rPr>
          <w:sz w:val="20"/>
          <w:szCs w:val="20"/>
          <w:color w:val="auto"/>
        </w:rPr>
      </w:pPr>
      <w:r>
        <w:rPr>
          <w:rFonts w:ascii="Times New Roman" w:cs="Times New Roman" w:eastAsia="Times New Roman" w:hAnsi="Times New Roman"/>
          <w:sz w:val="16"/>
          <w:szCs w:val="16"/>
          <w:b w:val="1"/>
          <w:bCs w:val="1"/>
          <w:color w:val="auto"/>
        </w:rPr>
        <w:t>(202) 572-3133</w:t>
      </w:r>
    </w:p>
    <w:p>
      <w:pPr>
        <w:jc w:val="center"/>
        <w:ind w:left="3180"/>
        <w:spacing w:after="0" w:line="207" w:lineRule="auto"/>
        <w:rPr>
          <w:sz w:val="20"/>
          <w:szCs w:val="20"/>
          <w:color w:val="auto"/>
        </w:rPr>
      </w:pPr>
      <w:r>
        <w:rPr>
          <w:rFonts w:ascii="Times New Roman" w:cs="Times New Roman" w:eastAsia="Times New Roman" w:hAnsi="Times New Roman"/>
          <w:sz w:val="16"/>
          <w:szCs w:val="16"/>
          <w:color w:val="auto"/>
        </w:rPr>
        <w:t>(Name, address (including zip code) and telephone number (including</w:t>
      </w:r>
    </w:p>
    <w:p>
      <w:pPr>
        <w:spacing w:after="0" w:line="1" w:lineRule="exact"/>
        <w:rPr>
          <w:sz w:val="24"/>
          <w:szCs w:val="24"/>
          <w:color w:val="auto"/>
        </w:rPr>
      </w:pPr>
    </w:p>
    <w:p>
      <w:pPr>
        <w:jc w:val="center"/>
        <w:ind w:left="3180"/>
        <w:spacing w:after="0"/>
        <w:rPr>
          <w:sz w:val="20"/>
          <w:szCs w:val="20"/>
          <w:color w:val="auto"/>
        </w:rPr>
      </w:pPr>
      <w:r>
        <w:rPr>
          <w:rFonts w:ascii="Times New Roman" w:cs="Times New Roman" w:eastAsia="Times New Roman" w:hAnsi="Times New Roman"/>
          <w:sz w:val="16"/>
          <w:szCs w:val="16"/>
          <w:color w:val="auto"/>
        </w:rPr>
        <w:t>area code) of agent for service in the United States)</w:t>
      </w:r>
    </w:p>
    <w:p>
      <w:pPr>
        <w:spacing w:after="0" w:line="40"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____________________</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137160</wp:posOffset>
            </wp:positionH>
            <wp:positionV relativeFrom="paragraph">
              <wp:posOffset>42545</wp:posOffset>
            </wp:positionV>
            <wp:extent cx="1520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2082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55"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6"/>
          <w:szCs w:val="16"/>
          <w:color w:val="auto"/>
        </w:rPr>
        <w:t>(I.R.S. Employer</w:t>
      </w:r>
    </w:p>
    <w:p>
      <w:pPr>
        <w:spacing w:after="0"/>
        <w:rPr>
          <w:sz w:val="20"/>
          <w:szCs w:val="20"/>
          <w:color w:val="auto"/>
        </w:rPr>
      </w:pPr>
      <w:r>
        <w:rPr>
          <w:rFonts w:ascii="Times New Roman" w:cs="Times New Roman" w:eastAsia="Times New Roman" w:hAnsi="Times New Roman"/>
          <w:sz w:val="16"/>
          <w:szCs w:val="16"/>
          <w:color w:val="auto"/>
        </w:rPr>
        <w:t>Identification Number)</w:t>
      </w:r>
    </w:p>
    <w:p>
      <w:pPr>
        <w:spacing w:after="0" w:line="3063" w:lineRule="exact"/>
        <w:rPr>
          <w:sz w:val="24"/>
          <w:szCs w:val="24"/>
          <w:color w:val="auto"/>
        </w:rPr>
      </w:pPr>
    </w:p>
    <w:p>
      <w:pPr>
        <w:sectPr>
          <w:pgSz w:w="11900" w:h="16838" w:orient="portrait"/>
          <w:cols w:equalWidth="0" w:num="2">
            <w:col w:w="8060" w:space="580"/>
            <w:col w:w="2600"/>
          </w:cols>
          <w:pgMar w:left="320" w:top="1440" w:right="339" w:bottom="1440" w:gutter="0" w:footer="0" w:header="0"/>
          <w:type w:val="continuous"/>
        </w:sectPr>
      </w:pPr>
    </w:p>
    <w:tbl>
      <w:tblPr>
        <w:tblLayout w:type="fixed"/>
        <w:tblInd w:w="60" w:type="dxa"/>
        <w:tblCellMar>
          <w:top w:w="0" w:type="dxa"/>
          <w:left w:w="0" w:type="dxa"/>
          <w:bottom w:w="0" w:type="dxa"/>
          <w:right w:w="0" w:type="dxa"/>
        </w:tblCellMar>
      </w:tblPr>
      <w:tr>
        <w:trPr>
          <w:trHeight w:val="18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800" w:type="dxa"/>
            <w:vAlign w:val="bottom"/>
          </w:tcPr>
          <w:p>
            <w:pPr>
              <w:spacing w:after="0"/>
              <w:rPr>
                <w:sz w:val="16"/>
                <w:szCs w:val="16"/>
                <w:color w:val="auto"/>
              </w:rPr>
            </w:pPr>
          </w:p>
        </w:tc>
        <w:tc>
          <w:tcPr>
            <w:tcW w:w="324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Trading Symbol(s)</w:t>
            </w:r>
          </w:p>
        </w:tc>
        <w:tc>
          <w:tcPr>
            <w:tcW w:w="40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1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72"/>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Common Shares, no par value</w:t>
            </w:r>
          </w:p>
        </w:tc>
        <w:tc>
          <w:tcPr>
            <w:tcW w:w="324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CYBN</w:t>
            </w:r>
          </w:p>
        </w:tc>
        <w:tc>
          <w:tcPr>
            <w:tcW w:w="402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NYSE American LLC</w:t>
            </w:r>
          </w:p>
        </w:tc>
      </w:tr>
    </w:tbl>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15(d) of the Act: None</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For annual reports, indicate by check mark the information filed with this Form:</w:t>
      </w:r>
    </w:p>
    <w:p>
      <w:pPr>
        <w:spacing w:after="0" w:line="121" w:lineRule="exact"/>
        <w:rPr>
          <w:sz w:val="24"/>
          <w:szCs w:val="24"/>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[X] Annual information form</w:t>
      </w:r>
      <w:r>
        <w:rPr>
          <w:sz w:val="20"/>
          <w:szCs w:val="20"/>
          <w:color w:val="auto"/>
        </w:rPr>
        <w:tab/>
      </w:r>
      <w:r>
        <w:rPr>
          <w:rFonts w:ascii="Times New Roman" w:cs="Times New Roman" w:eastAsia="Times New Roman" w:hAnsi="Times New Roman"/>
          <w:sz w:val="16"/>
          <w:szCs w:val="16"/>
          <w:color w:val="auto"/>
        </w:rPr>
        <w:t>[X] Audited annual financial statements</w:t>
      </w:r>
    </w:p>
    <w:p>
      <w:pPr>
        <w:spacing w:after="0" w:line="207"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 As at March 31, 2022, the Cybin Inc. had 164,640,303 common shares outstanding</w:t>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ind w:right="2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 X ] Yes [ ] No</w:t>
      </w:r>
    </w:p>
    <w:p>
      <w:pPr>
        <w:spacing w:after="0" w:line="3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 ] No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12b-2 of the Exchange Act.</w:t>
      </w:r>
    </w:p>
    <w:p>
      <w:pPr>
        <w:spacing w:after="0" w:line="60"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6"/>
          <w:szCs w:val="16"/>
          <w:color w:val="auto"/>
        </w:rPr>
        <w:t>Emerging growth company [X]</w:t>
      </w:r>
    </w:p>
    <w:p>
      <w:pPr>
        <w:spacing w:after="0" w:line="6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3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4841240" cy="23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41240" cy="2349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Cybin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Registrant</w:t>
      </w:r>
      <w:r>
        <w:rPr>
          <w:rFonts w:ascii="Times New Roman" w:cs="Times New Roman" w:eastAsia="Times New Roman" w:hAnsi="Times New Roman"/>
          <w:sz w:val="16"/>
          <w:szCs w:val="16"/>
          <w:color w:val="auto"/>
        </w:rPr>
        <w:t>”) is a Canadian issuer that is permitted, under the multijurisdictional disclosure system adopted in the United States, to</w:t>
      </w:r>
    </w:p>
    <w:p>
      <w:pPr>
        <w:spacing w:after="0" w:line="7" w:lineRule="exact"/>
        <w:rPr>
          <w:sz w:val="20"/>
          <w:szCs w:val="20"/>
          <w:color w:val="auto"/>
        </w:rPr>
      </w:pPr>
    </w:p>
    <w:p>
      <w:pPr>
        <w:jc w:val="both"/>
        <w:ind w:right="20"/>
        <w:spacing w:after="0" w:line="212" w:lineRule="auto"/>
        <w:rPr>
          <w:sz w:val="20"/>
          <w:szCs w:val="20"/>
          <w:color w:val="auto"/>
        </w:rPr>
      </w:pPr>
      <w:r>
        <w:rPr>
          <w:rFonts w:ascii="Times New Roman" w:cs="Times New Roman" w:eastAsia="Times New Roman" w:hAnsi="Times New Roman"/>
          <w:sz w:val="16"/>
          <w:szCs w:val="16"/>
          <w:color w:val="auto"/>
        </w:rPr>
        <w:t>prepare this Annual Report on Form 40-F (this “</w:t>
      </w:r>
      <w:r>
        <w:rPr>
          <w:rFonts w:ascii="Times New Roman" w:cs="Times New Roman" w:eastAsia="Times New Roman" w:hAnsi="Times New Roman"/>
          <w:sz w:val="16"/>
          <w:szCs w:val="16"/>
          <w:b w:val="1"/>
          <w:bCs w:val="1"/>
          <w:color w:val="auto"/>
        </w:rPr>
        <w:t>Annual Report</w:t>
      </w:r>
      <w:r>
        <w:rPr>
          <w:rFonts w:ascii="Times New Roman" w:cs="Times New Roman" w:eastAsia="Times New Roman" w:hAnsi="Times New Roman"/>
          <w:sz w:val="16"/>
          <w:szCs w:val="16"/>
          <w:color w:val="auto"/>
        </w:rPr>
        <w:t>”) pursuant to Section 13 of the Securities Exchange Act of 1934, as amended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in accordance with Canadian disclosure requirements, which are different from those of the United States. The Company is a “foreign private issuer” as defined in Rule 3b-4 under the Exchange Act and Rule 405 under the Securities Act of 1933, as amended. Equity securities of the Company are accordingly exempt from Sections 14(a), 14(b),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14(c), 14(f) and 16 of the Exchange Act pursuant to Rule 3a12-3 thereunder.</w:t>
      </w:r>
    </w:p>
    <w:p>
      <w:pPr>
        <w:spacing w:after="0" w:line="4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6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6"/>
          <w:szCs w:val="16"/>
          <w:color w:val="auto"/>
        </w:rPr>
        <w:t>This Annual Report, including the documents incorporated by reference herein, may contain “forward-looking information” or “forward-looking statements” within the meaning of applicable securities laws (collectively referred to herein as “</w:t>
      </w:r>
      <w:r>
        <w:rPr>
          <w:rFonts w:ascii="Times New Roman" w:cs="Times New Roman" w:eastAsia="Times New Roman" w:hAnsi="Times New Roman"/>
          <w:sz w:val="16"/>
          <w:szCs w:val="16"/>
          <w:b w:val="1"/>
          <w:bCs w:val="1"/>
          <w:color w:val="auto"/>
        </w:rPr>
        <w:t>forward-looking statements</w:t>
      </w:r>
      <w:r>
        <w:rPr>
          <w:rFonts w:ascii="Times New Roman" w:cs="Times New Roman" w:eastAsia="Times New Roman" w:hAnsi="Times New Roman"/>
          <w:sz w:val="16"/>
          <w:szCs w:val="16"/>
          <w:color w:val="auto"/>
        </w:rPr>
        <w:t>”). All statements other than statements of historical fact, including, without limitation, those regarding the future financial position and results of operations, strategy, plans, objectives, goals, targets and future developments of the Registrant</w:t>
      </w:r>
    </w:p>
    <w:p>
      <w:pPr>
        <w:spacing w:after="0" w:line="1" w:lineRule="exact"/>
        <w:rPr>
          <w:sz w:val="20"/>
          <w:szCs w:val="20"/>
          <w:color w:val="auto"/>
        </w:rPr>
      </w:pPr>
    </w:p>
    <w:p>
      <w:pPr>
        <w:jc w:val="both"/>
        <w:ind w:right="20"/>
        <w:spacing w:after="0" w:line="212" w:lineRule="auto"/>
        <w:rPr>
          <w:sz w:val="20"/>
          <w:szCs w:val="20"/>
          <w:color w:val="auto"/>
        </w:rPr>
      </w:pPr>
      <w:r>
        <w:rPr>
          <w:rFonts w:ascii="Times New Roman" w:cs="Times New Roman" w:eastAsia="Times New Roman" w:hAnsi="Times New Roman"/>
          <w:sz w:val="16"/>
          <w:szCs w:val="16"/>
          <w:color w:val="auto"/>
        </w:rPr>
        <w:t>in the markets where the Registrant participates or is seeking to participate, and any statements preceded by, followed by or that include the words “considers”, “plans”, “expects” or “does not expect”, “is expected”, “budget”, “scheduled”, “estimates”, “forecasts”, “intends”, “anticipates” or “does not anticipate”, or “believes”, or variations of such words and phrases or statements that certain actions, events or results “may”, “could”, “would”, “might” or “will be taken”, “occur” or “be achieved” or the</w:t>
      </w:r>
    </w:p>
    <w:p>
      <w:pPr>
        <w:spacing w:after="0" w:line="1" w:lineRule="exact"/>
        <w:rPr>
          <w:sz w:val="20"/>
          <w:szCs w:val="20"/>
          <w:color w:val="auto"/>
        </w:rPr>
      </w:pPr>
    </w:p>
    <w:p>
      <w:pPr>
        <w:jc w:val="both"/>
        <w:ind w:right="20"/>
        <w:spacing w:after="0" w:line="212" w:lineRule="auto"/>
        <w:rPr>
          <w:sz w:val="20"/>
          <w:szCs w:val="20"/>
          <w:color w:val="auto"/>
        </w:rPr>
      </w:pPr>
      <w:r>
        <w:rPr>
          <w:rFonts w:ascii="Times New Roman" w:cs="Times New Roman" w:eastAsia="Times New Roman" w:hAnsi="Times New Roman"/>
          <w:sz w:val="16"/>
          <w:szCs w:val="16"/>
          <w:color w:val="auto"/>
        </w:rPr>
        <w:t>negative of these terms or comparable terminology, are forward-looking statements. These statements reflect management’s beliefs with respect to future events and are based on information available to management as of the respective dates of this Annual Report and the document incorporated by reference herein, including reasonable assumptions, estimates, internal and external analysis and opinions of management considering its experience, perception of trends, current conditions and expected</w:t>
      </w:r>
    </w:p>
    <w:p>
      <w:pPr>
        <w:spacing w:after="0" w:line="1"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6"/>
          <w:szCs w:val="16"/>
          <w:color w:val="auto"/>
        </w:rPr>
        <w:t xml:space="preserve">developments as well as other factors that management believed to be relevant as at the date such statements were made. These statements involve known and unknown risks, uncertainties, and other factors that may cause actual results or events to differ materially from those anticipated or implied in such forward-looking statements, including, without limitation, those described in the Registrant’s Annual Information Form for the year ended March 31, 2022, attached hereto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w:t>
      </w:r>
    </w:p>
    <w:p>
      <w:pPr>
        <w:spacing w:after="0" w:line="33"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6"/>
          <w:szCs w:val="16"/>
          <w:color w:val="auto"/>
        </w:rPr>
        <w:t>The Registrant and management caution readers not to place undue reliance on any forward-looking statements, which speak only as of the date made. Although the Registrant believes that the expectations reflected in the forward-looking statements were reasonable as of the time such forward-looking statements were made, it can give no assurance that such expectations will prove to have been correct. The Registrant and management assume no obligation to update or revise them to reflect new events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circumstances except as required by applicable securities laws.</w:t>
      </w:r>
    </w:p>
    <w:p>
      <w:pPr>
        <w:spacing w:after="0" w:line="4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DIFFERENCES IN UNITED STATES AND CANADIAN REPORTING PRACTICES</w:t>
      </w:r>
    </w:p>
    <w:p>
      <w:pPr>
        <w:spacing w:after="0" w:line="60"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16"/>
          <w:szCs w:val="16"/>
          <w:color w:val="auto"/>
        </w:rPr>
        <w:t>The Registrant is permitted, under a multijurisdictional disclosure system adopted by the United States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xml:space="preserve">”), to prepare this report in accordance with Canadian disclosure requirements, which are different from those of the United States. The Registrant prepares its consolidated financial statements, which are filed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 xml:space="preserve"> to this Annual Report, in accordance with International Financial Reporting Standards as issued by the International Accounting</w:t>
      </w:r>
    </w:p>
    <w:p>
      <w:pPr>
        <w:spacing w:after="0"/>
        <w:rPr>
          <w:sz w:val="20"/>
          <w:szCs w:val="20"/>
          <w:color w:val="auto"/>
        </w:rPr>
      </w:pPr>
      <w:r>
        <w:rPr>
          <w:rFonts w:ascii="Times New Roman" w:cs="Times New Roman" w:eastAsia="Times New Roman" w:hAnsi="Times New Roman"/>
          <w:sz w:val="16"/>
          <w:szCs w:val="16"/>
          <w:color w:val="auto"/>
        </w:rPr>
        <w:t>Standards Board and the audit is subject to Canadian auditing and auditor independence standards.</w:t>
      </w:r>
    </w:p>
    <w:p>
      <w:pPr>
        <w:sectPr>
          <w:pgSz w:w="11900" w:h="16838" w:orient="portrait"/>
          <w:cols w:equalWidth="0" w:num="1">
            <w:col w:w="11260"/>
          </w:cols>
          <w:pgMar w:left="320" w:top="136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p>
      <w:pPr>
        <w:spacing w:after="0" w:line="6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6"/>
          <w:szCs w:val="16"/>
          <w:color w:val="auto"/>
        </w:rPr>
        <w:t>Unless otherwise indicated, all dollar amounts in this Annual Report are in Canadian dollars. The exchange rate of United States dollars into Canadian dollars, on March 31, 2022, based upon the daily exchange rate as quoted by the Bank of Canada was USD $1.00 = CAD$1.2496.</w:t>
      </w:r>
    </w:p>
    <w:p>
      <w:pPr>
        <w:spacing w:after="0" w:line="3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PRINCIPAL DOCUMENTS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documents have been filed as part of this Annual Report: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Annual Information Form</w:t>
      </w:r>
    </w:p>
    <w:p>
      <w:pPr>
        <w:spacing w:after="0" w:line="183"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6"/>
          <w:szCs w:val="16"/>
          <w:color w:val="auto"/>
        </w:rPr>
        <w:t>The Registrant’s Annual Information Form for the fiscal year ended March 31, 2022 (the “</w:t>
      </w:r>
      <w:r>
        <w:rPr>
          <w:rFonts w:ascii="Times New Roman" w:cs="Times New Roman" w:eastAsia="Times New Roman" w:hAnsi="Times New Roman"/>
          <w:sz w:val="16"/>
          <w:szCs w:val="16"/>
          <w:b w:val="1"/>
          <w:bCs w:val="1"/>
          <w:color w:val="auto"/>
        </w:rPr>
        <w:t>AIF</w:t>
      </w:r>
      <w:r>
        <w:rPr>
          <w:rFonts w:ascii="Times New Roman" w:cs="Times New Roman" w:eastAsia="Times New Roman" w:hAnsi="Times New Roman"/>
          <w:sz w:val="16"/>
          <w:szCs w:val="16"/>
          <w:color w:val="auto"/>
        </w:rPr>
        <w:t xml:space="preserve">”) is attached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 xml:space="preserve"> to this Annual Report and is incorporated by reference herein.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Audited Annual Financial Statements</w:t>
      </w:r>
    </w:p>
    <w:p>
      <w:pPr>
        <w:spacing w:after="0" w:line="185"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6"/>
          <w:szCs w:val="16"/>
          <w:color w:val="auto"/>
        </w:rPr>
        <w:t xml:space="preserve">The Registrant’s consolidated audited annual financial statements for the fiscal year ended March 31, 2022, including the reports of the independent registered public accounting firm with respect thereto are attached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 xml:space="preserve"> to this Annual Report and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-123825</wp:posOffset>
            </wp:positionV>
            <wp:extent cx="2645410" cy="116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5410" cy="11620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 Management’s Discussion and Analysis</w:t>
      </w:r>
    </w:p>
    <w:p>
      <w:pPr>
        <w:spacing w:after="0" w:line="183"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The Registrant’s management’s discussion and analysis of financial condition and operating performance for the fiscal year ended March 31, 2022 (the “</w:t>
      </w:r>
      <w:r>
        <w:rPr>
          <w:rFonts w:ascii="Times New Roman" w:cs="Times New Roman" w:eastAsia="Times New Roman" w:hAnsi="Times New Roman"/>
          <w:sz w:val="16"/>
          <w:szCs w:val="16"/>
          <w:b w:val="1"/>
          <w:bCs w:val="1"/>
          <w:color w:val="auto"/>
        </w:rPr>
        <w:t>MD&amp;A</w:t>
      </w:r>
      <w:r>
        <w:rPr>
          <w:rFonts w:ascii="Times New Roman" w:cs="Times New Roman" w:eastAsia="Times New Roman" w:hAnsi="Times New Roman"/>
          <w:sz w:val="16"/>
          <w:szCs w:val="16"/>
          <w:color w:val="auto"/>
        </w:rPr>
        <w:t xml:space="preserve">”) is attached as </w:t>
      </w:r>
      <w:r>
        <w:rPr>
          <w:rFonts w:ascii="Times New Roman" w:cs="Times New Roman" w:eastAsia="Times New Roman" w:hAnsi="Times New Roman"/>
          <w:sz w:val="16"/>
          <w:szCs w:val="16"/>
          <w:u w:val="single" w:color="auto"/>
          <w:color w:val="auto"/>
        </w:rPr>
        <w:t>Exhibit 99.3</w:t>
      </w:r>
      <w:r>
        <w:rPr>
          <w:rFonts w:ascii="Times New Roman" w:cs="Times New Roman" w:eastAsia="Times New Roman" w:hAnsi="Times New Roman"/>
          <w:sz w:val="16"/>
          <w:szCs w:val="16"/>
          <w:color w:val="auto"/>
        </w:rPr>
        <w:t xml:space="preserve"> to this Annual Report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-125095</wp:posOffset>
            </wp:positionV>
            <wp:extent cx="2591435" cy="116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1435" cy="11620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TAX MATTERS</w:t>
      </w:r>
    </w:p>
    <w:p>
      <w:pPr>
        <w:spacing w:after="0" w:line="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Purchasing, holding, or disposing of the Company’s securities may have tax consequences under the laws of the United States and Canada that are not described in this Annual Report.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6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6"/>
          <w:szCs w:val="16"/>
          <w:color w:val="auto"/>
        </w:rPr>
        <w:t>As of the end of the period covered by this Annual Report, the Company carried out an evaluation, under the supervision of the Company's Chief Executive Officer (the “</w:t>
      </w:r>
      <w:r>
        <w:rPr>
          <w:rFonts w:ascii="Times New Roman" w:cs="Times New Roman" w:eastAsia="Times New Roman" w:hAnsi="Times New Roman"/>
          <w:sz w:val="16"/>
          <w:szCs w:val="16"/>
          <w:b w:val="1"/>
          <w:bCs w:val="1"/>
          <w:color w:val="auto"/>
        </w:rPr>
        <w:t>CEO</w:t>
      </w:r>
      <w:r>
        <w:rPr>
          <w:rFonts w:ascii="Times New Roman" w:cs="Times New Roman" w:eastAsia="Times New Roman" w:hAnsi="Times New Roman"/>
          <w:sz w:val="16"/>
          <w:szCs w:val="16"/>
          <w:color w:val="auto"/>
        </w:rPr>
        <w:t>”) and Chief Financial Officer (the “</w:t>
      </w:r>
      <w:r>
        <w:rPr>
          <w:rFonts w:ascii="Times New Roman" w:cs="Times New Roman" w:eastAsia="Times New Roman" w:hAnsi="Times New Roman"/>
          <w:sz w:val="16"/>
          <w:szCs w:val="16"/>
          <w:b w:val="1"/>
          <w:bCs w:val="1"/>
          <w:color w:val="auto"/>
        </w:rPr>
        <w:t>CFO</w:t>
      </w:r>
      <w:r>
        <w:rPr>
          <w:rFonts w:ascii="Times New Roman" w:cs="Times New Roman" w:eastAsia="Times New Roman" w:hAnsi="Times New Roman"/>
          <w:sz w:val="16"/>
          <w:szCs w:val="16"/>
          <w:color w:val="auto"/>
        </w:rPr>
        <w:t>”), of the effectiveness of the Company’s disclosure controls and procedures (as defined in Rules 13a-15(e) and 15d-15(e) of</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6"/>
          <w:szCs w:val="16"/>
          <w:color w:val="auto"/>
        </w:rPr>
        <w:t>the Exchange Act). Based upon that evaluation, the Company’s CEO and CFO have concluded that, as of the end of the period covered by this Annual Report, the Company’s disclosure controls and procedures are effective to ensure that information required to be disclosed by the Company in reports that it files or submits under the Exchange Act is (i) recorded, processed, summarized and reported within the time periods specified in SEC rules and forms, and (ii) accumulated and communicated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Company’s management, including its principal executive officer and principal financial officer, to allow timely decisions regarding required disclosure.</w:t>
      </w:r>
    </w:p>
    <w:p>
      <w:pPr>
        <w:spacing w:after="0" w:line="15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6"/>
          <w:szCs w:val="16"/>
          <w:color w:val="auto"/>
        </w:rPr>
        <w:t>While the Company’s principal executive officer and principal financial officer believe that the Company’s disclosure controls and procedures provide a reasonable level of assurance that they are effective, they do not expect that the Company’s disclosure controls and procedures or internal control over financial reporting will prevent all errors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fraud. A control system, no matter how well conceived or operated, can provide only reasonable, not absolute, assurance that the objectives of the control system are met.</w:t>
      </w:r>
    </w:p>
    <w:p>
      <w:pPr>
        <w:spacing w:after="0" w:line="14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MANAGEMENT’S ANNUAL REPORT ON</w:t>
      </w:r>
    </w:p>
    <w:p>
      <w:pPr>
        <w:jc w:val="center"/>
        <w:spacing w:after="0"/>
        <w:rPr>
          <w:sz w:val="20"/>
          <w:szCs w:val="20"/>
          <w:color w:val="auto"/>
        </w:rPr>
      </w:pPr>
      <w:r>
        <w:rPr>
          <w:rFonts w:ascii="Times New Roman" w:cs="Times New Roman" w:eastAsia="Times New Roman" w:hAnsi="Times New Roman"/>
          <w:sz w:val="16"/>
          <w:szCs w:val="16"/>
          <w:b w:val="1"/>
          <w:bCs w:val="1"/>
          <w:color w:val="auto"/>
        </w:rPr>
        <w:t>INTERNAL CONTROL OVER FINANCIAL REPORTING</w:t>
      </w:r>
    </w:p>
    <w:p>
      <w:pPr>
        <w:spacing w:after="0" w:line="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This Annual Report does not include a report of management’s assessment regarding internal control over financial reporting due to a transition period established by rules of the SEC for newly public companies.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ATTESTATION REPORT OF THE REGISTERED PUBLIC ACCOUNTING FIRM</w:t>
      </w:r>
    </w:p>
    <w:p>
      <w:pPr>
        <w:spacing w:after="0" w:line="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This Annual Report does not include a report of management’s assessment regarding internal control over financial reporting due to a transition period established by rules of the SEC for newly public companies.</w:t>
      </w:r>
    </w:p>
    <w:p>
      <w:pPr>
        <w:sectPr>
          <w:pgSz w:w="11900" w:h="16838" w:orient="portrait"/>
          <w:cols w:equalWidth="0" w:num="1">
            <w:col w:w="11260"/>
          </w:cols>
          <w:pgMar w:left="320" w:top="1367"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33"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6"/>
          <w:szCs w:val="16"/>
          <w:color w:val="auto"/>
        </w:rPr>
        <w:t>There has been no change in the Registrant’s internal control over financial reporting during the fiscal year ended March 31, 2022, that has materially affected, or is reasonably likely to materially affect, the Registrant’s internal control over financial reporting.</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NOTICES PURSUANT TO REGULATION BTR</w:t>
      </w:r>
    </w:p>
    <w:p>
      <w:pPr>
        <w:spacing w:after="0" w:line="6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6"/>
          <w:szCs w:val="16"/>
          <w:color w:val="auto"/>
        </w:rPr>
        <w:t>There were no notices required by Rule 104 of Regulation BTR that the Company sent during the year ended March 31, 2022 concerning any equity security subject to a blackout period under Rule 101 of Regulation BTR.</w:t>
      </w: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60" w:lineRule="exact"/>
        <w:rPr>
          <w:sz w:val="20"/>
          <w:szCs w:val="20"/>
          <w:color w:val="auto"/>
        </w:rPr>
      </w:pPr>
    </w:p>
    <w:p>
      <w:pPr>
        <w:jc w:val="both"/>
        <w:ind w:right="20" w:hanging="7"/>
        <w:spacing w:after="0" w:line="228" w:lineRule="auto"/>
        <w:rPr>
          <w:sz w:val="20"/>
          <w:szCs w:val="20"/>
          <w:color w:val="auto"/>
        </w:rPr>
      </w:pPr>
      <w:r>
        <w:rPr>
          <w:rFonts w:ascii="Times New Roman" w:cs="Times New Roman" w:eastAsia="Times New Roman" w:hAnsi="Times New Roman"/>
          <w:sz w:val="16"/>
          <w:szCs w:val="16"/>
          <w:color w:val="auto"/>
        </w:rPr>
        <w:t>The Company's Board of Directors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is responsible for the Company’s corporate governance and has the following independent designated standing committees: the Compensation Committee, the Governance and Nomination Committee and Audit Committee. The charters of each committee can be viewed on the</w:t>
      </w:r>
    </w:p>
    <w:p>
      <w:pPr>
        <w:jc w:val="both"/>
        <w:ind w:right="20"/>
        <w:spacing w:after="0" w:line="229" w:lineRule="auto"/>
        <w:rPr>
          <w:sz w:val="20"/>
          <w:szCs w:val="20"/>
          <w:color w:val="auto"/>
        </w:rPr>
      </w:pPr>
      <w:r>
        <w:rPr>
          <w:rFonts w:ascii="Times New Roman" w:cs="Times New Roman" w:eastAsia="Times New Roman" w:hAnsi="Times New Roman"/>
          <w:sz w:val="16"/>
          <w:szCs w:val="16"/>
          <w:color w:val="auto"/>
        </w:rPr>
        <w:t xml:space="preserve">Company's corporate website at </w:t>
      </w:r>
      <w:r>
        <w:rPr>
          <w:rFonts w:ascii="Times New Roman" w:cs="Times New Roman" w:eastAsia="Times New Roman" w:hAnsi="Times New Roman"/>
          <w:sz w:val="16"/>
          <w:szCs w:val="16"/>
          <w:color w:val="0563C1"/>
        </w:rPr>
        <w:t>https://ir.cybin.com/investors/governance/</w:t>
      </w:r>
      <w:r>
        <w:rPr>
          <w:rFonts w:ascii="Times New Roman" w:cs="Times New Roman" w:eastAsia="Times New Roman" w:hAnsi="Times New Roman"/>
          <w:sz w:val="16"/>
          <w:szCs w:val="16"/>
          <w:u w:val="single" w:color="auto"/>
          <w:color w:val="0563C1"/>
        </w:rPr>
        <w:t>governance-documents/</w:t>
      </w:r>
      <w:r>
        <w:rPr>
          <w:rFonts w:ascii="Times New Roman" w:cs="Times New Roman" w:eastAsia="Times New Roman" w:hAnsi="Times New Roman"/>
          <w:sz w:val="16"/>
          <w:szCs w:val="16"/>
          <w:color w:val="auto"/>
        </w:rPr>
        <w:t xml:space="preserve">. In addition, the Company's Audit Committee Charter is attached as </w:t>
      </w:r>
      <w:r>
        <w:rPr>
          <w:rFonts w:ascii="Times New Roman" w:cs="Times New Roman" w:eastAsia="Times New Roman" w:hAnsi="Times New Roman"/>
          <w:sz w:val="16"/>
          <w:szCs w:val="16"/>
          <w:color w:val="auto"/>
          <w:highlight w:val="white"/>
        </w:rPr>
        <w:t xml:space="preserve">Exhibit "A" to the AIF, which is filed as </w:t>
      </w:r>
      <w:r>
        <w:rPr>
          <w:rFonts w:ascii="Times New Roman" w:cs="Times New Roman" w:eastAsia="Times New Roman" w:hAnsi="Times New Roman"/>
          <w:sz w:val="16"/>
          <w:szCs w:val="16"/>
          <w:u w:val="single" w:color="auto"/>
          <w:color w:val="auto"/>
          <w:highlight w:val="white"/>
        </w:rPr>
        <w:t>Exhibit 99.1</w:t>
      </w:r>
      <w:r>
        <w:rPr>
          <w:rFonts w:ascii="Times New Roman" w:cs="Times New Roman" w:eastAsia="Times New Roman" w:hAnsi="Times New Roman"/>
          <w:sz w:val="16"/>
          <w:szCs w:val="16"/>
          <w:color w:val="auto"/>
          <w:highlight w:val="white"/>
        </w:rPr>
        <w:t xml:space="preserve"> to this Annual Report.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AUDIT COMMITTEE</w:t>
      </w:r>
    </w:p>
    <w:p>
      <w:pPr>
        <w:spacing w:after="0" w:line="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The Board has established an independent Audit Committee for the purpose of overseeing our accounting and financial reporting processes and the audit of our annual financial statements. The Audit Committee is composed entirely of independent directors who meet the independence and experience requirements of the New York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Exchange, the Toronto Stock Exchange, SEC rules and National Instrument 52-110 adopted by Canadian securities regulators, as amended.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Audit Committee is composed of Mark Lawson (Chair), Eric Hoskins, Theresa Firestone and Grant Froese.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Audit Committee Financial Experts</w:t>
      </w:r>
    </w:p>
    <w:p>
      <w:pPr>
        <w:spacing w:after="0" w:line="209"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6"/>
          <w:szCs w:val="16"/>
          <w:color w:val="auto"/>
        </w:rPr>
        <w:t>The Board has determined that all members of the audit committee qualify as a financial expert (as defined in Item 407(d)(5)(ii) of Regulation S-K under the Exchange Act) and that all members are independent (as determined under Exchange Act Rule 10A-3 and Section 803.A(2) of the NYSE American Company Guide).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SEC has indicated that the designation or identification of a person as an audit committee financial expert does not make such person an “expert” for any purpose,</w:t>
      </w:r>
    </w:p>
    <w:p>
      <w:pPr>
        <w:spacing w:after="0" w:line="5"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6"/>
          <w:szCs w:val="16"/>
          <w:color w:val="auto"/>
        </w:rPr>
        <w:t>impose any duties, obligations or liability on such person that are greater than those imposed on members of the audit committee and the board of directors who do not carry this designation or identification, or affect the duties, obligations or liability of any other member of the audit committee or board of directors.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CODE OF ETHICS</w:t>
      </w:r>
    </w:p>
    <w:p>
      <w:pPr>
        <w:spacing w:after="0" w:line="207"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6"/>
          <w:szCs w:val="16"/>
          <w:color w:val="auto"/>
        </w:rPr>
        <w:t>The Company has adopted a code of ethics (the “</w:t>
      </w:r>
      <w:r>
        <w:rPr>
          <w:rFonts w:ascii="Times New Roman" w:cs="Times New Roman" w:eastAsia="Times New Roman" w:hAnsi="Times New Roman"/>
          <w:sz w:val="16"/>
          <w:szCs w:val="16"/>
          <w:b w:val="1"/>
          <w:bCs w:val="1"/>
          <w:color w:val="auto"/>
        </w:rPr>
        <w:t>Code of Business Conduct</w:t>
      </w:r>
      <w:r>
        <w:rPr>
          <w:rFonts w:ascii="Times New Roman" w:cs="Times New Roman" w:eastAsia="Times New Roman" w:hAnsi="Times New Roman"/>
          <w:sz w:val="16"/>
          <w:szCs w:val="16"/>
          <w:color w:val="auto"/>
        </w:rPr>
        <w:t xml:space="preserve">”) that applies to all employees and officers, and directors. The Code of Business Conduct is available on the Company's corporate website at </w:t>
      </w:r>
      <w:r>
        <w:rPr>
          <w:rFonts w:ascii="Times New Roman" w:cs="Times New Roman" w:eastAsia="Times New Roman" w:hAnsi="Times New Roman"/>
          <w:sz w:val="16"/>
          <w:szCs w:val="16"/>
          <w:color w:val="0563C1"/>
        </w:rPr>
        <w:t>https://ir.cybin.com/in</w:t>
      </w:r>
      <w:r>
        <w:rPr>
          <w:rFonts w:ascii="Times New Roman" w:cs="Times New Roman" w:eastAsia="Times New Roman" w:hAnsi="Times New Roman"/>
          <w:sz w:val="16"/>
          <w:szCs w:val="16"/>
          <w:u w:val="single" w:color="auto"/>
          <w:color w:val="0563C1"/>
        </w:rPr>
        <w:t>vestors/governance/governance-documents.</w:t>
      </w:r>
      <w:r>
        <w:rPr>
          <w:rFonts w:ascii="Times New Roman" w:cs="Times New Roman" w:eastAsia="Times New Roman" w:hAnsi="Times New Roman"/>
          <w:sz w:val="16"/>
          <w:szCs w:val="16"/>
          <w:color w:val="auto"/>
        </w:rPr>
        <w:t xml:space="preserve"> Any amendments to the Code of Business Conduct will </w:t>
      </w:r>
      <w:r>
        <w:rPr>
          <w:rFonts w:ascii="Times New Roman" w:cs="Times New Roman" w:eastAsia="Times New Roman" w:hAnsi="Times New Roman"/>
          <w:sz w:val="16"/>
          <w:szCs w:val="16"/>
          <w:color w:val="auto"/>
          <w:highlight w:val="white"/>
        </w:rPr>
        <w:t>be posted at the Company’s Internet website at the address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4777740</wp:posOffset>
            </wp:positionH>
            <wp:positionV relativeFrom="paragraph">
              <wp:posOffset>-222885</wp:posOffset>
            </wp:positionV>
            <wp:extent cx="2366010" cy="116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66010" cy="116205"/>
                    </a:xfrm>
                    <a:prstGeom prst="rect">
                      <a:avLst/>
                    </a:prstGeom>
                    <a:noFill/>
                  </pic:spPr>
                </pic:pic>
              </a:graphicData>
            </a:graphic>
          </wp:anchor>
        </w:drawing>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ACCOUNTANT FEES AND SERVICES</w:t>
      </w:r>
    </w:p>
    <w:p>
      <w:pPr>
        <w:spacing w:after="0" w:line="193" w:lineRule="exact"/>
        <w:rPr>
          <w:sz w:val="20"/>
          <w:szCs w:val="20"/>
          <w:color w:val="auto"/>
        </w:rPr>
      </w:pPr>
    </w:p>
    <w:p>
      <w:pPr>
        <w:jc w:val="both"/>
        <w:ind w:right="20"/>
        <w:spacing w:after="0" w:line="211" w:lineRule="auto"/>
        <w:rPr>
          <w:sz w:val="20"/>
          <w:szCs w:val="20"/>
          <w:color w:val="auto"/>
        </w:rPr>
      </w:pPr>
      <w:r>
        <w:rPr>
          <w:rFonts w:ascii="Times New Roman" w:cs="Times New Roman" w:eastAsia="Times New Roman" w:hAnsi="Times New Roman"/>
          <w:sz w:val="16"/>
          <w:szCs w:val="16"/>
          <w:color w:val="auto"/>
        </w:rPr>
        <w:t>Tabular disclosure of the amounts billed to us by our independent auditors for each of our last two fiscal years ended March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as Audit Fees, Audit-Related Fees, Tax Fees and All Other Fees, is made on page 95 of the AIF, filed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 xml:space="preserve"> to this Annual Report and is incorporated by reference herein.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PRE-APPROVAL OF AUDIT AND NON-AUDIT SERVICES PROVIDED BY</w:t>
      </w:r>
    </w:p>
    <w:p>
      <w:pPr>
        <w:jc w:val="center"/>
        <w:spacing w:after="0"/>
        <w:rPr>
          <w:sz w:val="20"/>
          <w:szCs w:val="20"/>
          <w:color w:val="auto"/>
        </w:rPr>
      </w:pPr>
      <w:r>
        <w:rPr>
          <w:rFonts w:ascii="Times New Roman" w:cs="Times New Roman" w:eastAsia="Times New Roman" w:hAnsi="Times New Roman"/>
          <w:sz w:val="16"/>
          <w:szCs w:val="16"/>
          <w:b w:val="1"/>
          <w:bCs w:val="1"/>
          <w:color w:val="auto"/>
        </w:rPr>
        <w:t>INDEPENDENT REGISTERED PUBLIC ACCOUNTING FIRM</w:t>
      </w:r>
    </w:p>
    <w:p>
      <w:pPr>
        <w:spacing w:after="0" w:line="177"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The Audit Committee Charter sets out responsibilities regarding the provision of non-audit services by the Registrant’s external auditors and requires the Audit Committee to pre-approve all permitted non-audit services to be provided by the Registrant’s external auditors, in accordance with applicable law. the Company’s Audit</w:t>
      </w:r>
    </w:p>
    <w:p>
      <w:pPr>
        <w:sectPr>
          <w:pgSz w:w="11900" w:h="16838" w:orient="portrait"/>
          <w:cols w:equalWidth="0" w:num="1">
            <w:col w:w="11260"/>
          </w:cols>
          <w:pgMar w:left="320" w:top="129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t xml:space="preserve">Committee Charter is attached as Exhibit "A" to the AIF, which is filed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 xml:space="preserve"> to this Annual Report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-105410</wp:posOffset>
            </wp:positionV>
            <wp:extent cx="2591435" cy="116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1435" cy="116205"/>
                    </a:xfrm>
                    <a:prstGeom prst="rect">
                      <a:avLst/>
                    </a:prstGeom>
                    <a:noFill/>
                  </pic:spPr>
                </pic:pic>
              </a:graphicData>
            </a:graphic>
          </wp:anchor>
        </w:drawing>
      </w:r>
    </w:p>
    <w:p>
      <w:pPr>
        <w:spacing w:after="0" w:line="14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Registrant has no off-balance sheet arrangements.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 xml:space="preserve">The Company's description of contractual and other obligations is provided in the section entitled “Contractual obligations and commitments" contained in the MD&amp;A filed as </w:t>
      </w:r>
      <w:r>
        <w:rPr>
          <w:rFonts w:ascii="Times New Roman" w:cs="Times New Roman" w:eastAsia="Times New Roman" w:hAnsi="Times New Roman"/>
          <w:sz w:val="16"/>
          <w:szCs w:val="16"/>
          <w:u w:val="single" w:color="auto"/>
          <w:color w:val="auto"/>
        </w:rPr>
        <w:t>Exhibit 99.3</w:t>
      </w:r>
      <w:r>
        <w:rPr>
          <w:rFonts w:ascii="Times New Roman" w:cs="Times New Roman" w:eastAsia="Times New Roman" w:hAnsi="Times New Roman"/>
          <w:sz w:val="16"/>
          <w:szCs w:val="16"/>
          <w:color w:val="auto"/>
        </w:rPr>
        <w:t xml:space="preserve"> to this Annual Report is incorporated by reference herein.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NYSE AMERICAN CORPORATE GOVERNANCE</w:t>
      </w:r>
    </w:p>
    <w:p>
      <w:pPr>
        <w:spacing w:after="0" w:line="20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6"/>
          <w:szCs w:val="16"/>
          <w:color w:val="auto"/>
        </w:rPr>
        <w:t>The Company’s common shares are listed on the NYSE American LLC (the “</w:t>
      </w:r>
      <w:r>
        <w:rPr>
          <w:rFonts w:ascii="Times New Roman" w:cs="Times New Roman" w:eastAsia="Times New Roman" w:hAnsi="Times New Roman"/>
          <w:sz w:val="16"/>
          <w:szCs w:val="16"/>
          <w:b w:val="1"/>
          <w:bCs w:val="1"/>
          <w:color w:val="auto"/>
        </w:rPr>
        <w:t>NYSE American</w:t>
      </w:r>
      <w:r>
        <w:rPr>
          <w:rFonts w:ascii="Times New Roman" w:cs="Times New Roman" w:eastAsia="Times New Roman" w:hAnsi="Times New Roman"/>
          <w:sz w:val="16"/>
          <w:szCs w:val="16"/>
          <w:color w:val="auto"/>
        </w:rPr>
        <w:t>”). Section 110 of the NYSE American Company Guide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Guide</w:t>
      </w:r>
      <w:r>
        <w:rPr>
          <w:rFonts w:ascii="Times New Roman" w:cs="Times New Roman" w:eastAsia="Times New Roman" w:hAnsi="Times New Roman"/>
          <w:sz w:val="16"/>
          <w:szCs w:val="16"/>
          <w:color w:val="auto"/>
        </w:rPr>
        <w:t>”) permits the NYSE American to consider the laws, customs and practices of foreign issuers in permitting deviations from certain NYSE American listing criteria,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to grant exemptions from certain NYSE American listing criteria based on these considerations. A company seeking relief under these provisions is required to provide</w:t>
      </w:r>
    </w:p>
    <w:p>
      <w:pPr>
        <w:jc w:val="both"/>
        <w:spacing w:after="0" w:line="229" w:lineRule="auto"/>
        <w:rPr>
          <w:sz w:val="20"/>
          <w:szCs w:val="20"/>
          <w:color w:val="auto"/>
        </w:rPr>
      </w:pPr>
      <w:r>
        <w:rPr>
          <w:rFonts w:ascii="Times New Roman" w:cs="Times New Roman" w:eastAsia="Times New Roman" w:hAnsi="Times New Roman"/>
          <w:sz w:val="16"/>
          <w:szCs w:val="16"/>
          <w:color w:val="auto"/>
        </w:rPr>
        <w:t>written certification from independent local counsel that the non-complying practice is not prohibited by home country law. A description of the significant ways in which the Company’s governance practices differ from those followed by United States domestic companies pursuant to the Company Guide is set forth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Quorum for Shareholders’ Meetings</w:t>
      </w:r>
      <w:r>
        <w:rPr>
          <w:rFonts w:ascii="Times New Roman" w:cs="Times New Roman" w:eastAsia="Times New Roman" w:hAnsi="Times New Roman"/>
          <w:sz w:val="16"/>
          <w:szCs w:val="16"/>
          <w:color w:val="auto"/>
        </w:rPr>
        <w:t>. The Company Guide requires that a listed company’s bylaws provide for a quorum of not less than 33 1/3 percent of such company’s</w:t>
      </w:r>
    </w:p>
    <w:p>
      <w:pPr>
        <w:spacing w:after="0" w:line="5"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6"/>
          <w:szCs w:val="16"/>
          <w:color w:val="auto"/>
        </w:rPr>
        <w:t>shares issued and outstanding and entitled to vote at a meeting of shareholders. The Company’s quorum requirements, as set forth in its by-laws, provide that the quorum for a shareholders’ meeting shall be two (2) individuals present in person, each of whom is either a shareholder entitled to attend and vote at such meeting or the proxyholder of such a shareholder appointed by means of a valid proxy, holding or representing by proxy not less than five percent (5%) of the total number of the issued shares of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6"/>
          <w:szCs w:val="16"/>
          <w:color w:val="auto"/>
        </w:rPr>
        <w:t xml:space="preserve">Company for the time being enjoying voting rights at such meeting unless a greater number of shareholders and/or a greater number of shares are required by the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Corporations Act </w:t>
      </w:r>
      <w:r>
        <w:rPr>
          <w:rFonts w:ascii="Times New Roman" w:cs="Times New Roman" w:eastAsia="Times New Roman" w:hAnsi="Times New Roman"/>
          <w:sz w:val="16"/>
          <w:szCs w:val="16"/>
          <w:color w:val="auto"/>
        </w:rPr>
        <w:t>(Ontario) or by the articles or the by-laws).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Board Composition</w:t>
      </w:r>
      <w:r>
        <w:rPr>
          <w:rFonts w:ascii="Times New Roman" w:cs="Times New Roman" w:eastAsia="Times New Roman" w:hAnsi="Times New Roman"/>
          <w:sz w:val="16"/>
          <w:szCs w:val="16"/>
          <w:color w:val="auto"/>
        </w:rPr>
        <w:t>. The Company Guide requires that a listed company have a board of directors consisting of at least a majority of members who satisfy applicable</w:t>
      </w:r>
    </w:p>
    <w:p>
      <w:pPr>
        <w:spacing w:after="0" w:line="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6"/>
          <w:szCs w:val="16"/>
          <w:color w:val="auto"/>
        </w:rPr>
        <w:t>independence standards under the Company Guide. The Company’s Board is currently composed of 6 members, 4 of whom qualify as independent under applicable independence standards under the Company Guide.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Governance and Nominating Committee.</w:t>
      </w:r>
      <w:r>
        <w:rPr>
          <w:rFonts w:ascii="Times New Roman" w:cs="Times New Roman" w:eastAsia="Times New Roman" w:hAnsi="Times New Roman"/>
          <w:sz w:val="16"/>
          <w:szCs w:val="16"/>
          <w:color w:val="auto"/>
        </w:rPr>
        <w:t xml:space="preserve"> The Company Guide requires board of director nominees to be selected or recommended by either a Nominating Committee</w:t>
      </w:r>
    </w:p>
    <w:p>
      <w:pPr>
        <w:spacing w:after="0" w:line="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6"/>
          <w:szCs w:val="16"/>
          <w:color w:val="auto"/>
        </w:rPr>
        <w:t>comprised solely of independent directors or by a majority of such company’s independent directors. The Company’s Governance and Nominating Committee is currently composed of 4 members, 3 of whom qualify as independent under applicable independence standards under the Company Guide.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Compensation Committee.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white"/>
        </w:rPr>
        <w:t>The Company Guide requires the compensation of a listed company’s chief executive officer to be determined or recommended to the board of</w:t>
      </w:r>
    </w:p>
    <w:p>
      <w:pPr>
        <w:spacing w:after="0" w:line="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6"/>
          <w:szCs w:val="16"/>
          <w:color w:val="auto"/>
          <w:highlight w:val="white"/>
        </w:rPr>
        <w:t>directors for determination, either by a Compensation Committee comprised of independent directors o</w:t>
      </w:r>
      <w:r>
        <w:rPr>
          <w:rFonts w:ascii="Times New Roman" w:cs="Times New Roman" w:eastAsia="Times New Roman" w:hAnsi="Times New Roman"/>
          <w:sz w:val="16"/>
          <w:szCs w:val="16"/>
          <w:color w:val="auto"/>
        </w:rPr>
        <w:t>r by a majority of such company’s independent directors. The</w:t>
      </w:r>
      <w:r>
        <w:rPr>
          <w:rFonts w:ascii="Times New Roman" w:cs="Times New Roman" w:eastAsia="Times New Roman" w:hAnsi="Times New Roman"/>
          <w:sz w:val="16"/>
          <w:szCs w:val="16"/>
          <w:color w:val="auto"/>
          <w:highlight w:val="white"/>
        </w:rPr>
        <w:t xml:space="preserve"> </w:t>
      </w:r>
      <w:r>
        <w:rPr>
          <w:rFonts w:ascii="Times New Roman" w:cs="Times New Roman" w:eastAsia="Times New Roman" w:hAnsi="Times New Roman"/>
          <w:sz w:val="16"/>
          <w:szCs w:val="16"/>
          <w:color w:val="auto"/>
        </w:rPr>
        <w:t xml:space="preserve">Company’s Compensation Committee consists of 3 directors, of which 2 are independent </w:t>
      </w:r>
      <w:r>
        <w:rPr>
          <w:rFonts w:ascii="Times New Roman" w:cs="Times New Roman" w:eastAsia="Times New Roman" w:hAnsi="Times New Roman"/>
          <w:sz w:val="16"/>
          <w:szCs w:val="16"/>
          <w:color w:val="auto"/>
          <w:highlight w:val="white"/>
        </w:rPr>
        <w:t>under applicable independence standards under the Company Guide.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Shareholder Approval Requirements.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white"/>
        </w:rPr>
        <w:t>The Company Guide requires a listed company to obtain the approval of its shareholders for certain types of securities issuances,</w:t>
      </w:r>
    </w:p>
    <w:p>
      <w:pPr>
        <w:spacing w:after="0" w:line="5"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6"/>
          <w:szCs w:val="16"/>
          <w:color w:val="auto"/>
          <w:highlight w:val="white"/>
        </w:rPr>
        <w:t xml:space="preserve">including private placements that may result in the issuance of common shares (or securities convertible into common shares) equal to 20 percent or more of presently </w:t>
      </w:r>
      <w:r>
        <w:rPr>
          <w:rFonts w:ascii="Times New Roman" w:cs="Times New Roman" w:eastAsia="Times New Roman" w:hAnsi="Times New Roman"/>
          <w:sz w:val="16"/>
          <w:szCs w:val="16"/>
          <w:color w:val="auto"/>
        </w:rPr>
        <w:t>outstanding shares for less than the greater of book or market value of the shares. The Company may seek a waiver from NYSE American’s shareholder approval requirements in circumstances where the securities issuance would not trigger such a requirement under Ontario law or under the rules of the Neo Exchange Inc.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-208915</wp:posOffset>
            </wp:positionV>
            <wp:extent cx="7145655" cy="217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655" cy="2171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highlight w:val="white"/>
        </w:rPr>
        <w:t>“</w:t>
      </w:r>
      <w:r>
        <w:rPr>
          <w:rFonts w:ascii="Times New Roman" w:cs="Times New Roman" w:eastAsia="Times New Roman" w:hAnsi="Times New Roman"/>
          <w:sz w:val="16"/>
          <w:szCs w:val="16"/>
          <w:b w:val="1"/>
          <w:bCs w:val="1"/>
          <w:color w:val="auto"/>
          <w:highlight w:val="white"/>
        </w:rPr>
        <w:t>NEO</w:t>
      </w:r>
      <w:r>
        <w:rPr>
          <w:rFonts w:ascii="Times New Roman" w:cs="Times New Roman" w:eastAsia="Times New Roman" w:hAnsi="Times New Roman"/>
          <w:sz w:val="16"/>
          <w:szCs w:val="16"/>
          <w:color w:val="auto"/>
          <w:highlight w:val="white"/>
        </w:rPr>
        <w:t>”), on which the Company’s common shares are also listed.</w:t>
      </w:r>
    </w:p>
    <w:p>
      <w:pPr>
        <w:spacing w:after="0" w:line="17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 xml:space="preserve">Proxy Delivery. The Company Guide requires the solicitation of proxies and delivery of proxy statements for all shareholder meetings of a listed company, and requires that </w:t>
      </w:r>
      <w:r>
        <w:rPr>
          <w:rFonts w:ascii="Times New Roman" w:cs="Times New Roman" w:eastAsia="Times New Roman" w:hAnsi="Times New Roman"/>
          <w:sz w:val="16"/>
          <w:szCs w:val="16"/>
          <w:color w:val="auto"/>
          <w:highlight w:val="white"/>
        </w:rPr>
        <w:t>these proxies be solicited pursuant to a proxy statement that conforms to SEC proxy rules. The Company is a “foreign private issuer” under Rule 3b-4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-208915</wp:posOffset>
            </wp:positionV>
            <wp:extent cx="6485890" cy="116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5890" cy="1162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highlight w:val="white"/>
        </w:rPr>
        <w:t>and the equity securities of the Company are accordingly exempt from the proxy rules set forth in Sections 14(a),</w:t>
      </w:r>
    </w:p>
    <w:p>
      <w:pPr>
        <w:sectPr>
          <w:pgSz w:w="11900" w:h="16838" w:orient="portrait"/>
          <w:cols w:equalWidth="0" w:num="1">
            <w:col w:w="11240"/>
          </w:cols>
          <w:pgMar w:left="320" w:top="12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auto"/>
        </w:rPr>
        <w:t>14(b), 14(c) and 14(f) of the Exchange Act. The Company solicits proxies in accordance with applicable rules and regulations in Canada.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is consistent with the laws, customs and practices in Canada and the rules of the NEO. In addition, the Company may from time-to-time seek relief from the</w:t>
      </w:r>
    </w:p>
    <w:p>
      <w:pPr>
        <w:spacing w:after="0" w:line="5"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6"/>
          <w:szCs w:val="16"/>
          <w:color w:val="auto"/>
        </w:rPr>
        <w:t>NYSE American corporate governance requirements on specific transactions under Section 110 of the Company Guide by providing written certification from independent local counsel that the non-complying practice is not prohibited by its home country law, in which case, the Company shall make the disclosure of such transactions available on its website at www.cybin.com. Information contained on, or accessible through, our website is not part of this Annual Report.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MINE SAFETY DISCLOSURE</w:t>
      </w: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DISCLOSURE REGARDING FOREIGN JURISDICTIONS THAT PREVENT INSPECTIONS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UNDERTAKING</w:t>
      </w:r>
    </w:p>
    <w:p>
      <w:pPr>
        <w:spacing w:after="0" w:line="62"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6"/>
          <w:szCs w:val="16"/>
          <w:color w:val="auto"/>
        </w:rPr>
        <w:t>The Company undertakes to make available, in person or by telephone, representatives to respond to inquiries made by the SEC staff, and to furnish promptly, when requested to do so by the SEC staff, information relating to: the securities registered pursuant to Form 40-F; the securities in relation to which the obligation to file an annual report on Form 40-F arises; or transactions in said securities.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TO SERVICE OF PROCESS</w:t>
      </w:r>
    </w:p>
    <w:p>
      <w:pPr>
        <w:spacing w:after="0" w:line="6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6"/>
          <w:szCs w:val="16"/>
          <w:color w:val="auto"/>
        </w:rPr>
        <w:t>The Registrant previously filed with the SEC a written consent to service of process on Form F-X. Any change to the name or address of the Registrant’s agent for service shall be communicated promptly to the SEC by amendment to the Form F-X referencing the file number of the Registrant.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6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6"/>
          <w:szCs w:val="16"/>
          <w:color w:val="auto"/>
        </w:rPr>
        <w:t>Pursuant to the requirements of the Exchange Act, the Registrant certifies that it meets all of the requirements for filing on Form 40-F and has duly caused this Annual Report to be signed on its behalf by the undersigned, thereunto duly authorized.</w:t>
      </w:r>
    </w:p>
    <w:p>
      <w:pPr>
        <w:spacing w:after="0" w:line="91"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56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Cybin Inc.</w:t>
            </w:r>
          </w:p>
        </w:tc>
        <w:tc>
          <w:tcPr>
            <w:tcW w:w="0" w:type="dxa"/>
            <w:vAlign w:val="bottom"/>
          </w:tcPr>
          <w:p>
            <w:pPr>
              <w:spacing w:after="0"/>
              <w:rPr>
                <w:sz w:val="1"/>
                <w:szCs w:val="1"/>
                <w:color w:val="auto"/>
              </w:rPr>
            </w:pPr>
          </w:p>
        </w:tc>
      </w:tr>
      <w:tr>
        <w:trPr>
          <w:trHeight w:val="770"/>
        </w:trPr>
        <w:tc>
          <w:tcPr>
            <w:tcW w:w="5680" w:type="dxa"/>
            <w:vAlign w:val="bottom"/>
          </w:tcPr>
          <w:p>
            <w:pPr>
              <w:ind w:left="5120"/>
              <w:spacing w:after="0"/>
              <w:rPr>
                <w:sz w:val="20"/>
                <w:szCs w:val="20"/>
                <w:color w:val="auto"/>
              </w:rPr>
            </w:pPr>
            <w:r>
              <w:rPr>
                <w:rFonts w:ascii="Times New Roman" w:cs="Times New Roman" w:eastAsia="Times New Roman" w:hAnsi="Times New Roman"/>
                <w:sz w:val="16"/>
                <w:szCs w:val="16"/>
                <w:color w:val="auto"/>
              </w:rPr>
              <w:t>By:</w:t>
            </w:r>
          </w:p>
        </w:tc>
        <w:tc>
          <w:tcPr>
            <w:tcW w:w="5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/s/ Greg Cavers</w:t>
            </w:r>
          </w:p>
        </w:tc>
        <w:tc>
          <w:tcPr>
            <w:tcW w:w="0" w:type="dxa"/>
            <w:vAlign w:val="bottom"/>
          </w:tcPr>
          <w:p>
            <w:pPr>
              <w:spacing w:after="0"/>
              <w:rPr>
                <w:sz w:val="1"/>
                <w:szCs w:val="1"/>
                <w:color w:val="auto"/>
              </w:rPr>
            </w:pPr>
          </w:p>
        </w:tc>
      </w:tr>
      <w:tr>
        <w:trPr>
          <w:trHeight w:val="38"/>
        </w:trPr>
        <w:tc>
          <w:tcPr>
            <w:tcW w:w="5680" w:type="dxa"/>
            <w:vAlign w:val="bottom"/>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Name: Greg Cavers</w:t>
            </w:r>
          </w:p>
        </w:tc>
        <w:tc>
          <w:tcPr>
            <w:tcW w:w="0" w:type="dxa"/>
            <w:vAlign w:val="bottom"/>
          </w:tcPr>
          <w:p>
            <w:pPr>
              <w:spacing w:after="0"/>
              <w:rPr>
                <w:sz w:val="1"/>
                <w:szCs w:val="1"/>
                <w:color w:val="auto"/>
              </w:rPr>
            </w:pPr>
          </w:p>
        </w:tc>
      </w:tr>
      <w:tr>
        <w:trPr>
          <w:trHeight w:val="257"/>
        </w:trPr>
        <w:tc>
          <w:tcPr>
            <w:tcW w:w="5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 June 22, 2022</w:t>
            </w:r>
          </w:p>
        </w:tc>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Chief Financial Officer</w:t>
            </w:r>
          </w:p>
        </w:tc>
        <w:tc>
          <w:tcPr>
            <w:tcW w:w="0" w:type="dxa"/>
            <w:vAlign w:val="bottom"/>
          </w:tcPr>
          <w:p>
            <w:pPr>
              <w:spacing w:after="0"/>
              <w:rPr>
                <w:sz w:val="1"/>
                <w:szCs w:val="1"/>
                <w:color w:val="auto"/>
              </w:rPr>
            </w:pPr>
          </w:p>
        </w:tc>
      </w:tr>
      <w:tr>
        <w:trPr>
          <w:trHeight w:val="86"/>
        </w:trPr>
        <w:tc>
          <w:tcPr>
            <w:tcW w:w="5680" w:type="dxa"/>
            <w:vAlign w:val="bottom"/>
            <w:vMerge w:val="continue"/>
          </w:tcPr>
          <w:p>
            <w:pPr>
              <w:spacing w:after="0"/>
              <w:rPr>
                <w:sz w:val="7"/>
                <w:szCs w:val="7"/>
                <w:color w:val="auto"/>
              </w:rPr>
            </w:pPr>
          </w:p>
        </w:tc>
        <w:tc>
          <w:tcPr>
            <w:tcW w:w="5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84" w:right="31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900" w:type="dxa"/>
            <w:vAlign w:val="bottom"/>
            <w:gridSpan w:val="8"/>
          </w:tcPr>
          <w:p>
            <w:pPr>
              <w:ind w:left="2560"/>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0" w:type="dxa"/>
            <w:vAlign w:val="bottom"/>
          </w:tcPr>
          <w:p>
            <w:pPr>
              <w:spacing w:after="0"/>
              <w:rPr>
                <w:sz w:val="1"/>
                <w:szCs w:val="1"/>
                <w:color w:val="auto"/>
              </w:rPr>
            </w:pPr>
          </w:p>
        </w:tc>
      </w:tr>
      <w:tr>
        <w:trPr>
          <w:trHeight w:val="354"/>
        </w:trPr>
        <w:tc>
          <w:tcPr>
            <w:tcW w:w="103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The following documents are being filed with the SEC as Exhibits to this Annual Report:</w:t>
            </w: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64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0" w:type="dxa"/>
            <w:vAlign w:val="bottom"/>
          </w:tcPr>
          <w:p>
            <w:pPr>
              <w:spacing w:after="0"/>
              <w:rPr>
                <w:sz w:val="22"/>
                <w:szCs w:val="22"/>
                <w:color w:val="auto"/>
              </w:rPr>
            </w:pPr>
          </w:p>
        </w:tc>
        <w:tc>
          <w:tcPr>
            <w:tcW w:w="5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99.1</w:t>
            </w:r>
          </w:p>
        </w:tc>
        <w:tc>
          <w:tcPr>
            <w:tcW w:w="1120" w:type="dxa"/>
            <w:vAlign w:val="bottom"/>
          </w:tcPr>
          <w:p>
            <w:pPr>
              <w:spacing w:after="0"/>
              <w:rPr>
                <w:sz w:val="22"/>
                <w:szCs w:val="22"/>
                <w:color w:val="auto"/>
              </w:rPr>
            </w:pPr>
          </w:p>
        </w:tc>
        <w:tc>
          <w:tcPr>
            <w:tcW w:w="4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Annual Information Form for the fiscal year ended March 31, 2022</w:t>
            </w:r>
          </w:p>
        </w:tc>
        <w:tc>
          <w:tcPr>
            <w:tcW w:w="42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color w:val="auto"/>
              </w:rPr>
              <w:t>99.2</w:t>
            </w:r>
          </w:p>
        </w:tc>
        <w:tc>
          <w:tcPr>
            <w:tcW w:w="112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Audited Annual Consolidated Financial Statements for the fiscal years ended March 31, 2022 and March 31, 2021</w:t>
            </w:r>
          </w:p>
        </w:tc>
        <w:tc>
          <w:tcPr>
            <w:tcW w:w="0" w:type="dxa"/>
            <w:vAlign w:val="bottom"/>
          </w:tcPr>
          <w:p>
            <w:pPr>
              <w:spacing w:after="0"/>
              <w:rPr>
                <w:sz w:val="1"/>
                <w:szCs w:val="1"/>
                <w:color w:val="auto"/>
              </w:rPr>
            </w:pPr>
          </w:p>
        </w:tc>
      </w:tr>
      <w:tr>
        <w:trPr>
          <w:trHeight w:val="20"/>
        </w:trPr>
        <w:tc>
          <w:tcPr>
            <w:tcW w:w="58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99.3</w:t>
            </w:r>
          </w:p>
        </w:tc>
        <w:tc>
          <w:tcPr>
            <w:tcW w:w="112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8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Operating Performance for the fiscal year ended March 31, 2022</w:t>
            </w:r>
          </w:p>
        </w:tc>
        <w:tc>
          <w:tcPr>
            <w:tcW w:w="0" w:type="dxa"/>
            <w:vAlign w:val="bottom"/>
          </w:tcPr>
          <w:p>
            <w:pPr>
              <w:spacing w:after="0"/>
              <w:rPr>
                <w:sz w:val="1"/>
                <w:szCs w:val="1"/>
                <w:color w:val="auto"/>
              </w:rPr>
            </w:pPr>
          </w:p>
        </w:tc>
      </w:tr>
      <w:tr>
        <w:trPr>
          <w:trHeight w:val="249"/>
        </w:trPr>
        <w:tc>
          <w:tcPr>
            <w:tcW w:w="5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color w:val="auto"/>
              </w:rPr>
              <w:t>99.4</w:t>
            </w:r>
          </w:p>
        </w:tc>
        <w:tc>
          <w:tcPr>
            <w:tcW w:w="1120" w:type="dxa"/>
            <w:vAlign w:val="bottom"/>
          </w:tcPr>
          <w:p>
            <w:pPr>
              <w:spacing w:after="0"/>
              <w:rPr>
                <w:sz w:val="21"/>
                <w:szCs w:val="21"/>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or 15d-14 of the Securities Exchange Act of 1934, as amended</w:t>
            </w:r>
          </w:p>
        </w:tc>
        <w:tc>
          <w:tcPr>
            <w:tcW w:w="0" w:type="dxa"/>
            <w:vAlign w:val="bottom"/>
          </w:tcPr>
          <w:p>
            <w:pPr>
              <w:spacing w:after="0"/>
              <w:rPr>
                <w:sz w:val="1"/>
                <w:szCs w:val="1"/>
                <w:color w:val="auto"/>
              </w:rPr>
            </w:pPr>
          </w:p>
        </w:tc>
      </w:tr>
      <w:tr>
        <w:trPr>
          <w:trHeight w:val="285"/>
        </w:trPr>
        <w:tc>
          <w:tcPr>
            <w:tcW w:w="5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color w:val="auto"/>
              </w:rPr>
              <w:t>99.5</w:t>
            </w:r>
          </w:p>
        </w:tc>
        <w:tc>
          <w:tcPr>
            <w:tcW w:w="1120" w:type="dxa"/>
            <w:vAlign w:val="bottom"/>
          </w:tcPr>
          <w:p>
            <w:pPr>
              <w:spacing w:after="0"/>
              <w:rPr>
                <w:sz w:val="24"/>
                <w:szCs w:val="24"/>
                <w:color w:val="auto"/>
              </w:rPr>
            </w:pPr>
          </w:p>
        </w:tc>
        <w:tc>
          <w:tcPr>
            <w:tcW w:w="85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or 15d-14 of the Securities Exchange Act of 1934, as amended</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color w:val="auto"/>
              </w:rPr>
              <w:t>99.6</w:t>
            </w:r>
          </w:p>
        </w:tc>
        <w:tc>
          <w:tcPr>
            <w:tcW w:w="1120" w:type="dxa"/>
            <w:vAlign w:val="bottom"/>
          </w:tcPr>
          <w:p>
            <w:pPr>
              <w:spacing w:after="0"/>
              <w:rPr>
                <w:sz w:val="24"/>
                <w:szCs w:val="24"/>
                <w:color w:val="auto"/>
              </w:rPr>
            </w:pPr>
          </w:p>
        </w:tc>
        <w:tc>
          <w:tcPr>
            <w:tcW w:w="65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Section 906 of the Sarbanes-Oxley Act of 2002</w:t>
            </w:r>
          </w:p>
        </w:tc>
        <w:tc>
          <w:tcPr>
            <w:tcW w:w="1960" w:type="dxa"/>
            <w:vAlign w:val="bottom"/>
            <w:tcBorders>
              <w:top w:val="single" w:sz="8" w:color="0000FF"/>
            </w:tcBorders>
            <w:gridSpan w:val="2"/>
          </w:tcPr>
          <w:p>
            <w:pPr>
              <w:spacing w:after="0"/>
              <w:rPr>
                <w:sz w:val="24"/>
                <w:szCs w:val="24"/>
                <w:color w:val="auto"/>
              </w:rPr>
            </w:pPr>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color w:val="auto"/>
              </w:rPr>
              <w:t>99.7</w:t>
            </w:r>
          </w:p>
        </w:tc>
        <w:tc>
          <w:tcPr>
            <w:tcW w:w="112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334"/>
        </w:trPr>
        <w:tc>
          <w:tcPr>
            <w:tcW w:w="5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color w:val="auto"/>
              </w:rPr>
              <w:t>99.8</w:t>
            </w:r>
          </w:p>
        </w:tc>
        <w:tc>
          <w:tcPr>
            <w:tcW w:w="1120" w:type="dxa"/>
            <w:vAlign w:val="bottom"/>
          </w:tcPr>
          <w:p>
            <w:pPr>
              <w:spacing w:after="0"/>
              <w:rPr>
                <w:sz w:val="24"/>
                <w:szCs w:val="24"/>
                <w:color w:val="auto"/>
              </w:rPr>
            </w:pPr>
          </w:p>
        </w:tc>
        <w:tc>
          <w:tcPr>
            <w:tcW w:w="64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Consent of Zeifmans LLP and Laurence W. Zeifman</w:t>
            </w:r>
          </w:p>
        </w:tc>
        <w:tc>
          <w:tcPr>
            <w:tcW w:w="2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7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101.INS*</w:t>
            </w:r>
          </w:p>
        </w:tc>
        <w:tc>
          <w:tcPr>
            <w:tcW w:w="34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auto"/>
              </w:rPr>
              <w:t>XBRL Instance</w:t>
            </w:r>
          </w:p>
        </w:tc>
        <w:tc>
          <w:tcPr>
            <w:tcW w:w="5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86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XBRL Taxonomy Extension Schema</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w:t>
            </w:r>
          </w:p>
        </w:tc>
        <w:tc>
          <w:tcPr>
            <w:tcW w:w="86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w:t>
            </w:r>
          </w:p>
        </w:tc>
        <w:tc>
          <w:tcPr>
            <w:tcW w:w="86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w:t>
            </w:r>
          </w:p>
        </w:tc>
        <w:tc>
          <w:tcPr>
            <w:tcW w:w="86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XBRL Taxonomy Extension Label Linkbase</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w:t>
            </w:r>
          </w:p>
        </w:tc>
        <w:tc>
          <w:tcPr>
            <w:tcW w:w="86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c>
          <w:tcPr>
            <w:tcW w:w="0" w:type="dxa"/>
            <w:vAlign w:val="bottom"/>
          </w:tcPr>
          <w:p>
            <w:pPr>
              <w:spacing w:after="0"/>
              <w:rPr>
                <w:sz w:val="1"/>
                <w:szCs w:val="1"/>
                <w:color w:val="auto"/>
              </w:rPr>
            </w:pPr>
          </w:p>
        </w:tc>
      </w:tr>
      <w:tr>
        <w:trPr>
          <w:trHeight w:val="257"/>
        </w:trPr>
        <w:tc>
          <w:tcPr>
            <w:tcW w:w="5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color w:val="auto"/>
              </w:rPr>
              <w:t>104*</w:t>
            </w:r>
          </w:p>
        </w:tc>
        <w:tc>
          <w:tcPr>
            <w:tcW w:w="1120" w:type="dxa"/>
            <w:vAlign w:val="bottom"/>
          </w:tcPr>
          <w:p>
            <w:pPr>
              <w:spacing w:after="0"/>
              <w:rPr>
                <w:sz w:val="22"/>
                <w:szCs w:val="22"/>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To be filed by amendment.</w:t>
      </w:r>
    </w:p>
    <w:p>
      <w:pPr>
        <w:sectPr>
          <w:pgSz w:w="11900" w:h="16838" w:orient="portrait"/>
          <w:cols w:equalWidth="0" w:num="1">
            <w:col w:w="10340"/>
          </w:cols>
          <w:pgMar w:left="320" w:top="1282" w:right="1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3165475</wp:posOffset>
            </wp:positionH>
            <wp:positionV relativeFrom="page">
              <wp:posOffset>4573270</wp:posOffset>
            </wp:positionV>
            <wp:extent cx="1070610" cy="636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70610"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INFORMATION FORM</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YEAR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20, 2022</w:t>
      </w:r>
    </w:p>
    <w:p>
      <w:pPr>
        <w:sectPr>
          <w:pgSz w:w="11900" w:h="16838" w:orient="portrait"/>
          <w:cols w:equalWidth="0" w:num="1">
            <w:col w:w="9019"/>
          </w:cols>
          <w:pgMar w:left="1440" w:top="1440"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5"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GENERAL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MARKET AND INDUSTRY DATA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REGULATORY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GLOSSARY OF TERMS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CORPORATE STRUCTURE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THE BUSINESS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RISKS RELATED TO THE COMPANY’S BUSINESS AND INDUSTRY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2"/>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AND ACCOUNTING RISKS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2"/>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RISKS RELATED TO THE COMMON SHARES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DIVIDEND AND DISTRIBUTIONS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CAPITAL STRUCTURE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MARKET FOR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2"/>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ESCROWED SECURITIES AND SECURITIES SUBJECT TO CONTRACTUAL RESTRICTION ON TRANSFER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DIRECTORS AND EXECUTIVE OFFICERS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CEASE TRADE ORDERS, BANKRUPTCIES, PENALTIES OR SANCTIONS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CONFLICTS OF INTEREST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LEGAL PROCEEDINGS AND REGULATORY ACTIONS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INTEREST OF MANAGEMENT AND OTHERS IN MATERIAL TRANSACTIONS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AUDITOR, TRANSFER AGENT AND REGISTRAR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INTERESTS OF EXPERTS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COMPLIANCE PROGRAM</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INSIDER TRADING POLICY AND CODE OF ETHICS AND BUSINESS CONDUCT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2"/>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INFORMATION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EXHIBIT “A” AUDIT COMMITTEE CHARTER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100"/>
          </w:cols>
          <w:pgMar w:left="380" w:top="104" w:right="4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this annual information form (this “</w:t>
      </w:r>
      <w:r>
        <w:rPr>
          <w:rFonts w:ascii="Times New Roman" w:cs="Times New Roman" w:eastAsia="Times New Roman" w:hAnsi="Times New Roman"/>
          <w:sz w:val="18"/>
          <w:szCs w:val="18"/>
          <w:b w:val="1"/>
          <w:bCs w:val="1"/>
          <w:color w:val="auto"/>
        </w:rPr>
        <w:t>AIF</w:t>
      </w:r>
      <w:r>
        <w:rPr>
          <w:rFonts w:ascii="Times New Roman" w:cs="Times New Roman" w:eastAsia="Times New Roman" w:hAnsi="Times New Roman"/>
          <w:sz w:val="18"/>
          <w:szCs w:val="18"/>
          <w:color w:val="auto"/>
        </w:rPr>
        <w:t>”) unless otherwise noted or the context indicates otherwise, references 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refer to Cybin Inc. and its subsidiaries.</w:t>
      </w:r>
    </w:p>
    <w:p>
      <w:pPr>
        <w:spacing w:after="0" w:line="12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All financial information in this AIF is prepared in Canadian dollars and using International Financial Reporting Standards as issued by the International Accounting Standards Board. Unless otherwise noted herein, this AIF applies to the business activities and operations of the Company for the year ended March 31, 2022, as updated to June 20, 2022, unless otherwise indicated.</w:t>
      </w:r>
    </w:p>
    <w:p>
      <w:pPr>
        <w:spacing w:after="0" w:line="1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All dollar amounts in this AIF are expressed in Canadian dollars, except as otherwise indicated. References to US$ or “U.S. dollars” are to United States dollars.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This AIF, and certain documents incorporated by reference in this AIF, contain forward-looking information and forward-looking statements within the meaning of Canadian securities legislation (“</w:t>
      </w:r>
      <w:r>
        <w:rPr>
          <w:rFonts w:ascii="Times New Roman" w:cs="Times New Roman" w:eastAsia="Times New Roman" w:hAnsi="Times New Roman"/>
          <w:sz w:val="17"/>
          <w:szCs w:val="17"/>
          <w:b w:val="1"/>
          <w:bCs w:val="1"/>
          <w:color w:val="auto"/>
        </w:rPr>
        <w:t>forward-looking statements</w:t>
      </w:r>
      <w:r>
        <w:rPr>
          <w:rFonts w:ascii="Times New Roman" w:cs="Times New Roman" w:eastAsia="Times New Roman" w:hAnsi="Times New Roman"/>
          <w:sz w:val="17"/>
          <w:szCs w:val="17"/>
          <w:color w:val="auto"/>
        </w:rPr>
        <w:t>”). All statements other than statements of historical fact contained in this AIF and</w:t>
      </w:r>
    </w:p>
    <w:p>
      <w:pPr>
        <w:jc w:val="both"/>
        <w:spacing w:after="0" w:line="205" w:lineRule="auto"/>
        <w:rPr>
          <w:sz w:val="20"/>
          <w:szCs w:val="20"/>
          <w:color w:val="auto"/>
        </w:rPr>
      </w:pPr>
      <w:r>
        <w:rPr>
          <w:rFonts w:ascii="Times New Roman" w:cs="Times New Roman" w:eastAsia="Times New Roman" w:hAnsi="Times New Roman"/>
          <w:sz w:val="18"/>
          <w:szCs w:val="18"/>
          <w:color w:val="auto"/>
        </w:rPr>
        <w:t>in documents incorporated by reference in this AIF, including, without limitation, those regarding the future financial position and results of operations, strategy, plans, objectives, goals, targets and future developments of the Company in the markets where the Company participates or is seeking to</w:t>
      </w:r>
    </w:p>
    <w:p>
      <w:pPr>
        <w:spacing w:after="0" w:line="213" w:lineRule="auto"/>
        <w:rPr>
          <w:sz w:val="20"/>
          <w:szCs w:val="20"/>
          <w:color w:val="auto"/>
        </w:rPr>
      </w:pPr>
      <w:r>
        <w:rPr>
          <w:rFonts w:ascii="Times New Roman" w:cs="Times New Roman" w:eastAsia="Times New Roman" w:hAnsi="Times New Roman"/>
          <w:sz w:val="18"/>
          <w:szCs w:val="18"/>
          <w:color w:val="auto"/>
        </w:rPr>
        <w:t>participate, and any statements preceded by, followed by or that include the words “considers”, “plans”, “expects” or “does not expect”, “is expected”,</w:t>
      </w:r>
    </w:p>
    <w:p>
      <w:pPr>
        <w:jc w:val="both"/>
        <w:spacing w:after="0" w:line="205" w:lineRule="auto"/>
        <w:rPr>
          <w:sz w:val="20"/>
          <w:szCs w:val="20"/>
          <w:color w:val="auto"/>
        </w:rPr>
      </w:pPr>
      <w:r>
        <w:rPr>
          <w:rFonts w:ascii="Times New Roman" w:cs="Times New Roman" w:eastAsia="Times New Roman" w:hAnsi="Times New Roman"/>
          <w:sz w:val="18"/>
          <w:szCs w:val="18"/>
          <w:color w:val="auto"/>
        </w:rPr>
        <w:t>“budget”, “scheduled”, “estimates”, “forecasts”, “intends”, “anticipates” or “does not anticipate”, or “believes”, or variations of such words and phrases or statements that certain actions, events or results “may”, “could”, “would”, “might” or “will be taken”, “occur” or “be achieved” or the negative of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or comparable terminology, are forward-looking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and information include, without limitation, the information concerning possible or assumed future results of operations of the</w:t>
      </w:r>
    </w:p>
    <w:p>
      <w:pPr>
        <w:spacing w:after="0"/>
        <w:rPr>
          <w:sz w:val="20"/>
          <w:szCs w:val="20"/>
          <w:color w:val="auto"/>
        </w:rPr>
      </w:pPr>
      <w:r>
        <w:rPr>
          <w:rFonts w:ascii="Times New Roman" w:cs="Times New Roman" w:eastAsia="Times New Roman" w:hAnsi="Times New Roman"/>
          <w:sz w:val="18"/>
          <w:szCs w:val="18"/>
          <w:color w:val="auto"/>
        </w:rPr>
        <w:t>Company set out under “</w:t>
      </w:r>
      <w:r>
        <w:rPr>
          <w:rFonts w:ascii="Times New Roman" w:cs="Times New Roman" w:eastAsia="Times New Roman" w:hAnsi="Times New Roman"/>
          <w:sz w:val="18"/>
          <w:szCs w:val="18"/>
          <w:i w:val="1"/>
          <w:iCs w:val="1"/>
          <w:color w:val="auto"/>
        </w:rPr>
        <w:t>General Development of the 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the Business</w:t>
      </w:r>
      <w:r>
        <w:rPr>
          <w:rFonts w:ascii="Times New Roman" w:cs="Times New Roman" w:eastAsia="Times New Roman" w:hAnsi="Times New Roman"/>
          <w:sz w:val="18"/>
          <w:szCs w:val="18"/>
          <w:color w:val="auto"/>
        </w:rPr>
        <w:t>”, including statements regarding:</w:t>
      </w:r>
    </w:p>
    <w:p>
      <w:pPr>
        <w:spacing w:after="0" w:line="136" w:lineRule="exact"/>
        <w:rPr>
          <w:sz w:val="20"/>
          <w:szCs w:val="20"/>
          <w:color w:val="auto"/>
        </w:rPr>
      </w:pPr>
    </w:p>
    <w:p>
      <w:pPr>
        <w:ind w:left="1160" w:hanging="576"/>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and expectations described in the Company’s critical accounting policies and estimates;</w:t>
      </w:r>
    </w:p>
    <w:p>
      <w:pPr>
        <w:ind w:left="1160" w:hanging="576"/>
        <w:spacing w:after="0" w:line="212"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the adoption and impact of certain accounting pronouncements;</w:t>
      </w:r>
    </w:p>
    <w:p>
      <w:pPr>
        <w:ind w:left="1160" w:hanging="576"/>
        <w:spacing w:after="0" w:line="212"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the market for psilocybin products;</w:t>
      </w:r>
    </w:p>
    <w:p>
      <w:pPr>
        <w:ind w:left="1180" w:hanging="596"/>
        <w:spacing w:after="0" w:line="205" w:lineRule="auto"/>
        <w:tabs>
          <w:tab w:leader="none" w:pos="11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legislation, regulations and licensing related to the import, export, processing and sale of psilocybin products;</w:t>
      </w:r>
    </w:p>
    <w:p>
      <w:pPr>
        <w:ind w:left="1160" w:hanging="576"/>
        <w:spacing w:after="0" w:line="212"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regulatory bodies of psychedelic substances including psilocybin, for the treatment of various health conditions;</w:t>
      </w:r>
    </w:p>
    <w:p>
      <w:pPr>
        <w:ind w:left="1160" w:hanging="576"/>
        <w:spacing w:after="0" w:line="198"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industry in Canada, the United States, Ireland and the United Kingdom;</w:t>
      </w:r>
    </w:p>
    <w:p>
      <w:pPr>
        <w:ind w:left="1160" w:hanging="576"/>
        <w:spacing w:after="0" w:line="212"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enter and participate in international market opportunities;</w:t>
      </w:r>
    </w:p>
    <w:p>
      <w:pPr>
        <w:ind w:left="1160" w:hanging="576"/>
        <w:spacing w:after="0" w:line="212"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inventory through long-term supply contracts or otherwise;</w:t>
      </w:r>
    </w:p>
    <w:p>
      <w:pPr>
        <w:ind w:left="1160" w:hanging="576"/>
        <w:spacing w:after="0" w:line="198"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diversification and future corporate development;</w:t>
      </w:r>
    </w:p>
    <w:p>
      <w:pPr>
        <w:ind w:left="1160" w:hanging="576"/>
        <w:spacing w:after="0" w:line="212"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results of research and development;</w:t>
      </w:r>
    </w:p>
    <w:p>
      <w:pPr>
        <w:ind w:left="1160" w:hanging="576"/>
        <w:spacing w:after="0" w:line="212"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capacity expectations including discussions of plans or potential for expansion of capacity at existing or new facilities;</w:t>
      </w:r>
    </w:p>
    <w:p>
      <w:pPr>
        <w:ind w:left="1160" w:hanging="576"/>
        <w:spacing w:after="0" w:line="198"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future expenditures and capital activities; and</w:t>
      </w:r>
    </w:p>
    <w:p>
      <w:pPr>
        <w:ind w:left="1160" w:hanging="576"/>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about expected use of proceeds from fundraising activities.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statements are not historical facts, but instead represent only the Company’s expectations, estimates and projections regarding future events. These</w:t>
      </w:r>
    </w:p>
    <w:p>
      <w:pPr>
        <w:spacing w:after="0" w:line="205" w:lineRule="auto"/>
        <w:rPr>
          <w:sz w:val="20"/>
          <w:szCs w:val="20"/>
          <w:color w:val="auto"/>
        </w:rPr>
      </w:pPr>
      <w:r>
        <w:rPr>
          <w:rFonts w:ascii="Times New Roman" w:cs="Times New Roman" w:eastAsia="Times New Roman" w:hAnsi="Times New Roman"/>
          <w:sz w:val="18"/>
          <w:szCs w:val="18"/>
          <w:color w:val="auto"/>
        </w:rPr>
        <w:t>statements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w:t>
      </w:r>
    </w:p>
    <w:p>
      <w:pPr>
        <w:spacing w:after="0" w:line="213" w:lineRule="auto"/>
        <w:rPr>
          <w:sz w:val="20"/>
          <w:szCs w:val="20"/>
          <w:color w:val="auto"/>
        </w:rPr>
      </w:pPr>
      <w:r>
        <w:rPr>
          <w:rFonts w:ascii="Times New Roman" w:cs="Times New Roman" w:eastAsia="Times New Roman" w:hAnsi="Times New Roman"/>
          <w:sz w:val="18"/>
          <w:szCs w:val="18"/>
          <w:color w:val="auto"/>
        </w:rPr>
        <w:t>because it believes they provide useful information to readers when considering their investment objectives and cautions readers that the information may</w:t>
      </w:r>
    </w:p>
    <w:p>
      <w:pPr>
        <w:spacing w:after="0" w:line="222" w:lineRule="auto"/>
        <w:rPr>
          <w:sz w:val="20"/>
          <w:szCs w:val="20"/>
          <w:color w:val="auto"/>
        </w:rPr>
      </w:pPr>
      <w:r>
        <w:rPr>
          <w:rFonts w:ascii="Times New Roman" w:cs="Times New Roman" w:eastAsia="Times New Roman" w:hAnsi="Times New Roman"/>
          <w:sz w:val="18"/>
          <w:szCs w:val="18"/>
          <w:color w:val="auto"/>
        </w:rPr>
        <w:t>not be appropriate for other purposes. Consequently, all of the forward-looking statements made in this AIF and in documents incorporated by reference in this AIF are qualified by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34" w:right="339" w:bottom="1440" w:gutter="0" w:footer="0" w:header="0"/>
        </w:sectPr>
      </w:pPr>
    </w:p>
    <w:bookmarkStart w:id="10" w:name="page11"/>
    <w:bookmarkEnd w:id="10"/>
    <w:p>
      <w:pPr>
        <w:spacing w:after="0" w:line="237" w:lineRule="auto"/>
        <w:rPr>
          <w:sz w:val="20"/>
          <w:szCs w:val="20"/>
          <w:color w:val="auto"/>
        </w:rPr>
      </w:pPr>
      <w:r>
        <w:rPr>
          <w:rFonts w:ascii="Times New Roman" w:cs="Times New Roman" w:eastAsia="Times New Roman" w:hAnsi="Times New Roman"/>
          <w:sz w:val="17"/>
          <w:szCs w:val="17"/>
          <w:color w:val="auto"/>
        </w:rPr>
        <w:t>cautionary statements and other cautionary statements or factors contained herein, and there can be no assurance that the actual results or developments will be realized or, even if substantially realized, that they will have the expected consequences to, or effects on, the Company. These forward-looking statements</w:t>
      </w:r>
    </w:p>
    <w:p>
      <w:pPr>
        <w:ind w:right="20"/>
        <w:spacing w:after="0" w:line="222" w:lineRule="auto"/>
        <w:rPr>
          <w:sz w:val="20"/>
          <w:szCs w:val="20"/>
          <w:color w:val="auto"/>
        </w:rPr>
      </w:pPr>
      <w:r>
        <w:rPr>
          <w:rFonts w:ascii="Times New Roman" w:cs="Times New Roman" w:eastAsia="Times New Roman" w:hAnsi="Times New Roman"/>
          <w:sz w:val="18"/>
          <w:szCs w:val="18"/>
          <w:color w:val="auto"/>
        </w:rPr>
        <w:t>are made as of the date of this AIF and the Company assumes no obligation to update or revise them to reflect subsequent information, events or circumstances or otherwise, except as required by law.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forward-looking statements in this AIF and in documents incorporated by reference in this AIF are based on numerous assumptions regarding the</w:t>
      </w:r>
    </w:p>
    <w:p>
      <w:pPr>
        <w:ind w:right="20"/>
        <w:spacing w:after="0" w:line="205" w:lineRule="auto"/>
        <w:rPr>
          <w:sz w:val="20"/>
          <w:szCs w:val="20"/>
          <w:color w:val="auto"/>
        </w:rPr>
      </w:pPr>
      <w:r>
        <w:rPr>
          <w:rFonts w:ascii="Times New Roman" w:cs="Times New Roman" w:eastAsia="Times New Roman" w:hAnsi="Times New Roman"/>
          <w:sz w:val="18"/>
          <w:szCs w:val="18"/>
          <w:color w:val="auto"/>
        </w:rPr>
        <w:t>Company’s present and future business strategies and the environment in which the Company will operate in the future, including assumptions regarding business and operating strategies, and the Company’s ability to operate on a profitable basis. The Company does not undertake any obligation to update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any revisions to these forward-looking statements to reflect events or circumstances after the date of this report, except as may be required by law.</w:t>
      </w:r>
    </w:p>
    <w:p>
      <w:pPr>
        <w:spacing w:after="0" w:line="15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Some of the risks which could affect future results and could cause results to differ materially from those expressed in the forward-looking statements contained herein include: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the Company’s Business and Industry:</w:t>
      </w:r>
    </w:p>
    <w:p>
      <w:pPr>
        <w:ind w:left="1160" w:hanging="576"/>
        <w:spacing w:after="0" w:line="19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coronavirus “COVID-19”;</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publicly announced milestones;</w:t>
      </w:r>
    </w:p>
    <w:p>
      <w:pPr>
        <w:ind w:left="1160" w:hanging="576"/>
        <w:spacing w:after="0" w:line="19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nature of investment risk;</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of the industry and product development;</w:t>
      </w:r>
    </w:p>
    <w:p>
      <w:pPr>
        <w:ind w:left="1160" w:hanging="576"/>
        <w:spacing w:after="0" w:line="19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and uncertainties</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growth;</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products;</w:t>
      </w:r>
    </w:p>
    <w:p>
      <w:pPr>
        <w:ind w:left="1160" w:hanging="576"/>
        <w:spacing w:after="0" w:line="19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marketing and sales capabilities;</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of commercial success;</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profits or significant revenues;</w:t>
      </w:r>
    </w:p>
    <w:p>
      <w:pPr>
        <w:ind w:left="1160" w:hanging="576"/>
        <w:spacing w:after="0" w:line="19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clinical development activities;</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third party relationships;</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contract manufacturers;</w:t>
      </w:r>
    </w:p>
    <w:p>
      <w:pPr>
        <w:ind w:left="1160" w:hanging="576"/>
        <w:spacing w:after="0" w:line="19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of products;</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testing and commercializing products;</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clinical trials;</w:t>
      </w:r>
    </w:p>
    <w:p>
      <w:pPr>
        <w:ind w:left="1160" w:hanging="576"/>
        <w:spacing w:after="0" w:line="19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grade product manufacturing;</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of regulatory approvals;</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unfavourable publicity or consumer perception;</w:t>
      </w:r>
    </w:p>
    <w:p>
      <w:pPr>
        <w:ind w:left="1160" w:hanging="576"/>
        <w:spacing w:after="0" w:line="19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biotechnology and pharmaceutical market competition;</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executives and scientists;</w:t>
      </w:r>
    </w:p>
    <w:p>
      <w:pPr>
        <w:ind w:left="1160" w:hanging="576"/>
        <w:spacing w:after="0" w:line="19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misconduct;</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expansion and growth;</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of external clinical trials or studies;</w:t>
      </w:r>
    </w:p>
    <w:p>
      <w:pPr>
        <w:ind w:left="1160" w:hanging="576"/>
        <w:spacing w:after="0" w:line="19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contracts;</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ind w:left="1160" w:hanging="576"/>
        <w:spacing w:after="0" w:line="19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chain interruption;</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to forecast;</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brand;</w:t>
      </w:r>
    </w:p>
    <w:p>
      <w:pPr>
        <w:ind w:left="1160" w:hanging="576"/>
        <w:spacing w:after="0" w:line="19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viability;</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quality control systems;</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inputs;</w:t>
      </w:r>
    </w:p>
    <w:p>
      <w:pPr>
        <w:ind w:left="1160" w:hanging="576"/>
        <w:spacing w:after="0" w:line="19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fraudulent or illegal activity;</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 and insurance coverage;</w:t>
      </w:r>
    </w:p>
    <w:p>
      <w:pPr>
        <w:ind w:left="1160" w:hanging="576"/>
        <w:spacing w:after="0" w:line="198"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operating as public company;</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w:t>
      </w:r>
    </w:p>
    <w:p>
      <w:pPr>
        <w:ind w:left="1160" w:hanging="576"/>
        <w:spacing w:after="0" w:line="212"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w:t>
      </w:r>
    </w:p>
    <w:p>
      <w:pPr>
        <w:ind w:left="1160" w:hanging="576"/>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operations;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1438" w:right="319" w:bottom="1440" w:gutter="0" w:footer="0" w:header="0"/>
        </w:sectPr>
      </w:pPr>
    </w:p>
    <w:bookmarkStart w:id="11" w:name="page12"/>
    <w:bookmarkEnd w:id="11"/>
    <w:p>
      <w:pPr>
        <w:ind w:left="1160" w:hanging="576"/>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privacy risk;</w:t>
      </w:r>
    </w:p>
    <w:p>
      <w:pPr>
        <w:ind w:left="1160" w:hanging="576"/>
        <w:spacing w:after="0" w:line="21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 and risks;</w:t>
      </w:r>
    </w:p>
    <w:p>
      <w:pPr>
        <w:ind w:left="1160" w:hanging="576"/>
        <w:spacing w:after="0" w:line="198"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decriminalisation of psychedelics;</w:t>
      </w:r>
    </w:p>
    <w:p>
      <w:pPr>
        <w:ind w:left="1160" w:hanging="576"/>
        <w:spacing w:after="0" w:line="21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 may prove to be inaccurate;</w:t>
      </w:r>
    </w:p>
    <w:p>
      <w:pPr>
        <w:ind w:left="1160" w:hanging="576"/>
        <w:spacing w:after="0" w:line="21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inflation;</w:t>
      </w:r>
    </w:p>
    <w:p>
      <w:pPr>
        <w:ind w:left="1160" w:hanging="576"/>
        <w:spacing w:after="0" w:line="198"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conditions;</w:t>
      </w:r>
    </w:p>
    <w:p>
      <w:pPr>
        <w:ind w:left="1160" w:hanging="576"/>
        <w:spacing w:after="0" w:line="21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and interpretation of tax laws;</w:t>
      </w:r>
    </w:p>
    <w:p>
      <w:pPr>
        <w:ind w:left="1160" w:hanging="576"/>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civil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Intellectual Property:</w:t>
      </w:r>
    </w:p>
    <w:p>
      <w:pPr>
        <w:ind w:left="1160" w:hanging="576"/>
        <w:spacing w:after="0" w:line="21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protection;</w:t>
      </w:r>
    </w:p>
    <w:p>
      <w:pPr>
        <w:ind w:left="1160" w:hanging="576"/>
        <w:spacing w:after="0" w:line="21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w:t>
      </w:r>
    </w:p>
    <w:p>
      <w:pPr>
        <w:ind w:left="1160" w:hanging="576"/>
        <w:spacing w:after="0" w:line="198"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law reform;</w:t>
      </w:r>
    </w:p>
    <w:p>
      <w:pPr>
        <w:ind w:left="1160" w:hanging="576"/>
        <w:spacing w:after="0" w:line="21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litigation and intellectual property;</w:t>
      </w:r>
    </w:p>
    <w:p>
      <w:pPr>
        <w:ind w:left="1160" w:hanging="576"/>
        <w:spacing w:after="0" w:line="21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w:t>
      </w:r>
    </w:p>
    <w:p>
      <w:pPr>
        <w:ind w:left="1160" w:hanging="576"/>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Accounting Risks:</w:t>
      </w:r>
    </w:p>
    <w:p>
      <w:pPr>
        <w:ind w:left="1160" w:hanging="576"/>
        <w:spacing w:after="0" w:line="198"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number of authorized but unissued Common Shares (as defined herein);</w:t>
      </w:r>
    </w:p>
    <w:p>
      <w:pPr>
        <w:ind w:left="1160" w:hanging="576"/>
        <w:spacing w:after="0" w:line="21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w:t>
      </w:r>
    </w:p>
    <w:p>
      <w:pPr>
        <w:ind w:left="1160" w:hanging="576"/>
        <w:spacing w:after="0" w:line="21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cash flow from operating activities and going concern;</w:t>
      </w:r>
    </w:p>
    <w:p>
      <w:pPr>
        <w:ind w:left="1160" w:hanging="576"/>
        <w:spacing w:after="0" w:line="198"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capital requirements;</w:t>
      </w:r>
    </w:p>
    <w:p>
      <w:pPr>
        <w:ind w:left="1160" w:hanging="576"/>
        <w:spacing w:after="0" w:line="21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significant product revenue;</w:t>
      </w:r>
    </w:p>
    <w:p>
      <w:pPr>
        <w:ind w:left="1160" w:hanging="576"/>
        <w:spacing w:after="0" w:line="21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or judgments relating to critical accounting policies;</w:t>
      </w:r>
    </w:p>
    <w:p>
      <w:pPr>
        <w:ind w:left="1160" w:hanging="576"/>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internal controls;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the Common Shares:</w:t>
      </w:r>
    </w:p>
    <w:p>
      <w:pPr>
        <w:ind w:left="1160" w:hanging="576"/>
        <w:spacing w:after="0" w:line="212"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for the Common Shares;</w:t>
      </w:r>
    </w:p>
    <w:p>
      <w:pPr>
        <w:ind w:left="1160" w:hanging="576"/>
        <w:spacing w:after="0" w:line="198"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sales of Common Shares;</w:t>
      </w:r>
    </w:p>
    <w:p>
      <w:pPr>
        <w:ind w:left="1160" w:hanging="576"/>
        <w:spacing w:after="0" w:line="212"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market price for the Common Shares;</w:t>
      </w:r>
    </w:p>
    <w:p>
      <w:pPr>
        <w:ind w:left="1160" w:hanging="576"/>
        <w:spacing w:after="0" w:line="212"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and</w:t>
      </w:r>
    </w:p>
    <w:p>
      <w:pPr>
        <w:ind w:left="1160" w:hanging="576"/>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w:t>
      </w:r>
    </w:p>
    <w:p>
      <w:pPr>
        <w:spacing w:after="0" w:line="16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Although the forward-looking statements contained in this AIF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35" w:lineRule="exact"/>
        <w:rPr>
          <w:sz w:val="20"/>
          <w:szCs w:val="20"/>
          <w:color w:val="auto"/>
        </w:rPr>
      </w:pPr>
    </w:p>
    <w:p>
      <w:pPr>
        <w:ind w:left="1180" w:hanging="596"/>
        <w:spacing w:after="0" w:line="224" w:lineRule="auto"/>
        <w:tabs>
          <w:tab w:leader="none" w:pos="11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fluctuation of losses from quarter to quarter and year to year due to numerous external risk factors, and anticipation that we will continue to incur significant losses in the future;</w:t>
      </w:r>
    </w:p>
    <w:p>
      <w:pPr>
        <w:ind w:left="1160" w:hanging="576"/>
        <w:spacing w:after="0" w:line="198"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the Company’s ability to raise additional funding to support operations;</w:t>
      </w:r>
    </w:p>
    <w:p>
      <w:pPr>
        <w:ind w:left="1160" w:hanging="576"/>
        <w:spacing w:after="0" w:line="21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access additional funding;</w:t>
      </w:r>
    </w:p>
    <w:p>
      <w:pPr>
        <w:ind w:left="1160" w:hanging="576"/>
        <w:spacing w:after="0" w:line="21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foreign exchange rates;</w:t>
      </w:r>
    </w:p>
    <w:p>
      <w:pPr>
        <w:ind w:left="1160" w:hanging="576"/>
        <w:spacing w:after="0" w:line="198"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COVID-19 and the extent of its economic and social impact;</w:t>
      </w:r>
    </w:p>
    <w:p>
      <w:pPr>
        <w:ind w:left="1160" w:hanging="576"/>
        <w:spacing w:after="0" w:line="21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development of the Company’s product candidates which are at early stages of development;</w:t>
      </w:r>
    </w:p>
    <w:p>
      <w:pPr>
        <w:ind w:left="1160" w:hanging="576"/>
        <w:spacing w:after="0" w:line="21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upon industry publications as the Company’s primary sources for third-party industry data and forecasts;</w:t>
      </w:r>
    </w:p>
    <w:p>
      <w:pPr>
        <w:ind w:left="1160" w:hanging="576"/>
        <w:spacing w:after="0" w:line="198"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to plan, conduct and monitor the Company’s preclinical studies and clinical trials;</w:t>
      </w:r>
    </w:p>
    <w:p>
      <w:pPr>
        <w:ind w:left="1160" w:hanging="576"/>
        <w:spacing w:after="0" w:line="21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party contract manufacturers to deliver quality clinical and preclinical materials;</w:t>
      </w:r>
    </w:p>
    <w:p>
      <w:pPr>
        <w:ind w:left="1180" w:hanging="596"/>
        <w:spacing w:after="0" w:line="205" w:lineRule="auto"/>
        <w:tabs>
          <w:tab w:leader="none" w:pos="11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product candidates may fail to demonstrate safety and efficacy to the satisfaction of regulatory authorities or may not otherwise produce positive results;</w:t>
      </w:r>
    </w:p>
    <w:p>
      <w:pPr>
        <w:ind w:left="1160" w:hanging="576"/>
        <w:spacing w:after="0" w:line="21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filing investigational new drug applications to commence clinical trials and to continue clinical trials if approved;</w:t>
      </w:r>
    </w:p>
    <w:p>
      <w:pPr>
        <w:ind w:left="1160" w:hanging="576"/>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delays and inability to complete clinical trials due to difficulties enrolling patients;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35" w:right="339" w:bottom="1440" w:gutter="0" w:footer="0" w:header="0"/>
        </w:sectPr>
      </w:pPr>
    </w:p>
    <w:bookmarkStart w:id="12" w:name="page13"/>
    <w:bookmarkEnd w:id="12"/>
    <w:p>
      <w:pPr>
        <w:ind w:left="1160" w:hanging="576"/>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biotechnology and pharmaceutical companies;</w:t>
      </w:r>
    </w:p>
    <w:p>
      <w:pPr>
        <w:ind w:left="1180" w:right="20" w:hanging="596"/>
        <w:spacing w:after="0" w:line="205" w:lineRule="auto"/>
        <w:tabs>
          <w:tab w:leader="none" w:pos="11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reliance on the capabilities and experience of the Company’s key executives and scientists and the resulting loss of any of these individuals;</w:t>
      </w:r>
    </w:p>
    <w:p>
      <w:pPr>
        <w:ind w:left="1160" w:hanging="576"/>
        <w:spacing w:after="0" w:line="212"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fully realize the benefits of acquisitions;</w:t>
      </w:r>
    </w:p>
    <w:p>
      <w:pPr>
        <w:ind w:left="1160" w:hanging="576"/>
        <w:spacing w:after="0" w:line="212"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adequately protect the Company’s intellectual property and trade secrets;</w:t>
      </w:r>
    </w:p>
    <w:p>
      <w:pPr>
        <w:ind w:left="1160" w:hanging="576"/>
        <w:spacing w:after="0" w:line="198"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patent-related or other litigation; and</w:t>
      </w:r>
    </w:p>
    <w:p>
      <w:pPr>
        <w:ind w:left="1180" w:right="20" w:hanging="596"/>
        <w:spacing w:after="0" w:line="230" w:lineRule="auto"/>
        <w:tabs>
          <w:tab w:leader="none" w:pos="11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unforeseen changes to the laws or regulations in the United States, Canada, the United Kingdom, Ireland and other jurisdictions in which the Company operates.</w:t>
      </w:r>
    </w:p>
    <w:p>
      <w:pPr>
        <w:spacing w:after="0" w:line="170"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w:t>
      </w:r>
    </w:p>
    <w:p>
      <w:pPr>
        <w:spacing w:after="0" w:line="226" w:lineRule="auto"/>
        <w:rPr>
          <w:sz w:val="20"/>
          <w:szCs w:val="20"/>
          <w:color w:val="auto"/>
        </w:rPr>
      </w:pPr>
      <w:r>
        <w:rPr>
          <w:rFonts w:ascii="Times New Roman" w:cs="Times New Roman" w:eastAsia="Times New Roman" w:hAnsi="Times New Roman"/>
          <w:sz w:val="17"/>
          <w:szCs w:val="17"/>
          <w:color w:val="auto"/>
        </w:rPr>
        <w:t>studies can change those assumptions either positively (to indicate a faster timeline to new drug applications and other approvals) or negatively (to indicate a</w:t>
      </w:r>
    </w:p>
    <w:p>
      <w:pPr>
        <w:ind w:right="20"/>
        <w:spacing w:after="0" w:line="205" w:lineRule="auto"/>
        <w:rPr>
          <w:sz w:val="20"/>
          <w:szCs w:val="20"/>
          <w:color w:val="auto"/>
        </w:rPr>
      </w:pPr>
      <w:r>
        <w:rPr>
          <w:rFonts w:ascii="Times New Roman" w:cs="Times New Roman" w:eastAsia="Times New Roman" w:hAnsi="Times New Roman"/>
          <w:sz w:val="18"/>
          <w:szCs w:val="18"/>
          <w:color w:val="auto"/>
        </w:rPr>
        <w:t>slower timeline to new drug applications and other approvals). This AIF contains certain forward-looking statements regarding anticipated or possible drug development timelines. Such statements are informed by, among other things, regulatory guidelines for developing a drug with safety studies, proof of</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factors set out above, and those identified in this AIF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other factors not currently viewed as material could cause</w:t>
      </w:r>
    </w:p>
    <w:p>
      <w:pPr>
        <w:ind w:right="20"/>
        <w:spacing w:after="0" w:line="205" w:lineRule="auto"/>
        <w:rPr>
          <w:sz w:val="20"/>
          <w:szCs w:val="20"/>
          <w:color w:val="auto"/>
        </w:rPr>
      </w:pPr>
      <w:r>
        <w:rPr>
          <w:rFonts w:ascii="Times New Roman" w:cs="Times New Roman" w:eastAsia="Times New Roman" w:hAnsi="Times New Roman"/>
          <w:sz w:val="18"/>
          <w:szCs w:val="18"/>
          <w:color w:val="auto"/>
        </w:rPr>
        <w:t>actual results to differ materially from those described in the forward-looking statements. Although the Company has attempted to identify important risks and factors that could cause actual actions, events or results to differ materially from those described in forward-looking statements, there may be other</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factors and risks that cause actions, events or results not to be anticipated, estimated or intended. Accordingly, readers should not place any undue reliance on forward-looking statements.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00"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This AIF includes market and industry data that has been obtained from third-party sources, including industry publications. The Company believes that the industry data is accurate and that its estimates and assumptions are reasonable, but there is no assurance as to the accuracy or completeness of this data.</w:t>
      </w:r>
    </w:p>
    <w:p>
      <w:pPr>
        <w:spacing w:after="0" w:line="217" w:lineRule="auto"/>
        <w:rPr>
          <w:sz w:val="20"/>
          <w:szCs w:val="20"/>
          <w:color w:val="auto"/>
        </w:rPr>
      </w:pPr>
      <w:r>
        <w:rPr>
          <w:rFonts w:ascii="Times New Roman" w:cs="Times New Roman" w:eastAsia="Times New Roman" w:hAnsi="Times New Roman"/>
          <w:sz w:val="17"/>
          <w:szCs w:val="17"/>
          <w:color w:val="auto"/>
        </w:rPr>
        <w:t>Third-party sources generally state that the information contained therein has been obtained from sources believed to be reliable, but there is no assurance as to the accuracy or completeness of included information. Although the data is believed to be reliable, the Company has not independently verified any of the</w:t>
      </w:r>
    </w:p>
    <w:p>
      <w:pPr>
        <w:spacing w:after="0" w:line="213" w:lineRule="auto"/>
        <w:rPr>
          <w:sz w:val="20"/>
          <w:szCs w:val="20"/>
          <w:color w:val="auto"/>
        </w:rPr>
      </w:pPr>
      <w:r>
        <w:rPr>
          <w:rFonts w:ascii="Times New Roman" w:cs="Times New Roman" w:eastAsia="Times New Roman" w:hAnsi="Times New Roman"/>
          <w:sz w:val="18"/>
          <w:szCs w:val="18"/>
          <w:color w:val="auto"/>
        </w:rPr>
        <w:t>data from third-party sources referred to in this AIF or ascertained the underlying economic assumptions relied upon by such sources. The Company does</w:t>
      </w:r>
    </w:p>
    <w:p>
      <w:pPr>
        <w:ind w:right="20"/>
        <w:spacing w:after="0" w:line="222" w:lineRule="auto"/>
        <w:rPr>
          <w:sz w:val="20"/>
          <w:szCs w:val="20"/>
          <w:color w:val="auto"/>
        </w:rPr>
      </w:pPr>
      <w:r>
        <w:rPr>
          <w:rFonts w:ascii="Times New Roman" w:cs="Times New Roman" w:eastAsia="Times New Roman" w:hAnsi="Times New Roman"/>
          <w:sz w:val="18"/>
          <w:szCs w:val="18"/>
          <w:color w:val="auto"/>
        </w:rPr>
        <w:t>not intend, and undertakes no obligation, to update or revise any such information or data, whether as a result of new information, future events or otherwise, except as, and to the extent required by, applicable Canadian securities laws.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20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Company sponsors research and development on psychedelic molecules, including psilocybin, and is focused on developing and commercializing psychedelic-inspired regulated medicines. No product will be commercialized prior to applicable legal or regulatory approval.</w:t>
      </w:r>
    </w:p>
    <w:p>
      <w:pPr>
        <w:spacing w:after="0" w:line="13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Canadian and United States federal governments regulate drugs. Psilocybin is currently a Schedule III drug under CDSA (as defined herein) and a Schedule I drug under the CSA (as defined herein).</w:t>
      </w:r>
    </w:p>
    <w:p>
      <w:pPr>
        <w:spacing w:after="0" w:line="143"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Health Canada and the Food and Drug Administration in the United States have not approved psilocybin as a drug for any indication. The Company does not deal with psychedelic substances except indirectly within laboratory and clinical trial settings conducted within approved regulatory frameworks in order</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to identify and develop potential treatments for medical conditions and, further, does not have any direct or indirect involvement with illegal selling, production or distribution of any substances in jurisdictions in which it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320" w:top="1435" w:right="319" w:bottom="1440" w:gutter="0" w:footer="0" w:header="0"/>
        </w:sectPr>
      </w:pPr>
    </w:p>
    <w:bookmarkStart w:id="13" w:name="page14"/>
    <w:bookmarkEnd w:id="13"/>
    <w:p>
      <w:pPr>
        <w:ind w:right="20"/>
        <w:spacing w:after="0" w:line="237" w:lineRule="auto"/>
        <w:rPr>
          <w:sz w:val="20"/>
          <w:szCs w:val="20"/>
          <w:color w:val="auto"/>
        </w:rPr>
      </w:pPr>
      <w:r>
        <w:rPr>
          <w:rFonts w:ascii="Times New Roman" w:cs="Times New Roman" w:eastAsia="Times New Roman" w:hAnsi="Times New Roman"/>
          <w:sz w:val="17"/>
          <w:szCs w:val="17"/>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See</w:t>
      </w:r>
    </w:p>
    <w:p>
      <w:pPr>
        <w:ind w:right="20"/>
        <w:spacing w:after="0" w:line="20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Compliance Program</w:t>
      </w:r>
      <w:r>
        <w:rPr>
          <w:rFonts w:ascii="Times New Roman" w:cs="Times New Roman" w:eastAsia="Times New Roman" w:hAnsi="Times New Roman"/>
          <w:sz w:val="18"/>
          <w:szCs w:val="18"/>
          <w:color w:val="auto"/>
        </w:rPr>
        <w:t>”. Additionally, the Company has received legal opinions or advice in each jurisdiction where it currently operates regarding (a) compliance with applicable regulatory frameworks and (b) potential exposure and implications arising from applicable laws in jurisdictions where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operations or intends to operate.</w:t>
      </w:r>
    </w:p>
    <w:p>
      <w:pPr>
        <w:spacing w:after="0" w:line="152"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For these reasons, the Company may be (a) subject to heightened scrutiny by regulators, stock exchanges, clearing agencies and other authorities, (b) susceptible to regulatory changes or other changes in law, and (c) subject to risks related to drug development, among other things. There are a number of</w:t>
      </w:r>
    </w:p>
    <w:p>
      <w:pPr>
        <w:spacing w:after="0"/>
        <w:rPr>
          <w:sz w:val="20"/>
          <w:szCs w:val="20"/>
          <w:color w:val="auto"/>
        </w:rPr>
      </w:pPr>
      <w:r>
        <w:rPr>
          <w:rFonts w:ascii="Times New Roman" w:cs="Times New Roman" w:eastAsia="Times New Roman" w:hAnsi="Times New Roman"/>
          <w:sz w:val="18"/>
          <w:szCs w:val="18"/>
          <w:color w:val="auto"/>
        </w:rPr>
        <w:t>risks associated with the business of the Company.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herein.</w:t>
      </w:r>
    </w:p>
    <w:p>
      <w:pPr>
        <w:spacing w:after="0" w:line="152"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The Company makes no medical, treatment or health benefit claims about the Company’s proposed products. The U.S. Food and Drug Administration, Health Canada or other similar regulatory authorities have not evaluated claims regarding psilocybin, psychedelic tryptamines, tryptamine derivatives or</w:t>
      </w:r>
    </w:p>
    <w:p>
      <w:pPr>
        <w:spacing w:after="0" w:line="212" w:lineRule="auto"/>
        <w:rPr>
          <w:sz w:val="20"/>
          <w:szCs w:val="20"/>
          <w:color w:val="auto"/>
        </w:rPr>
      </w:pPr>
      <w:r>
        <w:rPr>
          <w:rFonts w:ascii="Times New Roman" w:cs="Times New Roman" w:eastAsia="Times New Roman" w:hAnsi="Times New Roman"/>
          <w:sz w:val="18"/>
          <w:szCs w:val="18"/>
          <w:color w:val="auto"/>
        </w:rPr>
        <w:t>other psychedelic compounds. The efficacy of such products have not been confirmed by approved research. There is no assurance that the use of</w:t>
      </w:r>
    </w:p>
    <w:p>
      <w:pPr>
        <w:ind w:right="20"/>
        <w:spacing w:after="0" w:line="205" w:lineRule="auto"/>
        <w:rPr>
          <w:sz w:val="20"/>
          <w:szCs w:val="20"/>
          <w:color w:val="auto"/>
        </w:rPr>
      </w:pPr>
      <w:r>
        <w:rPr>
          <w:rFonts w:ascii="Times New Roman" w:cs="Times New Roman" w:eastAsia="Times New Roman" w:hAnsi="Times New Roman"/>
          <w:sz w:val="18"/>
          <w:szCs w:val="18"/>
          <w:color w:val="auto"/>
        </w:rPr>
        <w:t>psilocybin, psychedelic tryptamines, tryptamine derivatives or other psychedelic compounds can diagnose, treat, cure or prevent any disease or condition. Rigorous scientific research and clinical trials are needed. The Company has not conducted clinical trials for the use of its proposed products. Any</w:t>
      </w:r>
    </w:p>
    <w:p>
      <w:pPr>
        <w:spacing w:after="0" w:line="225" w:lineRule="auto"/>
        <w:rPr>
          <w:sz w:val="20"/>
          <w:szCs w:val="20"/>
          <w:color w:val="auto"/>
        </w:rPr>
      </w:pPr>
      <w:r>
        <w:rPr>
          <w:rFonts w:ascii="Times New Roman" w:cs="Times New Roman" w:eastAsia="Times New Roman" w:hAnsi="Times New Roman"/>
          <w:sz w:val="17"/>
          <w:szCs w:val="17"/>
          <w:color w:val="auto"/>
        </w:rPr>
        <w:t>references to quality, consistency, efficacy and safety of potential products do not imply that the Company verified such in clinical trials or that the Company</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will complete such trials. If the Company cannot obtain the approvals or research necessary to commercialize its business, it may have a material adverse effect on the Company’s performance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1438"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7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In addition to terms defined elsewhere in this AIF, the following terms, when used in this AIF, will have the following meanings (unless otherwise indicated):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Warrant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Adelia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Corporate Structure – Name, Address and Incorporation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Adelia Milestones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Significant Acquisitions and Dispositions.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Adelia Shareholders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Corporate Structure – Name, Address and Incorporation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Adelia Transaction</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Corporate Structure – Name, Address and Incorporation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ADME</w:t>
      </w:r>
      <w:r>
        <w:rPr>
          <w:rFonts w:ascii="Times New Roman" w:cs="Times New Roman" w:eastAsia="Times New Roman" w:hAnsi="Times New Roman"/>
          <w:sz w:val="18"/>
          <w:szCs w:val="18"/>
          <w:color w:val="auto"/>
        </w:rPr>
        <w:t>” means Absorption, Distribution, Metabolism, and Excretion.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 company that is affiliated with another company as described below. A company is an “affiliate” of another company if:</w:t>
      </w:r>
    </w:p>
    <w:p>
      <w:pPr>
        <w:spacing w:after="0" w:line="176" w:lineRule="exact"/>
        <w:rPr>
          <w:sz w:val="20"/>
          <w:szCs w:val="20"/>
          <w:color w:val="auto"/>
        </w:rPr>
      </w:pPr>
    </w:p>
    <w:p>
      <w:pPr>
        <w:ind w:left="960" w:hanging="376"/>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them is the subsidiary of the other, or</w:t>
      </w:r>
    </w:p>
    <w:p>
      <w:pPr>
        <w:spacing w:after="0" w:line="171" w:lineRule="exact"/>
        <w:rPr>
          <w:rFonts w:ascii="Times New Roman" w:cs="Times New Roman" w:eastAsia="Times New Roman" w:hAnsi="Times New Roman"/>
          <w:sz w:val="18"/>
          <w:szCs w:val="18"/>
          <w:color w:val="auto"/>
        </w:rPr>
      </w:pPr>
    </w:p>
    <w:p>
      <w:pPr>
        <w:ind w:right="6940" w:firstLine="584"/>
        <w:spacing w:after="0" w:line="432" w:lineRule="auto"/>
        <w:tabs>
          <w:tab w:leader="none" w:pos="9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controlled by the same person. A company is “controlled” by a person if:</w:t>
      </w:r>
    </w:p>
    <w:p>
      <w:pPr>
        <w:ind w:left="960" w:hanging="376"/>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securities of the company are held, other than by way of security only, by or for the benefit of that person, and</w:t>
      </w:r>
    </w:p>
    <w:p>
      <w:pPr>
        <w:spacing w:after="0" w:line="171" w:lineRule="exact"/>
        <w:rPr>
          <w:rFonts w:ascii="Times New Roman" w:cs="Times New Roman" w:eastAsia="Times New Roman" w:hAnsi="Times New Roman"/>
          <w:sz w:val="18"/>
          <w:szCs w:val="18"/>
          <w:color w:val="auto"/>
        </w:rPr>
      </w:pPr>
    </w:p>
    <w:p>
      <w:pPr>
        <w:ind w:left="980" w:hanging="39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securities, if voted, entitle the person to elect a majority of the directors of the company.</w:t>
      </w:r>
    </w:p>
    <w:p>
      <w:pPr>
        <w:spacing w:after="0" w:line="200" w:lineRule="exact"/>
        <w:rPr>
          <w:sz w:val="20"/>
          <w:szCs w:val="20"/>
          <w:color w:val="auto"/>
        </w:rPr>
      </w:pPr>
    </w:p>
    <w:p>
      <w:pPr>
        <w:spacing w:after="0" w:line="338" w:lineRule="exact"/>
        <w:rPr>
          <w:sz w:val="20"/>
          <w:szCs w:val="20"/>
          <w:color w:val="auto"/>
        </w:rPr>
      </w:pPr>
    </w:p>
    <w:p>
      <w:pPr>
        <w:ind w:left="960" w:hanging="376"/>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controlled by that person, or</w:t>
      </w:r>
    </w:p>
    <w:p>
      <w:pPr>
        <w:spacing w:after="0" w:line="159" w:lineRule="exact"/>
        <w:rPr>
          <w:rFonts w:ascii="Times New Roman" w:cs="Times New Roman" w:eastAsia="Times New Roman" w:hAnsi="Times New Roman"/>
          <w:sz w:val="18"/>
          <w:szCs w:val="18"/>
          <w:color w:val="auto"/>
        </w:rPr>
      </w:pPr>
    </w:p>
    <w:p>
      <w:pPr>
        <w:ind w:left="980" w:hanging="39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that person or an affiliate of any company controlled by that person.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Agency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 Fee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 Cash Fee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Amalco</w:t>
      </w:r>
      <w:r>
        <w:rPr>
          <w:rFonts w:ascii="Times New Roman" w:cs="Times New Roman" w:eastAsia="Times New Roman" w:hAnsi="Times New Roman"/>
          <w:sz w:val="18"/>
          <w:szCs w:val="18"/>
          <w:color w:val="auto"/>
        </w:rPr>
        <w:t>” means the company resulting from the amalgamation of Cybin and Subco pursuant to the Amalgamation.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34" w:right="339" w:bottom="1440" w:gutter="0" w:footer="0" w:header="0"/>
        </w:sectPr>
      </w:pPr>
    </w:p>
    <w:bookmarkStart w:id="15" w:name="page16"/>
    <w:bookmarkEnd w:id="15"/>
    <w:p>
      <w:pPr>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Amalgamation</w:t>
      </w:r>
      <w:r>
        <w:rPr>
          <w:rFonts w:ascii="Times New Roman" w:cs="Times New Roman" w:eastAsia="Times New Roman" w:hAnsi="Times New Roman"/>
          <w:sz w:val="18"/>
          <w:szCs w:val="18"/>
          <w:color w:val="auto"/>
        </w:rPr>
        <w:t>” means the amalgamation of Subco and Cybin pursuant to Section 174 of the OBCA on the terms and subject to the conditions of the Amalgamation Agreement, which resulted in the reverse takeover of the Company.</w:t>
      </w:r>
    </w:p>
    <w:p>
      <w:pPr>
        <w:spacing w:after="0" w:line="13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Amalgamation Agreement</w:t>
      </w:r>
      <w:r>
        <w:rPr>
          <w:rFonts w:ascii="Times New Roman" w:cs="Times New Roman" w:eastAsia="Times New Roman" w:hAnsi="Times New Roman"/>
          <w:sz w:val="18"/>
          <w:szCs w:val="18"/>
          <w:color w:val="auto"/>
        </w:rPr>
        <w:t xml:space="preserve">” means the Amalgamation Agreement dated as of June 26, 2020 among Cybin, Clarmin and Subco relating to the Amalgamation, as amended on October 21, 2020, a copy of which is available under the Company’s profile on the SEDAR website at </w:t>
      </w:r>
      <w:r>
        <w:rPr>
          <w:rFonts w:ascii="Times New Roman" w:cs="Times New Roman" w:eastAsia="Times New Roman" w:hAnsi="Times New Roman"/>
          <w:sz w:val="18"/>
          <w:szCs w:val="18"/>
          <w:u w:val="single" w:color="auto"/>
          <w:color w:val="auto"/>
        </w:rPr>
        <w:t>www.sedar.com</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API</w:t>
      </w:r>
      <w:r>
        <w:rPr>
          <w:rFonts w:ascii="Times New Roman" w:cs="Times New Roman" w:eastAsia="Times New Roman" w:hAnsi="Times New Roman"/>
          <w:sz w:val="18"/>
          <w:szCs w:val="18"/>
          <w:color w:val="auto"/>
        </w:rPr>
        <w:t>” means the pharmaceutically acceptable psychedelic agent psilocybin or psilocin or a combination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xml:space="preserve">” has the meaning set out in Section 1(1)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RSO 1990, c.S.5.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Benton Property</w:t>
      </w:r>
      <w:r>
        <w:rPr>
          <w:rFonts w:ascii="Times New Roman" w:cs="Times New Roman" w:eastAsia="Times New Roman" w:hAnsi="Times New Roman"/>
          <w:sz w:val="18"/>
          <w:szCs w:val="18"/>
          <w:color w:val="auto"/>
        </w:rPr>
        <w:t>” means Clarmin’s 100% interest in the three tenures totaling 1,285 hectares located in New Brunswick Canada.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Clarmin prior to the Transaction and the board of directors of the Company following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Broker Warrants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FDA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Stage of Development of Principal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Catalent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Catalyst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CCPS Agreement</w:t>
      </w:r>
      <w:r>
        <w:rPr>
          <w:rFonts w:ascii="Times New Roman" w:cs="Times New Roman" w:eastAsia="Times New Roman" w:hAnsi="Times New Roman"/>
          <w:sz w:val="18"/>
          <w:szCs w:val="18"/>
          <w:color w:val="auto"/>
        </w:rPr>
        <w:t xml:space="preserve">” has the meaning ascribed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CDSA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Controlled Drugs and Substances Act</w:t>
      </w:r>
      <w:r>
        <w:rPr>
          <w:rFonts w:ascii="Times New Roman" w:cs="Times New Roman" w:eastAsia="Times New Roman" w:hAnsi="Times New Roman"/>
          <w:sz w:val="18"/>
          <w:szCs w:val="18"/>
          <w:color w:val="auto"/>
        </w:rPr>
        <w:t xml:space="preserve"> (Canada).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cGMP</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Clarmin</w:t>
      </w:r>
      <w:r>
        <w:rPr>
          <w:rFonts w:ascii="Times New Roman" w:cs="Times New Roman" w:eastAsia="Times New Roman" w:hAnsi="Times New Roman"/>
          <w:sz w:val="18"/>
          <w:szCs w:val="18"/>
          <w:color w:val="auto"/>
        </w:rPr>
        <w:t>” means Clarmin Explorations Inc., as a company existing, prior to the Transaction, under the BCBCA via articles of incorporation dated October 13, 2016, and continued under the OBCA on November 4, 2020 in connection with the Transaction.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Clarmin Disposition</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Clarmin Shares</w:t>
      </w:r>
      <w:r>
        <w:rPr>
          <w:rFonts w:ascii="Times New Roman" w:cs="Times New Roman" w:eastAsia="Times New Roman" w:hAnsi="Times New Roman"/>
          <w:sz w:val="18"/>
          <w:szCs w:val="18"/>
          <w:color w:val="auto"/>
        </w:rPr>
        <w:t>” means the authorized common shares in the capital of Clarmin, as constituted prior to the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Share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Significant Acquisitions and Dispositions.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Clinilabs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3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Stage of Development of Principal Products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CMOs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Risk Factors - Reliance on Contract Manufacturers.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Co-Lead Agents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Collaboration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the common shares in the capital of the Company.</w:t>
      </w:r>
    </w:p>
    <w:p>
      <w:pPr>
        <w:spacing w:after="0" w:line="17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Cybin Inc., a company existing under the OBCA, being Clarmin after the completion of the Transaction, on a consolidated basis which carries on the business and operations of Cybin, following the Transaction.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Corporate Structure – Name, Address and Incorporation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Contribution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means the Coronavirus disease 2019, an infectious disease caused by severe acute respiratory syndrome coronavirus 2 (SARS-CoV-2).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CSA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Controlled Substances Act</w:t>
      </w:r>
      <w:r>
        <w:rPr>
          <w:rFonts w:ascii="Times New Roman" w:cs="Times New Roman" w:eastAsia="Times New Roman" w:hAnsi="Times New Roman"/>
          <w:sz w:val="18"/>
          <w:szCs w:val="18"/>
          <w:color w:val="auto"/>
        </w:rPr>
        <w:t xml:space="preserve"> (21 U.S.C. § 811).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CSE</w:t>
      </w:r>
      <w:r>
        <w:rPr>
          <w:rFonts w:ascii="Times New Roman" w:cs="Times New Roman" w:eastAsia="Times New Roman" w:hAnsi="Times New Roman"/>
          <w:sz w:val="18"/>
          <w:szCs w:val="18"/>
          <w:color w:val="auto"/>
        </w:rPr>
        <w:t>” means the Canadian Securities Exchange.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CTA</w:t>
      </w:r>
      <w:r>
        <w:rPr>
          <w:rFonts w:ascii="Times New Roman" w:cs="Times New Roman" w:eastAsia="Times New Roman" w:hAnsi="Times New Roman"/>
          <w:sz w:val="18"/>
          <w:szCs w:val="18"/>
          <w:color w:val="auto"/>
        </w:rPr>
        <w:t>” means a Clinical Trial Application.</w:t>
      </w:r>
    </w:p>
    <w:p>
      <w:pPr>
        <w:spacing w:after="0" w:line="17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Cybin</w:t>
      </w:r>
      <w:r>
        <w:rPr>
          <w:rFonts w:ascii="Times New Roman" w:cs="Times New Roman" w:eastAsia="Times New Roman" w:hAnsi="Times New Roman"/>
          <w:sz w:val="18"/>
          <w:szCs w:val="18"/>
          <w:color w:val="auto"/>
        </w:rPr>
        <w:t>” means Cybin Corp., prior to giving effect to the Transaction, a corporation existing under the OBCA, which, pursuant to the Transaction, amalgamated with Subco to form Amalco under the name “Cybin Corp.” and became a wholly-owned subsidiary of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Cybin Ireland</w:t>
      </w:r>
      <w:r>
        <w:rPr>
          <w:rFonts w:ascii="Times New Roman" w:cs="Times New Roman" w:eastAsia="Times New Roman" w:hAnsi="Times New Roman"/>
          <w:sz w:val="18"/>
          <w:szCs w:val="18"/>
          <w:color w:val="auto"/>
        </w:rPr>
        <w:t>” means Cybin IRL Limited, a corporation existing under the laws of Ireland and a wholly-owned subsidiary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Cybin Private Placement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Cybin Shares</w:t>
      </w:r>
      <w:r>
        <w:rPr>
          <w:rFonts w:ascii="Times New Roman" w:cs="Times New Roman" w:eastAsia="Times New Roman" w:hAnsi="Times New Roman"/>
          <w:sz w:val="18"/>
          <w:szCs w:val="18"/>
          <w:color w:val="auto"/>
        </w:rPr>
        <w:t>” means the common shares in the capital of Cybin.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Cybin U.S.</w:t>
      </w:r>
      <w:r>
        <w:rPr>
          <w:rFonts w:ascii="Times New Roman" w:cs="Times New Roman" w:eastAsia="Times New Roman" w:hAnsi="Times New Roman"/>
          <w:sz w:val="18"/>
          <w:szCs w:val="18"/>
          <w:color w:val="auto"/>
        </w:rPr>
        <w:t>” means Cybin U.S. Holdings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Digital Platform</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Stage of Development of Principal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DMT</w:t>
      </w:r>
      <w:r>
        <w:rPr>
          <w:rFonts w:ascii="Times New Roman" w:cs="Times New Roman" w:eastAsia="Times New Roman" w:hAnsi="Times New Roman"/>
          <w:sz w:val="18"/>
          <w:szCs w:val="18"/>
          <w:color w:val="auto"/>
        </w:rPr>
        <w:t>” means N, N-dimethyltryptamine.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means the Company’s omnibus equity incentive plan adopted by the Board on November 5,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Entheon</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3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Escrowed Securities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Escrowed Securities and Securities Subject to Contractual Restriction on Transfer.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means Neo Exchange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February Underwriters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Stage of Development of Principal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HPFB</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Canada.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Financial Reporting Standards, as adopted by the International Accounting Standards Board, as amended from time to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means including without limitation, and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includes</w:t>
      </w:r>
      <w:r>
        <w:rPr>
          <w:rFonts w:ascii="Times New Roman" w:cs="Times New Roman" w:eastAsia="Times New Roman" w:hAnsi="Times New Roman"/>
          <w:sz w:val="18"/>
          <w:szCs w:val="18"/>
          <w:color w:val="auto"/>
        </w:rPr>
        <w:t>” each have a corresponding meaning.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IntelGenx</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IntelGenx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Ireland MDA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Research and Development – Ireland.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Ireland MDR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Research and Development – Ireland.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Price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 Date</w:t>
      </w:r>
      <w:r>
        <w:rPr>
          <w:rFonts w:ascii="Times New Roman" w:cs="Times New Roman" w:eastAsia="Times New Roman" w:hAnsi="Times New Roman"/>
          <w:sz w:val="18"/>
          <w:szCs w:val="18"/>
          <w:color w:val="auto"/>
        </w:rPr>
        <w:t>” means November 10, 2020, the date of listing of the Common Shares on the Exchange.</w:t>
      </w:r>
    </w:p>
    <w:p>
      <w:pPr>
        <w:spacing w:after="0" w:line="17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 Statement</w:t>
      </w:r>
      <w:r>
        <w:rPr>
          <w:rFonts w:ascii="Times New Roman" w:cs="Times New Roman" w:eastAsia="Times New Roman" w:hAnsi="Times New Roman"/>
          <w:sz w:val="18"/>
          <w:szCs w:val="18"/>
          <w:color w:val="auto"/>
        </w:rPr>
        <w:t>” means the Exchange Form 1 Listing Statement dated November 9, 2020, as filed on SEDAR November 9, 2020, which has been filed as required in accordance with the policies of the Exchange.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LottoGopher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Corporate Cease Trade Orders or Bankruptcies; Penalties or Sanctions; Personal Bankruptcies.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United Kingdom.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MDD</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3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MIA(IMP)</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United Kingdom.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Natures Journey”</w:t>
      </w:r>
      <w:r>
        <w:rPr>
          <w:rFonts w:ascii="Times New Roman" w:cs="Times New Roman" w:eastAsia="Times New Roman" w:hAnsi="Times New Roman"/>
          <w:sz w:val="18"/>
          <w:szCs w:val="18"/>
          <w:color w:val="auto"/>
        </w:rPr>
        <w:t xml:space="preserve"> means Natures Journey Inc., an Ontario corporation incorporated as a wholly-owned subsidiary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Research and Development –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Research and Development – Canada.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51-102</w:t>
      </w:r>
      <w:r>
        <w:rPr>
          <w:rFonts w:ascii="Times New Roman" w:cs="Times New Roman" w:eastAsia="Times New Roman" w:hAnsi="Times New Roman"/>
          <w:sz w:val="18"/>
          <w:szCs w:val="18"/>
          <w:color w:val="auto"/>
        </w:rPr>
        <w:t xml:space="preserve">” means National Instrument 51-102 </w:t>
      </w:r>
      <w:r>
        <w:rPr>
          <w:rFonts w:ascii="Times New Roman" w:cs="Times New Roman" w:eastAsia="Times New Roman" w:hAnsi="Times New Roman"/>
          <w:sz w:val="18"/>
          <w:szCs w:val="18"/>
          <w:i w:val="1"/>
          <w:iCs w:val="1"/>
          <w:color w:val="auto"/>
        </w:rPr>
        <w:t>Continuous Disclosure Obligations</w:t>
      </w:r>
      <w:r>
        <w:rPr>
          <w:rFonts w:ascii="Times New Roman" w:cs="Times New Roman" w:eastAsia="Times New Roman" w:hAnsi="Times New Roman"/>
          <w:sz w:val="18"/>
          <w:szCs w:val="18"/>
          <w:color w:val="auto"/>
        </w:rPr>
        <w:t xml:space="preserve"> of the Canadian Securities Administrators.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52-109</w:t>
      </w:r>
      <w:r>
        <w:rPr>
          <w:rFonts w:ascii="Times New Roman" w:cs="Times New Roman" w:eastAsia="Times New Roman" w:hAnsi="Times New Roman"/>
          <w:sz w:val="18"/>
          <w:szCs w:val="18"/>
          <w:color w:val="auto"/>
        </w:rPr>
        <w:t xml:space="preserve">” means National Instrument 52-109 – </w:t>
      </w:r>
      <w:r>
        <w:rPr>
          <w:rFonts w:ascii="Times New Roman" w:cs="Times New Roman" w:eastAsia="Times New Roman" w:hAnsi="Times New Roman"/>
          <w:sz w:val="18"/>
          <w:szCs w:val="18"/>
          <w:i w:val="1"/>
          <w:iCs w:val="1"/>
          <w:color w:val="auto"/>
        </w:rPr>
        <w:t>Certification of Disclosure in Issuers’ Annual and Interim Filings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as amended.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option to purchase Common Shares granted pursuant to the Equity Incentive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Corporate Cease Trade Orders or Bankruptcies; Penalties or Sanctions; Personal Bankruptcies.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PCT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Pharmaceutical Ingredient Provider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Line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Stage of Development of Principal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PTSD</w:t>
      </w:r>
      <w:r>
        <w:rPr>
          <w:rFonts w:ascii="Times New Roman" w:cs="Times New Roman" w:eastAsia="Times New Roman" w:hAnsi="Times New Roman"/>
          <w:sz w:val="18"/>
          <w:szCs w:val="18"/>
          <w:color w:val="auto"/>
        </w:rPr>
        <w:t>” means post-traumatic stress disorder.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 Conditions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Reverse Takeover</w:t>
      </w:r>
      <w:r>
        <w:rPr>
          <w:rFonts w:ascii="Times New Roman" w:cs="Times New Roman" w:eastAsia="Times New Roman" w:hAnsi="Times New Roman"/>
          <w:sz w:val="18"/>
          <w:szCs w:val="18"/>
          <w:color w:val="auto"/>
        </w:rPr>
        <w:t>” has the meaning set out in NI 51-102.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56 Exemption</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Canada.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Serenity Life</w:t>
      </w:r>
      <w:r>
        <w:rPr>
          <w:rFonts w:ascii="Times New Roman" w:cs="Times New Roman" w:eastAsia="Times New Roman" w:hAnsi="Times New Roman"/>
          <w:sz w:val="17"/>
          <w:szCs w:val="17"/>
          <w:color w:val="auto"/>
        </w:rPr>
        <w:t>” means Serenity Life Sciences Inc., an Ontario corporation incorporated as a wholly-owned subsidiary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Smart Medicines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Smart Medicines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139"/>
          </w:cols>
          <w:pgMar w:left="320" w:top="1434"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Subco</w:t>
      </w:r>
      <w:r>
        <w:rPr>
          <w:rFonts w:ascii="Times New Roman" w:cs="Times New Roman" w:eastAsia="Times New Roman" w:hAnsi="Times New Roman"/>
          <w:sz w:val="18"/>
          <w:szCs w:val="18"/>
          <w:color w:val="auto"/>
        </w:rPr>
        <w:t>” means 2762898 Ontario Inc., a wholly-owned subsidiary of Clarmin, incorporated for the purposes of effecting the Amalgamation.</w:t>
      </w:r>
    </w:p>
    <w:p>
      <w:pPr>
        <w:spacing w:after="0" w:line="17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Sublingual Film</w:t>
      </w:r>
      <w:r>
        <w:rPr>
          <w:rFonts w:ascii="Times New Roman" w:cs="Times New Roman" w:eastAsia="Times New Roman" w:hAnsi="Times New Roman"/>
          <w:sz w:val="18"/>
          <w:szCs w:val="18"/>
          <w:color w:val="auto"/>
        </w:rPr>
        <w:t>” means the pharmaceutically acceptable sublingual film formulation using oral film drug delivery technology in respect of the API psilocybin for each of the four following strengths of such API: 1, 3, 5 and 7 mg.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Receipts</w:t>
      </w:r>
      <w:r>
        <w:rPr>
          <w:rFonts w:ascii="Times New Roman" w:cs="Times New Roman" w:eastAsia="Times New Roman" w:hAnsi="Times New Roman"/>
          <w:sz w:val="18"/>
          <w:szCs w:val="18"/>
          <w:color w:val="auto"/>
        </w:rPr>
        <w:t>” means the subscription receipts of Cybin issued pursuant to the Cybin Private Placement.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TPD</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Description of the Business – Regulatory Environment – Canada.</w:t>
      </w:r>
    </w:p>
    <w:p>
      <w:pPr>
        <w:spacing w:after="0" w:line="17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means the three-cornered amalgamation among Clarmin, Cybin and Subco pursuant to the terms of the Amalgamation Agreement, which constituted a Reverse Takeover of Clarmin by Cybin.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TSXV</w:t>
      </w:r>
      <w:r>
        <w:rPr>
          <w:rFonts w:ascii="Times New Roman" w:cs="Times New Roman" w:eastAsia="Times New Roman" w:hAnsi="Times New Roman"/>
          <w:sz w:val="18"/>
          <w:szCs w:val="18"/>
          <w:color w:val="auto"/>
        </w:rPr>
        <w:t>” means the TSX Venture Exchange.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 Warrants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Kingdom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means the United Kingdom of Great Britain and Northern Ireland.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 its territories and possessions, any state of the United States and the District of Columbia.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Veristat</w:t>
      </w:r>
      <w:r>
        <w:rPr>
          <w:rFonts w:ascii="Times New Roman" w:cs="Times New Roman" w:eastAsia="Times New Roman" w:hAnsi="Times New Roman"/>
          <w:sz w:val="18"/>
          <w:szCs w:val="18"/>
          <w:color w:val="auto"/>
        </w:rPr>
        <w:t>” means Veristat LLC.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Indenture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i w:val="1"/>
          <w:iCs w:val="1"/>
          <w:color w:val="auto"/>
        </w:rPr>
        <w:t>General Development of the Business – History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warrants to purchase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3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Name, Address and Incorporation</w:t>
      </w:r>
    </w:p>
    <w:p>
      <w:pPr>
        <w:spacing w:after="0" w:line="172"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8"/>
          <w:szCs w:val="18"/>
          <w:color w:val="auto"/>
        </w:rPr>
        <w:t>Cybin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was incorporated under the BCBCA on October 13, 2016 under the name “Clarmin Explorations Inc.”. On January 8, 2018, the Company completed its initial public offering of Common Shares, pursuant to which the Company issued 3,500,000 Common Shares at a price of $0.10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Common Share for gross proceeds of $350,000. The Common Shares were listed on the TSXV on January 8, 2018 under the symbol “CX”.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Subco was incorporated under the OBCA on June 26, 2020 for the purposes of effecting the Amalgamation.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 2020, in connection with the Transaction, Clarmin consolidated its outstanding Clarmin Shares on a 6.672 old for one (1) new basis (the</w:t>
      </w: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Upon closing of the Transaction, on November 5, 2020: (i) the Company (then Clarmin) and Cybin completed a series of transactions resulting in a reorganization of Cybin and the Company and pursuant to which the Company became the direct parent and sole shareholder of Cybin; (ii) the Company</w:t>
      </w:r>
    </w:p>
    <w:p>
      <w:pPr>
        <w:ind w:right="20"/>
        <w:spacing w:after="0" w:line="230" w:lineRule="auto"/>
        <w:rPr>
          <w:sz w:val="20"/>
          <w:szCs w:val="20"/>
          <w:color w:val="auto"/>
        </w:rPr>
      </w:pPr>
      <w:r>
        <w:rPr>
          <w:rFonts w:ascii="Times New Roman" w:cs="Times New Roman" w:eastAsia="Times New Roman" w:hAnsi="Times New Roman"/>
          <w:sz w:val="18"/>
          <w:szCs w:val="18"/>
          <w:color w:val="auto"/>
        </w:rPr>
        <w:t>changed its year end from July 31 to March 31; and (iii) the Company was continued under the OBCA by Certificate and Articles of Continuance and changed its name to “Cybin Inc.”</w:t>
      </w:r>
    </w:p>
    <w:p>
      <w:pPr>
        <w:spacing w:after="0" w:line="13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Transaction constituted a Reverse Takeover of the Company by Cybin, with Cybin as the reverse takeover acquirer and the Company as the reverse takeover acquiree, under applicable securities laws and for accounting purposes under IFRS.</w:t>
      </w:r>
    </w:p>
    <w:p>
      <w:pPr>
        <w:spacing w:after="0" w:line="14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 Clarmin Shares were listed on the TSXV until November 5, 2020 when they were delisted from the TSXV in connection with the completion of the Transaction. The Common Shares commenced trading on the Exchange on November 10, 2020, under the symbol “CYBN”.</w:t>
      </w:r>
    </w:p>
    <w:p>
      <w:pPr>
        <w:spacing w:after="0" w:line="14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On December 4, 2020, the Company entered into a contribution agreement, as amended on September 24, 2021 (the “</w:t>
      </w:r>
      <w:r>
        <w:rPr>
          <w:rFonts w:ascii="Times New Roman" w:cs="Times New Roman" w:eastAsia="Times New Roman" w:hAnsi="Times New Roman"/>
          <w:sz w:val="18"/>
          <w:szCs w:val="18"/>
          <w:b w:val="1"/>
          <w:bCs w:val="1"/>
          <w:color w:val="auto"/>
        </w:rPr>
        <w:t>Contribution Agreement</w:t>
      </w:r>
      <w:r>
        <w:rPr>
          <w:rFonts w:ascii="Times New Roman" w:cs="Times New Roman" w:eastAsia="Times New Roman" w:hAnsi="Times New Roman"/>
          <w:sz w:val="18"/>
          <w:szCs w:val="18"/>
          <w:color w:val="auto"/>
        </w:rPr>
        <w:t>”) with Cybin, Cybin U.S. and all of the shareholders (the “</w:t>
      </w:r>
      <w:r>
        <w:rPr>
          <w:rFonts w:ascii="Times New Roman" w:cs="Times New Roman" w:eastAsia="Times New Roman" w:hAnsi="Times New Roman"/>
          <w:sz w:val="18"/>
          <w:szCs w:val="18"/>
          <w:b w:val="1"/>
          <w:bCs w:val="1"/>
          <w:color w:val="auto"/>
        </w:rPr>
        <w:t>Adelia Shareholders</w:t>
      </w:r>
      <w:r>
        <w:rPr>
          <w:rFonts w:ascii="Times New Roman" w:cs="Times New Roman" w:eastAsia="Times New Roman" w:hAnsi="Times New Roman"/>
          <w:sz w:val="18"/>
          <w:szCs w:val="18"/>
          <w:color w:val="auto"/>
        </w:rPr>
        <w:t>”) of Adelia Therapeutics Inc. (“</w:t>
      </w:r>
      <w:r>
        <w:rPr>
          <w:rFonts w:ascii="Times New Roman" w:cs="Times New Roman" w:eastAsia="Times New Roman" w:hAnsi="Times New Roman"/>
          <w:sz w:val="18"/>
          <w:szCs w:val="18"/>
          <w:b w:val="1"/>
          <w:bCs w:val="1"/>
          <w:color w:val="auto"/>
        </w:rPr>
        <w:t>Adelia</w:t>
      </w:r>
      <w:r>
        <w:rPr>
          <w:rFonts w:ascii="Times New Roman" w:cs="Times New Roman" w:eastAsia="Times New Roman" w:hAnsi="Times New Roman"/>
          <w:sz w:val="18"/>
          <w:szCs w:val="18"/>
          <w:color w:val="auto"/>
        </w:rPr>
        <w:t>”) whereby Cybin U.S. agreed to purchase</w:t>
      </w:r>
    </w:p>
    <w:p>
      <w:pPr>
        <w:spacing w:after="0" w:line="213" w:lineRule="auto"/>
        <w:rPr>
          <w:sz w:val="20"/>
          <w:szCs w:val="20"/>
          <w:color w:val="auto"/>
        </w:rPr>
      </w:pPr>
      <w:r>
        <w:rPr>
          <w:rFonts w:ascii="Times New Roman" w:cs="Times New Roman" w:eastAsia="Times New Roman" w:hAnsi="Times New Roman"/>
          <w:sz w:val="18"/>
          <w:szCs w:val="18"/>
          <w:color w:val="auto"/>
        </w:rPr>
        <w:t>from the Adelia Shareholders all of the issued and outstanding Adelia shares in exchange for the Class B Shares (as defined herein) (the “</w:t>
      </w:r>
      <w:r>
        <w:rPr>
          <w:rFonts w:ascii="Times New Roman" w:cs="Times New Roman" w:eastAsia="Times New Roman" w:hAnsi="Times New Roman"/>
          <w:sz w:val="18"/>
          <w:szCs w:val="18"/>
          <w:b w:val="1"/>
          <w:bCs w:val="1"/>
          <w:color w:val="auto"/>
        </w:rPr>
        <w:t>Adelia</w:t>
      </w:r>
    </w:p>
    <w:p>
      <w:pPr>
        <w:ind w:right="20"/>
        <w:spacing w:after="0" w:line="222" w:lineRule="auto"/>
        <w:rPr>
          <w:sz w:val="20"/>
          <w:szCs w:val="20"/>
          <w:color w:val="auto"/>
        </w:rPr>
      </w:pP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 Adelia Transaction closed on December 14, 2020. For further information see “</w:t>
      </w:r>
      <w:r>
        <w:rPr>
          <w:rFonts w:ascii="Times New Roman" w:cs="Times New Roman" w:eastAsia="Times New Roman" w:hAnsi="Times New Roman"/>
          <w:sz w:val="18"/>
          <w:szCs w:val="18"/>
          <w:i w:val="1"/>
          <w:iCs w:val="1"/>
          <w:color w:val="auto"/>
        </w:rPr>
        <w:t>General Development of the Business –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registered office and head office is located at 100 King Street West, Suite 5600, Toronto, Ontario, M5X 1C9.</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Intercorporate Relationships</w:t>
      </w:r>
    </w:p>
    <w:p>
      <w:pPr>
        <w:spacing w:after="0" w:line="16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Cybin was incorporated under the OBCA on October 22, 2019. Pursuant to the Amalgamation, Cybin amalgamated with Subco to form Amalco under the name “Cybin Corp.”, which is a wholly-owned subsidiary of the Company.</w:t>
      </w:r>
    </w:p>
    <w:p>
      <w:pPr>
        <w:spacing w:after="0" w:line="143"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Natures Journey, a wholly-owned, subsidiary of the Company, was formed under the OBCA on November 6, 2019. All of the Company’s business operations pertaining to nutraceutical products are conducted through Natures Journey.</w:t>
      </w:r>
    </w:p>
    <w:p>
      <w:pPr>
        <w:spacing w:after="0" w:line="14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Serenity Life, a wholly-owned, subsidiary of the Company, was formed under the OBCA on November 6, 2019. Certain of the Company’s business operations pertaining to psilocybin research and development are conducted through Serenity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320" w:top="1434" w:right="319" w:bottom="1440" w:gutter="0" w:footer="0" w:header="0"/>
        </w:sectPr>
      </w:pPr>
    </w:p>
    <w:bookmarkStart w:id="21" w:name="page22"/>
    <w:bookmarkEnd w:id="21"/>
    <w:p>
      <w:pPr>
        <w:ind w:right="20"/>
        <w:spacing w:after="0" w:line="243" w:lineRule="auto"/>
        <w:rPr>
          <w:sz w:val="20"/>
          <w:szCs w:val="20"/>
          <w:color w:val="auto"/>
        </w:rPr>
      </w:pPr>
      <w:r>
        <w:rPr>
          <w:rFonts w:ascii="Times New Roman" w:cs="Times New Roman" w:eastAsia="Times New Roman" w:hAnsi="Times New Roman"/>
          <w:sz w:val="18"/>
          <w:szCs w:val="18"/>
          <w:color w:val="auto"/>
        </w:rPr>
        <w:t>Cybin U.S., a fully-controlled subsidiary of the Company, was formed under the law of the State of Nevada on December 4, 2020. Certain of the Company’s business operations pertaining to psilocybin research and development are conducted through Cybin U.S.</w:t>
      </w:r>
    </w:p>
    <w:p>
      <w:pPr>
        <w:spacing w:after="0" w:line="143"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Cybin Ireland, a wholly-owned subsidiary of the Company, was formed under the Companies Act of 2014 in the country of Ireland on May 6, 2021. In connection with the formation of Cybin Ireland, the Company transferred its intellectual property assets to this entity. Certain of the Company’s business</w:t>
      </w:r>
    </w:p>
    <w:p>
      <w:pPr>
        <w:spacing w:after="0" w:line="230" w:lineRule="auto"/>
        <w:rPr>
          <w:sz w:val="20"/>
          <w:szCs w:val="20"/>
          <w:color w:val="auto"/>
        </w:rPr>
      </w:pPr>
      <w:r>
        <w:rPr>
          <w:rFonts w:ascii="Times New Roman" w:cs="Times New Roman" w:eastAsia="Times New Roman" w:hAnsi="Times New Roman"/>
          <w:sz w:val="18"/>
          <w:szCs w:val="18"/>
          <w:color w:val="auto"/>
        </w:rPr>
        <w:t>operations, including European operations and research activities with various academic and clinical research organizations, are conducted through Cybin Ireland.</w:t>
      </w:r>
    </w:p>
    <w:p>
      <w:pPr>
        <w:spacing w:after="0" w:line="13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following chart sets out all the Company’s material subsidiaries as at the date hereof, their jurisdictions of incorporation and the Company’s direct and indirect voting interest in each of these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111760</wp:posOffset>
            </wp:positionV>
            <wp:extent cx="3103245" cy="3281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03245" cy="328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The Adelia Shareholders hold certain non-voting securities of Cybin U.S. For further information see “</w:t>
      </w:r>
      <w:r>
        <w:rPr>
          <w:rFonts w:ascii="Times New Roman" w:cs="Times New Roman" w:eastAsia="Times New Roman" w:hAnsi="Times New Roman"/>
          <w:sz w:val="13"/>
          <w:szCs w:val="13"/>
          <w:i w:val="1"/>
          <w:iCs w:val="1"/>
          <w:color w:val="auto"/>
        </w:rPr>
        <w:t>General Development of the Business – Significant Acquisitions and Dispositions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DEVELOPMENT OF THE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5, 2020, Cybin completed its Reverse Takeover of Clarmin pursuant to the terms of the Amalgamation Agreement. The Transaction was</w:t>
      </w:r>
    </w:p>
    <w:p>
      <w:pPr>
        <w:ind w:right="20"/>
        <w:spacing w:after="0" w:line="205" w:lineRule="auto"/>
        <w:rPr>
          <w:sz w:val="20"/>
          <w:szCs w:val="20"/>
          <w:color w:val="auto"/>
        </w:rPr>
      </w:pPr>
      <w:r>
        <w:rPr>
          <w:rFonts w:ascii="Times New Roman" w:cs="Times New Roman" w:eastAsia="Times New Roman" w:hAnsi="Times New Roman"/>
          <w:sz w:val="18"/>
          <w:szCs w:val="18"/>
          <w:color w:val="auto"/>
        </w:rPr>
        <w:t>completed by way of a “three-cornered” amalgamation pursuant to the provisions of the OBCA whereby Cybin amalgamated with SubCo to form an amalgamated corporation and a wholly owned subsidiary of the Company. With the completion of the Transaction the Common Shares became listed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on the Exchange under the trading symbol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60"/>
          </w:cols>
          <w:pgMar w:left="320" w:top="1438" w:right="319" w:bottom="1440" w:gutter="0" w:footer="0" w:header="0"/>
        </w:sectPr>
      </w:pPr>
    </w:p>
    <w:bookmarkStart w:id="22" w:name="page23"/>
    <w:bookmarkEnd w:id="22"/>
    <w:p>
      <w:pPr>
        <w:ind w:left="2"/>
        <w:spacing w:after="0"/>
        <w:rPr>
          <w:sz w:val="20"/>
          <w:szCs w:val="20"/>
          <w:color w:val="auto"/>
        </w:rPr>
      </w:pPr>
      <w:r>
        <w:rPr>
          <w:rFonts w:ascii="Times New Roman" w:cs="Times New Roman" w:eastAsia="Times New Roman" w:hAnsi="Times New Roman"/>
          <w:sz w:val="18"/>
          <w:szCs w:val="18"/>
          <w:color w:val="auto"/>
        </w:rPr>
        <w:t>CYBN and were delisted from the facilities of the TSXV. In connection with the completion of the Transaction:</w:t>
      </w:r>
    </w:p>
    <w:p>
      <w:pPr>
        <w:spacing w:after="0" w:line="172" w:lineRule="exact"/>
        <w:rPr>
          <w:sz w:val="20"/>
          <w:szCs w:val="20"/>
          <w:color w:val="auto"/>
        </w:rPr>
      </w:pPr>
    </w:p>
    <w:p>
      <w:pPr>
        <w:jc w:val="both"/>
        <w:ind w:left="1182" w:right="20" w:hanging="596"/>
        <w:spacing w:after="0" w:line="227" w:lineRule="auto"/>
        <w:tabs>
          <w:tab w:leader="none" w:pos="11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all of the common shares of Cybin from the holders thereof in exchange for the issuance of Common Shares (on a post-Consolidation basis) on a one-for-one basis, and all existing convertible securities of Cybin became convertible or exercisable into Common Shares rather than into Cybin Shares;</w:t>
      </w:r>
    </w:p>
    <w:p>
      <w:pPr>
        <w:spacing w:after="0" w:line="145" w:lineRule="exact"/>
        <w:rPr>
          <w:rFonts w:ascii="Times New Roman" w:cs="Times New Roman" w:eastAsia="Times New Roman" w:hAnsi="Times New Roman"/>
          <w:sz w:val="18"/>
          <w:szCs w:val="18"/>
          <w:color w:val="auto"/>
        </w:rPr>
      </w:pPr>
    </w:p>
    <w:p>
      <w:pPr>
        <w:ind w:left="1162" w:hanging="576"/>
        <w:spacing w:after="0"/>
        <w:tabs>
          <w:tab w:leader="none" w:pos="11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continued to the OBCA from the BCBCA and changed its name to “Cybin Inc.”;</w:t>
      </w:r>
    </w:p>
    <w:p>
      <w:pPr>
        <w:spacing w:after="0" w:line="171" w:lineRule="exact"/>
        <w:rPr>
          <w:rFonts w:ascii="Times New Roman" w:cs="Times New Roman" w:eastAsia="Times New Roman" w:hAnsi="Times New Roman"/>
          <w:sz w:val="18"/>
          <w:szCs w:val="18"/>
          <w:color w:val="auto"/>
        </w:rPr>
      </w:pPr>
    </w:p>
    <w:p>
      <w:pPr>
        <w:ind w:left="1162" w:hanging="576"/>
        <w:spacing w:after="0"/>
        <w:tabs>
          <w:tab w:leader="none" w:pos="11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 officers of the Company resigned and were replaced with nominees of Cybin;</w:t>
      </w:r>
    </w:p>
    <w:p>
      <w:pPr>
        <w:spacing w:after="0" w:line="159" w:lineRule="exact"/>
        <w:rPr>
          <w:rFonts w:ascii="Times New Roman" w:cs="Times New Roman" w:eastAsia="Times New Roman" w:hAnsi="Times New Roman"/>
          <w:sz w:val="18"/>
          <w:szCs w:val="18"/>
          <w:color w:val="auto"/>
        </w:rPr>
      </w:pPr>
    </w:p>
    <w:p>
      <w:pPr>
        <w:ind w:left="1162" w:hanging="576"/>
        <w:spacing w:after="0"/>
        <w:tabs>
          <w:tab w:leader="none" w:pos="11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year end of the Company became March 31, being the financial year end of Cybin;</w:t>
      </w:r>
    </w:p>
    <w:p>
      <w:pPr>
        <w:spacing w:after="0" w:line="171" w:lineRule="exact"/>
        <w:rPr>
          <w:rFonts w:ascii="Times New Roman" w:cs="Times New Roman" w:eastAsia="Times New Roman" w:hAnsi="Times New Roman"/>
          <w:sz w:val="18"/>
          <w:szCs w:val="18"/>
          <w:color w:val="auto"/>
        </w:rPr>
      </w:pPr>
    </w:p>
    <w:p>
      <w:pPr>
        <w:ind w:left="1162" w:hanging="576"/>
        <w:spacing w:after="0"/>
        <w:tabs>
          <w:tab w:leader="none" w:pos="11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Zeifmans LLP, being the auditor of Cybin, was appointed as the auditor of the Company; and</w:t>
      </w:r>
    </w:p>
    <w:p>
      <w:pPr>
        <w:spacing w:after="0" w:line="171" w:lineRule="exact"/>
        <w:rPr>
          <w:rFonts w:ascii="Times New Roman" w:cs="Times New Roman" w:eastAsia="Times New Roman" w:hAnsi="Times New Roman"/>
          <w:sz w:val="18"/>
          <w:szCs w:val="18"/>
          <w:color w:val="auto"/>
        </w:rPr>
      </w:pPr>
    </w:p>
    <w:p>
      <w:pPr>
        <w:ind w:left="1162" w:hanging="576"/>
        <w:spacing w:after="0"/>
        <w:tabs>
          <w:tab w:leader="none" w:pos="11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Cybin became a wholly-owned subsidiary of the Company and the business of Cybin became the business of the Company.</w:t>
      </w:r>
    </w:p>
    <w:p>
      <w:pPr>
        <w:spacing w:after="0" w:line="160" w:lineRule="exact"/>
        <w:rPr>
          <w:sz w:val="20"/>
          <w:szCs w:val="20"/>
          <w:color w:val="auto"/>
        </w:rPr>
      </w:pPr>
    </w:p>
    <w:p>
      <w:pPr>
        <w:jc w:val="both"/>
        <w:ind w:left="2" w:right="20"/>
        <w:spacing w:after="0" w:line="243" w:lineRule="auto"/>
        <w:rPr>
          <w:sz w:val="20"/>
          <w:szCs w:val="20"/>
          <w:color w:val="auto"/>
        </w:rPr>
      </w:pPr>
      <w:r>
        <w:rPr>
          <w:rFonts w:ascii="Times New Roman" w:cs="Times New Roman" w:eastAsia="Times New Roman" w:hAnsi="Times New Roman"/>
          <w:sz w:val="18"/>
          <w:szCs w:val="18"/>
          <w:color w:val="auto"/>
        </w:rPr>
        <w:t>Additional details regarding the Transaction and the business of the Company can be found in the Listing Statement as filed on SEDAR on November 9, 2020.</w:t>
      </w:r>
    </w:p>
    <w:p>
      <w:pPr>
        <w:spacing w:after="0" w:line="14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u w:val="single" w:color="auto"/>
          <w:color w:val="auto"/>
        </w:rPr>
        <w:t>History of the Company</w:t>
      </w:r>
      <w:r>
        <w:rPr>
          <w:rFonts w:ascii="Times New Roman" w:cs="Times New Roman" w:eastAsia="Times New Roman" w:hAnsi="Times New Roman"/>
          <w:sz w:val="23"/>
          <w:szCs w:val="23"/>
          <w:b w:val="1"/>
          <w:bCs w:val="1"/>
          <w:u w:val="single" w:color="auto"/>
          <w:color w:val="auto"/>
          <w:vertAlign w:val="superscript"/>
        </w:rPr>
        <w:t>1</w:t>
      </w:r>
    </w:p>
    <w:p>
      <w:pPr>
        <w:spacing w:after="0" w:line="126" w:lineRule="exact"/>
        <w:rPr>
          <w:sz w:val="20"/>
          <w:szCs w:val="20"/>
          <w:color w:val="auto"/>
        </w:rPr>
      </w:pPr>
    </w:p>
    <w:p>
      <w:pPr>
        <w:jc w:val="both"/>
        <w:ind w:left="2" w:right="20"/>
        <w:spacing w:after="0" w:line="224" w:lineRule="auto"/>
        <w:rPr>
          <w:sz w:val="20"/>
          <w:szCs w:val="20"/>
          <w:color w:val="auto"/>
        </w:rPr>
      </w:pPr>
      <w:r>
        <w:rPr>
          <w:rFonts w:ascii="Times New Roman" w:cs="Times New Roman" w:eastAsia="Times New Roman" w:hAnsi="Times New Roman"/>
          <w:sz w:val="18"/>
          <w:szCs w:val="18"/>
          <w:color w:val="auto"/>
        </w:rPr>
        <w:t>The Company was incorporated under the BCBCA on October 13, 2016. Prior to the Transaction, the Company was engaged in the exploration and development of mineral properties in Canada. On January 8, 2018, the Company completed its initial public offering of the Common Shares. The Company</w:t>
      </w:r>
    </w:p>
    <w:p>
      <w:pPr>
        <w:jc w:val="both"/>
        <w:ind w:left="2"/>
        <w:spacing w:after="0" w:line="222" w:lineRule="auto"/>
        <w:rPr>
          <w:sz w:val="20"/>
          <w:szCs w:val="20"/>
          <w:color w:val="auto"/>
        </w:rPr>
      </w:pPr>
      <w:r>
        <w:rPr>
          <w:rFonts w:ascii="Times New Roman" w:cs="Times New Roman" w:eastAsia="Times New Roman" w:hAnsi="Times New Roman"/>
          <w:sz w:val="18"/>
          <w:szCs w:val="18"/>
          <w:color w:val="auto"/>
        </w:rPr>
        <w:t>issued 3,500,000 Common Shares at a price of $0.10 per share for gross proceeds of $350,000. The Common Shares were listed on the TSXV on January 8, 2018 under the symbol “CX”.</w:t>
      </w:r>
    </w:p>
    <w:p>
      <w:pPr>
        <w:spacing w:after="0" w:line="14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On January 28, 2020, Cybin entered into an agreement with the Canadian Centre for Psychedelic Science (the “</w:t>
      </w:r>
      <w:r>
        <w:rPr>
          <w:rFonts w:ascii="Times New Roman" w:cs="Times New Roman" w:eastAsia="Times New Roman" w:hAnsi="Times New Roman"/>
          <w:sz w:val="18"/>
          <w:szCs w:val="18"/>
          <w:b w:val="1"/>
          <w:bCs w:val="1"/>
          <w:color w:val="auto"/>
        </w:rPr>
        <w:t>CCPS Agreement</w:t>
      </w:r>
      <w:r>
        <w:rPr>
          <w:rFonts w:ascii="Times New Roman" w:cs="Times New Roman" w:eastAsia="Times New Roman" w:hAnsi="Times New Roman"/>
          <w:sz w:val="18"/>
          <w:szCs w:val="18"/>
          <w:color w:val="auto"/>
        </w:rPr>
        <w:t>”) to act as an exclusive</w:t>
      </w:r>
    </w:p>
    <w:p>
      <w:pPr>
        <w:jc w:val="both"/>
        <w:ind w:left="2"/>
        <w:spacing w:after="0" w:line="217" w:lineRule="auto"/>
        <w:rPr>
          <w:sz w:val="20"/>
          <w:szCs w:val="20"/>
          <w:color w:val="auto"/>
        </w:rPr>
      </w:pPr>
      <w:r>
        <w:rPr>
          <w:rFonts w:ascii="Times New Roman" w:cs="Times New Roman" w:eastAsia="Times New Roman" w:hAnsi="Times New Roman"/>
          <w:sz w:val="17"/>
          <w:szCs w:val="17"/>
          <w:color w:val="auto"/>
        </w:rPr>
        <w:t>advisor to Cybin and to progress certain clinical trials and treatment protocols. Under the CCPS Agreement, the Company is provided with early access to any data from psychedelic studies and research the Canadian Centre for Psychedelic Science conducts, including a study to determine the safety and efficacy</w:t>
      </w:r>
    </w:p>
    <w:p>
      <w:pPr>
        <w:ind w:left="2"/>
        <w:spacing w:after="0" w:line="213" w:lineRule="auto"/>
        <w:rPr>
          <w:sz w:val="20"/>
          <w:szCs w:val="20"/>
          <w:color w:val="auto"/>
        </w:rPr>
      </w:pPr>
      <w:r>
        <w:rPr>
          <w:rFonts w:ascii="Times New Roman" w:cs="Times New Roman" w:eastAsia="Times New Roman" w:hAnsi="Times New Roman"/>
          <w:sz w:val="18"/>
          <w:szCs w:val="18"/>
          <w:color w:val="auto"/>
        </w:rPr>
        <w:t>of psilocybin-based microdosing through a Canadian and European clinical study which could lead to a Company owned and funded clinical trial targeting</w:t>
      </w:r>
    </w:p>
    <w:p>
      <w:pPr>
        <w:jc w:val="both"/>
        <w:ind w:left="2" w:right="20"/>
        <w:spacing w:after="0" w:line="205" w:lineRule="auto"/>
        <w:rPr>
          <w:sz w:val="20"/>
          <w:szCs w:val="20"/>
          <w:color w:val="auto"/>
        </w:rPr>
      </w:pPr>
      <w:r>
        <w:rPr>
          <w:rFonts w:ascii="Times New Roman" w:cs="Times New Roman" w:eastAsia="Times New Roman" w:hAnsi="Times New Roman"/>
          <w:sz w:val="18"/>
          <w:szCs w:val="18"/>
          <w:color w:val="auto"/>
        </w:rPr>
        <w:t>anxiety, ADHD and overall cognitive flexibility. This study aims to become the first Health Canada approved study to determine the safety and efficacy of microdosing psilocybin. On April 6, 2021, 2021, the Company provided notice to Canadian Centre for Psychedelic Science of its decision to terminate the</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CCPS Agreement.</w:t>
      </w:r>
    </w:p>
    <w:p>
      <w:pPr>
        <w:spacing w:after="0" w:line="148" w:lineRule="exact"/>
        <w:rPr>
          <w:sz w:val="20"/>
          <w:szCs w:val="20"/>
          <w:color w:val="auto"/>
        </w:rPr>
      </w:pPr>
    </w:p>
    <w:p>
      <w:pPr>
        <w:jc w:val="both"/>
        <w:ind w:left="2" w:right="20"/>
        <w:spacing w:after="0" w:line="216" w:lineRule="auto"/>
        <w:rPr>
          <w:sz w:val="20"/>
          <w:szCs w:val="20"/>
          <w:color w:val="auto"/>
        </w:rPr>
      </w:pPr>
      <w:r>
        <w:rPr>
          <w:rFonts w:ascii="Times New Roman" w:cs="Times New Roman" w:eastAsia="Times New Roman" w:hAnsi="Times New Roman"/>
          <w:sz w:val="18"/>
          <w:szCs w:val="18"/>
          <w:color w:val="auto"/>
        </w:rPr>
        <w:t>On May 15, 2020, Cybin entered into an agreement with Maypro Industries LLC (“</w:t>
      </w:r>
      <w:r>
        <w:rPr>
          <w:rFonts w:ascii="Times New Roman" w:cs="Times New Roman" w:eastAsia="Times New Roman" w:hAnsi="Times New Roman"/>
          <w:sz w:val="18"/>
          <w:szCs w:val="18"/>
          <w:b w:val="1"/>
          <w:bCs w:val="1"/>
          <w:color w:val="auto"/>
        </w:rPr>
        <w:t>Maypro</w:t>
      </w:r>
      <w:r>
        <w:rPr>
          <w:rFonts w:ascii="Times New Roman" w:cs="Times New Roman" w:eastAsia="Times New Roman" w:hAnsi="Times New Roman"/>
          <w:sz w:val="18"/>
          <w:szCs w:val="18"/>
          <w:color w:val="auto"/>
        </w:rPr>
        <w:t>”) to acquire exclusive rights for formulations using Active Hexose Correlated Compound which is one of the world’s most researched specialty immune supplements supported by 20 human clinical studies, by over</w:t>
      </w:r>
    </w:p>
    <w:p>
      <w:pPr>
        <w:jc w:val="both"/>
        <w:ind w:left="2" w:right="20"/>
        <w:spacing w:after="0" w:line="204" w:lineRule="auto"/>
        <w:rPr>
          <w:sz w:val="20"/>
          <w:szCs w:val="20"/>
          <w:color w:val="auto"/>
        </w:rPr>
      </w:pPr>
      <w:r>
        <w:rPr>
          <w:rFonts w:ascii="Times New Roman" w:cs="Times New Roman" w:eastAsia="Times New Roman" w:hAnsi="Times New Roman"/>
          <w:sz w:val="18"/>
          <w:szCs w:val="18"/>
          <w:color w:val="auto"/>
        </w:rPr>
        <w:t>30 papers published in PubMed-indexed journals and by more than 100 pre-clinical and in vitro studies.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On April 15, 2022, the Company provided notice of its decision to terminate its agreement with Maypro..</w:t>
      </w:r>
    </w:p>
    <w:p>
      <w:pPr>
        <w:spacing w:after="0" w:line="130" w:lineRule="exact"/>
        <w:rPr>
          <w:sz w:val="20"/>
          <w:szCs w:val="20"/>
          <w:color w:val="auto"/>
        </w:rPr>
      </w:pPr>
    </w:p>
    <w:p>
      <w:pPr>
        <w:jc w:val="both"/>
        <w:ind w:left="2" w:right="20"/>
        <w:spacing w:after="0" w:line="233" w:lineRule="auto"/>
        <w:rPr>
          <w:sz w:val="20"/>
          <w:szCs w:val="20"/>
          <w:color w:val="auto"/>
        </w:rPr>
      </w:pPr>
      <w:r>
        <w:rPr>
          <w:rFonts w:ascii="Times New Roman" w:cs="Times New Roman" w:eastAsia="Times New Roman" w:hAnsi="Times New Roman"/>
          <w:sz w:val="18"/>
          <w:szCs w:val="18"/>
          <w:color w:val="auto"/>
        </w:rPr>
        <w:t>On June 24, 2020, Cybin entered into a professional services agreement (the “</w:t>
      </w:r>
      <w:r>
        <w:rPr>
          <w:rFonts w:ascii="Times New Roman" w:cs="Times New Roman" w:eastAsia="Times New Roman" w:hAnsi="Times New Roman"/>
          <w:sz w:val="18"/>
          <w:szCs w:val="18"/>
          <w:b w:val="1"/>
          <w:bCs w:val="1"/>
          <w:color w:val="auto"/>
        </w:rPr>
        <w:t>Smart Medicines Agreement</w:t>
      </w:r>
      <w:r>
        <w:rPr>
          <w:rFonts w:ascii="Times New Roman" w:cs="Times New Roman" w:eastAsia="Times New Roman" w:hAnsi="Times New Roman"/>
          <w:sz w:val="18"/>
          <w:szCs w:val="18"/>
          <w:color w:val="auto"/>
        </w:rPr>
        <w:t>”) with Smart Medicines GMP Inc. (“</w:t>
      </w:r>
      <w:r>
        <w:rPr>
          <w:rFonts w:ascii="Times New Roman" w:cs="Times New Roman" w:eastAsia="Times New Roman" w:hAnsi="Times New Roman"/>
          <w:sz w:val="18"/>
          <w:szCs w:val="18"/>
          <w:b w:val="1"/>
          <w:bCs w:val="1"/>
          <w:color w:val="auto"/>
        </w:rPr>
        <w:t>Smart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Medicines</w:t>
      </w:r>
      <w:r>
        <w:rPr>
          <w:rFonts w:ascii="Times New Roman" w:cs="Times New Roman" w:eastAsia="Times New Roman" w:hAnsi="Times New Roman"/>
          <w:sz w:val="18"/>
          <w:szCs w:val="18"/>
          <w:color w:val="auto"/>
        </w:rPr>
        <w:t>”) whereby Smart Medicines would provide research and development of proprietary drug formulations and natural health products. Smart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Medicines was also engaged to create a drug master file of synthetic API and novel compounds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15519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165" w:lineRule="exact"/>
        <w:rPr>
          <w:sz w:val="20"/>
          <w:szCs w:val="20"/>
          <w:color w:val="auto"/>
        </w:rPr>
      </w:pPr>
    </w:p>
    <w:p>
      <w:pPr>
        <w:ind w:left="82" w:hanging="82"/>
        <w:spacing w:after="0"/>
        <w:tabs>
          <w:tab w:leader="none" w:pos="82"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quarter references in this section are based on calendar year-end.</w:t>
      </w:r>
    </w:p>
    <w:p>
      <w:pPr>
        <w:ind w:left="2"/>
        <w:spacing w:after="0" w:line="235"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https://www.ahcc.net/.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62"/>
          </w:cols>
          <w:pgMar w:left="318" w:top="1438" w:right="319" w:bottom="1440" w:gutter="0" w:footer="0" w:header="0"/>
        </w:sectPr>
      </w:pPr>
    </w:p>
    <w:bookmarkStart w:id="23" w:name="page24"/>
    <w:bookmarkEnd w:id="23"/>
    <w:p>
      <w:pPr>
        <w:ind w:right="20"/>
        <w:spacing w:after="0" w:line="226" w:lineRule="auto"/>
        <w:rPr>
          <w:sz w:val="20"/>
          <w:szCs w:val="20"/>
          <w:color w:val="auto"/>
        </w:rPr>
      </w:pP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color w:val="auto"/>
        </w:rPr>
        <w:t>Deliverables</w:t>
      </w:r>
      <w:r>
        <w:rPr>
          <w:rFonts w:ascii="Times New Roman" w:cs="Times New Roman" w:eastAsia="Times New Roman" w:hAnsi="Times New Roman"/>
          <w:sz w:val="18"/>
          <w:szCs w:val="18"/>
          <w:color w:val="auto"/>
        </w:rPr>
        <w:t>”). Pursuant to the Smart Medicines Agreement, any intellectual property developed is exclusively owned by the Company. Ongoing COVID-19 restrictions in the Province of Quebec resulted in the frustration of the contract with Smart Medicines being unable to provide the</w:t>
      </w:r>
    </w:p>
    <w:p>
      <w:pPr>
        <w:spacing w:after="0" w:line="1"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18"/>
          <w:szCs w:val="18"/>
          <w:color w:val="auto"/>
        </w:rPr>
        <w:t>Deliverables to the Company. On January 11, 2021, the Company provided the requisite 30-days notice to Smart Medicines of its decision to terminate the Smart Medicines Agreement. With the acquisition of Adelia, the Company secured an alternative to the Deliverables and now has in-house ability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 molecules which can be scaled to GMP quantities.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26, 2020, the Company entered into the Amalgamation Agreement with Cybin and Subco in connection with the Transaction.</w:t>
      </w:r>
    </w:p>
    <w:p>
      <w:pPr>
        <w:spacing w:after="0" w:line="15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On June 30, 2020, Cybin entered into a supply agreement (the “</w:t>
      </w:r>
      <w:r>
        <w:rPr>
          <w:rFonts w:ascii="Times New Roman" w:cs="Times New Roman" w:eastAsia="Times New Roman" w:hAnsi="Times New Roman"/>
          <w:sz w:val="17"/>
          <w:szCs w:val="17"/>
          <w:b w:val="1"/>
          <w:bCs w:val="1"/>
          <w:color w:val="auto"/>
        </w:rPr>
        <w:t>Supply Agreement</w:t>
      </w:r>
      <w:r>
        <w:rPr>
          <w:rFonts w:ascii="Times New Roman" w:cs="Times New Roman" w:eastAsia="Times New Roman" w:hAnsi="Times New Roman"/>
          <w:sz w:val="17"/>
          <w:szCs w:val="17"/>
          <w:color w:val="auto"/>
        </w:rPr>
        <w:t>”) with an active pharmaceutical ingredient provider in the United States (the “</w:t>
      </w:r>
      <w:r>
        <w:rPr>
          <w:rFonts w:ascii="Times New Roman" w:cs="Times New Roman" w:eastAsia="Times New Roman" w:hAnsi="Times New Roman"/>
          <w:sz w:val="17"/>
          <w:szCs w:val="17"/>
          <w:b w:val="1"/>
          <w:bCs w:val="1"/>
          <w:color w:val="auto"/>
        </w:rPr>
        <w:t>Pharmaceutical Ingredient Provider</w:t>
      </w:r>
      <w:r>
        <w:rPr>
          <w:rFonts w:ascii="Times New Roman" w:cs="Times New Roman" w:eastAsia="Times New Roman" w:hAnsi="Times New Roman"/>
          <w:sz w:val="17"/>
          <w:szCs w:val="17"/>
          <w:color w:val="auto"/>
        </w:rPr>
        <w:t>”). Pursuant to the Supply Agreement, the Pharmaceutical Ingredient Provider agreed to supply to the Company</w:t>
      </w:r>
    </w:p>
    <w:p>
      <w:pPr>
        <w:spacing w:after="0" w:line="1"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18"/>
          <w:szCs w:val="18"/>
          <w:color w:val="auto"/>
        </w:rPr>
        <w:t>pharmaceutical 25g API produced under current Good Manufacturing Practices (“</w:t>
      </w:r>
      <w:r>
        <w:rPr>
          <w:rFonts w:ascii="Times New Roman" w:cs="Times New Roman" w:eastAsia="Times New Roman" w:hAnsi="Times New Roman"/>
          <w:sz w:val="18"/>
          <w:szCs w:val="18"/>
          <w:b w:val="1"/>
          <w:bCs w:val="1"/>
          <w:color w:val="auto"/>
        </w:rPr>
        <w:t>cGMP</w:t>
      </w:r>
      <w:r>
        <w:rPr>
          <w:rFonts w:ascii="Times New Roman" w:cs="Times New Roman" w:eastAsia="Times New Roman" w:hAnsi="Times New Roman"/>
          <w:sz w:val="18"/>
          <w:szCs w:val="18"/>
          <w:color w:val="auto"/>
        </w:rPr>
        <w:t>”) conditions. The Company will use such API for research and development purposes in connection with the Sublingual Film development pursuant to the IntelGenx Agreement. Moreover, the API can be shipped to any</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academic or research facility with a drug establishment license, which is subject to receipt of all necessary approvals. The Pharmaceutical Ingredient Provider also has partnerships with several academic institutions.</w:t>
      </w:r>
    </w:p>
    <w:p>
      <w:pPr>
        <w:spacing w:after="0" w:line="129"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On July 3, 2020, Cybin entered into a feasibility agreement (the “</w:t>
      </w:r>
      <w:r>
        <w:rPr>
          <w:rFonts w:ascii="Times New Roman" w:cs="Times New Roman" w:eastAsia="Times New Roman" w:hAnsi="Times New Roman"/>
          <w:sz w:val="18"/>
          <w:szCs w:val="18"/>
          <w:b w:val="1"/>
          <w:bCs w:val="1"/>
          <w:color w:val="auto"/>
        </w:rPr>
        <w:t>IntelGenx Agreement</w:t>
      </w:r>
      <w:r>
        <w:rPr>
          <w:rFonts w:ascii="Times New Roman" w:cs="Times New Roman" w:eastAsia="Times New Roman" w:hAnsi="Times New Roman"/>
          <w:sz w:val="18"/>
          <w:szCs w:val="18"/>
          <w:color w:val="auto"/>
        </w:rPr>
        <w:t>”) with IntelGenx Corp. (“</w:t>
      </w:r>
      <w:r>
        <w:rPr>
          <w:rFonts w:ascii="Times New Roman" w:cs="Times New Roman" w:eastAsia="Times New Roman" w:hAnsi="Times New Roman"/>
          <w:sz w:val="18"/>
          <w:szCs w:val="18"/>
          <w:b w:val="1"/>
          <w:bCs w:val="1"/>
          <w:color w:val="auto"/>
        </w:rPr>
        <w:t>IntelGenx</w:t>
      </w:r>
      <w:r>
        <w:rPr>
          <w:rFonts w:ascii="Times New Roman" w:cs="Times New Roman" w:eastAsia="Times New Roman" w:hAnsi="Times New Roman"/>
          <w:sz w:val="18"/>
          <w:szCs w:val="18"/>
          <w:color w:val="auto"/>
        </w:rPr>
        <w:t>”). IntelGenx is a TSX listed drug delivery company that owns patented and trade secret proprietary technology related to film-based drug delivery systems, including orally soluble film</w:t>
      </w:r>
    </w:p>
    <w:p>
      <w:pPr>
        <w:spacing w:after="0" w:line="1"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18"/>
          <w:szCs w:val="18"/>
          <w:color w:val="auto"/>
        </w:rPr>
        <w:t>strips containing active pharmaceutical ingredients. Pursuant to the IntelGenx Agreement, IntelGenx has the sole and exclusive right to manufacture the Sublingual Film. IntelGenx is equipped with state-of-the-art operating lines offering great flexibility to design customized-film products with volumes</w:t>
      </w:r>
    </w:p>
    <w:p>
      <w:pPr>
        <w:spacing w:after="0" w:line="1"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ranging from R&amp;D test quantities to millions of commercial film units. Pursuant to the IntelGenx Agreement, the Company has worldwide commercialization rights for the Sublingual Film.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15, 2020, the Company entered into an agreement with 1257172 B.C. LTD. to dispose of all of its mining assets and related liabilities (the</w:t>
      </w:r>
    </w:p>
    <w:p>
      <w:pPr>
        <w:ind w:right="20"/>
        <w:spacing w:after="0" w:line="22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Clarmin Disposition</w:t>
      </w:r>
      <w:r>
        <w:rPr>
          <w:rFonts w:ascii="Times New Roman" w:cs="Times New Roman" w:eastAsia="Times New Roman" w:hAnsi="Times New Roman"/>
          <w:sz w:val="18"/>
          <w:szCs w:val="18"/>
          <w:color w:val="auto"/>
        </w:rPr>
        <w:t>”). On August 13, 2020, at the annual and special shareholders meeting of the Company, the shareholders approved the Clarmin Disposition, including the disposition of the 100% interest in the Benton Property. The Clarmin Disposition closed on November 4,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19, 2020, Cybin completed a brokered private placement offering of an aggregate of 60,000,000 subscription receipts (the “</w:t>
      </w:r>
      <w:r>
        <w:rPr>
          <w:rFonts w:ascii="Times New Roman" w:cs="Times New Roman" w:eastAsia="Times New Roman" w:hAnsi="Times New Roman"/>
          <w:sz w:val="18"/>
          <w:szCs w:val="18"/>
          <w:b w:val="1"/>
          <w:bCs w:val="1"/>
          <w:color w:val="auto"/>
        </w:rPr>
        <w:t>Subscription</w:t>
      </w:r>
    </w:p>
    <w:p>
      <w:pPr>
        <w:jc w:val="both"/>
        <w:ind w:right="20"/>
        <w:spacing w:after="0" w:line="217" w:lineRule="auto"/>
        <w:rPr>
          <w:sz w:val="20"/>
          <w:szCs w:val="20"/>
          <w:color w:val="auto"/>
        </w:rPr>
      </w:pPr>
      <w:r>
        <w:rPr>
          <w:rFonts w:ascii="Times New Roman" w:cs="Times New Roman" w:eastAsia="Times New Roman" w:hAnsi="Times New Roman"/>
          <w:sz w:val="17"/>
          <w:szCs w:val="17"/>
          <w:b w:val="1"/>
          <w:bCs w:val="1"/>
          <w:color w:val="auto"/>
        </w:rPr>
        <w:t>Receipts</w:t>
      </w:r>
      <w:r>
        <w:rPr>
          <w:rFonts w:ascii="Times New Roman" w:cs="Times New Roman" w:eastAsia="Times New Roman" w:hAnsi="Times New Roman"/>
          <w:sz w:val="17"/>
          <w:szCs w:val="17"/>
          <w:color w:val="auto"/>
        </w:rPr>
        <w:t>”) at a price of $0.75 per Subscription Receipt for aggregate gross proceeds of $45 million (the “</w:t>
      </w:r>
      <w:r>
        <w:rPr>
          <w:rFonts w:ascii="Times New Roman" w:cs="Times New Roman" w:eastAsia="Times New Roman" w:hAnsi="Times New Roman"/>
          <w:sz w:val="17"/>
          <w:szCs w:val="17"/>
          <w:b w:val="1"/>
          <w:bCs w:val="1"/>
          <w:color w:val="auto"/>
        </w:rPr>
        <w:t>Cybin Private Placement</w:t>
      </w:r>
      <w:r>
        <w:rPr>
          <w:rFonts w:ascii="Times New Roman" w:cs="Times New Roman" w:eastAsia="Times New Roman" w:hAnsi="Times New Roman"/>
          <w:sz w:val="17"/>
          <w:szCs w:val="17"/>
          <w:color w:val="auto"/>
        </w:rPr>
        <w:t>”). The Cybin Private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Placement was completed pursuant to an agency agreement (the “</w:t>
      </w:r>
      <w:r>
        <w:rPr>
          <w:rFonts w:ascii="Times New Roman" w:cs="Times New Roman" w:eastAsia="Times New Roman" w:hAnsi="Times New Roman"/>
          <w:sz w:val="17"/>
          <w:szCs w:val="17"/>
          <w:b w:val="1"/>
          <w:bCs w:val="1"/>
          <w:color w:val="auto"/>
        </w:rPr>
        <w:t>Agency Agreement</w:t>
      </w:r>
      <w:r>
        <w:rPr>
          <w:rFonts w:ascii="Times New Roman" w:cs="Times New Roman" w:eastAsia="Times New Roman" w:hAnsi="Times New Roman"/>
          <w:sz w:val="17"/>
          <w:szCs w:val="17"/>
          <w:color w:val="auto"/>
        </w:rPr>
        <w:t>”) among Cybin, Clarmin, Stifel Nicolaus Canada Inc. (“</w:t>
      </w:r>
      <w:r>
        <w:rPr>
          <w:rFonts w:ascii="Times New Roman" w:cs="Times New Roman" w:eastAsia="Times New Roman" w:hAnsi="Times New Roman"/>
          <w:sz w:val="17"/>
          <w:szCs w:val="17"/>
          <w:b w:val="1"/>
          <w:bCs w:val="1"/>
          <w:color w:val="auto"/>
        </w:rPr>
        <w:t>Stifel GMP</w:t>
      </w:r>
      <w:r>
        <w:rPr>
          <w:rFonts w:ascii="Times New Roman" w:cs="Times New Roman" w:eastAsia="Times New Roman" w:hAnsi="Times New Roman"/>
          <w:sz w:val="17"/>
          <w:szCs w:val="17"/>
          <w:color w:val="auto"/>
        </w:rPr>
        <w:t>”)</w:t>
      </w:r>
    </w:p>
    <w:p>
      <w:pPr>
        <w:spacing w:after="0" w:line="213" w:lineRule="auto"/>
        <w:rPr>
          <w:sz w:val="20"/>
          <w:szCs w:val="20"/>
          <w:color w:val="auto"/>
        </w:rPr>
      </w:pPr>
      <w:r>
        <w:rPr>
          <w:rFonts w:ascii="Times New Roman" w:cs="Times New Roman" w:eastAsia="Times New Roman" w:hAnsi="Times New Roman"/>
          <w:sz w:val="18"/>
          <w:szCs w:val="18"/>
          <w:color w:val="auto"/>
        </w:rPr>
        <w:t>and Eight Capital (together with Stifel GMP, the “</w:t>
      </w:r>
      <w:r>
        <w:rPr>
          <w:rFonts w:ascii="Times New Roman" w:cs="Times New Roman" w:eastAsia="Times New Roman" w:hAnsi="Times New Roman"/>
          <w:sz w:val="18"/>
          <w:szCs w:val="18"/>
          <w:b w:val="1"/>
          <w:bCs w:val="1"/>
          <w:color w:val="auto"/>
        </w:rPr>
        <w:t>Co-Lead Agents</w:t>
      </w:r>
      <w:r>
        <w:rPr>
          <w:rFonts w:ascii="Times New Roman" w:cs="Times New Roman" w:eastAsia="Times New Roman" w:hAnsi="Times New Roman"/>
          <w:sz w:val="18"/>
          <w:szCs w:val="18"/>
          <w:color w:val="auto"/>
        </w:rPr>
        <w:t>”) on behalf of a syndicate of agents (together with the Co-Lead Agents, the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w:t>
      </w:r>
    </w:p>
    <w:p>
      <w:pPr>
        <w:ind w:right="20"/>
        <w:spacing w:after="0" w:line="205" w:lineRule="auto"/>
        <w:rPr>
          <w:sz w:val="20"/>
          <w:szCs w:val="20"/>
          <w:color w:val="auto"/>
        </w:rPr>
      </w:pPr>
      <w:r>
        <w:rPr>
          <w:rFonts w:ascii="Times New Roman" w:cs="Times New Roman" w:eastAsia="Times New Roman" w:hAnsi="Times New Roman"/>
          <w:sz w:val="18"/>
          <w:szCs w:val="18"/>
          <w:color w:val="auto"/>
        </w:rPr>
        <w:t>The gross proceeds of the Cybin Private Placement, less 50% of the Agents’ Fees and certain expenses of the Agents were deposited in escrow until the satisfaction of certain release conditions (the “</w:t>
      </w:r>
      <w:r>
        <w:rPr>
          <w:rFonts w:ascii="Times New Roman" w:cs="Times New Roman" w:eastAsia="Times New Roman" w:hAnsi="Times New Roman"/>
          <w:sz w:val="18"/>
          <w:szCs w:val="18"/>
          <w:b w:val="1"/>
          <w:bCs w:val="1"/>
          <w:color w:val="auto"/>
        </w:rPr>
        <w:t>Release Conditions</w:t>
      </w:r>
      <w:r>
        <w:rPr>
          <w:rFonts w:ascii="Times New Roman" w:cs="Times New Roman" w:eastAsia="Times New Roman" w:hAnsi="Times New Roman"/>
          <w:sz w:val="18"/>
          <w:szCs w:val="18"/>
          <w:color w:val="auto"/>
        </w:rPr>
        <w:t>”). The Release Conditions were satisfied on November 5, 2020, at which time each</w:t>
      </w:r>
    </w:p>
    <w:p>
      <w:pPr>
        <w:spacing w:after="0" w:line="213" w:lineRule="auto"/>
        <w:rPr>
          <w:sz w:val="20"/>
          <w:szCs w:val="20"/>
          <w:color w:val="auto"/>
        </w:rPr>
      </w:pPr>
      <w:r>
        <w:rPr>
          <w:rFonts w:ascii="Times New Roman" w:cs="Times New Roman" w:eastAsia="Times New Roman" w:hAnsi="Times New Roman"/>
          <w:sz w:val="18"/>
          <w:szCs w:val="18"/>
          <w:color w:val="auto"/>
        </w:rPr>
        <w:t>Subscription Receipt converted into one Cybin Share without payment of any additional consideration or further action on the part of the holder thereof.</w:t>
      </w:r>
    </w:p>
    <w:p>
      <w:pPr>
        <w:spacing w:after="0"/>
        <w:rPr>
          <w:sz w:val="20"/>
          <w:szCs w:val="20"/>
          <w:color w:val="auto"/>
        </w:rPr>
      </w:pPr>
      <w:r>
        <w:rPr>
          <w:rFonts w:ascii="Times New Roman" w:cs="Times New Roman" w:eastAsia="Times New Roman" w:hAnsi="Times New Roman"/>
          <w:sz w:val="18"/>
          <w:szCs w:val="18"/>
          <w:color w:val="auto"/>
        </w:rPr>
        <w:t>Upon completion of the Transaction, each Cybin Share was exchanged for one Common Share.</w:t>
      </w:r>
    </w:p>
    <w:p>
      <w:pPr>
        <w:spacing w:after="0" w:line="140"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In connection with the closing of the Cybin Private Placement, a cash fee equal to 6% of the aggregate gross proceeds of the Cybin Private Placement from non-U.S. resident investors was payable to the Agents, except for certain orders on a president’s list pursuant to which a cash fee of 1.5% was payable (the</w:t>
      </w:r>
    </w:p>
    <w:p>
      <w:pPr>
        <w:spacing w:after="0" w:line="20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 Cash Fee</w:t>
      </w:r>
      <w:r>
        <w:rPr>
          <w:rFonts w:ascii="Times New Roman" w:cs="Times New Roman" w:eastAsia="Times New Roman" w:hAnsi="Times New Roman"/>
          <w:sz w:val="18"/>
          <w:szCs w:val="18"/>
          <w:color w:val="auto"/>
        </w:rPr>
        <w:t>”). The Agents also received an aggregate of 127,600 broker warrants (“</w:t>
      </w:r>
      <w:r>
        <w:rPr>
          <w:rFonts w:ascii="Times New Roman" w:cs="Times New Roman" w:eastAsia="Times New Roman" w:hAnsi="Times New Roman"/>
          <w:sz w:val="18"/>
          <w:szCs w:val="18"/>
          <w:b w:val="1"/>
          <w:bCs w:val="1"/>
          <w:color w:val="auto"/>
        </w:rPr>
        <w:t>Broker Warrants</w:t>
      </w:r>
      <w:r>
        <w:rPr>
          <w:rFonts w:ascii="Times New Roman" w:cs="Times New Roman" w:eastAsia="Times New Roman" w:hAnsi="Times New Roman"/>
          <w:sz w:val="18"/>
          <w:szCs w:val="18"/>
          <w:color w:val="auto"/>
        </w:rPr>
        <w:t>”). Upon satisfaction of the Release Conditions, each Broker Warrant became exercisable into one Common Share (subject to customary adjustments) for a period of 24 months following the</w:t>
      </w:r>
    </w:p>
    <w:p>
      <w:pPr>
        <w:spacing w:after="0" w:line="213" w:lineRule="auto"/>
        <w:rPr>
          <w:sz w:val="20"/>
          <w:szCs w:val="20"/>
          <w:color w:val="auto"/>
        </w:rPr>
      </w:pPr>
      <w:r>
        <w:rPr>
          <w:rFonts w:ascii="Times New Roman" w:cs="Times New Roman" w:eastAsia="Times New Roman" w:hAnsi="Times New Roman"/>
          <w:sz w:val="18"/>
          <w:szCs w:val="18"/>
          <w:color w:val="auto"/>
        </w:rPr>
        <w:t>date that the Release Conditions are met at an exercise price of $0.75, subject to adjustment in certain customary circumstances. In exchange for certain</w:t>
      </w:r>
    </w:p>
    <w:p>
      <w:pPr>
        <w:ind w:right="20"/>
        <w:spacing w:after="0" w:line="222" w:lineRule="auto"/>
        <w:rPr>
          <w:sz w:val="20"/>
          <w:szCs w:val="20"/>
          <w:color w:val="auto"/>
        </w:rPr>
      </w:pPr>
      <w:r>
        <w:rPr>
          <w:rFonts w:ascii="Times New Roman" w:cs="Times New Roman" w:eastAsia="Times New Roman" w:hAnsi="Times New Roman"/>
          <w:sz w:val="18"/>
          <w:szCs w:val="18"/>
          <w:color w:val="auto"/>
        </w:rPr>
        <w:t>advisory services provided by the Agents to Cybin, the Agents also received an advisory fee of $479,137 (together with the Agents’ Cash Fee, the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0"/>
          </w:cols>
          <w:pgMar w:left="320" w:top="1434" w:right="319" w:bottom="1440" w:gutter="0" w:footer="0" w:header="0"/>
        </w:sectPr>
      </w:pPr>
    </w:p>
    <w:bookmarkStart w:id="24" w:name="page25"/>
    <w:bookmarkEnd w:id="24"/>
    <w:p>
      <w:pPr>
        <w:ind w:left="2"/>
        <w:spacing w:after="0" w:line="243" w:lineRule="auto"/>
        <w:rPr>
          <w:sz w:val="20"/>
          <w:szCs w:val="20"/>
          <w:color w:val="auto"/>
        </w:rPr>
      </w:pPr>
      <w:r>
        <w:rPr>
          <w:rFonts w:ascii="Times New Roman" w:cs="Times New Roman" w:eastAsia="Times New Roman" w:hAnsi="Times New Roman"/>
          <w:sz w:val="18"/>
          <w:szCs w:val="18"/>
          <w:color w:val="auto"/>
        </w:rPr>
        <w:t>16,000 warrants on the same terms as the Broker Warrants. Cybin also agreed to pay an additional cash fee of $1,180,000 and 2,590,000 warrants on the same terms as the Broker Warrants to certain finders and other advisors of Cybin.</w:t>
      </w:r>
    </w:p>
    <w:p>
      <w:pPr>
        <w:spacing w:after="0" w:line="143" w:lineRule="exact"/>
        <w:rPr>
          <w:sz w:val="20"/>
          <w:szCs w:val="20"/>
          <w:color w:val="auto"/>
        </w:rPr>
      </w:pPr>
    </w:p>
    <w:p>
      <w:pPr>
        <w:ind w:left="2" w:right="20"/>
        <w:spacing w:after="0" w:line="217" w:lineRule="auto"/>
        <w:rPr>
          <w:sz w:val="20"/>
          <w:szCs w:val="20"/>
          <w:color w:val="auto"/>
        </w:rPr>
      </w:pPr>
      <w:r>
        <w:rPr>
          <w:rFonts w:ascii="Times New Roman" w:cs="Times New Roman" w:eastAsia="Times New Roman" w:hAnsi="Times New Roman"/>
          <w:sz w:val="18"/>
          <w:szCs w:val="18"/>
          <w:color w:val="auto"/>
        </w:rPr>
        <w:t>On December 2, 2020, the Company entered into a master service agreement with Veristat to provide clinical services for the phase II study for major depressive disorder (“</w:t>
      </w:r>
      <w:r>
        <w:rPr>
          <w:rFonts w:ascii="Times New Roman" w:cs="Times New Roman" w:eastAsia="Times New Roman" w:hAnsi="Times New Roman"/>
          <w:sz w:val="18"/>
          <w:szCs w:val="18"/>
          <w:b w:val="1"/>
          <w:bCs w:val="1"/>
          <w:color w:val="auto"/>
        </w:rPr>
        <w:t>MDD</w:t>
      </w:r>
      <w:r>
        <w:rPr>
          <w:rFonts w:ascii="Times New Roman" w:cs="Times New Roman" w:eastAsia="Times New Roman" w:hAnsi="Times New Roman"/>
          <w:sz w:val="18"/>
          <w:szCs w:val="18"/>
          <w:color w:val="auto"/>
        </w:rPr>
        <w:t>”). The Company will be supported by Veristat in its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application and CTAs in the U.S. and</w:t>
      </w:r>
    </w:p>
    <w:p>
      <w:pPr>
        <w:ind w:left="2"/>
        <w:spacing w:after="0"/>
        <w:rPr>
          <w:sz w:val="20"/>
          <w:szCs w:val="20"/>
          <w:color w:val="auto"/>
        </w:rPr>
      </w:pPr>
      <w:r>
        <w:rPr>
          <w:rFonts w:ascii="Times New Roman" w:cs="Times New Roman" w:eastAsia="Times New Roman" w:hAnsi="Times New Roman"/>
          <w:sz w:val="18"/>
          <w:szCs w:val="18"/>
          <w:color w:val="auto"/>
        </w:rPr>
        <w:t>Canada, respectively. Veristat will also assist the Company with study site recruitment.</w:t>
      </w:r>
    </w:p>
    <w:p>
      <w:pPr>
        <w:spacing w:after="0" w:line="152" w:lineRule="exact"/>
        <w:rPr>
          <w:sz w:val="20"/>
          <w:szCs w:val="20"/>
          <w:color w:val="auto"/>
        </w:rPr>
      </w:pPr>
    </w:p>
    <w:p>
      <w:pPr>
        <w:ind w:left="2" w:right="20"/>
        <w:spacing w:after="0" w:line="217" w:lineRule="auto"/>
        <w:rPr>
          <w:sz w:val="20"/>
          <w:szCs w:val="20"/>
          <w:color w:val="auto"/>
        </w:rPr>
      </w:pPr>
      <w:r>
        <w:rPr>
          <w:rFonts w:ascii="Times New Roman" w:cs="Times New Roman" w:eastAsia="Times New Roman" w:hAnsi="Times New Roman"/>
          <w:sz w:val="18"/>
          <w:szCs w:val="18"/>
          <w:color w:val="auto"/>
        </w:rPr>
        <w:t>On January 6, 2021, the Company announced the intention to expand the development of its therapeutics program to include, in addition to psilocybin, psychedelic compounds such as DMT, psilocybin analogues and a range of tryptamines and phenethylamines which are expected to have improved</w:t>
      </w:r>
    </w:p>
    <w:p>
      <w:pPr>
        <w:ind w:left="2" w:right="20"/>
        <w:spacing w:after="0" w:line="233" w:lineRule="auto"/>
        <w:rPr>
          <w:sz w:val="20"/>
          <w:szCs w:val="20"/>
          <w:color w:val="auto"/>
        </w:rPr>
      </w:pPr>
      <w:r>
        <w:rPr>
          <w:rFonts w:ascii="Times New Roman" w:cs="Times New Roman" w:eastAsia="Times New Roman" w:hAnsi="Times New Roman"/>
          <w:sz w:val="18"/>
          <w:szCs w:val="18"/>
          <w:color w:val="auto"/>
        </w:rPr>
        <w:t>pharmacokinetic profiles, while retaining the efficacy of the original molecules. In addition, the Company announced that it intends to build a database of molecules and their chemically synthesized pathways for use in pharmaceutical development.</w:t>
      </w:r>
      <w:r>
        <w:rPr>
          <w:rFonts w:ascii="Times New Roman" w:cs="Times New Roman" w:eastAsia="Times New Roman" w:hAnsi="Times New Roman"/>
          <w:sz w:val="23"/>
          <w:szCs w:val="23"/>
          <w:color w:val="auto"/>
          <w:vertAlign w:val="superscript"/>
        </w:rPr>
        <w:t>3</w:t>
      </w:r>
    </w:p>
    <w:p>
      <w:pPr>
        <w:spacing w:after="0" w:line="68" w:lineRule="exact"/>
        <w:rPr>
          <w:sz w:val="20"/>
          <w:szCs w:val="20"/>
          <w:color w:val="auto"/>
        </w:rPr>
      </w:pPr>
    </w:p>
    <w:p>
      <w:pPr>
        <w:ind w:left="2" w:right="20"/>
        <w:spacing w:after="0" w:line="239" w:lineRule="auto"/>
        <w:rPr>
          <w:sz w:val="20"/>
          <w:szCs w:val="20"/>
          <w:color w:val="auto"/>
        </w:rPr>
      </w:pPr>
      <w:r>
        <w:rPr>
          <w:rFonts w:ascii="Times New Roman" w:cs="Times New Roman" w:eastAsia="Times New Roman" w:hAnsi="Times New Roman"/>
          <w:sz w:val="17"/>
          <w:szCs w:val="17"/>
          <w:color w:val="auto"/>
        </w:rPr>
        <w:t>On January 11, 2021, the Company announced that it has entered into an agreement with HI, LLC dba Kernel (“</w:t>
      </w:r>
      <w:r>
        <w:rPr>
          <w:rFonts w:ascii="Times New Roman" w:cs="Times New Roman" w:eastAsia="Times New Roman" w:hAnsi="Times New Roman"/>
          <w:sz w:val="17"/>
          <w:szCs w:val="17"/>
          <w:b w:val="1"/>
          <w:bCs w:val="1"/>
          <w:color w:val="auto"/>
        </w:rPr>
        <w:t>Kernel</w:t>
      </w:r>
      <w:r>
        <w:rPr>
          <w:rFonts w:ascii="Times New Roman" w:cs="Times New Roman" w:eastAsia="Times New Roman" w:hAnsi="Times New Roman"/>
          <w:sz w:val="17"/>
          <w:szCs w:val="17"/>
          <w:color w:val="auto"/>
        </w:rPr>
        <w:t>”) to leverage its technology, Kernel Flow (“</w:t>
      </w:r>
      <w:r>
        <w:rPr>
          <w:rFonts w:ascii="Times New Roman" w:cs="Times New Roman" w:eastAsia="Times New Roman" w:hAnsi="Times New Roman"/>
          <w:sz w:val="17"/>
          <w:szCs w:val="17"/>
          <w:b w:val="1"/>
          <w:bCs w:val="1"/>
          <w:color w:val="auto"/>
        </w:rPr>
        <w:t>Kernel Flow</w:t>
      </w:r>
      <w:r>
        <w:rPr>
          <w:rFonts w:ascii="Times New Roman" w:cs="Times New Roman" w:eastAsia="Times New Roman" w:hAnsi="Times New Roman"/>
          <w:sz w:val="17"/>
          <w:szCs w:val="17"/>
          <w:color w:val="auto"/>
        </w:rPr>
        <w:t>”), for the Company’s sponsored clinical work. Flow is a full-head coverage, time-domain functional near-infrared spectroscopy system</w:t>
      </w:r>
    </w:p>
    <w:p>
      <w:pPr>
        <w:spacing w:after="0" w:line="1" w:lineRule="exact"/>
        <w:rPr>
          <w:sz w:val="20"/>
          <w:szCs w:val="20"/>
          <w:color w:val="auto"/>
        </w:rPr>
      </w:pPr>
    </w:p>
    <w:p>
      <w:pPr>
        <w:ind w:left="2" w:right="20"/>
        <w:spacing w:after="0" w:line="202" w:lineRule="auto"/>
        <w:rPr>
          <w:sz w:val="20"/>
          <w:szCs w:val="20"/>
          <w:color w:val="auto"/>
        </w:rPr>
      </w:pPr>
      <w:r>
        <w:rPr>
          <w:rFonts w:ascii="Times New Roman" w:cs="Times New Roman" w:eastAsia="Times New Roman" w:hAnsi="Times New Roman"/>
          <w:sz w:val="18"/>
          <w:szCs w:val="18"/>
          <w:color w:val="auto"/>
        </w:rPr>
        <w:t>designed to detect hemodynamic changes in the brain that pulses light through the skull and into the bloodstream in order to measure how much oxygen the blood is carrying at any given time. Flow measurements can be used as analogues of local neural activity during a psychedelic experience. The Company</w:t>
      </w:r>
    </w:p>
    <w:p>
      <w:pPr>
        <w:ind w:left="2"/>
        <w:spacing w:after="0" w:line="187" w:lineRule="auto"/>
        <w:rPr>
          <w:sz w:val="20"/>
          <w:szCs w:val="20"/>
          <w:color w:val="auto"/>
        </w:rPr>
      </w:pPr>
      <w:r>
        <w:rPr>
          <w:rFonts w:ascii="Times New Roman" w:cs="Times New Roman" w:eastAsia="Times New Roman" w:hAnsi="Times New Roman"/>
          <w:sz w:val="16"/>
          <w:szCs w:val="16"/>
          <w:color w:val="auto"/>
        </w:rPr>
        <w:t>expects the quantitative measurements enabled by Kernel Flow may improve the development, delivery and scaling of its psychedelic therapeutics.</w:t>
      </w: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While</w:t>
      </w:r>
    </w:p>
    <w:p>
      <w:pPr>
        <w:spacing w:after="0" w:line="1" w:lineRule="exact"/>
        <w:rPr>
          <w:sz w:val="20"/>
          <w:szCs w:val="20"/>
          <w:color w:val="auto"/>
        </w:rPr>
      </w:pPr>
    </w:p>
    <w:p>
      <w:pPr>
        <w:ind w:left="2" w:right="20"/>
        <w:spacing w:after="0" w:line="217" w:lineRule="auto"/>
        <w:rPr>
          <w:sz w:val="20"/>
          <w:szCs w:val="20"/>
          <w:color w:val="auto"/>
        </w:rPr>
      </w:pPr>
      <w:r>
        <w:rPr>
          <w:rFonts w:ascii="Times New Roman" w:cs="Times New Roman" w:eastAsia="Times New Roman" w:hAnsi="Times New Roman"/>
          <w:sz w:val="17"/>
          <w:szCs w:val="17"/>
          <w:color w:val="auto"/>
        </w:rPr>
        <w:t>the Company previously announced that it delivery was expected in Q2 2021 and studies would commence in the second half of 2021, the Company has since decided to focus on sponsoring studies in the near term. The Company plans to undertake sponsored studies in a range of clinical conditions and utilize</w:t>
      </w:r>
    </w:p>
    <w:p>
      <w:pPr>
        <w:spacing w:after="0" w:line="1" w:lineRule="exact"/>
        <w:rPr>
          <w:sz w:val="20"/>
          <w:szCs w:val="20"/>
          <w:color w:val="auto"/>
        </w:rPr>
      </w:pPr>
    </w:p>
    <w:p>
      <w:pPr>
        <w:ind w:left="2" w:right="20"/>
        <w:spacing w:after="0" w:line="233" w:lineRule="auto"/>
        <w:rPr>
          <w:sz w:val="20"/>
          <w:szCs w:val="20"/>
          <w:color w:val="auto"/>
        </w:rPr>
      </w:pPr>
      <w:r>
        <w:rPr>
          <w:rFonts w:ascii="Times New Roman" w:cs="Times New Roman" w:eastAsia="Times New Roman" w:hAnsi="Times New Roman"/>
          <w:sz w:val="18"/>
          <w:szCs w:val="18"/>
          <w:color w:val="auto"/>
        </w:rPr>
        <w:t>insights gained from the data collected by Kernel Flow technology to potentially inform the design of future clinical studies, support regulatory submissions and aid in the design of future molecules to address the needs of mental health patients.</w:t>
      </w:r>
      <w:r>
        <w:rPr>
          <w:rFonts w:ascii="Times New Roman" w:cs="Times New Roman" w:eastAsia="Times New Roman" w:hAnsi="Times New Roman"/>
          <w:sz w:val="23"/>
          <w:szCs w:val="23"/>
          <w:color w:val="auto"/>
          <w:vertAlign w:val="superscript"/>
        </w:rPr>
        <w:t>5</w:t>
      </w:r>
    </w:p>
    <w:p>
      <w:pPr>
        <w:spacing w:after="0" w:line="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On January 11, 2021, the Company announced the achievement of the first Adelia Milestone for the period commencing November 15, 2020, as</w:t>
      </w:r>
    </w:p>
    <w:p>
      <w:pPr>
        <w:ind w:left="2" w:right="20"/>
        <w:spacing w:after="0" w:line="217" w:lineRule="auto"/>
        <w:rPr>
          <w:sz w:val="20"/>
          <w:szCs w:val="20"/>
          <w:color w:val="auto"/>
        </w:rPr>
      </w:pPr>
      <w:r>
        <w:rPr>
          <w:rFonts w:ascii="Times New Roman" w:cs="Times New Roman" w:eastAsia="Times New Roman" w:hAnsi="Times New Roman"/>
          <w:sz w:val="17"/>
          <w:szCs w:val="17"/>
          <w:color w:val="auto"/>
        </w:rPr>
        <w:t>contemplated by the terms of the Contribution Agreement. The achievement includes the successful synthesis of multiple tryptamine derivatives in sufficient quantities to initiate in vitro “Proof of Principle”; establish a ADME/PK has been completed; and to demonstrate “In Vitro” ADME “Proof of Principle” that</w:t>
      </w:r>
    </w:p>
    <w:p>
      <w:pPr>
        <w:ind w:left="2"/>
        <w:spacing w:after="0" w:line="213" w:lineRule="auto"/>
        <w:rPr>
          <w:sz w:val="20"/>
          <w:szCs w:val="20"/>
          <w:color w:val="auto"/>
        </w:rPr>
      </w:pPr>
      <w:r>
        <w:rPr>
          <w:rFonts w:ascii="Times New Roman" w:cs="Times New Roman" w:eastAsia="Times New Roman" w:hAnsi="Times New Roman"/>
          <w:sz w:val="18"/>
          <w:szCs w:val="18"/>
          <w:color w:val="auto"/>
        </w:rPr>
        <w:t>specific synthesis modifies the metabolism of a psychedelic tryptamine. Pursuant to the terms of the Contribution Agreement, 51,163 Class B Shares were</w:t>
      </w:r>
    </w:p>
    <w:p>
      <w:pPr>
        <w:ind w:left="2" w:right="20"/>
        <w:spacing w:after="0" w:line="205" w:lineRule="auto"/>
        <w:rPr>
          <w:sz w:val="20"/>
          <w:szCs w:val="20"/>
          <w:color w:val="auto"/>
        </w:rPr>
      </w:pPr>
      <w:r>
        <w:rPr>
          <w:rFonts w:ascii="Times New Roman" w:cs="Times New Roman" w:eastAsia="Times New Roman" w:hAnsi="Times New Roman"/>
          <w:sz w:val="18"/>
          <w:szCs w:val="18"/>
          <w:color w:val="auto"/>
        </w:rPr>
        <w:t>issued to the Adelia Shareholders, having an aggregate value of $1,018,143.70 due to them upon meeting such Adelia Milestone, at a price per Class B Share of $19.90. The Class B Shares are exchangeable for a total of 511,630 Common Shares, representing an effective issue price of $1.99 per Common</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5519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38" w:lineRule="exact"/>
        <w:rPr>
          <w:sz w:val="20"/>
          <w:szCs w:val="20"/>
          <w:color w:val="auto"/>
        </w:rPr>
      </w:pPr>
    </w:p>
    <w:p>
      <w:pPr>
        <w:jc w:val="both"/>
        <w:ind w:left="2" w:right="20" w:hanging="2"/>
        <w:spacing w:after="0" w:line="196" w:lineRule="auto"/>
        <w:tabs>
          <w:tab w:leader="none" w:pos="88"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 w:lineRule="exact"/>
        <w:rPr>
          <w:rFonts w:ascii="Times New Roman" w:cs="Times New Roman" w:eastAsia="Times New Roman" w:hAnsi="Times New Roman"/>
          <w:sz w:val="19"/>
          <w:szCs w:val="19"/>
          <w:color w:val="auto"/>
          <w:vertAlign w:val="superscript"/>
        </w:rPr>
      </w:pPr>
    </w:p>
    <w:p>
      <w:pPr>
        <w:jc w:val="both"/>
        <w:ind w:left="2" w:right="20"/>
        <w:spacing w:after="0" w:line="193"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5"/>
          <w:szCs w:val="15"/>
          <w:color w:val="auto"/>
        </w:rPr>
        <w:t xml:space="preserve"> The Company assumes timely delivery of the these devices, entering into contracts with selected academic research institutions and the approval of the final research study protocols.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 w:lineRule="exact"/>
        <w:rPr>
          <w:rFonts w:ascii="Times New Roman" w:cs="Times New Roman" w:eastAsia="Times New Roman" w:hAnsi="Times New Roman"/>
          <w:sz w:val="19"/>
          <w:szCs w:val="19"/>
          <w:color w:val="auto"/>
          <w:vertAlign w:val="superscript"/>
        </w:rPr>
      </w:pPr>
    </w:p>
    <w:p>
      <w:pPr>
        <w:jc w:val="both"/>
        <w:ind w:left="2" w:right="20"/>
        <w:spacing w:after="0" w:line="200"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5"/>
          <w:szCs w:val="15"/>
          <w:color w:val="auto"/>
        </w:rPr>
        <w:t xml:space="preserve"> The Company assumes entering into contracts with selected academic research institutions and the approval of the final research study protocols.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62"/>
          </w:cols>
          <w:pgMar w:left="318" w:top="1438" w:right="319" w:bottom="1440" w:gutter="0" w:footer="0" w:header="0"/>
        </w:sectPr>
      </w:pPr>
    </w:p>
    <w:bookmarkStart w:id="25" w:name="page26"/>
    <w:bookmarkEnd w:id="25"/>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On February 4, 2021, the Company closed its bought deal short form prospectus offering of 15,246,000 units of the Company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at a price of $2.25 per Unit (the “</w:t>
      </w:r>
      <w:r>
        <w:rPr>
          <w:rFonts w:ascii="Times New Roman" w:cs="Times New Roman" w:eastAsia="Times New Roman" w:hAnsi="Times New Roman"/>
          <w:sz w:val="18"/>
          <w:szCs w:val="18"/>
          <w:b w:val="1"/>
          <w:bCs w:val="1"/>
          <w:color w:val="auto"/>
        </w:rPr>
        <w:t>Issue Price</w:t>
      </w:r>
      <w:r>
        <w:rPr>
          <w:rFonts w:ascii="Times New Roman" w:cs="Times New Roman" w:eastAsia="Times New Roman" w:hAnsi="Times New Roman"/>
          <w:sz w:val="18"/>
          <w:szCs w:val="18"/>
          <w:color w:val="auto"/>
        </w:rPr>
        <w:t>”) for aggregate gross proceeds of $34,303,500 (the “</w:t>
      </w:r>
      <w:r>
        <w:rPr>
          <w:rFonts w:ascii="Times New Roman" w:cs="Times New Roman" w:eastAsia="Times New Roman" w:hAnsi="Times New Roman"/>
          <w:sz w:val="18"/>
          <w:szCs w:val="18"/>
          <w:b w:val="1"/>
          <w:bCs w:val="1"/>
          <w:color w:val="auto"/>
        </w:rPr>
        <w:t>February Offering</w:t>
      </w:r>
      <w:r>
        <w:rPr>
          <w:rFonts w:ascii="Times New Roman" w:cs="Times New Roman" w:eastAsia="Times New Roman" w:hAnsi="Times New Roman"/>
          <w:sz w:val="18"/>
          <w:szCs w:val="18"/>
          <w:color w:val="auto"/>
        </w:rPr>
        <w:t>”). The February Offering was conducted by</w:t>
      </w:r>
    </w:p>
    <w:p>
      <w:pPr>
        <w:spacing w:after="0" w:line="1"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Canaccord Genuity, as lead underwriter and sole bookrunner, with Stifel Nicolaus Canada Inc., Eight Capital and Bloom Burton Securities Inc. (the “</w:t>
      </w:r>
      <w:r>
        <w:rPr>
          <w:rFonts w:ascii="Times New Roman" w:cs="Times New Roman" w:eastAsia="Times New Roman" w:hAnsi="Times New Roman"/>
          <w:sz w:val="18"/>
          <w:szCs w:val="18"/>
          <w:b w:val="1"/>
          <w:bCs w:val="1"/>
          <w:color w:val="auto"/>
        </w:rPr>
        <w:t>February Underwriters</w:t>
      </w:r>
      <w:r>
        <w:rPr>
          <w:rFonts w:ascii="Times New Roman" w:cs="Times New Roman" w:eastAsia="Times New Roman" w:hAnsi="Times New Roman"/>
          <w:sz w:val="18"/>
          <w:szCs w:val="18"/>
          <w:color w:val="auto"/>
        </w:rPr>
        <w:t>”). Each Unit was comprised of one Common Share and one-half of one Common Share purchase warrant (each whole warrant, a</w:t>
      </w:r>
    </w:p>
    <w:p>
      <w:pPr>
        <w:spacing w:after="0" w:line="21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Warrant</w:t>
      </w:r>
      <w:r>
        <w:rPr>
          <w:rFonts w:ascii="Times New Roman" w:cs="Times New Roman" w:eastAsia="Times New Roman" w:hAnsi="Times New Roman"/>
          <w:sz w:val="18"/>
          <w:szCs w:val="18"/>
          <w:color w:val="auto"/>
        </w:rPr>
        <w:t>”). Each 2021 Warrant entitles the holder thereof to acquire one Common Share at an exercise price of $3.25 per Common Share until</w:t>
      </w:r>
    </w:p>
    <w:p>
      <w:pPr>
        <w:jc w:val="both"/>
        <w:ind w:right="20"/>
        <w:spacing w:after="0" w:line="217" w:lineRule="auto"/>
        <w:rPr>
          <w:sz w:val="20"/>
          <w:szCs w:val="20"/>
          <w:color w:val="auto"/>
        </w:rPr>
      </w:pPr>
      <w:r>
        <w:rPr>
          <w:rFonts w:ascii="Times New Roman" w:cs="Times New Roman" w:eastAsia="Times New Roman" w:hAnsi="Times New Roman"/>
          <w:sz w:val="17"/>
          <w:szCs w:val="17"/>
          <w:color w:val="auto"/>
        </w:rPr>
        <w:t>February 4, 2024. The February Underwriters were paid a cash commission equal to $1,954,665 and issued 868,740 Unit purchase warrants of the Company (the “</w:t>
      </w:r>
      <w:r>
        <w:rPr>
          <w:rFonts w:ascii="Times New Roman" w:cs="Times New Roman" w:eastAsia="Times New Roman" w:hAnsi="Times New Roman"/>
          <w:sz w:val="17"/>
          <w:szCs w:val="17"/>
          <w:b w:val="1"/>
          <w:bCs w:val="1"/>
          <w:color w:val="auto"/>
        </w:rPr>
        <w:t>Underwriters’ Warrants</w:t>
      </w:r>
      <w:r>
        <w:rPr>
          <w:rFonts w:ascii="Times New Roman" w:cs="Times New Roman" w:eastAsia="Times New Roman" w:hAnsi="Times New Roman"/>
          <w:sz w:val="17"/>
          <w:szCs w:val="17"/>
          <w:color w:val="auto"/>
        </w:rPr>
        <w:t>”), with each Underwriters’ Warrant being exercisable to acquire one Unit at the Issue Price until February 4, 2024. The</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2021 Warrants and Underwriters’ Warrants are governed by a warrant indenture entered into with Odyssey Trust Company, as warrant agent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 xml:space="preserve">On March 8, 2021, the Company announced that its Common Shares had commenced trading on the OTCQB® Venture Market (the </w:t>
      </w:r>
      <w:r>
        <w:rPr>
          <w:rFonts w:ascii="Times New Roman" w:cs="Times New Roman" w:eastAsia="Times New Roman" w:hAnsi="Times New Roman"/>
          <w:sz w:val="18"/>
          <w:szCs w:val="18"/>
          <w:b w:val="1"/>
          <w:bCs w:val="1"/>
          <w:color w:val="auto"/>
        </w:rPr>
        <w:t>OTCQB</w:t>
      </w:r>
      <w:r>
        <w:rPr>
          <w:rFonts w:ascii="Times New Roman" w:cs="Times New Roman" w:eastAsia="Times New Roman" w:hAnsi="Times New Roman"/>
          <w:sz w:val="18"/>
          <w:szCs w:val="18"/>
          <w:color w:val="auto"/>
        </w:rPr>
        <w:t>”) under the symbol “CLXPF”.</w:t>
      </w:r>
    </w:p>
    <w:p>
      <w:pPr>
        <w:spacing w:after="0" w:line="140"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7"/>
          <w:szCs w:val="17"/>
          <w:color w:val="auto"/>
        </w:rPr>
        <w:t>On March 9, 2021, the Company announced the achievement of certain Adelia Milestones for the period commencing January 1, 2021, as contemplated by the terms of the Contribution Agreement. The achievement includes API Synthesis and optimization to demonstrate that two or more deuterated tryptamines</w:t>
      </w:r>
    </w:p>
    <w:p>
      <w:pPr>
        <w:spacing w:after="0" w:line="226" w:lineRule="auto"/>
        <w:rPr>
          <w:sz w:val="20"/>
          <w:szCs w:val="20"/>
          <w:color w:val="auto"/>
        </w:rPr>
      </w:pPr>
      <w:r>
        <w:rPr>
          <w:rFonts w:ascii="Times New Roman" w:cs="Times New Roman" w:eastAsia="Times New Roman" w:hAnsi="Times New Roman"/>
          <w:sz w:val="17"/>
          <w:szCs w:val="17"/>
          <w:color w:val="auto"/>
        </w:rPr>
        <w:t>show significant in vivo modifications of PK consistent with “Proof of Concept”, nomination of two deuterated candidates for full IND enabling studies, and</w:t>
      </w:r>
    </w:p>
    <w:p>
      <w:pPr>
        <w:jc w:val="both"/>
        <w:ind w:right="20"/>
        <w:spacing w:after="0" w:line="217" w:lineRule="auto"/>
        <w:rPr>
          <w:sz w:val="20"/>
          <w:szCs w:val="20"/>
          <w:color w:val="auto"/>
        </w:rPr>
      </w:pPr>
      <w:r>
        <w:rPr>
          <w:rFonts w:ascii="Times New Roman" w:cs="Times New Roman" w:eastAsia="Times New Roman" w:hAnsi="Times New Roman"/>
          <w:sz w:val="17"/>
          <w:szCs w:val="17"/>
          <w:color w:val="auto"/>
        </w:rPr>
        <w:t>completion of a certain API Manufacturing Contract. Pursuant to the terms of the Contribution Agreement, 42,247.3 Class B Shares were issued to the Adelia Shareholders, having an aggregate value of $686,406.26 due to them upon meeting such Adelia Milestone at a price per Class B Share of $16.20.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Shares are exchangeable for a total of 422,473 Common Shares, representing an effective issue price of $1.62 per Common Share.</w:t>
      </w:r>
    </w:p>
    <w:p>
      <w:pPr>
        <w:spacing w:after="0" w:line="136"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On March 22, 2021, the Company announced that it had entered into a drug development agreement with Catalent, Inc. (“</w:t>
      </w:r>
      <w:r>
        <w:rPr>
          <w:rFonts w:ascii="Times New Roman" w:cs="Times New Roman" w:eastAsia="Times New Roman" w:hAnsi="Times New Roman"/>
          <w:sz w:val="18"/>
          <w:szCs w:val="18"/>
          <w:b w:val="1"/>
          <w:bCs w:val="1"/>
          <w:color w:val="auto"/>
        </w:rPr>
        <w:t>Catalent</w:t>
      </w:r>
      <w:r>
        <w:rPr>
          <w:rFonts w:ascii="Times New Roman" w:cs="Times New Roman" w:eastAsia="Times New Roman" w:hAnsi="Times New Roman"/>
          <w:sz w:val="18"/>
          <w:szCs w:val="18"/>
          <w:color w:val="auto"/>
        </w:rPr>
        <w:t>”), a global provider of advanced delivery technologies, development, and manufacturing solutions for drugs, biologics, cell and gene therapies, and consumer health products. The</w:t>
      </w:r>
    </w:p>
    <w:p>
      <w:pPr>
        <w:spacing w:after="0" w:line="1" w:lineRule="exact"/>
        <w:rPr>
          <w:sz w:val="20"/>
          <w:szCs w:val="20"/>
          <w:color w:val="auto"/>
        </w:rPr>
      </w:pP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Company will be applying Catalent’s proprietary Zydis® orally disintegrating tablet technology for the delivery of its novel deuterated tryptamine (CYB003). Zydis technology creates a freeze-dried tablet that disperses in the mouth without water. The project will involve initial feasibility studies being</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conducted for the manufacturing and analytical testing of the Zydis® orally disintegrating tablet doses containing varying quantities of CYB003, alongside different excipients.</w:t>
      </w:r>
    </w:p>
    <w:p>
      <w:pPr>
        <w:spacing w:after="0" w:line="133"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On April 19, 2021, the Company announced the formation of its Clinical Advisory Board, with the additions of Maurizio Fava, MD, Psychiatrist-in-Chief in the Department of Psychiatry at Massachusetts General Hospital; Lynn Marie Morski, MD, Esq., President of the Psychedelic Medicine Association; and</w:t>
      </w:r>
    </w:p>
    <w:p>
      <w:pPr>
        <w:jc w:val="both"/>
        <w:ind w:right="20"/>
        <w:spacing w:after="0" w:line="217" w:lineRule="auto"/>
        <w:rPr>
          <w:sz w:val="20"/>
          <w:szCs w:val="20"/>
          <w:color w:val="auto"/>
        </w:rPr>
      </w:pPr>
      <w:r>
        <w:rPr>
          <w:rFonts w:ascii="Times New Roman" w:cs="Times New Roman" w:eastAsia="Times New Roman" w:hAnsi="Times New Roman"/>
          <w:sz w:val="17"/>
          <w:szCs w:val="17"/>
          <w:color w:val="auto"/>
        </w:rPr>
        <w:t>Anthony Back, MD, Professor in the Department of Medicine and Division of Oncology at the University of Washington. The Clinical Advisory Board will be chaired by Alex Belser, PhD, the Company’s Chief Clinical Officer. Subsequent to the initial announcement, the Company added Thomas Laughren, MD,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its Clinical Advisory Board.</w:t>
      </w:r>
    </w:p>
    <w:p>
      <w:pPr>
        <w:spacing w:after="0" w:line="148"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8"/>
          <w:szCs w:val="18"/>
          <w:color w:val="auto"/>
        </w:rPr>
        <w:t>On April 20, 2021, the Company entered into an agreement with Catalyst Global LLC (“</w:t>
      </w:r>
      <w:r>
        <w:rPr>
          <w:rFonts w:ascii="Times New Roman" w:cs="Times New Roman" w:eastAsia="Times New Roman" w:hAnsi="Times New Roman"/>
          <w:sz w:val="18"/>
          <w:szCs w:val="18"/>
          <w:b w:val="1"/>
          <w:bCs w:val="1"/>
          <w:color w:val="auto"/>
        </w:rPr>
        <w:t>Catalyst”),</w:t>
      </w:r>
      <w:r>
        <w:rPr>
          <w:rFonts w:ascii="Times New Roman" w:cs="Times New Roman" w:eastAsia="Times New Roman" w:hAnsi="Times New Roman"/>
          <w:sz w:val="18"/>
          <w:szCs w:val="18"/>
          <w:color w:val="auto"/>
        </w:rPr>
        <w:t xml:space="preserve"> pursuant to which Catalyst will provide investor relations services to the Company. In consideration for the services, the Company will pay Catalyst a monthly rate of US$8,000 and has agreed to grant to</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Catalyst options to purchase up to 36,000 Common Shares for a period of two years at an exercise price to the determined by the Company at the date of grant. The agreement is for a term of six months.</w:t>
      </w:r>
    </w:p>
    <w:p>
      <w:pPr>
        <w:spacing w:after="0" w:line="133"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On May 13, 2021, the Company entered into a Psilocybin Zydis Feasibility study with Catalent. The study will evaluate the technical feasibility of developing the active pharmaceutical ingredient psilocybin using the proprietary Zydis Orally Disintegrating Tablet technology. Feasibility will be determined for the unit dose of 10mg and 20mg. The Company has committed to pay £114,000 for the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0"/>
          </w:cols>
          <w:pgMar w:left="320" w:top="1434" w:right="319" w:bottom="1440" w:gutter="0" w:footer="0" w:header="0"/>
        </w:sectPr>
      </w:pPr>
    </w:p>
    <w:bookmarkStart w:id="26" w:name="page27"/>
    <w:bookmarkEnd w:id="26"/>
    <w:p>
      <w:pPr>
        <w:jc w:val="both"/>
        <w:ind w:left="2"/>
        <w:spacing w:after="0" w:line="212" w:lineRule="auto"/>
        <w:rPr>
          <w:sz w:val="20"/>
          <w:szCs w:val="20"/>
          <w:color w:val="auto"/>
        </w:rPr>
      </w:pPr>
      <w:r>
        <w:rPr>
          <w:rFonts w:ascii="Times New Roman" w:cs="Times New Roman" w:eastAsia="Times New Roman" w:hAnsi="Times New Roman"/>
          <w:sz w:val="18"/>
          <w:szCs w:val="18"/>
          <w:color w:val="auto"/>
        </w:rPr>
        <w:t>On June 1, 2021, the Company announced its sponsorship of Kernel’s feasibility study of its Kernel Flow technology to measure ketamine’s psychedelic effect on cerebral cortex hemodynamics.</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While the Company previously announced that delivery was expected in Q2 2021 and studies would commence in the second half of 2021, the Company has since decided to focus on sponsoring 3rd-party studies using the Kernel Flow technology in the near term.</w:t>
      </w:r>
    </w:p>
    <w:p>
      <w:pPr>
        <w:spacing w:after="0" w:line="130" w:lineRule="exact"/>
        <w:rPr>
          <w:sz w:val="20"/>
          <w:szCs w:val="20"/>
          <w:color w:val="auto"/>
        </w:rPr>
      </w:pPr>
    </w:p>
    <w:p>
      <w:pPr>
        <w:jc w:val="both"/>
        <w:ind w:left="2"/>
        <w:spacing w:after="0" w:line="226" w:lineRule="auto"/>
        <w:rPr>
          <w:sz w:val="20"/>
          <w:szCs w:val="20"/>
          <w:color w:val="auto"/>
        </w:rPr>
      </w:pPr>
      <w:r>
        <w:rPr>
          <w:rFonts w:ascii="Times New Roman" w:cs="Times New Roman" w:eastAsia="Times New Roman" w:hAnsi="Times New Roman"/>
          <w:sz w:val="18"/>
          <w:szCs w:val="18"/>
          <w:color w:val="auto"/>
        </w:rPr>
        <w:t>On June 8, 2021, the Company entered into a subscription agreement with RxLive Limited (“</w:t>
      </w:r>
      <w:r>
        <w:rPr>
          <w:rFonts w:ascii="Times New Roman" w:cs="Times New Roman" w:eastAsia="Times New Roman" w:hAnsi="Times New Roman"/>
          <w:sz w:val="18"/>
          <w:szCs w:val="18"/>
          <w:b w:val="1"/>
          <w:bCs w:val="1"/>
          <w:color w:val="auto"/>
        </w:rPr>
        <w:t>RxLive”)</w:t>
      </w:r>
      <w:r>
        <w:rPr>
          <w:rFonts w:ascii="Times New Roman" w:cs="Times New Roman" w:eastAsia="Times New Roman" w:hAnsi="Times New Roman"/>
          <w:sz w:val="18"/>
          <w:szCs w:val="18"/>
          <w:color w:val="auto"/>
        </w:rPr>
        <w:t xml:space="preserve"> whereby the Company purchased $250,000 of 10.0% unsecured convertible redeemable debenture (the “</w:t>
      </w:r>
      <w:r>
        <w:rPr>
          <w:rFonts w:ascii="Times New Roman" w:cs="Times New Roman" w:eastAsia="Times New Roman" w:hAnsi="Times New Roman"/>
          <w:sz w:val="18"/>
          <w:szCs w:val="18"/>
          <w:b w:val="1"/>
          <w:bCs w:val="1"/>
          <w:color w:val="auto"/>
        </w:rPr>
        <w:t>Rx Debentures</w:t>
      </w:r>
      <w:r>
        <w:rPr>
          <w:rFonts w:ascii="Times New Roman" w:cs="Times New Roman" w:eastAsia="Times New Roman" w:hAnsi="Times New Roman"/>
          <w:sz w:val="18"/>
          <w:szCs w:val="18"/>
          <w:color w:val="auto"/>
        </w:rPr>
        <w:t>”). RxLive is a UK based online platform that connects pharmacists and patients</w:t>
      </w:r>
    </w:p>
    <w:p>
      <w:pPr>
        <w:spacing w:after="0" w:line="1" w:lineRule="exact"/>
        <w:rPr>
          <w:sz w:val="20"/>
          <w:szCs w:val="20"/>
          <w:color w:val="auto"/>
        </w:rPr>
      </w:pPr>
    </w:p>
    <w:p>
      <w:pPr>
        <w:jc w:val="both"/>
        <w:ind w:left="2"/>
        <w:spacing w:after="0" w:line="222" w:lineRule="auto"/>
        <w:rPr>
          <w:sz w:val="20"/>
          <w:szCs w:val="20"/>
          <w:color w:val="auto"/>
        </w:rPr>
      </w:pPr>
      <w:r>
        <w:rPr>
          <w:rFonts w:ascii="Times New Roman" w:cs="Times New Roman" w:eastAsia="Times New Roman" w:hAnsi="Times New Roman"/>
          <w:sz w:val="18"/>
          <w:szCs w:val="18"/>
          <w:color w:val="auto"/>
        </w:rPr>
        <w:t>through a secure app that allows for pharmacist consultations, initial or renewal prescription fulfilment and delivery of the prescription medication. The Rx Debentures will mature and become due 12 months from the date of issuance. The Company is currently negotiating the terms of the Rx Debentures.</w:t>
      </w:r>
    </w:p>
    <w:p>
      <w:pPr>
        <w:spacing w:after="0" w:line="14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On June 28, 2021, Adelia completed certain Adelia Milestones for Year 1 Q2 (ii) and (v), as listed in the Contribution Agreement. Accordingly, 15,777.1</w:t>
      </w:r>
    </w:p>
    <w:p>
      <w:pPr>
        <w:jc w:val="both"/>
        <w:ind w:left="2"/>
        <w:spacing w:after="0" w:line="205" w:lineRule="auto"/>
        <w:rPr>
          <w:sz w:val="20"/>
          <w:szCs w:val="20"/>
          <w:color w:val="auto"/>
        </w:rPr>
      </w:pPr>
      <w:r>
        <w:rPr>
          <w:rFonts w:ascii="Times New Roman" w:cs="Times New Roman" w:eastAsia="Times New Roman" w:hAnsi="Times New Roman"/>
          <w:sz w:val="18"/>
          <w:szCs w:val="18"/>
          <w:color w:val="auto"/>
        </w:rPr>
        <w:t>Class B Shares were issued to the Adelia Shareholders, having an aggregate value of $457,535.90 due to them upon meeting such Adelia Milestone, at a price per Class B Share of $29.00. The Class B Shares are exchangeable for a total of 157,771 Common Shares, representing an effective issue price of</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$2.90 per Common Share.</w:t>
      </w:r>
    </w:p>
    <w:p>
      <w:pPr>
        <w:spacing w:after="0" w:line="152" w:lineRule="exact"/>
        <w:rPr>
          <w:sz w:val="20"/>
          <w:szCs w:val="20"/>
          <w:color w:val="auto"/>
        </w:rPr>
      </w:pPr>
    </w:p>
    <w:p>
      <w:pPr>
        <w:jc w:val="both"/>
        <w:ind w:left="2"/>
        <w:spacing w:after="0" w:line="217" w:lineRule="auto"/>
        <w:rPr>
          <w:sz w:val="20"/>
          <w:szCs w:val="20"/>
          <w:color w:val="auto"/>
        </w:rPr>
      </w:pPr>
      <w:r>
        <w:rPr>
          <w:rFonts w:ascii="Times New Roman" w:cs="Times New Roman" w:eastAsia="Times New Roman" w:hAnsi="Times New Roman"/>
          <w:sz w:val="18"/>
          <w:szCs w:val="18"/>
          <w:color w:val="auto"/>
        </w:rPr>
        <w:t>On July 6, 2021, the Company entered into a research and development collaboration agreement with TMS NeuroHealth Centers Inc., a wholly-owned subsidiary of Greenbrook TMS Inc. (the “</w:t>
      </w:r>
      <w:r>
        <w:rPr>
          <w:rFonts w:ascii="Times New Roman" w:cs="Times New Roman" w:eastAsia="Times New Roman" w:hAnsi="Times New Roman"/>
          <w:sz w:val="18"/>
          <w:szCs w:val="18"/>
          <w:b w:val="1"/>
          <w:bCs w:val="1"/>
          <w:color w:val="auto"/>
        </w:rPr>
        <w:t>Collaboration Agreement</w:t>
      </w:r>
      <w:r>
        <w:rPr>
          <w:rFonts w:ascii="Times New Roman" w:cs="Times New Roman" w:eastAsia="Times New Roman" w:hAnsi="Times New Roman"/>
          <w:sz w:val="18"/>
          <w:szCs w:val="18"/>
          <w:color w:val="auto"/>
        </w:rPr>
        <w:t>”) to establish Mental Health Centers of Excellence for the purpose of facilitating</w:t>
      </w:r>
    </w:p>
    <w:p>
      <w:pPr>
        <w:ind w:left="2"/>
        <w:spacing w:after="0"/>
        <w:rPr>
          <w:sz w:val="20"/>
          <w:szCs w:val="20"/>
          <w:color w:val="auto"/>
        </w:rPr>
      </w:pPr>
      <w:r>
        <w:rPr>
          <w:rFonts w:ascii="Times New Roman" w:cs="Times New Roman" w:eastAsia="Times New Roman" w:hAnsi="Times New Roman"/>
          <w:sz w:val="18"/>
          <w:szCs w:val="18"/>
          <w:color w:val="auto"/>
        </w:rPr>
        <w:t>research and development of innovative psychedelic compound-based therapeutics for patients suffering from depression.</w:t>
      </w:r>
    </w:p>
    <w:p>
      <w:pPr>
        <w:spacing w:after="0" w:line="176" w:lineRule="exact"/>
        <w:rPr>
          <w:sz w:val="20"/>
          <w:szCs w:val="20"/>
          <w:color w:val="auto"/>
        </w:rPr>
      </w:pPr>
    </w:p>
    <w:p>
      <w:pPr>
        <w:jc w:val="both"/>
        <w:ind w:left="2"/>
        <w:spacing w:after="0" w:line="234" w:lineRule="auto"/>
        <w:rPr>
          <w:sz w:val="20"/>
          <w:szCs w:val="20"/>
          <w:color w:val="auto"/>
        </w:rPr>
      </w:pPr>
      <w:r>
        <w:rPr>
          <w:rFonts w:ascii="Times New Roman" w:cs="Times New Roman" w:eastAsia="Times New Roman" w:hAnsi="Times New Roman"/>
          <w:sz w:val="18"/>
          <w:szCs w:val="18"/>
          <w:color w:val="auto"/>
        </w:rPr>
        <w:t>On July 8, 2021, the Company announced the scaling up of its European operations and research activities with various academic and clinical research organizations, including the transfer of its intellectual property assets to its wholly owned Ireland subsidiary, Cybin IRL Limited.</w:t>
      </w:r>
    </w:p>
    <w:p>
      <w:pPr>
        <w:spacing w:after="0" w:line="146" w:lineRule="exact"/>
        <w:rPr>
          <w:sz w:val="20"/>
          <w:szCs w:val="20"/>
          <w:color w:val="auto"/>
        </w:rPr>
      </w:pPr>
    </w:p>
    <w:p>
      <w:pPr>
        <w:jc w:val="both"/>
        <w:ind w:left="2"/>
        <w:spacing w:after="0" w:line="226" w:lineRule="auto"/>
        <w:rPr>
          <w:sz w:val="20"/>
          <w:szCs w:val="20"/>
          <w:color w:val="auto"/>
        </w:rPr>
      </w:pPr>
      <w:r>
        <w:rPr>
          <w:rFonts w:ascii="Times New Roman" w:cs="Times New Roman" w:eastAsia="Times New Roman" w:hAnsi="Times New Roman"/>
          <w:sz w:val="17"/>
          <w:szCs w:val="17"/>
          <w:color w:val="auto"/>
        </w:rPr>
        <w:t>On July 13, 2021, the Company announced that it has commenced the next phase of the Company’s digital therapeutics platform which will better enable the evaluation of patient outcomes through a highly secure, patient entered data analytics platform for better pre- and post-psychedelic treatments11. The digital</w:t>
      </w:r>
    </w:p>
    <w:p>
      <w:pPr>
        <w:spacing w:after="0" w:line="1" w:lineRule="exact"/>
        <w:rPr>
          <w:sz w:val="20"/>
          <w:szCs w:val="20"/>
          <w:color w:val="auto"/>
        </w:rPr>
      </w:pPr>
    </w:p>
    <w:p>
      <w:pPr>
        <w:jc w:val="both"/>
        <w:ind w:left="2"/>
        <w:spacing w:after="0" w:line="216" w:lineRule="auto"/>
        <w:rPr>
          <w:sz w:val="20"/>
          <w:szCs w:val="20"/>
          <w:color w:val="auto"/>
        </w:rPr>
      </w:pPr>
      <w:r>
        <w:rPr>
          <w:rFonts w:ascii="Times New Roman" w:cs="Times New Roman" w:eastAsia="Times New Roman" w:hAnsi="Times New Roman"/>
          <w:sz w:val="18"/>
          <w:szCs w:val="18"/>
          <w:color w:val="auto"/>
        </w:rPr>
        <w:t>therapeutics platform, which is proprietary to Cybin and the subject of the Company’s 13</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patent application, adds another dimension to the Company’s development programs.</w:t>
      </w:r>
      <w:r>
        <w:rPr>
          <w:rFonts w:ascii="Times New Roman" w:cs="Times New Roman" w:eastAsia="Times New Roman" w:hAnsi="Times New Roman"/>
          <w:sz w:val="23"/>
          <w:szCs w:val="23"/>
          <w:color w:val="auto"/>
          <w:vertAlign w:val="superscript"/>
        </w:rPr>
        <w:t>7</w:t>
      </w:r>
    </w:p>
    <w:p>
      <w:pPr>
        <w:spacing w:after="0" w:line="59" w:lineRule="exact"/>
        <w:rPr>
          <w:sz w:val="20"/>
          <w:szCs w:val="20"/>
          <w:color w:val="auto"/>
        </w:rPr>
      </w:pPr>
    </w:p>
    <w:p>
      <w:pPr>
        <w:jc w:val="both"/>
        <w:ind w:left="2"/>
        <w:spacing w:after="0" w:line="237" w:lineRule="auto"/>
        <w:rPr>
          <w:sz w:val="20"/>
          <w:szCs w:val="20"/>
          <w:color w:val="auto"/>
        </w:rPr>
      </w:pPr>
      <w:r>
        <w:rPr>
          <w:rFonts w:ascii="Times New Roman" w:cs="Times New Roman" w:eastAsia="Times New Roman" w:hAnsi="Times New Roman"/>
          <w:sz w:val="17"/>
          <w:szCs w:val="17"/>
          <w:color w:val="auto"/>
        </w:rPr>
        <w:t>On August 3, 2021, the Company closed its overnight marketed offering of 10,147,600 Common Shares at a price of $3.40 per Common Share for aggregate gross proceeds of $34,501,840 (the “</w:t>
      </w:r>
      <w:r>
        <w:rPr>
          <w:rFonts w:ascii="Times New Roman" w:cs="Times New Roman" w:eastAsia="Times New Roman" w:hAnsi="Times New Roman"/>
          <w:sz w:val="17"/>
          <w:szCs w:val="17"/>
          <w:b w:val="1"/>
          <w:bCs w:val="1"/>
          <w:color w:val="auto"/>
        </w:rPr>
        <w:t>Public Offering</w:t>
      </w:r>
      <w:r>
        <w:rPr>
          <w:rFonts w:ascii="Times New Roman" w:cs="Times New Roman" w:eastAsia="Times New Roman" w:hAnsi="Times New Roman"/>
          <w:sz w:val="17"/>
          <w:szCs w:val="17"/>
          <w:color w:val="auto"/>
        </w:rPr>
        <w:t>”) pursuant to a prospectus supplement, dated July 28, 2021, to the Company’s short form base shelf</w:t>
      </w:r>
    </w:p>
    <w:p>
      <w:pPr>
        <w:jc w:val="both"/>
        <w:ind w:left="2"/>
        <w:spacing w:after="0" w:line="205" w:lineRule="auto"/>
        <w:rPr>
          <w:sz w:val="20"/>
          <w:szCs w:val="20"/>
          <w:color w:val="auto"/>
        </w:rPr>
      </w:pPr>
      <w:r>
        <w:rPr>
          <w:rFonts w:ascii="Times New Roman" w:cs="Times New Roman" w:eastAsia="Times New Roman" w:hAnsi="Times New Roman"/>
          <w:sz w:val="18"/>
          <w:szCs w:val="18"/>
          <w:color w:val="auto"/>
        </w:rPr>
        <w:t>prospectus dated July 5, 2021 (the “</w:t>
      </w:r>
      <w:r>
        <w:rPr>
          <w:rFonts w:ascii="Times New Roman" w:cs="Times New Roman" w:eastAsia="Times New Roman" w:hAnsi="Times New Roman"/>
          <w:sz w:val="18"/>
          <w:szCs w:val="18"/>
          <w:b w:val="1"/>
          <w:bCs w:val="1"/>
          <w:color w:val="auto"/>
        </w:rPr>
        <w:t>July Base Shelf Prospectus</w:t>
      </w:r>
      <w:r>
        <w:rPr>
          <w:rFonts w:ascii="Times New Roman" w:cs="Times New Roman" w:eastAsia="Times New Roman" w:hAnsi="Times New Roman"/>
          <w:sz w:val="18"/>
          <w:szCs w:val="18"/>
          <w:color w:val="auto"/>
        </w:rPr>
        <w:t>”). The Public Offering was completed pursuant 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between the Company and a syndicate of underwriters co-led by Cantor Fitzgerald Canada Corporation and Canaccord</w:t>
      </w:r>
    </w:p>
    <w:p>
      <w:pPr>
        <w:ind w:left="2"/>
        <w:spacing w:after="0" w:line="213" w:lineRule="auto"/>
        <w:rPr>
          <w:sz w:val="20"/>
          <w:szCs w:val="20"/>
          <w:color w:val="auto"/>
        </w:rPr>
      </w:pPr>
      <w:r>
        <w:rPr>
          <w:rFonts w:ascii="Times New Roman" w:cs="Times New Roman" w:eastAsia="Times New Roman" w:hAnsi="Times New Roman"/>
          <w:sz w:val="18"/>
          <w:szCs w:val="18"/>
          <w:color w:val="auto"/>
        </w:rPr>
        <w:t>Genuity Corp., as joint bookrunners, as well as H.C. Wainwright &amp; Co., LLC, Roth Canada, ULC, and Stifel Nicolaus Canada Inc. (collectively, the</w:t>
      </w:r>
    </w:p>
    <w:p>
      <w:pPr>
        <w:jc w:val="both"/>
        <w:ind w:left="2"/>
        <w:spacing w:after="0" w:line="22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In consideration for their services, the Company paid to the Underwriters a cash commission equal to $2,240,129 and issued 658,860 compensation warrants of the Company (the “</w:t>
      </w:r>
      <w:r>
        <w:rPr>
          <w:rFonts w:ascii="Times New Roman" w:cs="Times New Roman" w:eastAsia="Times New Roman" w:hAnsi="Times New Roman"/>
          <w:sz w:val="18"/>
          <w:szCs w:val="18"/>
          <w:b w:val="1"/>
          <w:bCs w:val="1"/>
          <w:color w:val="auto"/>
        </w:rPr>
        <w:t>Compensation Warrants</w:t>
      </w:r>
      <w:r>
        <w:rPr>
          <w:rFonts w:ascii="Times New Roman" w:cs="Times New Roman" w:eastAsia="Times New Roman" w:hAnsi="Times New Roman"/>
          <w:sz w:val="18"/>
          <w:szCs w:val="18"/>
          <w:color w:val="auto"/>
        </w:rPr>
        <w:t>”), with each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5519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33" w:lineRule="exact"/>
        <w:rPr>
          <w:sz w:val="20"/>
          <w:szCs w:val="20"/>
          <w:color w:val="auto"/>
        </w:rPr>
      </w:pPr>
    </w:p>
    <w:p>
      <w:pPr>
        <w:jc w:val="both"/>
        <w:ind w:left="2" w:hanging="2"/>
        <w:spacing w:after="0" w:line="197" w:lineRule="auto"/>
        <w:tabs>
          <w:tab w:leader="none" w:pos="92"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assumes timely delivery of the these devices, entering into contracts with selected academic research institutions and the approval of the final research study protocols.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3" w:lineRule="exact"/>
        <w:rPr>
          <w:rFonts w:ascii="Times New Roman" w:cs="Times New Roman" w:eastAsia="Times New Roman" w:hAnsi="Times New Roman"/>
          <w:sz w:val="19"/>
          <w:szCs w:val="19"/>
          <w:color w:val="auto"/>
          <w:vertAlign w:val="superscript"/>
        </w:rPr>
      </w:pPr>
    </w:p>
    <w:p>
      <w:pPr>
        <w:jc w:val="both"/>
        <w:ind w:left="2"/>
        <w:spacing w:after="0" w:line="201"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5"/>
          <w:szCs w:val="15"/>
          <w:color w:val="auto"/>
        </w:rPr>
        <w:t xml:space="preserve"> Significant events that must occur to move forward with the proposed business objective include identifying the intended consumer, entering into third party agreements to develop the platform, and identifying and retaining qualified individuals to support the ongoing development and operation of the digital therapy platform. The material factors and assumptions include, but are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2"/>
          </w:cols>
          <w:pgMar w:left="318" w:top="143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Warrant being exercisable to acquire one Common Share at the Issue Price for a period of 24 months from the closing date of the Public Offering.</w:t>
      </w:r>
    </w:p>
    <w:p>
      <w:pPr>
        <w:spacing w:after="0" w:line="16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On August 5, 2021, the Common Shares commenced trading on the NYSE American LLC stock exchange (the “</w:t>
      </w:r>
      <w:r>
        <w:rPr>
          <w:rFonts w:ascii="Times New Roman" w:cs="Times New Roman" w:eastAsia="Times New Roman" w:hAnsi="Times New Roman"/>
          <w:sz w:val="18"/>
          <w:szCs w:val="18"/>
          <w:b w:val="1"/>
          <w:bCs w:val="1"/>
          <w:color w:val="auto"/>
        </w:rPr>
        <w:t>NYSE American</w:t>
      </w:r>
      <w:r>
        <w:rPr>
          <w:rFonts w:ascii="Times New Roman" w:cs="Times New Roman" w:eastAsia="Times New Roman" w:hAnsi="Times New Roman"/>
          <w:sz w:val="18"/>
          <w:szCs w:val="18"/>
          <w:color w:val="auto"/>
        </w:rPr>
        <w:t>”) under the symbol “CYBN”. Concurrent with the commencement of trading on the NYSE American, the Common Shares ceased to be quoted on the OTCQB.</w:t>
      </w:r>
    </w:p>
    <w:p>
      <w:pPr>
        <w:spacing w:after="0" w:line="128"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On August 17, 2021, Adelia completed certain Adelia Milestones for Year 1 Q3 (i)-(iii) and Year 1 Q4 (i) and (iii), as contemplated by the terms of the Contribution Agreement. Accordingly, 18,788.5 Class B Shares were issued to the Adelia Shareholders, in satisfaction of $633,110.45 due to them upon</w:t>
      </w:r>
    </w:p>
    <w:p>
      <w:pPr>
        <w:spacing w:after="0" w:line="222" w:lineRule="auto"/>
        <w:rPr>
          <w:sz w:val="20"/>
          <w:szCs w:val="20"/>
          <w:color w:val="auto"/>
        </w:rPr>
      </w:pPr>
      <w:r>
        <w:rPr>
          <w:rFonts w:ascii="Times New Roman" w:cs="Times New Roman" w:eastAsia="Times New Roman" w:hAnsi="Times New Roman"/>
          <w:sz w:val="18"/>
          <w:szCs w:val="18"/>
          <w:color w:val="auto"/>
        </w:rPr>
        <w:t>meeting such Adelia Milestone, at a price per Class B Share of $33.70. The Class B Shares are exchangeable for a total of 187,885 Common Shares, representing an effective issue price of $3.37 per Common Share.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31, 2021, Adelia achieved certain Adelia Milestones for Year 1 Q3 (iv) (v) (vi) as contemplated by the terms of the Contribution Agreement.</w:t>
      </w:r>
    </w:p>
    <w:p>
      <w:pPr>
        <w:ind w:right="20"/>
        <w:spacing w:after="0" w:line="222" w:lineRule="auto"/>
        <w:rPr>
          <w:sz w:val="20"/>
          <w:szCs w:val="20"/>
          <w:color w:val="auto"/>
        </w:rPr>
      </w:pPr>
      <w:r>
        <w:rPr>
          <w:rFonts w:ascii="Times New Roman" w:cs="Times New Roman" w:eastAsia="Times New Roman" w:hAnsi="Times New Roman"/>
          <w:sz w:val="18"/>
          <w:szCs w:val="18"/>
          <w:color w:val="auto"/>
        </w:rPr>
        <w:t>Accordingly, 9,392.6 Class B Shares having an aggregate value of $317,469.88 were issued to the Adelia Shareholders, at a price per Class B Share of $33.80. The Class B Shares are exchangeable for a total of 93,926 Common Shares, representing an effective issue price of $3.38 per Common Share.</w:t>
      </w:r>
    </w:p>
    <w:p>
      <w:pPr>
        <w:spacing w:after="0" w:line="14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On October 1, 2021, the Company announced the appointment of Dr. Amir Inamdar as Chief Medical Officer for European Operations and Dr. Geoff Varty as the Head of Research and Development.</w:t>
      </w:r>
    </w:p>
    <w:p>
      <w:pPr>
        <w:spacing w:after="0" w:line="12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On October 26, 2021, the Company announced that the United States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has authorized an IND to proceed with the Company’s sponsored feasibility study using Kernel’s Flow technology to measure ketamine’s psychedelic effect on cerebral cortex hemodynamics.</w:t>
      </w:r>
    </w:p>
    <w:p>
      <w:pPr>
        <w:spacing w:after="0" w:line="140"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On November 4, 2021, the Company announced that it has been granted a Schedule I manufacturing license from the U.S. Drug Enforcement Administration (“</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The DEA license is for the Company’s research lab in the Boston area. The license will allow the Company to further become a</w:t>
      </w:r>
    </w:p>
    <w:p>
      <w:pPr>
        <w:spacing w:after="0" w:line="205" w:lineRule="auto"/>
        <w:rPr>
          <w:sz w:val="20"/>
          <w:szCs w:val="20"/>
          <w:color w:val="auto"/>
        </w:rPr>
      </w:pPr>
      <w:r>
        <w:rPr>
          <w:rFonts w:ascii="Times New Roman" w:cs="Times New Roman" w:eastAsia="Times New Roman" w:hAnsi="Times New Roman"/>
          <w:sz w:val="18"/>
          <w:szCs w:val="18"/>
          <w:color w:val="auto"/>
        </w:rPr>
        <w:t>hub for innovation and drug discovery. Previously, the Company conducted much of its research and development work through globally licensed research organizations in the U.S., Canada, and the UK, and through certain in-house capabilities. With the DEA license, the Company expects to be able to expand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internal R&amp;D capabilities to support innovative drug discovery and delivery involving Schedule I compounds.</w:t>
      </w:r>
    </w:p>
    <w:p>
      <w:pPr>
        <w:spacing w:after="0" w:line="152"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On November 8, 2021, the Company announced positive CYB003 pre-clinical findings that demonstrate multiple potential advantages for its novel deuterated psilocybin analog over oral psilocybin for the potential treatment of mental health, including less patient variability, faster onset of action, shorter</w:t>
      </w:r>
    </w:p>
    <w:p>
      <w:pPr>
        <w:spacing w:after="0" w:line="226" w:lineRule="auto"/>
        <w:rPr>
          <w:sz w:val="20"/>
          <w:szCs w:val="20"/>
          <w:color w:val="auto"/>
        </w:rPr>
      </w:pPr>
      <w:r>
        <w:rPr>
          <w:rFonts w:ascii="Times New Roman" w:cs="Times New Roman" w:eastAsia="Times New Roman" w:hAnsi="Times New Roman"/>
          <w:sz w:val="17"/>
          <w:szCs w:val="17"/>
          <w:color w:val="auto"/>
        </w:rPr>
        <w:t>duration of effect and improved brain penetration. As a result of the positive CYB003 pre-clinical data, the Company will be prioritizing the development of</w:t>
      </w:r>
    </w:p>
    <w:p>
      <w:pPr>
        <w:ind w:right="20"/>
        <w:spacing w:after="0" w:line="222" w:lineRule="auto"/>
        <w:rPr>
          <w:sz w:val="20"/>
          <w:szCs w:val="20"/>
          <w:color w:val="auto"/>
        </w:rPr>
      </w:pPr>
      <w:r>
        <w:rPr>
          <w:rFonts w:ascii="Times New Roman" w:cs="Times New Roman" w:eastAsia="Times New Roman" w:hAnsi="Times New Roman"/>
          <w:sz w:val="18"/>
          <w:szCs w:val="18"/>
          <w:color w:val="auto"/>
        </w:rPr>
        <w:t>this molecule, while leveraging the work that has been done to date on both the Psilocybin Program and the CYB003 Deuterated Psilocybin Analog Program.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November 18, 2021, an additional 28,903 Class B Shares were issued to the Adelia Shareholders due to the achievement of certain Adelia Milestones for</w:t>
      </w:r>
    </w:p>
    <w:p>
      <w:pPr>
        <w:spacing w:after="0" w:line="8"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Year 2 Q1 (i)-(iii), as contemplated by the terms of the Contribution Agreement, amounting to $706,585.86 at a price per Class B Share of $24.45. These Class B Shares are exchangeable for a total of 289,030 Common Shares, representing an effective issue price of $2.44 per Common Share.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23, 2021, the Company announced it awarded a grant for the first psychedelic treatment clinic at Lenox Hill Hospital, part of Northwell</w:t>
      </w:r>
    </w:p>
    <w:p>
      <w:pPr>
        <w:ind w:right="20"/>
        <w:spacing w:after="0" w:line="222" w:lineRule="auto"/>
        <w:rPr>
          <w:sz w:val="20"/>
          <w:szCs w:val="20"/>
          <w:color w:val="auto"/>
        </w:rPr>
      </w:pPr>
      <w:r>
        <w:rPr>
          <w:rFonts w:ascii="Times New Roman" w:cs="Times New Roman" w:eastAsia="Times New Roman" w:hAnsi="Times New Roman"/>
          <w:sz w:val="18"/>
          <w:szCs w:val="18"/>
          <w:color w:val="auto"/>
        </w:rPr>
        <w:t>Health, to serve marginalized and underserved communities on the Upper East Side of Manhattan, New York. The program aims to become one of the first hospital-based clinical sites to offer psychedelic medicine in the United States.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26, 2021, the Company announced the achievement of certain Adelia Milestones for Year 1 Q4 (ii), Year 2 Q1 (iv) and Year 2 Q1 (vii) as</w:t>
      </w:r>
    </w:p>
    <w:p>
      <w:pPr>
        <w:ind w:right="20"/>
        <w:spacing w:after="0" w:line="222" w:lineRule="auto"/>
        <w:rPr>
          <w:sz w:val="20"/>
          <w:szCs w:val="20"/>
          <w:color w:val="auto"/>
        </w:rPr>
      </w:pPr>
      <w:r>
        <w:rPr>
          <w:rFonts w:ascii="Times New Roman" w:cs="Times New Roman" w:eastAsia="Times New Roman" w:hAnsi="Times New Roman"/>
          <w:sz w:val="18"/>
          <w:szCs w:val="18"/>
          <w:color w:val="auto"/>
        </w:rPr>
        <w:t>contemplated by the terms of the Contribution Agreement. Accordingly, on November 29, 2021, 31,721.5 Class B Shares having an aggregate value of $628,878.74 became due to be issued to the Adelia Shareholders, at a price per Class B Share of $19.83.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60"/>
          </w:cols>
          <w:pgMar w:left="320" w:top="1438"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These Class B Shares are exchangeable for a total of 317,215 Common Shares, representing an effective issue price of $1.98 per Common Share.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8, 2021, the Company announced that it confirmed a scientific advice meeting with the UK Medical and Healthcare Products Regulatory</w:t>
      </w:r>
    </w:p>
    <w:p>
      <w:pPr>
        <w:ind w:right="20"/>
        <w:spacing w:after="0" w:line="222" w:lineRule="auto"/>
        <w:rPr>
          <w:sz w:val="20"/>
          <w:szCs w:val="20"/>
          <w:color w:val="auto"/>
        </w:rPr>
      </w:pPr>
      <w:r>
        <w:rPr>
          <w:rFonts w:ascii="Times New Roman" w:cs="Times New Roman" w:eastAsia="Times New Roman" w:hAnsi="Times New Roman"/>
          <w:sz w:val="18"/>
          <w:szCs w:val="18"/>
          <w:color w:val="auto"/>
        </w:rPr>
        <w:t>Agency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The meeting was held in Q1 2022. This program milestone brings the Company closer toward advancing into clinical development for the treatment of MDD and AUD.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6, 2022, the Company announced the achievement of certain Adelia Milestones for Year 2 Q1 (v), as contemplated by the terms of the</w:t>
      </w:r>
    </w:p>
    <w:p>
      <w:pPr>
        <w:ind w:right="20"/>
        <w:spacing w:after="0" w:line="217" w:lineRule="auto"/>
        <w:rPr>
          <w:sz w:val="20"/>
          <w:szCs w:val="20"/>
          <w:color w:val="auto"/>
        </w:rPr>
      </w:pPr>
      <w:r>
        <w:rPr>
          <w:rFonts w:ascii="Times New Roman" w:cs="Times New Roman" w:eastAsia="Times New Roman" w:hAnsi="Times New Roman"/>
          <w:sz w:val="17"/>
          <w:szCs w:val="17"/>
          <w:color w:val="auto"/>
        </w:rPr>
        <w:t>Contribution Agreement. Accordingly, 15,611.4 Class B Shares having an aggregate value of $235,576.03 were issued to the Adelia Shareholders, at a price per Class B Share of $15.09. These Class B Shares are exchangeable for a total of 156,114 Common Shares, representing an effective issue price of $1.51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Common Share.</w:t>
      </w:r>
    </w:p>
    <w:p>
      <w:pPr>
        <w:spacing w:after="0" w:line="15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On January 11, 2022, the Company announced that it had received IRB approval for a Cybin-sponsored feasibility study using the Kernel Flow technology to measure psychedelic effects on the brain.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27, 2022, the Company announced the achievement of certain Adelia Milestones for Y1, Q4 (iv), Y1, Q4 (v) and Y2, Q1 (vi), as contemplated</w:t>
      </w:r>
    </w:p>
    <w:p>
      <w:pPr>
        <w:jc w:val="both"/>
        <w:spacing w:after="0" w:line="205" w:lineRule="auto"/>
        <w:rPr>
          <w:sz w:val="20"/>
          <w:szCs w:val="20"/>
          <w:color w:val="auto"/>
        </w:rPr>
      </w:pPr>
      <w:r>
        <w:rPr>
          <w:rFonts w:ascii="Times New Roman" w:cs="Times New Roman" w:eastAsia="Times New Roman" w:hAnsi="Times New Roman"/>
          <w:sz w:val="18"/>
          <w:szCs w:val="18"/>
          <w:color w:val="auto"/>
        </w:rPr>
        <w:t>by the terms of the Contribution Agreement. Accordingly, on February 14, 2022, 41,028.2 Class B Shares having an aggregate value of $551,006.04 were issued to the Adelia Shareholders at a price per Class B Share of $13.43. These Class B Shares are exchangeable for a total of 410,282 Common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an effective issue price of $1.34 per Common Share.</w:t>
      </w:r>
    </w:p>
    <w:p>
      <w:pPr>
        <w:spacing w:after="0" w:line="152"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On February 9, 2022, the Company announced that the U.S. Patent and Trademark Office has granted U.S. patent number 11,242,318 to the Company’s investigational deuterated DMT compound CYB004. The allowed claims include a range of deuterated forms of DMT and 5-MeO-DMT. The patent, which</w:t>
      </w:r>
    </w:p>
    <w:p>
      <w:pPr>
        <w:spacing w:after="0" w:line="1"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is expected to expire in 2041 before consideration of any patent term extensions, covers composition of matter and protects the CYB004 drug substance, a putative new chemical entity.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18, 2022, the Company announced the achievement of certain Adelia Milestones for Year 2 Q2 (iii), as contemplated by the terms of the</w:t>
      </w:r>
    </w:p>
    <w:p>
      <w:pPr>
        <w:ind w:right="20"/>
        <w:spacing w:after="0" w:line="217" w:lineRule="auto"/>
        <w:rPr>
          <w:sz w:val="20"/>
          <w:szCs w:val="20"/>
          <w:color w:val="auto"/>
        </w:rPr>
      </w:pPr>
      <w:r>
        <w:rPr>
          <w:rFonts w:ascii="Times New Roman" w:cs="Times New Roman" w:eastAsia="Times New Roman" w:hAnsi="Times New Roman"/>
          <w:sz w:val="17"/>
          <w:szCs w:val="17"/>
          <w:color w:val="auto"/>
        </w:rPr>
        <w:t>Contribution Agreement. Accordingly, 17,239.5 Class B Shares having an aggregate value of $233,422.83 were issued to the Adelia Shareholders, at a price per Class B Share of $13.54. These Class B Shares are exchangeable for a total of 172,395 Common Shares, representing an effective issue price of $1.35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Common Share.</w:t>
      </w:r>
    </w:p>
    <w:p>
      <w:pPr>
        <w:spacing w:after="0" w:line="152"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On March 25, 2022, the Company announced the achievement of certain Adelia Milestones for Year 1 Q4 (vi); Year 2 Q2 (ii); Year 2 Q2 (v) and Year 2, Q3 (iii), as contemplated by the terms of the Contribution Agreement. Accordingly, 90,546 Class B Shares having an aggregate value of $904,554.54 were</w:t>
      </w:r>
    </w:p>
    <w:p>
      <w:pPr>
        <w:ind w:right="20"/>
        <w:spacing w:after="0" w:line="230" w:lineRule="auto"/>
        <w:rPr>
          <w:sz w:val="20"/>
          <w:szCs w:val="20"/>
          <w:color w:val="auto"/>
        </w:rPr>
      </w:pPr>
      <w:r>
        <w:rPr>
          <w:rFonts w:ascii="Times New Roman" w:cs="Times New Roman" w:eastAsia="Times New Roman" w:hAnsi="Times New Roman"/>
          <w:sz w:val="18"/>
          <w:szCs w:val="18"/>
          <w:color w:val="auto"/>
        </w:rPr>
        <w:t>issued to the Adelia Shareholders, at a price per Class B Share of $9.994. These Class B Shares are exchangeable for a total of 905,460 Common Shares, representing an effective issue price of $1.00 per Common Share.</w:t>
      </w:r>
    </w:p>
    <w:p>
      <w:pPr>
        <w:spacing w:after="0" w:line="133"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On March 29, 2022, the Company announced the completion of in vivo preclinical studies evaluating its deuterated psilocybin analog CYB003 for the potential treatment of MDD. Data from in vivo preclinical studies demonstrate that CYB003 is well-tolerated following several doses in multiple species</w:t>
      </w:r>
    </w:p>
    <w:p>
      <w:pPr>
        <w:spacing w:after="0" w:line="222" w:lineRule="auto"/>
        <w:rPr>
          <w:sz w:val="20"/>
          <w:szCs w:val="20"/>
          <w:color w:val="auto"/>
        </w:rPr>
      </w:pPr>
      <w:r>
        <w:rPr>
          <w:rFonts w:ascii="Times New Roman" w:cs="Times New Roman" w:eastAsia="Times New Roman" w:hAnsi="Times New Roman"/>
          <w:sz w:val="18"/>
          <w:szCs w:val="18"/>
          <w:color w:val="auto"/>
        </w:rPr>
        <w:t>and support the advancement toward an IND filing with the FDA for a Phase 1/2a first-in-human clinical trial in patients with MDD. The preclinical in vivo studies followed FDA protocol and were completed under Good Laboratory Practice (“</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guidelines.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to Period End</w:t>
      </w:r>
    </w:p>
    <w:p>
      <w:pPr>
        <w:spacing w:after="0" w:line="174"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On April 1, 2022, Adelia achieved the milestone identified as Year 2, Q2 (iv), as contemplated by the terms of the Contribution Agreement. Accordingly, 22,428.3 Class B Shares having an aggregate value of $228,768.66 were issued to the Adelia Shareholders, at a price per Class B Share of $10.20. These</w:t>
      </w:r>
    </w:p>
    <w:p>
      <w:pPr>
        <w:spacing w:after="0" w:line="212" w:lineRule="auto"/>
        <w:rPr>
          <w:sz w:val="20"/>
          <w:szCs w:val="20"/>
          <w:color w:val="auto"/>
        </w:rPr>
      </w:pPr>
      <w:r>
        <w:rPr>
          <w:rFonts w:ascii="Times New Roman" w:cs="Times New Roman" w:eastAsia="Times New Roman" w:hAnsi="Times New Roman"/>
          <w:sz w:val="18"/>
          <w:szCs w:val="18"/>
          <w:color w:val="auto"/>
        </w:rPr>
        <w:t>Class B Shares are exchangeable for a total of 224,283 Common Shares, representing an effective issue price of $1.02 per Common Share. In consideration</w:t>
      </w:r>
    </w:p>
    <w:p>
      <w:pPr>
        <w:spacing w:after="0" w:line="222" w:lineRule="auto"/>
        <w:rPr>
          <w:sz w:val="20"/>
          <w:szCs w:val="20"/>
          <w:color w:val="auto"/>
        </w:rPr>
      </w:pPr>
      <w:r>
        <w:rPr>
          <w:rFonts w:ascii="Times New Roman" w:cs="Times New Roman" w:eastAsia="Times New Roman" w:hAnsi="Times New Roman"/>
          <w:sz w:val="18"/>
          <w:szCs w:val="18"/>
          <w:color w:val="auto"/>
        </w:rPr>
        <w:t>for the milestone achieved an additional amount of $4,655.29 is issuable at a price per share to be determined in accordance with the terms of the Contribution Agreement and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0"/>
          </w:cols>
          <w:pgMar w:left="320" w:top="1438" w:right="319" w:bottom="1440" w:gutter="0" w:footer="0" w:header="0"/>
        </w:sectPr>
      </w:pPr>
    </w:p>
    <w:bookmarkStart w:id="29" w:name="page30"/>
    <w:bookmarkEnd w:id="29"/>
    <w:p>
      <w:pPr>
        <w:jc w:val="both"/>
        <w:ind w:right="20"/>
        <w:spacing w:after="0" w:line="237" w:lineRule="auto"/>
        <w:rPr>
          <w:sz w:val="20"/>
          <w:szCs w:val="20"/>
          <w:color w:val="auto"/>
        </w:rPr>
      </w:pPr>
      <w:r>
        <w:rPr>
          <w:rFonts w:ascii="Times New Roman" w:cs="Times New Roman" w:eastAsia="Times New Roman" w:hAnsi="Times New Roman"/>
          <w:sz w:val="17"/>
          <w:szCs w:val="17"/>
          <w:color w:val="auto"/>
        </w:rPr>
        <w:t>On April 8, 2022, the Company announced that the World Intellectual Property Organization published an international patent application covering a range of inhalation delivery methods across multiple psychedelic molecules (Patent Cooperation Treaty (“</w:t>
      </w:r>
      <w:r>
        <w:rPr>
          <w:rFonts w:ascii="Times New Roman" w:cs="Times New Roman" w:eastAsia="Times New Roman" w:hAnsi="Times New Roman"/>
          <w:sz w:val="17"/>
          <w:szCs w:val="17"/>
          <w:b w:val="1"/>
          <w:bCs w:val="1"/>
          <w:color w:val="auto"/>
        </w:rPr>
        <w:t>PCT</w:t>
      </w:r>
      <w:r>
        <w:rPr>
          <w:rFonts w:ascii="Times New Roman" w:cs="Times New Roman" w:eastAsia="Times New Roman" w:hAnsi="Times New Roman"/>
          <w:sz w:val="17"/>
          <w:szCs w:val="17"/>
          <w:color w:val="auto"/>
        </w:rPr>
        <w:t>”) patent application no.PCT/EP2021/077057). The</w:t>
      </w:r>
    </w:p>
    <w:p>
      <w:pPr>
        <w:jc w:val="both"/>
        <w:spacing w:after="0" w:line="205" w:lineRule="auto"/>
        <w:rPr>
          <w:sz w:val="20"/>
          <w:szCs w:val="20"/>
          <w:color w:val="auto"/>
        </w:rPr>
      </w:pPr>
      <w:r>
        <w:rPr>
          <w:rFonts w:ascii="Times New Roman" w:cs="Times New Roman" w:eastAsia="Times New Roman" w:hAnsi="Times New Roman"/>
          <w:sz w:val="18"/>
          <w:szCs w:val="18"/>
          <w:color w:val="auto"/>
        </w:rPr>
        <w:t>PCT application titled “Methods For Delivery Of Psychedelic Medications By Inhalation And Systems For Performing The Methods” allows the Company to pursue patent applications and seek protection for multiple inhaled forms of psychedelic molecules that are currently being researched and developed,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developed by the Company in the future.</w:t>
      </w:r>
    </w:p>
    <w:p>
      <w:pPr>
        <w:spacing w:after="0" w:line="152"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On April 13, 2022, the Company announced positive preclinical data from a pharmacokinetic study evaluating its proprietary deuterated DMT molecule, CYB004, delivered via inhalation. Specifically, inhaled CYB004 demonstrated significant advantages over both IV DMT and inhaled DMT, including</w:t>
      </w: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longer duration of action, and improved bioavailability. The study also demonstrated that inhaled CYB004 showed a similar onset of effect and dose profile to IV DMT. These data may support the potential for inhalation as a viable and well-controlled delivery system of therapeutic psychedelics.</w:t>
      </w:r>
    </w:p>
    <w:p>
      <w:pPr>
        <w:spacing w:after="0" w:line="12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7"/>
          <w:szCs w:val="17"/>
          <w:color w:val="auto"/>
        </w:rPr>
        <w:t>On April 21, 2022, the Company announced that it has partnered with Clinilabs Drug Development Corporation (“</w:t>
      </w:r>
      <w:r>
        <w:rPr>
          <w:rFonts w:ascii="Times New Roman" w:cs="Times New Roman" w:eastAsia="Times New Roman" w:hAnsi="Times New Roman"/>
          <w:sz w:val="17"/>
          <w:szCs w:val="17"/>
          <w:b w:val="1"/>
          <w:bCs w:val="1"/>
          <w:color w:val="auto"/>
        </w:rPr>
        <w:t>Clinilabs</w:t>
      </w:r>
      <w:r>
        <w:rPr>
          <w:rFonts w:ascii="Times New Roman" w:cs="Times New Roman" w:eastAsia="Times New Roman" w:hAnsi="Times New Roman"/>
          <w:sz w:val="17"/>
          <w:szCs w:val="17"/>
          <w:color w:val="auto"/>
        </w:rPr>
        <w:t>”), a global, full-service contract research organization with expertise in central nervous system drug development, to carry out the Company’s Phase I/IIa clinical trial of CYB003, its proprietary deuterated psilocybin analog. CYB003 will be the first psilocybin analog to be evaluated in Phase I/IIa development for the treatment of MDD.</w:t>
      </w:r>
    </w:p>
    <w:p>
      <w:pPr>
        <w:spacing w:after="0" w:line="12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May 9, 2022, the Company and Kernel announced results from Kernel Flow® piloting of feasibility study measuring ketamine’s effects on the brain. The preliminary data confirms Flow's ability to successfully measure neuro-effect of ketamine over 10 days.</w:t>
      </w:r>
    </w:p>
    <w:p>
      <w:pPr>
        <w:spacing w:after="0" w:line="143"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On May 31, 2022, the Company announced the submission of an IND application to the FDA for its Phase I/IIa first-in-human clinical trial evaluating CYB003, a proprietary deuterated psilocybin analog, for the treatment of MDD.</w:t>
      </w:r>
    </w:p>
    <w:p>
      <w:pPr>
        <w:spacing w:after="0" w:line="146"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7"/>
          <w:szCs w:val="17"/>
          <w:color w:val="auto"/>
        </w:rPr>
        <w:t>On June 3, 2022, the Company announced that Adelia achieved the Milestones identified as identified as Y2, Q2 (i), (vi), Y2, Q3 (ii), Year 2 Q4 (i) and Year 3 Q1 (i), (ii), (iii), as contemplated by the terms of the Contribution Agreement. Accordingly, Class B Shares having an aggregate value of $2,033,309.79</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became due to be issued to the Adelia Shareholders, at a price per share to be determined in accordance with the terms of the Contribution Agreement and applicable securities laws.</w:t>
      </w:r>
    </w:p>
    <w:p>
      <w:pPr>
        <w:spacing w:after="0" w:line="133"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On June 7, 2022, the Company announced that, through its wholly-owned subsidiary, Cybin Ireland, it entered into an agreement to acquire a Phase I DMT study from Entheon Biomedical Corp. (“</w:t>
      </w:r>
      <w:r>
        <w:rPr>
          <w:rFonts w:ascii="Times New Roman" w:cs="Times New Roman" w:eastAsia="Times New Roman" w:hAnsi="Times New Roman"/>
          <w:sz w:val="18"/>
          <w:szCs w:val="18"/>
          <w:b w:val="1"/>
          <w:bCs w:val="1"/>
          <w:color w:val="auto"/>
        </w:rPr>
        <w:t>Entheon</w:t>
      </w:r>
      <w:r>
        <w:rPr>
          <w:rFonts w:ascii="Times New Roman" w:cs="Times New Roman" w:eastAsia="Times New Roman" w:hAnsi="Times New Roman"/>
          <w:sz w:val="18"/>
          <w:szCs w:val="18"/>
          <w:color w:val="auto"/>
        </w:rPr>
        <w:t>”) to accelerate the clinical development path for CYB004, the Company's proprietary deuterated DMT</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molecule for the potential treatment of anxiety disorders (the “</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The purchase price of the Asset Acquisition is $1,000,000, a portion of which will be a deposit with the balance payable on closing of the Asset Acquisition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In addition, the Company may pay up to $480,000 for</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consulting services to be provided from Entheon over a period of up to twelve months following Closing. The Company expects the Asset Acquisition to close within 30 days, subject to the completion of certain conditions and obtaining all necessary approvals.</w:t>
      </w:r>
    </w:p>
    <w:p>
      <w:pPr>
        <w:spacing w:after="0" w:line="12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On June 9, 2022, the Company announced that it has received Institutional Review Board (the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approval to begin the first-in-human Phase I/IIa clinical trial evaluating CYB003, its proprietary deuterated psilocybin analog, for the treatment of MDD.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Acquisitions and Dispositions</w:t>
      </w:r>
    </w:p>
    <w:p>
      <w:pPr>
        <w:spacing w:after="0" w:line="164"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On December 4, 2020, the Company entered into the Contribution Agreement with Cybin, Cybin U.S. and the Adelia Shareholders whereby Cybin U.S. agreed to purchase from the Adelia Shareholders all of the issued and outstanding Adelia shares in exchange for the Class B Shares (as defined below). The Adelia Transaction closed on December 14, 2020.</w:t>
      </w:r>
    </w:p>
    <w:p>
      <w:pPr>
        <w:spacing w:after="0" w:line="13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Pursuant to the Contribution Agreement and the support agreement entered into among Cybin U.S. and the Adelia Shareholders (the “</w:t>
      </w:r>
      <w:r>
        <w:rPr>
          <w:rFonts w:ascii="Times New Roman" w:cs="Times New Roman" w:eastAsia="Times New Roman" w:hAnsi="Times New Roman"/>
          <w:sz w:val="18"/>
          <w:szCs w:val="18"/>
          <w:b w:val="1"/>
          <w:bCs w:val="1"/>
          <w:color w:val="auto"/>
        </w:rPr>
        <w:t>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Adelia Shareholders received 868,833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60"/>
          </w:cols>
          <w:pgMar w:left="320" w:top="1438" w:right="319" w:bottom="1440" w:gutter="0" w:footer="0" w:header="0"/>
        </w:sectPr>
      </w:pPr>
    </w:p>
    <w:bookmarkStart w:id="30" w:name="page31"/>
    <w:bookmarkEnd w:id="30"/>
    <w:p>
      <w:pPr>
        <w:spacing w:after="0" w:line="239" w:lineRule="auto"/>
        <w:rPr>
          <w:sz w:val="20"/>
          <w:szCs w:val="20"/>
          <w:color w:val="auto"/>
        </w:rPr>
      </w:pPr>
      <w:r>
        <w:rPr>
          <w:rFonts w:ascii="Times New Roman" w:cs="Times New Roman" w:eastAsia="Times New Roman" w:hAnsi="Times New Roman"/>
          <w:sz w:val="17"/>
          <w:szCs w:val="17"/>
          <w:color w:val="auto"/>
        </w:rPr>
        <w:t>voting Class B common shares in the capital of Cybin U.S. (each a “</w:t>
      </w:r>
      <w:r>
        <w:rPr>
          <w:rFonts w:ascii="Times New Roman" w:cs="Times New Roman" w:eastAsia="Times New Roman" w:hAnsi="Times New Roman"/>
          <w:sz w:val="17"/>
          <w:szCs w:val="17"/>
          <w:b w:val="1"/>
          <w:bCs w:val="1"/>
          <w:color w:val="auto"/>
        </w:rPr>
        <w:t>Class B Share</w:t>
      </w:r>
      <w:r>
        <w:rPr>
          <w:rFonts w:ascii="Times New Roman" w:cs="Times New Roman" w:eastAsia="Times New Roman" w:hAnsi="Times New Roman"/>
          <w:sz w:val="17"/>
          <w:szCs w:val="17"/>
          <w:color w:val="auto"/>
        </w:rPr>
        <w:t>”), which are exchangeable for Common Shares, on a 10 Common Shares for 1 Class B Share basis, at the option of the holder thereof, subject to customary adjustments. The Class B Shares issued to the Adelia Shareholders</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on the closing of the Adelia Transaction are exchangeable for a total of 8,688,330 Common Shares. The aggregate value of the Class B Shares to be issued to the Adelia Shareholders on the closing of the Adelia Transaction was $19,548,743.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Contribution Agreement, the Adelia Shareholders are also entitled to Class B Shares upon the occurrence of certain milestones (the “</w:t>
      </w:r>
      <w:r>
        <w:rPr>
          <w:rFonts w:ascii="Times New Roman" w:cs="Times New Roman" w:eastAsia="Times New Roman" w:hAnsi="Times New Roman"/>
          <w:sz w:val="18"/>
          <w:szCs w:val="18"/>
          <w:b w:val="1"/>
          <w:bCs w:val="1"/>
          <w:color w:val="auto"/>
        </w:rPr>
        <w:t>Adelia</w:t>
      </w:r>
    </w:p>
    <w:p>
      <w:pPr>
        <w:spacing w:after="0" w:line="205" w:lineRule="auto"/>
        <w:rPr>
          <w:sz w:val="20"/>
          <w:szCs w:val="20"/>
          <w:color w:val="auto"/>
        </w:rPr>
      </w:pPr>
      <w:r>
        <w:rPr>
          <w:rFonts w:ascii="Times New Roman" w:cs="Times New Roman" w:eastAsia="Times New Roman" w:hAnsi="Times New Roman"/>
          <w:sz w:val="18"/>
          <w:szCs w:val="18"/>
          <w:b w:val="1"/>
          <w:bCs w:val="1"/>
          <w:color w:val="auto"/>
        </w:rPr>
        <w:t>Milestones</w:t>
      </w:r>
      <w:r>
        <w:rPr>
          <w:rFonts w:ascii="Times New Roman" w:cs="Times New Roman" w:eastAsia="Times New Roman" w:hAnsi="Times New Roman"/>
          <w:sz w:val="18"/>
          <w:szCs w:val="18"/>
          <w:color w:val="auto"/>
        </w:rPr>
        <w:t>”), as set out in the Contribution Agreement, which are also exchangeable for Common Shares on a 10 Common Shares for 1 Class B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The total value of the Class B Shares issuable pursuant to the Adelia Milestones is up to $9,388,045.50, assuming all Adelia Milestones are met prior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applicable deadlines.</w:t>
      </w:r>
    </w:p>
    <w:p>
      <w:pPr>
        <w:spacing w:after="0" w:line="152"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No Class B Shares are exchangeable prior to the first anniversary of closing of the Adelia Transaction, and not more than: (i) 33 1/3% of the Class B Shares will be exchangeable prior to the second anniversary of the Adelia Transaction; (ii) 66 2/3% of the Class B Shares will be exchangeable prior to the third</w:t>
      </w:r>
    </w:p>
    <w:p>
      <w:pPr>
        <w:spacing w:after="0" w:line="230" w:lineRule="auto"/>
        <w:rPr>
          <w:sz w:val="20"/>
          <w:szCs w:val="20"/>
          <w:color w:val="auto"/>
        </w:rPr>
      </w:pPr>
      <w:r>
        <w:rPr>
          <w:rFonts w:ascii="Times New Roman" w:cs="Times New Roman" w:eastAsia="Times New Roman" w:hAnsi="Times New Roman"/>
          <w:sz w:val="18"/>
          <w:szCs w:val="18"/>
          <w:color w:val="auto"/>
        </w:rPr>
        <w:t>anniversary of the Adelia Transaction; and (iii) thereafter, 100% of the Class B Shares will be exchangeable. The Class B Shares issued to the Adelia Shareholders are exchangeable for a total of 511,631 Common Shares, resulting in an effective issue price of $1.99 per Common Share.</w:t>
      </w:r>
    </w:p>
    <w:p>
      <w:pPr>
        <w:spacing w:after="0" w:line="1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As of the date of this AIF, 1,253,679.4 Class B Shares, having an aggregate value of $6,599,458.88, have been issued to Adelia Shareholders and 222,139.0 Class B Shares have been exchanged into Common Shares. For further information on the Class B Share issuances see </w:t>
      </w:r>
      <w:r>
        <w:rPr>
          <w:rFonts w:ascii="Times New Roman" w:cs="Times New Roman" w:eastAsia="Times New Roman" w:hAnsi="Times New Roman"/>
          <w:sz w:val="18"/>
          <w:szCs w:val="18"/>
          <w:i w:val="1"/>
          <w:iCs w:val="1"/>
          <w:color w:val="auto"/>
        </w:rPr>
        <w:t>“General Development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 History of the Company</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has filed a Form 51-102F4 - </w:t>
      </w:r>
      <w:r>
        <w:rPr>
          <w:rFonts w:ascii="Times New Roman" w:cs="Times New Roman" w:eastAsia="Times New Roman" w:hAnsi="Times New Roman"/>
          <w:sz w:val="18"/>
          <w:szCs w:val="18"/>
          <w:i w:val="1"/>
          <w:iCs w:val="1"/>
          <w:color w:val="auto"/>
        </w:rPr>
        <w:t>Business Acquisition Report</w:t>
      </w:r>
      <w:r>
        <w:rPr>
          <w:rFonts w:ascii="Times New Roman" w:cs="Times New Roman" w:eastAsia="Times New Roman" w:hAnsi="Times New Roman"/>
          <w:sz w:val="18"/>
          <w:szCs w:val="18"/>
          <w:color w:val="auto"/>
        </w:rPr>
        <w:t xml:space="preserve"> in respect of the Adelia Transaction.</w:t>
      </w:r>
    </w:p>
    <w:p>
      <w:pPr>
        <w:spacing w:after="0" w:line="17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Other than the Adelia Transaction, the Company has not completed any significant acquisitions or dispositions during the fiscal year ended March 31, 2022 for which disclosure is required under Part 8 of NI 51-102.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COVID-19 Pandemic</w:t>
      </w:r>
    </w:p>
    <w:p>
      <w:pPr>
        <w:spacing w:after="0" w:line="1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On March 11, 2020, the World Health Organization declared the outbreak of COVID-19 a pandemic. Since the outbreak of COVID-19, the Company has focused its efforts on safeguarding the health and well-being of its employees, consultants and community members. To help slow the spread of COVID-19,</w:t>
      </w:r>
    </w:p>
    <w:p>
      <w:pPr>
        <w:spacing w:after="0" w:line="213" w:lineRule="auto"/>
        <w:rPr>
          <w:sz w:val="20"/>
          <w:szCs w:val="20"/>
          <w:color w:val="auto"/>
        </w:rPr>
      </w:pPr>
      <w:r>
        <w:rPr>
          <w:rFonts w:ascii="Times New Roman" w:cs="Times New Roman" w:eastAsia="Times New Roman" w:hAnsi="Times New Roman"/>
          <w:sz w:val="18"/>
          <w:szCs w:val="18"/>
          <w:color w:val="auto"/>
        </w:rPr>
        <w:t>the Company’s employees have been working remotely, where possible, and abiding by local and national guidance put in place in Canada, the United</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States, and Ireland related to social distancing and restrictions on travel outside of the home. The Company has and will continue to abide by the protocols within Canada, the United States, and Ireland regarding the performance of work activities. The duration and the immediate and eventual impact of the</w:t>
      </w:r>
    </w:p>
    <w:p>
      <w:pPr>
        <w:spacing w:after="0" w:line="213" w:lineRule="auto"/>
        <w:rPr>
          <w:sz w:val="20"/>
          <w:szCs w:val="20"/>
          <w:color w:val="auto"/>
        </w:rPr>
      </w:pPr>
      <w:r>
        <w:rPr>
          <w:rFonts w:ascii="Times New Roman" w:cs="Times New Roman" w:eastAsia="Times New Roman" w:hAnsi="Times New Roman"/>
          <w:sz w:val="18"/>
          <w:szCs w:val="18"/>
          <w:color w:val="auto"/>
        </w:rPr>
        <w:t>COVID-19 pandemic remains unknown. In particular, it is not possible to reliably estimate the length and severity of these developments and the impact on</w:t>
      </w:r>
    </w:p>
    <w:p>
      <w:pPr>
        <w:spacing w:after="0" w:line="205" w:lineRule="auto"/>
        <w:rPr>
          <w:sz w:val="20"/>
          <w:szCs w:val="20"/>
          <w:color w:val="auto"/>
        </w:rPr>
      </w:pPr>
      <w:r>
        <w:rPr>
          <w:rFonts w:ascii="Times New Roman" w:cs="Times New Roman" w:eastAsia="Times New Roman" w:hAnsi="Times New Roman"/>
          <w:sz w:val="18"/>
          <w:szCs w:val="18"/>
          <w:color w:val="auto"/>
        </w:rPr>
        <w:t>the financial results and condition of the Company. To date, a number of businesses have suspended or scaled back their operations and development as cases of COVID-19 have been confirmed, for precautionary purposes or as governments have declared a state of emergency or taken other actions. In the</w:t>
      </w:r>
    </w:p>
    <w:p>
      <w:pPr>
        <w:spacing w:after="0" w:line="213" w:lineRule="auto"/>
        <w:rPr>
          <w:sz w:val="20"/>
          <w:szCs w:val="20"/>
          <w:color w:val="auto"/>
        </w:rPr>
      </w:pPr>
      <w:r>
        <w:rPr>
          <w:rFonts w:ascii="Times New Roman" w:cs="Times New Roman" w:eastAsia="Times New Roman" w:hAnsi="Times New Roman"/>
          <w:sz w:val="18"/>
          <w:szCs w:val="18"/>
          <w:color w:val="auto"/>
        </w:rPr>
        <w:t>event that the operations or development of the Company are suspended or scaled back, or if the Company’s supply chains are disrupted, such events may</w:t>
      </w:r>
    </w:p>
    <w:p>
      <w:pPr>
        <w:spacing w:after="0" w:line="222" w:lineRule="auto"/>
        <w:rPr>
          <w:sz w:val="20"/>
          <w:szCs w:val="20"/>
          <w:color w:val="auto"/>
        </w:rPr>
      </w:pPr>
      <w:r>
        <w:rPr>
          <w:rFonts w:ascii="Times New Roman" w:cs="Times New Roman" w:eastAsia="Times New Roman" w:hAnsi="Times New Roman"/>
          <w:sz w:val="18"/>
          <w:szCs w:val="18"/>
          <w:color w:val="auto"/>
        </w:rPr>
        <w:t>have a material adverse effect on the Company. The breadth of the impact of the COVID-19 pandemic on investors, businesses, the global economy and financial and commodity markets may also have a material adverse effect on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Risk Factors – Risks Related to the Business of the Company - Novel Coronavirus COVID-19”</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16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Company is a biotechnology company focused on advancing pharmaceutical therapies, delivery mechanisms, novel compounds and protocols as potential therapies for various psychiatric and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34" w:right="339" w:bottom="1440" w:gutter="0" w:footer="0" w:header="0"/>
        </w:sectPr>
      </w:pPr>
    </w:p>
    <w:bookmarkStart w:id="31" w:name="page32"/>
    <w:bookmarkEnd w:id="31"/>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neurological conditions. The Company is developing technologies and delivery systems aiming to improve the pharmacokinetics of its psychedelic molecules while retaining the therapeutics benefit. The new molecules and delivery systems are expected to be studied through clinical trials to confirm safety and efficacy.</w:t>
      </w:r>
    </w:p>
    <w:p>
      <w:pPr>
        <w:spacing w:after="0" w:line="156"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Company has historically had two business segments (a) Serenity Life Sciences Inc. and Cybin US Holdings Inc. (“</w:t>
      </w:r>
      <w:r>
        <w:rPr>
          <w:rFonts w:ascii="Times New Roman" w:cs="Times New Roman" w:eastAsia="Times New Roman" w:hAnsi="Times New Roman"/>
          <w:sz w:val="18"/>
          <w:szCs w:val="18"/>
          <w:b w:val="1"/>
          <w:bCs w:val="1"/>
          <w:color w:val="auto"/>
        </w:rPr>
        <w:t>Cybin U.S.</w:t>
      </w:r>
      <w:r>
        <w:rPr>
          <w:rFonts w:ascii="Times New Roman" w:cs="Times New Roman" w:eastAsia="Times New Roman" w:hAnsi="Times New Roman"/>
          <w:sz w:val="18"/>
          <w:szCs w:val="18"/>
          <w:color w:val="auto"/>
        </w:rPr>
        <w:t>”) that focus on the research and development of psychedelic pharmaceutical products; and (b) Natures Journey Inc. (“</w:t>
      </w:r>
      <w:r>
        <w:rPr>
          <w:rFonts w:ascii="Times New Roman" w:cs="Times New Roman" w:eastAsia="Times New Roman" w:hAnsi="Times New Roman"/>
          <w:sz w:val="18"/>
          <w:szCs w:val="18"/>
          <w:b w:val="1"/>
          <w:bCs w:val="1"/>
          <w:color w:val="auto"/>
        </w:rPr>
        <w:t>Natures Journey</w:t>
      </w:r>
      <w:r>
        <w:rPr>
          <w:rFonts w:ascii="Times New Roman" w:cs="Times New Roman" w:eastAsia="Times New Roman" w:hAnsi="Times New Roman"/>
          <w:sz w:val="18"/>
          <w:szCs w:val="18"/>
          <w:color w:val="auto"/>
        </w:rPr>
        <w:t>”) that focused on consumer mental</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wellness, including non-psychedelic nutraceutical products (the “</w:t>
      </w:r>
      <w:r>
        <w:rPr>
          <w:rFonts w:ascii="Times New Roman" w:cs="Times New Roman" w:eastAsia="Times New Roman" w:hAnsi="Times New Roman"/>
          <w:sz w:val="18"/>
          <w:szCs w:val="18"/>
          <w:b w:val="1"/>
          <w:bCs w:val="1"/>
          <w:color w:val="auto"/>
        </w:rPr>
        <w:t>Product Line</w:t>
      </w:r>
      <w:r>
        <w:rPr>
          <w:rFonts w:ascii="Times New Roman" w:cs="Times New Roman" w:eastAsia="Times New Roman" w:hAnsi="Times New Roman"/>
          <w:sz w:val="18"/>
          <w:szCs w:val="18"/>
          <w:color w:val="auto"/>
        </w:rPr>
        <w:t>”) and consumer mental wellness. In November 2021, the Company decided to not proceed with the Natures Journey business segment in order to prioritize its research and development of psychedelic pharmaceutical products.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Psychedelics</w:t>
      </w:r>
    </w:p>
    <w:p>
      <w:pPr>
        <w:spacing w:after="0" w:line="174"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The Company is conducting research and development of psychedelic therapeutics that aim to address unmet mental health conditions by leveraging proprietary drug discovery platforms, novel formulation approaches, innovative drug delivery systems, and optimized treatment regimens. This</w:t>
      </w:r>
    </w:p>
    <w:p>
      <w:pPr>
        <w:jc w:val="both"/>
        <w:spacing w:after="0" w:line="230" w:lineRule="auto"/>
        <w:rPr>
          <w:sz w:val="20"/>
          <w:szCs w:val="20"/>
          <w:color w:val="auto"/>
        </w:rPr>
      </w:pPr>
      <w:r>
        <w:rPr>
          <w:rFonts w:ascii="Times New Roman" w:cs="Times New Roman" w:eastAsia="Times New Roman" w:hAnsi="Times New Roman"/>
          <w:sz w:val="18"/>
          <w:szCs w:val="18"/>
          <w:color w:val="auto"/>
        </w:rPr>
        <w:t>comprehensive strategy is predicated on structural modifications of known and well understood tryptamine derivatives to improve their pharmacokinetic properties without altering their respective pharmacology.</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Across the various research and development programs, the Company is researching and developing a wide array of novel, synthetic psychedelic API intended to be delivered through innovative drug delivery systems including sublingual films,</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orally disintegrating tablets (“</w:t>
      </w:r>
      <w:r>
        <w:rPr>
          <w:rFonts w:ascii="Times New Roman" w:cs="Times New Roman" w:eastAsia="Times New Roman" w:hAnsi="Times New Roman"/>
          <w:sz w:val="18"/>
          <w:szCs w:val="18"/>
          <w:b w:val="1"/>
          <w:bCs w:val="1"/>
          <w:color w:val="auto"/>
        </w:rPr>
        <w:t>ODT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and via inhalation.</w:t>
      </w:r>
    </w:p>
    <w:p>
      <w:pPr>
        <w:spacing w:after="0" w:line="70"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18"/>
          <w:szCs w:val="18"/>
          <w:color w:val="auto"/>
        </w:rPr>
        <w:t>The Company intends to apply for regulatory approval for products targeting MDD, alcohol use disorder (“</w:t>
      </w:r>
      <w:r>
        <w:rPr>
          <w:rFonts w:ascii="Times New Roman" w:cs="Times New Roman" w:eastAsia="Times New Roman" w:hAnsi="Times New Roman"/>
          <w:sz w:val="18"/>
          <w:szCs w:val="18"/>
          <w:b w:val="1"/>
          <w:bCs w:val="1"/>
          <w:color w:val="auto"/>
        </w:rPr>
        <w:t>AUD</w:t>
      </w:r>
      <w:r>
        <w:rPr>
          <w:rFonts w:ascii="Times New Roman" w:cs="Times New Roman" w:eastAsia="Times New Roman" w:hAnsi="Times New Roman"/>
          <w:sz w:val="18"/>
          <w:szCs w:val="18"/>
          <w:color w:val="auto"/>
        </w:rPr>
        <w:t>”) and various anxiety disorders.</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 xml:space="preserve"> The Company is also developing products that may have the potential to address neuroinflammation.</w:t>
      </w:r>
      <w:r>
        <w:rPr>
          <w:rFonts w:ascii="Times New Roman" w:cs="Times New Roman" w:eastAsia="Times New Roman" w:hAnsi="Times New Roman"/>
          <w:sz w:val="23"/>
          <w:szCs w:val="23"/>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182880</wp:posOffset>
            </wp:positionV>
            <wp:extent cx="15519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342" w:lineRule="exact"/>
        <w:rPr>
          <w:sz w:val="20"/>
          <w:szCs w:val="20"/>
          <w:color w:val="auto"/>
        </w:rPr>
      </w:pPr>
    </w:p>
    <w:p>
      <w:pPr>
        <w:jc w:val="both"/>
        <w:ind w:firstLine="3"/>
        <w:spacing w:after="0" w:line="200" w:lineRule="auto"/>
        <w:tabs>
          <w:tab w:leader="none" w:pos="112"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Company has contracted with IntelGenx to develop the Sublingual Film formulation of psilocybin. IntelGenx has produced multiple formulation types, but the final formulation has not been selected. Successful completion of formulation is necessary before clinical trials supplies can be provided to investigators. On November 8, 2021, the Company announced that its research into its Deuterated Psilocybin Analog Program has identified a putative orally deliverable drug product that appears to have more desirable characteristics than psilocybin delivered by Sublingual Film. Although the Company is still evaluating the Sublingual Film technology, it has prioritized the Deuterated Psilocybin Analog Program over the Sublingual Film technology as a result of the Company’s positive view of the Deuterated Psilocybin Analog Program research data.</w:t>
      </w:r>
    </w:p>
    <w:p>
      <w:pPr>
        <w:spacing w:after="0" w:line="3" w:lineRule="exact"/>
        <w:rPr>
          <w:rFonts w:ascii="Times New Roman" w:cs="Times New Roman" w:eastAsia="Times New Roman" w:hAnsi="Times New Roman"/>
          <w:sz w:val="19"/>
          <w:szCs w:val="19"/>
          <w:color w:val="auto"/>
          <w:vertAlign w:val="superscript"/>
        </w:rPr>
      </w:pPr>
    </w:p>
    <w:p>
      <w:pPr>
        <w:jc w:val="both"/>
        <w:ind w:right="20"/>
        <w:spacing w:after="0" w:line="208"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9</w:t>
      </w:r>
      <w:r>
        <w:rPr>
          <w:rFonts w:ascii="Times New Roman" w:cs="Times New Roman" w:eastAsia="Times New Roman" w:hAnsi="Times New Roman"/>
          <w:sz w:val="14"/>
          <w:szCs w:val="14"/>
          <w:color w:val="auto"/>
        </w:rPr>
        <w:t xml:space="preserve"> The Company is currently applying Catalent’s proprietary Zydis® ODT technology as a delivery method during the development of our novel deuterated tryptamine. Zydis technology creates a freeze-dried tablet that disperses almost instantly in the mouth without water and is recognized as one of the world’s best-performing ODTs. 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 w:lineRule="exact"/>
        <w:rPr>
          <w:rFonts w:ascii="Times New Roman" w:cs="Times New Roman" w:eastAsia="Times New Roman" w:hAnsi="Times New Roman"/>
          <w:sz w:val="19"/>
          <w:szCs w:val="19"/>
          <w:color w:val="auto"/>
          <w:vertAlign w:val="superscript"/>
        </w:rPr>
      </w:pPr>
    </w:p>
    <w:p>
      <w:pPr>
        <w:jc w:val="both"/>
        <w:ind w:right="20"/>
        <w:spacing w:after="0" w:line="193"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9"/>
          <w:szCs w:val="19"/>
          <w:color w:val="auto"/>
          <w:vertAlign w:val="superscript"/>
        </w:rPr>
        <w:t>10</w:t>
      </w:r>
      <w:r>
        <w:rPr>
          <w:rFonts w:ascii="Times New Roman" w:cs="Times New Roman" w:eastAsia="Times New Roman" w:hAnsi="Times New Roman"/>
          <w:sz w:val="15"/>
          <w:szCs w:val="15"/>
          <w:color w:val="auto"/>
        </w:rPr>
        <w:t xml:space="preserve"> The material factors and assumption underlying this forward-looking statement is that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 w:lineRule="exact"/>
        <w:rPr>
          <w:rFonts w:ascii="Times New Roman" w:cs="Times New Roman" w:eastAsia="Times New Roman" w:hAnsi="Times New Roman"/>
          <w:sz w:val="19"/>
          <w:szCs w:val="19"/>
          <w:color w:val="auto"/>
          <w:vertAlign w:val="superscript"/>
        </w:rPr>
      </w:pPr>
    </w:p>
    <w:p>
      <w:pPr>
        <w:jc w:val="both"/>
        <w:ind w:right="20"/>
        <w:spacing w:after="0" w:line="201"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9"/>
          <w:szCs w:val="19"/>
          <w:color w:val="auto"/>
          <w:vertAlign w:val="superscript"/>
        </w:rPr>
        <w:t>11</w:t>
      </w:r>
      <w:r>
        <w:rPr>
          <w:rFonts w:ascii="Times New Roman" w:cs="Times New Roman" w:eastAsia="Times New Roman" w:hAnsi="Times New Roman"/>
          <w:sz w:val="15"/>
          <w:szCs w:val="15"/>
          <w:color w:val="auto"/>
        </w:rPr>
        <w:t xml:space="preserve"> The material factors and assumption underlying this forward-looking statement is that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60"/>
          </w:cols>
          <w:pgMar w:left="320" w:top="1438" w:right="319" w:bottom="1440" w:gutter="0" w:footer="0" w:header="0"/>
        </w:sectPr>
      </w:pPr>
    </w:p>
    <w:bookmarkStart w:id="32" w:name="page33"/>
    <w:bookmarkEnd w:id="32"/>
    <w:p>
      <w:pPr>
        <w:ind w:left="2"/>
        <w:spacing w:after="0"/>
        <w:rPr>
          <w:sz w:val="20"/>
          <w:szCs w:val="20"/>
          <w:color w:val="auto"/>
        </w:rPr>
      </w:pPr>
      <w:r>
        <w:rPr>
          <w:rFonts w:ascii="Times New Roman" w:cs="Times New Roman" w:eastAsia="Times New Roman" w:hAnsi="Times New Roman"/>
          <w:sz w:val="18"/>
          <w:szCs w:val="18"/>
          <w:i w:val="1"/>
          <w:iCs w:val="1"/>
          <w:color w:val="auto"/>
        </w:rPr>
        <w:t>Non-Psychedelics</w:t>
      </w:r>
    </w:p>
    <w:p>
      <w:pPr>
        <w:spacing w:after="0" w:line="17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In November 2021, the Company decided to not proceed with the Natures Journey business segment, including the Product Line in order to prioritize its</w:t>
      </w:r>
    </w:p>
    <w:p>
      <w:pPr>
        <w:ind w:left="2" w:right="20"/>
        <w:spacing w:after="0" w:line="222" w:lineRule="auto"/>
        <w:rPr>
          <w:sz w:val="20"/>
          <w:szCs w:val="20"/>
          <w:color w:val="auto"/>
        </w:rPr>
      </w:pPr>
      <w:r>
        <w:rPr>
          <w:rFonts w:ascii="Times New Roman" w:cs="Times New Roman" w:eastAsia="Times New Roman" w:hAnsi="Times New Roman"/>
          <w:sz w:val="18"/>
          <w:szCs w:val="18"/>
          <w:color w:val="auto"/>
        </w:rPr>
        <w:t>progression of its research and development of psychedelic pharmaceutical products. As of the date of this AIF, the Company has not begun operations nor generated any revenue from the sale of the Product Line and it does not expect any revenues from the Product Line going forward.</w:t>
      </w:r>
    </w:p>
    <w:p>
      <w:pPr>
        <w:spacing w:after="0" w:line="14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Business Objectives</w:t>
      </w:r>
    </w:p>
    <w:p>
      <w:pPr>
        <w:spacing w:after="0" w:line="17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Over the next 12 months, the Company expects to:</w:t>
      </w:r>
    </w:p>
    <w:p>
      <w:pPr>
        <w:spacing w:after="0" w:line="160" w:lineRule="exact"/>
        <w:rPr>
          <w:sz w:val="20"/>
          <w:szCs w:val="20"/>
          <w:color w:val="auto"/>
        </w:rPr>
      </w:pPr>
    </w:p>
    <w:p>
      <w:pPr>
        <w:ind w:left="1162" w:hanging="576"/>
        <w:spacing w:after="0"/>
        <w:tabs>
          <w:tab w:leader="none" w:pos="11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third parties to chemically synthesize psychedelic APIs for potential use in clinical trials;</w:t>
      </w:r>
    </w:p>
    <w:p>
      <w:pPr>
        <w:spacing w:after="0" w:line="171" w:lineRule="exact"/>
        <w:rPr>
          <w:rFonts w:ascii="Times New Roman" w:cs="Times New Roman" w:eastAsia="Times New Roman" w:hAnsi="Times New Roman"/>
          <w:sz w:val="18"/>
          <w:szCs w:val="18"/>
          <w:color w:val="auto"/>
        </w:rPr>
      </w:pPr>
    </w:p>
    <w:p>
      <w:pPr>
        <w:ind w:left="1162" w:hanging="576"/>
        <w:spacing w:after="0"/>
        <w:tabs>
          <w:tab w:leader="none" w:pos="11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licensed pharmaceutical research companies to develop intellectual property of which the Company will be the owner;</w:t>
      </w:r>
    </w:p>
    <w:p>
      <w:pPr>
        <w:spacing w:after="0" w:line="171" w:lineRule="exact"/>
        <w:rPr>
          <w:rFonts w:ascii="Times New Roman" w:cs="Times New Roman" w:eastAsia="Times New Roman" w:hAnsi="Times New Roman"/>
          <w:sz w:val="18"/>
          <w:szCs w:val="18"/>
          <w:color w:val="auto"/>
        </w:rPr>
      </w:pPr>
    </w:p>
    <w:p>
      <w:pPr>
        <w:ind w:left="1182" w:right="20" w:hanging="596"/>
        <w:spacing w:after="0" w:line="234" w:lineRule="auto"/>
        <w:tabs>
          <w:tab w:leader="none" w:pos="11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clinical trials regarding the safety and efficacy surrounding the delivery of psilocybin and deuterated psychedelic tryptamine with an in-house psycho-assisted therapy;</w:t>
      </w:r>
    </w:p>
    <w:p>
      <w:pPr>
        <w:spacing w:after="0" w:line="146" w:lineRule="exact"/>
        <w:rPr>
          <w:rFonts w:ascii="Times New Roman" w:cs="Times New Roman" w:eastAsia="Times New Roman" w:hAnsi="Times New Roman"/>
          <w:sz w:val="18"/>
          <w:szCs w:val="18"/>
          <w:color w:val="auto"/>
        </w:rPr>
      </w:pPr>
    </w:p>
    <w:p>
      <w:pPr>
        <w:ind w:left="1182" w:right="20" w:hanging="596"/>
        <w:spacing w:after="0" w:line="243" w:lineRule="auto"/>
        <w:tabs>
          <w:tab w:leader="none" w:pos="11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its intellectual property portfolio through internal development of novel psychedelic tryptamine and phenethylamine molecules and through acquisition strategies;</w:t>
      </w:r>
    </w:p>
    <w:p>
      <w:pPr>
        <w:spacing w:after="0" w:line="130" w:lineRule="exact"/>
        <w:rPr>
          <w:rFonts w:ascii="Times New Roman" w:cs="Times New Roman" w:eastAsia="Times New Roman" w:hAnsi="Times New Roman"/>
          <w:sz w:val="18"/>
          <w:szCs w:val="18"/>
          <w:color w:val="auto"/>
        </w:rPr>
      </w:pPr>
    </w:p>
    <w:p>
      <w:pPr>
        <w:ind w:left="1182" w:right="20" w:hanging="596"/>
        <w:spacing w:after="0" w:line="243" w:lineRule="auto"/>
        <w:tabs>
          <w:tab w:leader="none" w:pos="11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an M&amp;A strategy to acquire biotech and pharmaceutical technologies with a core focus on intellectual property and psychedelic research; and</w:t>
      </w:r>
    </w:p>
    <w:p>
      <w:pPr>
        <w:spacing w:after="0" w:line="142" w:lineRule="exact"/>
        <w:rPr>
          <w:rFonts w:ascii="Times New Roman" w:cs="Times New Roman" w:eastAsia="Times New Roman" w:hAnsi="Times New Roman"/>
          <w:sz w:val="18"/>
          <w:szCs w:val="18"/>
          <w:color w:val="auto"/>
        </w:rPr>
      </w:pPr>
    </w:p>
    <w:p>
      <w:pPr>
        <w:ind w:left="1162" w:hanging="576"/>
        <w:spacing w:after="0"/>
        <w:tabs>
          <w:tab w:leader="none" w:pos="11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prioritizing the research and development progression of psychedelic molecules.</w:t>
      </w:r>
    </w:p>
    <w:p>
      <w:pPr>
        <w:spacing w:after="0" w:line="1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Further details regarding the Company’s milestones and objectives are found under the heading “</w:t>
      </w:r>
      <w:r>
        <w:rPr>
          <w:rFonts w:ascii="Times New Roman" w:cs="Times New Roman" w:eastAsia="Times New Roman" w:hAnsi="Times New Roman"/>
          <w:sz w:val="18"/>
          <w:szCs w:val="18"/>
          <w:i w:val="1"/>
          <w:iCs w:val="1"/>
          <w:color w:val="auto"/>
        </w:rPr>
        <w:t>Milestones and Business Objectives of the Company”.</w:t>
      </w:r>
    </w:p>
    <w:p>
      <w:pPr>
        <w:spacing w:after="0" w:line="19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Stage of Development of Principal Products</w:t>
      </w:r>
    </w:p>
    <w:p>
      <w:pPr>
        <w:spacing w:after="0" w:line="164" w:lineRule="exact"/>
        <w:rPr>
          <w:sz w:val="20"/>
          <w:szCs w:val="20"/>
          <w:color w:val="auto"/>
        </w:rPr>
      </w:pPr>
    </w:p>
    <w:p>
      <w:pPr>
        <w:ind w:left="2" w:right="20"/>
        <w:spacing w:after="0" w:line="237" w:lineRule="auto"/>
        <w:rPr>
          <w:sz w:val="20"/>
          <w:szCs w:val="20"/>
          <w:color w:val="auto"/>
        </w:rPr>
      </w:pPr>
      <w:r>
        <w:rPr>
          <w:rFonts w:ascii="Times New Roman" w:cs="Times New Roman" w:eastAsia="Times New Roman" w:hAnsi="Times New Roman"/>
          <w:sz w:val="17"/>
          <w:szCs w:val="17"/>
          <w:color w:val="auto"/>
        </w:rPr>
        <w:t>Like most life sciences and pharmaceutical companies, the Company’s psychedelic business is focused on research and development and any future revenue will be dependent on a number of factors, including the outcome of the Company’s sponsored clinical trials and the receipt of all necessary regulatory</w:t>
      </w:r>
    </w:p>
    <w:p>
      <w:pPr>
        <w:ind w:left="2" w:right="20"/>
        <w:spacing w:after="0" w:line="205" w:lineRule="auto"/>
        <w:rPr>
          <w:sz w:val="20"/>
          <w:szCs w:val="20"/>
          <w:color w:val="auto"/>
        </w:rPr>
      </w:pPr>
      <w:r>
        <w:rPr>
          <w:rFonts w:ascii="Times New Roman" w:cs="Times New Roman" w:eastAsia="Times New Roman" w:hAnsi="Times New Roman"/>
          <w:sz w:val="18"/>
          <w:szCs w:val="18"/>
          <w:color w:val="auto"/>
        </w:rPr>
        <w:t>approvals. As of the date of this AIF, the Company has generated revenue from non-core, nutraceutical formulation which was purchased and formulated into finished goods and sold in the United States to one purchaser. The products will not be re-generated in the future and do not represent core sales of the</w:t>
      </w:r>
    </w:p>
    <w:p>
      <w:pPr>
        <w:spacing w:after="0" w:line="1" w:lineRule="exact"/>
        <w:rPr>
          <w:sz w:val="20"/>
          <w:szCs w:val="20"/>
          <w:color w:val="auto"/>
        </w:rPr>
      </w:pPr>
    </w:p>
    <w:p>
      <w:pPr>
        <w:ind w:left="2"/>
        <w:spacing w:after="0" w:line="230" w:lineRule="auto"/>
        <w:rPr>
          <w:sz w:val="20"/>
          <w:szCs w:val="20"/>
          <w:color w:val="auto"/>
        </w:rPr>
      </w:pPr>
      <w:r>
        <w:rPr>
          <w:rFonts w:ascii="Times New Roman" w:cs="Times New Roman" w:eastAsia="Times New Roman" w:hAnsi="Times New Roman"/>
          <w:sz w:val="18"/>
          <w:szCs w:val="18"/>
          <w:color w:val="auto"/>
        </w:rPr>
        <w:t>Company and/or core products of the Company. The Company has discontinued its sales of such products as it is not in line with the Company’s core sales model.</w:t>
      </w:r>
    </w:p>
    <w:p>
      <w:pPr>
        <w:spacing w:after="0" w:line="133" w:lineRule="exact"/>
        <w:rPr>
          <w:sz w:val="20"/>
          <w:szCs w:val="20"/>
          <w:color w:val="auto"/>
        </w:rPr>
      </w:pPr>
    </w:p>
    <w:p>
      <w:pPr>
        <w:ind w:left="2" w:right="20"/>
        <w:spacing w:after="0" w:line="224" w:lineRule="auto"/>
        <w:rPr>
          <w:sz w:val="20"/>
          <w:szCs w:val="20"/>
          <w:color w:val="auto"/>
        </w:rPr>
      </w:pPr>
      <w:r>
        <w:rPr>
          <w:rFonts w:ascii="Times New Roman" w:cs="Times New Roman" w:eastAsia="Times New Roman" w:hAnsi="Times New Roman"/>
          <w:sz w:val="18"/>
          <w:szCs w:val="18"/>
          <w:color w:val="auto"/>
        </w:rPr>
        <w:t>In order to establish its business operations, the Company intends to leverage the extensive professional network of its management to build working partnerships with (i) existing producers of psychedelic products based in Canada, the United States, and the United Kingdom to source the psychedelic</w:t>
      </w:r>
    </w:p>
    <w:p>
      <w:pPr>
        <w:ind w:left="2"/>
        <w:spacing w:after="0" w:line="233" w:lineRule="auto"/>
        <w:rPr>
          <w:sz w:val="20"/>
          <w:szCs w:val="20"/>
          <w:color w:val="auto"/>
        </w:rPr>
      </w:pPr>
      <w:r>
        <w:rPr>
          <w:rFonts w:ascii="Times New Roman" w:cs="Times New Roman" w:eastAsia="Times New Roman" w:hAnsi="Times New Roman"/>
          <w:sz w:val="18"/>
          <w:szCs w:val="18"/>
          <w:color w:val="auto"/>
        </w:rPr>
        <w:t>pharmaceutical products the Company intends to develop and distribute under its specific brand, and (ii) to explore options to facilitate the development and distribution and sale of its specific brand of psychedelic pharmaceutical products.</w:t>
      </w:r>
      <w:r>
        <w:rPr>
          <w:rFonts w:ascii="Times New Roman" w:cs="Times New Roman" w:eastAsia="Times New Roman" w:hAnsi="Times New Roman"/>
          <w:sz w:val="23"/>
          <w:szCs w:val="23"/>
          <w:color w:val="auto"/>
          <w:vertAlign w:val="superscript"/>
        </w:rPr>
        <w:t>12</w:t>
      </w:r>
    </w:p>
    <w:p>
      <w:pPr>
        <w:spacing w:after="0" w:line="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Company’s marketing and brand development will be driven through a digital marketing strategy composed of digital advertising and influencer</w:t>
      </w:r>
    </w:p>
    <w:p>
      <w:pPr>
        <w:ind w:left="2" w:right="20"/>
        <w:spacing w:after="0" w:line="222" w:lineRule="auto"/>
        <w:rPr>
          <w:sz w:val="20"/>
          <w:szCs w:val="20"/>
          <w:color w:val="auto"/>
        </w:rPr>
      </w:pPr>
      <w:r>
        <w:rPr>
          <w:rFonts w:ascii="Times New Roman" w:cs="Times New Roman" w:eastAsia="Times New Roman" w:hAnsi="Times New Roman"/>
          <w:sz w:val="18"/>
          <w:szCs w:val="18"/>
          <w:color w:val="auto"/>
        </w:rPr>
        <w:t xml:space="preserve">marketing. Prescription drugs are classified and regulated under the federal </w:t>
      </w:r>
      <w:r>
        <w:rPr>
          <w:rFonts w:ascii="Times New Roman" w:cs="Times New Roman" w:eastAsia="Times New Roman" w:hAnsi="Times New Roman"/>
          <w:sz w:val="18"/>
          <w:szCs w:val="18"/>
          <w:i w:val="1"/>
          <w:iCs w:val="1"/>
          <w:color w:val="auto"/>
        </w:rPr>
        <w:t>Food and Drugs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Canadian FDA</w:t>
      </w:r>
      <w:r>
        <w:rPr>
          <w:rFonts w:ascii="Times New Roman" w:cs="Times New Roman" w:eastAsia="Times New Roman" w:hAnsi="Times New Roman"/>
          <w:sz w:val="18"/>
          <w:szCs w:val="18"/>
          <w:color w:val="auto"/>
        </w:rPr>
        <w:t>”). Labelling, marketing and selling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55194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33" w:lineRule="exact"/>
        <w:rPr>
          <w:sz w:val="20"/>
          <w:szCs w:val="20"/>
          <w:color w:val="auto"/>
        </w:rPr>
      </w:pPr>
    </w:p>
    <w:p>
      <w:pPr>
        <w:ind w:left="2" w:right="20" w:hanging="2"/>
        <w:spacing w:after="0" w:line="207" w:lineRule="auto"/>
        <w:tabs>
          <w:tab w:leader="none" w:pos="144"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62"/>
          </w:cols>
          <w:pgMar w:left="318" w:top="1436" w:right="319" w:bottom="1440" w:gutter="0" w:footer="0" w:header="0"/>
        </w:sectPr>
      </w:pPr>
    </w:p>
    <w:bookmarkStart w:id="33" w:name="page34"/>
    <w:bookmarkEnd w:id="33"/>
    <w:p>
      <w:pPr>
        <w:ind w:left="2" w:right="20"/>
        <w:spacing w:after="0" w:line="243" w:lineRule="auto"/>
        <w:rPr>
          <w:sz w:val="20"/>
          <w:szCs w:val="20"/>
          <w:color w:val="auto"/>
        </w:rPr>
      </w:pPr>
      <w:r>
        <w:rPr>
          <w:rFonts w:ascii="Times New Roman" w:cs="Times New Roman" w:eastAsia="Times New Roman" w:hAnsi="Times New Roman"/>
          <w:sz w:val="18"/>
          <w:szCs w:val="18"/>
          <w:color w:val="auto"/>
        </w:rPr>
        <w:t>of any prescription drug must comply with the Canadian FDA, including by ensuring that the Company’s products are not packaged or marketed in a manner that is misleading or deceptive to a consumer. See “</w:t>
      </w:r>
      <w:r>
        <w:rPr>
          <w:rFonts w:ascii="Times New Roman" w:cs="Times New Roman" w:eastAsia="Times New Roman" w:hAnsi="Times New Roman"/>
          <w:sz w:val="18"/>
          <w:szCs w:val="18"/>
          <w:i w:val="1"/>
          <w:iCs w:val="1"/>
          <w:color w:val="auto"/>
        </w:rPr>
        <w:t>Regulatory Environment – Canada”</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left="2" w:right="20"/>
        <w:spacing w:after="0" w:line="219" w:lineRule="auto"/>
        <w:rPr>
          <w:sz w:val="20"/>
          <w:szCs w:val="20"/>
          <w:color w:val="auto"/>
        </w:rPr>
      </w:pPr>
      <w:r>
        <w:rPr>
          <w:rFonts w:ascii="Times New Roman" w:cs="Times New Roman" w:eastAsia="Times New Roman" w:hAnsi="Times New Roman"/>
          <w:sz w:val="18"/>
          <w:szCs w:val="18"/>
          <w:color w:val="auto"/>
        </w:rPr>
        <w:t xml:space="preserve">In the United States, foods, drugs and dietary supplements are subject to extensive regulation. The </w:t>
      </w:r>
      <w:r>
        <w:rPr>
          <w:rFonts w:ascii="Times New Roman" w:cs="Times New Roman" w:eastAsia="Times New Roman" w:hAnsi="Times New Roman"/>
          <w:sz w:val="18"/>
          <w:szCs w:val="18"/>
          <w:i w:val="1"/>
          <w:iCs w:val="1"/>
          <w:color w:val="auto"/>
        </w:rPr>
        <w:t>Federal Food, Drug, and Cosmetic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and other federal and state statutes and regulations govern, among other things, the research, development, testing, manufacturing, storage, recordkeeping,</w:t>
      </w:r>
    </w:p>
    <w:p>
      <w:pPr>
        <w:ind w:left="2"/>
        <w:spacing w:after="0" w:line="213" w:lineRule="auto"/>
        <w:rPr>
          <w:sz w:val="20"/>
          <w:szCs w:val="20"/>
          <w:color w:val="auto"/>
        </w:rPr>
      </w:pPr>
      <w:r>
        <w:rPr>
          <w:rFonts w:ascii="Times New Roman" w:cs="Times New Roman" w:eastAsia="Times New Roman" w:hAnsi="Times New Roman"/>
          <w:sz w:val="18"/>
          <w:szCs w:val="18"/>
          <w:color w:val="auto"/>
        </w:rPr>
        <w:t>approval, labeling, promotion and marketing, distribution, post-approval monitoring and reporting, sampling, and import and export of pharmaceutical</w:t>
      </w:r>
    </w:p>
    <w:p>
      <w:pPr>
        <w:ind w:left="2"/>
        <w:spacing w:after="0" w:line="198" w:lineRule="auto"/>
        <w:rPr>
          <w:sz w:val="20"/>
          <w:szCs w:val="20"/>
          <w:color w:val="auto"/>
        </w:rPr>
      </w:pPr>
      <w:r>
        <w:rPr>
          <w:rFonts w:ascii="Times New Roman" w:cs="Times New Roman" w:eastAsia="Times New Roman" w:hAnsi="Times New Roman"/>
          <w:sz w:val="18"/>
          <w:szCs w:val="18"/>
          <w:color w:val="auto"/>
        </w:rPr>
        <w:t>products. The Company must ensure that all promotion and marketing, distribution, and labeling of any pharmaceutical products comply with the U.S.</w:t>
      </w:r>
    </w:p>
    <w:p>
      <w:pPr>
        <w:ind w:left="2"/>
        <w:spacing w:after="0"/>
        <w:rPr>
          <w:sz w:val="20"/>
          <w:szCs w:val="20"/>
          <w:color w:val="auto"/>
        </w:rPr>
      </w:pPr>
      <w:r>
        <w:rPr>
          <w:rFonts w:ascii="Times New Roman" w:cs="Times New Roman" w:eastAsia="Times New Roman" w:hAnsi="Times New Roman"/>
          <w:sz w:val="18"/>
          <w:szCs w:val="18"/>
          <w:color w:val="auto"/>
        </w:rPr>
        <w:t>regulations, including the FFDCA and FDA. See “</w:t>
      </w:r>
      <w:r>
        <w:rPr>
          <w:rFonts w:ascii="Times New Roman" w:cs="Times New Roman" w:eastAsia="Times New Roman" w:hAnsi="Times New Roman"/>
          <w:sz w:val="18"/>
          <w:szCs w:val="18"/>
          <w:i w:val="1"/>
          <w:iCs w:val="1"/>
          <w:color w:val="auto"/>
        </w:rPr>
        <w:t>Regulatory Environment – United States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On November 4, 2021, the Company announced that it has been granted a Schedule I manufacturing license from the DEA. The DEA license is for the</w:t>
      </w:r>
    </w:p>
    <w:p>
      <w:pPr>
        <w:ind w:left="2" w:right="20"/>
        <w:spacing w:after="0" w:line="205" w:lineRule="auto"/>
        <w:rPr>
          <w:sz w:val="20"/>
          <w:szCs w:val="20"/>
          <w:color w:val="auto"/>
        </w:rPr>
      </w:pPr>
      <w:r>
        <w:rPr>
          <w:rFonts w:ascii="Times New Roman" w:cs="Times New Roman" w:eastAsia="Times New Roman" w:hAnsi="Times New Roman"/>
          <w:sz w:val="18"/>
          <w:szCs w:val="18"/>
          <w:color w:val="auto"/>
        </w:rPr>
        <w:t>Company’s research lab in the Boston area. The license will allow the Company to further become a hub for innovation and drug discovery. Previously, the Company conducted much of its research and development work through globally licensed research organizations in the U.S., Canada, and the UK, and</w:t>
      </w:r>
    </w:p>
    <w:p>
      <w:pPr>
        <w:spacing w:after="0" w:line="1" w:lineRule="exact"/>
        <w:rPr>
          <w:sz w:val="20"/>
          <w:szCs w:val="20"/>
          <w:color w:val="auto"/>
        </w:rPr>
      </w:pPr>
    </w:p>
    <w:p>
      <w:pPr>
        <w:ind w:left="2" w:right="20"/>
        <w:spacing w:after="0" w:line="230" w:lineRule="auto"/>
        <w:rPr>
          <w:sz w:val="20"/>
          <w:szCs w:val="20"/>
          <w:color w:val="auto"/>
        </w:rPr>
      </w:pPr>
      <w:r>
        <w:rPr>
          <w:rFonts w:ascii="Times New Roman" w:cs="Times New Roman" w:eastAsia="Times New Roman" w:hAnsi="Times New Roman"/>
          <w:sz w:val="18"/>
          <w:szCs w:val="18"/>
          <w:color w:val="auto"/>
        </w:rPr>
        <w:t>through certain in-house capabilities. With the DEA license, the Company expects to be able to expand its internal R&amp;D capabilities to support innovative drug discovery and delivery involving Schedule I compounds.</w:t>
      </w:r>
    </w:p>
    <w:p>
      <w:pPr>
        <w:spacing w:after="0" w:line="13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Non-Revenue Generating Projects</w:t>
      </w:r>
      <w:r>
        <w:rPr>
          <w:rFonts w:ascii="Times New Roman" w:cs="Times New Roman" w:eastAsia="Times New Roman" w:hAnsi="Times New Roman"/>
          <w:sz w:val="23"/>
          <w:szCs w:val="23"/>
          <w:i w:val="1"/>
          <w:iCs w:val="1"/>
          <w:color w:val="auto"/>
          <w:vertAlign w:val="superscript"/>
        </w:rPr>
        <w:t>13</w:t>
      </w:r>
    </w:p>
    <w:p>
      <w:pPr>
        <w:spacing w:after="0" w:line="1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currently has four significant projects, which have not yet generated revenue:</w:t>
      </w:r>
    </w:p>
    <w:p>
      <w:pPr>
        <w:spacing w:after="0" w:line="156" w:lineRule="exact"/>
        <w:rPr>
          <w:sz w:val="20"/>
          <w:szCs w:val="20"/>
          <w:color w:val="auto"/>
        </w:rPr>
      </w:pPr>
    </w:p>
    <w:p>
      <w:pPr>
        <w:ind w:left="582" w:hanging="289"/>
        <w:spacing w:after="0"/>
        <w:tabs>
          <w:tab w:leader="none" w:pos="5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Psilocybin Analog Program</w:t>
      </w:r>
    </w:p>
    <w:p>
      <w:pPr>
        <w:ind w:left="582" w:hanging="289"/>
        <w:spacing w:after="0" w:line="212" w:lineRule="auto"/>
        <w:tabs>
          <w:tab w:leader="none" w:pos="5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Tryptamines Programs</w:t>
      </w:r>
    </w:p>
    <w:p>
      <w:pPr>
        <w:ind w:left="582" w:hanging="289"/>
        <w:spacing w:after="0" w:line="198" w:lineRule="auto"/>
        <w:tabs>
          <w:tab w:leader="none" w:pos="5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Phenethylamine Preclinical Program</w:t>
      </w:r>
    </w:p>
    <w:p>
      <w:pPr>
        <w:ind w:left="582" w:hanging="289"/>
        <w:spacing w:after="0"/>
        <w:tabs>
          <w:tab w:leader="none" w:pos="5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Programs</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was previously exploring a fifth program, the Nutraceutical Product Program; however, in November 2021, the Company concluded that it</w:t>
      </w:r>
    </w:p>
    <w:p>
      <w:pPr>
        <w:jc w:val="both"/>
        <w:ind w:left="2" w:right="20"/>
        <w:spacing w:after="0" w:line="205" w:lineRule="auto"/>
        <w:rPr>
          <w:sz w:val="20"/>
          <w:szCs w:val="20"/>
          <w:color w:val="auto"/>
        </w:rPr>
      </w:pPr>
      <w:r>
        <w:rPr>
          <w:rFonts w:ascii="Times New Roman" w:cs="Times New Roman" w:eastAsia="Times New Roman" w:hAnsi="Times New Roman"/>
          <w:sz w:val="18"/>
          <w:szCs w:val="18"/>
          <w:color w:val="auto"/>
        </w:rPr>
        <w:t>would no longer be progressing with this program in order to prioritize its progression of psychedelic molecules. In addition, the Company has merged its Psilocybin Program with its CYB003 Deuterated Tryptamine Pre-clinical Program and will be prioritizing the progression of the Deuterated Psilocybin</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Analog Program going forward, as it has been identified as a potentially superior molecule.</w:t>
      </w:r>
    </w:p>
    <w:p>
      <w:pPr>
        <w:spacing w:after="0" w:line="152" w:lineRule="exact"/>
        <w:rPr>
          <w:sz w:val="20"/>
          <w:szCs w:val="20"/>
          <w:color w:val="auto"/>
        </w:rPr>
      </w:pPr>
    </w:p>
    <w:p>
      <w:pPr>
        <w:jc w:val="both"/>
        <w:ind w:left="2"/>
        <w:spacing w:after="0" w:line="217" w:lineRule="auto"/>
        <w:rPr>
          <w:sz w:val="20"/>
          <w:szCs w:val="20"/>
          <w:color w:val="auto"/>
        </w:rPr>
      </w:pPr>
      <w:r>
        <w:rPr>
          <w:rFonts w:ascii="Times New Roman" w:cs="Times New Roman" w:eastAsia="Times New Roman" w:hAnsi="Times New Roman"/>
          <w:sz w:val="18"/>
          <w:szCs w:val="18"/>
          <w:color w:val="auto"/>
        </w:rPr>
        <w:t>To support the programs listed above, the Company developed EMBARK™, a psychotherapeutic model that integrates leading clinical approaches to promote supportive healing with psychedelic medicine. EMBARK™’s six clinical domains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xistential-Spiritual,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indfulness,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ody Aware,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ffective-</w:t>
      </w:r>
    </w:p>
    <w:p>
      <w:pPr>
        <w:ind w:left="2"/>
        <w:spacing w:after="0" w:line="212" w:lineRule="auto"/>
        <w:rPr>
          <w:sz w:val="20"/>
          <w:szCs w:val="20"/>
          <w:color w:val="auto"/>
        </w:rPr>
      </w:pPr>
      <w:r>
        <w:rPr>
          <w:rFonts w:ascii="Times New Roman" w:cs="Times New Roman" w:eastAsia="Times New Roman" w:hAnsi="Times New Roman"/>
          <w:sz w:val="18"/>
          <w:szCs w:val="18"/>
          <w:color w:val="auto"/>
        </w:rPr>
        <w:t xml:space="preserve">Cognitive,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 xml:space="preserve">elational, </w:t>
      </w: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eeping Momentum) represent the broad spectrum of ways in which therapeutic benefits may arise in psychedelic treatment and the</w:t>
      </w:r>
    </w:p>
    <w:p>
      <w:pPr>
        <w:jc w:val="both"/>
        <w:ind w:left="2" w:right="20"/>
        <w:spacing w:after="0" w:line="205" w:lineRule="auto"/>
        <w:rPr>
          <w:sz w:val="20"/>
          <w:szCs w:val="20"/>
          <w:color w:val="auto"/>
        </w:rPr>
      </w:pPr>
      <w:r>
        <w:rPr>
          <w:rFonts w:ascii="Times New Roman" w:cs="Times New Roman" w:eastAsia="Times New Roman" w:hAnsi="Times New Roman"/>
          <w:sz w:val="18"/>
          <w:szCs w:val="18"/>
          <w:color w:val="auto"/>
        </w:rPr>
        <w:t>equally broad training needed to prepare therapists to support them all. The Company has launched its EMBARK™ training program, which prepares facilitators to work within all of these domains, while inviting facilitators to bring in their own therapeutic training and expertise in a flexible, yet structured</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way. The EMBARK™ curriculum additionally emphasizes trauma-informed, culturally competent, and ethically rigorous care.</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Deuterated Psilocybin Analog Program (formerly the Psilocybin Program)</w:t>
      </w:r>
    </w:p>
    <w:p>
      <w:pPr>
        <w:spacing w:after="0" w:line="221" w:lineRule="exact"/>
        <w:rPr>
          <w:sz w:val="20"/>
          <w:szCs w:val="20"/>
          <w:color w:val="auto"/>
        </w:rPr>
      </w:pPr>
    </w:p>
    <w:p>
      <w:pPr>
        <w:jc w:val="both"/>
        <w:ind w:left="2" w:right="20"/>
        <w:spacing w:after="0" w:line="243" w:lineRule="auto"/>
        <w:rPr>
          <w:sz w:val="20"/>
          <w:szCs w:val="20"/>
          <w:color w:val="auto"/>
        </w:rPr>
      </w:pPr>
      <w:r>
        <w:rPr>
          <w:rFonts w:ascii="Times New Roman" w:cs="Times New Roman" w:eastAsia="Times New Roman" w:hAnsi="Times New Roman"/>
          <w:sz w:val="18"/>
          <w:szCs w:val="18"/>
          <w:color w:val="auto"/>
        </w:rPr>
        <w:t>Psilocybin was the Company’s first drug program in development. The Company’s Sublingual Film formulation of psilocybin is a synthetic psychedelic molecular formulation, the activity for which is in part based upon classical serotonin 2A psychedelic activity.</w:t>
      </w:r>
    </w:p>
    <w:p>
      <w:pPr>
        <w:spacing w:after="0" w:line="131" w:lineRule="exact"/>
        <w:rPr>
          <w:sz w:val="20"/>
          <w:szCs w:val="20"/>
          <w:color w:val="auto"/>
        </w:rPr>
      </w:pPr>
    </w:p>
    <w:p>
      <w:pPr>
        <w:jc w:val="both"/>
        <w:ind w:left="2" w:right="20"/>
        <w:spacing w:after="0" w:line="231" w:lineRule="auto"/>
        <w:rPr>
          <w:sz w:val="20"/>
          <w:szCs w:val="20"/>
          <w:color w:val="auto"/>
        </w:rPr>
      </w:pPr>
      <w:r>
        <w:rPr>
          <w:rFonts w:ascii="Times New Roman" w:cs="Times New Roman" w:eastAsia="Times New Roman" w:hAnsi="Times New Roman"/>
          <w:sz w:val="18"/>
          <w:szCs w:val="18"/>
          <w:color w:val="auto"/>
        </w:rPr>
        <w:t>Studies of psilocybin efficacy in depressive states published by Johns Hopkins University demonstrate promising potential efficacy of psilocybin and, therefore, of the Company’s novel formulation. The Company has contracted with IntelGenx to undertake the development of the Sublingual Film formulation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155194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05" w:lineRule="exact"/>
        <w:rPr>
          <w:sz w:val="20"/>
          <w:szCs w:val="20"/>
          <w:color w:val="auto"/>
        </w:rPr>
      </w:pPr>
    </w:p>
    <w:p>
      <w:pPr>
        <w:ind w:left="122" w:hanging="122"/>
        <w:spacing w:after="0"/>
        <w:tabs>
          <w:tab w:leader="none" w:pos="122"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 quarter references in this section are based on calendar year-end.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62"/>
          </w:cols>
          <w:pgMar w:left="318" w:top="1438" w:right="319" w:bottom="1440" w:gutter="0" w:footer="0" w:header="0"/>
        </w:sectPr>
      </w:pPr>
    </w:p>
    <w:bookmarkStart w:id="34" w:name="page35"/>
    <w:bookmarkEnd w:id="34"/>
    <w:p>
      <w:pPr>
        <w:ind w:left="2" w:right="20"/>
        <w:spacing w:after="0" w:line="224" w:lineRule="auto"/>
        <w:rPr>
          <w:sz w:val="20"/>
          <w:szCs w:val="20"/>
          <w:color w:val="auto"/>
        </w:rPr>
      </w:pPr>
      <w:r>
        <w:rPr>
          <w:rFonts w:ascii="Times New Roman" w:cs="Times New Roman" w:eastAsia="Times New Roman" w:hAnsi="Times New Roman"/>
          <w:sz w:val="18"/>
          <w:szCs w:val="18"/>
          <w:color w:val="auto"/>
        </w:rPr>
        <w:t>of psilocybin. To date, an array of drug formulation candidates have been created and the Company continues to pursue the optimization of certain characteristics of these formulations including, but not limited to, composition, membrane permeation and stability. On November 8, 2021, the Company</w:t>
      </w:r>
    </w:p>
    <w:p>
      <w:pPr>
        <w:jc w:val="both"/>
        <w:ind w:left="2" w:right="20"/>
        <w:spacing w:after="0" w:line="217" w:lineRule="auto"/>
        <w:rPr>
          <w:sz w:val="20"/>
          <w:szCs w:val="20"/>
          <w:color w:val="auto"/>
        </w:rPr>
      </w:pPr>
      <w:r>
        <w:rPr>
          <w:rFonts w:ascii="Times New Roman" w:cs="Times New Roman" w:eastAsia="Times New Roman" w:hAnsi="Times New Roman"/>
          <w:sz w:val="17"/>
          <w:szCs w:val="17"/>
          <w:color w:val="auto"/>
        </w:rPr>
        <w:t>announced that its research into its novel oral psilocybin analog molecule (CYB003) has identified a putative orally deliverable drug product that appears to have more desirable characteristics than psilocybin delivered by Sublingual Film. Although the Company is still evaluating the Sublingual Film technology,</w:t>
      </w:r>
    </w:p>
    <w:p>
      <w:pPr>
        <w:spacing w:after="0" w:line="1" w:lineRule="exact"/>
        <w:rPr>
          <w:sz w:val="20"/>
          <w:szCs w:val="20"/>
          <w:color w:val="auto"/>
        </w:rPr>
      </w:pPr>
    </w:p>
    <w:p>
      <w:pPr>
        <w:ind w:left="2" w:right="20"/>
        <w:spacing w:after="0" w:line="230" w:lineRule="auto"/>
        <w:rPr>
          <w:sz w:val="20"/>
          <w:szCs w:val="20"/>
          <w:color w:val="auto"/>
        </w:rPr>
      </w:pPr>
      <w:r>
        <w:rPr>
          <w:rFonts w:ascii="Times New Roman" w:cs="Times New Roman" w:eastAsia="Times New Roman" w:hAnsi="Times New Roman"/>
          <w:sz w:val="18"/>
          <w:szCs w:val="18"/>
          <w:color w:val="auto"/>
        </w:rPr>
        <w:t>it has prioritized the new Deuterated Psilocybin Analog Program over the Sublingual Film technology as a result of the Company’s positive view of the research data on the Company’s novel oral psilocybin analog molecule.</w:t>
      </w:r>
    </w:p>
    <w:p>
      <w:pPr>
        <w:spacing w:after="0" w:line="133" w:lineRule="exact"/>
        <w:rPr>
          <w:sz w:val="20"/>
          <w:szCs w:val="20"/>
          <w:color w:val="auto"/>
        </w:rPr>
      </w:pPr>
    </w:p>
    <w:p>
      <w:pPr>
        <w:ind w:left="2" w:right="20"/>
        <w:spacing w:after="0" w:line="224" w:lineRule="auto"/>
        <w:rPr>
          <w:sz w:val="20"/>
          <w:szCs w:val="20"/>
          <w:color w:val="auto"/>
        </w:rPr>
      </w:pPr>
      <w:r>
        <w:rPr>
          <w:rFonts w:ascii="Times New Roman" w:cs="Times New Roman" w:eastAsia="Times New Roman" w:hAnsi="Times New Roman"/>
          <w:sz w:val="18"/>
          <w:szCs w:val="18"/>
          <w:color w:val="auto"/>
        </w:rPr>
        <w:t>While oral psilocybin has been demonstrated to be efficacious, the Company did recognize the challenges and limitations of the molecule and worked on ways to address them by simultaneously looking at the formulation in two programs and then the molecule itself in another. In light of compelling data</w:t>
      </w:r>
    </w:p>
    <w:p>
      <w:pPr>
        <w:ind w:left="2" w:right="20"/>
        <w:spacing w:after="0" w:line="205" w:lineRule="auto"/>
        <w:rPr>
          <w:sz w:val="20"/>
          <w:szCs w:val="20"/>
          <w:color w:val="auto"/>
        </w:rPr>
      </w:pPr>
      <w:r>
        <w:rPr>
          <w:rFonts w:ascii="Times New Roman" w:cs="Times New Roman" w:eastAsia="Times New Roman" w:hAnsi="Times New Roman"/>
          <w:sz w:val="18"/>
          <w:szCs w:val="18"/>
          <w:color w:val="auto"/>
        </w:rPr>
        <w:t>regarding the Company’s novel oral psilocybin analog molecule (CYB003), the Company has determined that it would be leveraging the data obtained through the Psilocybin Program to advance its newly defined Deuterated Psilocybin Analog Program. The Deuterated Psilocybin Analog Program will</w:t>
      </w:r>
    </w:p>
    <w:p>
      <w:pPr>
        <w:ind w:left="2"/>
        <w:spacing w:after="0" w:line="225" w:lineRule="auto"/>
        <w:rPr>
          <w:sz w:val="20"/>
          <w:szCs w:val="20"/>
          <w:color w:val="auto"/>
        </w:rPr>
      </w:pPr>
      <w:r>
        <w:rPr>
          <w:rFonts w:ascii="Times New Roman" w:cs="Times New Roman" w:eastAsia="Times New Roman" w:hAnsi="Times New Roman"/>
          <w:sz w:val="17"/>
          <w:szCs w:val="17"/>
          <w:color w:val="auto"/>
        </w:rPr>
        <w:t>merge both the MDD and AUD indication into a single program. The Company has determined that this merger of programs would be the most efficient and</w:t>
      </w:r>
    </w:p>
    <w:p>
      <w:pPr>
        <w:spacing w:after="0" w:line="1" w:lineRule="exact"/>
        <w:rPr>
          <w:sz w:val="20"/>
          <w:szCs w:val="20"/>
          <w:color w:val="auto"/>
        </w:rPr>
      </w:pPr>
    </w:p>
    <w:p>
      <w:pPr>
        <w:jc w:val="both"/>
        <w:ind w:left="2" w:right="20"/>
        <w:spacing w:after="0" w:line="205" w:lineRule="auto"/>
        <w:rPr>
          <w:sz w:val="20"/>
          <w:szCs w:val="20"/>
          <w:color w:val="auto"/>
        </w:rPr>
      </w:pPr>
      <w:r>
        <w:rPr>
          <w:rFonts w:ascii="Times New Roman" w:cs="Times New Roman" w:eastAsia="Times New Roman" w:hAnsi="Times New Roman"/>
          <w:sz w:val="18"/>
          <w:szCs w:val="18"/>
          <w:color w:val="auto"/>
        </w:rPr>
        <w:t>cost-effective way for the Company to move forward. The Company will be prioritizing the progression of the Deuterated Psilocybin Analog Program, as this has been demonstrated to be the potentially superior molecule. The Company will continue to advance on the previous disclosed psilocybin milestones,</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in the U.S. and the UK, as it deems them necessary to bring psychedelics to therapeutics.</w:t>
      </w:r>
    </w:p>
    <w:p>
      <w:pPr>
        <w:spacing w:after="0" w:line="152" w:lineRule="exact"/>
        <w:rPr>
          <w:sz w:val="20"/>
          <w:szCs w:val="20"/>
          <w:color w:val="auto"/>
        </w:rPr>
      </w:pPr>
    </w:p>
    <w:p>
      <w:pPr>
        <w:ind w:left="2" w:right="20"/>
        <w:spacing w:after="0" w:line="234" w:lineRule="auto"/>
        <w:rPr>
          <w:sz w:val="20"/>
          <w:szCs w:val="20"/>
          <w:color w:val="auto"/>
        </w:rPr>
      </w:pPr>
      <w:r>
        <w:rPr>
          <w:rFonts w:ascii="Times New Roman" w:cs="Times New Roman" w:eastAsia="Times New Roman" w:hAnsi="Times New Roman"/>
          <w:sz w:val="18"/>
          <w:szCs w:val="18"/>
          <w:color w:val="auto"/>
        </w:rPr>
        <w:t>During Q1 2022, the Company had a productive and positive scientific advice meeting with the MHRA. This program milestone brings the Company closer toward advancing into clinical development for the treatment of MDD and AUD.</w:t>
      </w:r>
    </w:p>
    <w:p>
      <w:pPr>
        <w:spacing w:after="0" w:line="142" w:lineRule="exact"/>
        <w:rPr>
          <w:sz w:val="20"/>
          <w:szCs w:val="20"/>
          <w:color w:val="auto"/>
        </w:rPr>
      </w:pPr>
    </w:p>
    <w:p>
      <w:pPr>
        <w:ind w:left="2" w:right="20"/>
        <w:spacing w:after="0" w:line="219" w:lineRule="auto"/>
        <w:rPr>
          <w:sz w:val="20"/>
          <w:szCs w:val="20"/>
          <w:color w:val="auto"/>
        </w:rPr>
      </w:pPr>
      <w:r>
        <w:rPr>
          <w:rFonts w:ascii="Times New Roman" w:cs="Times New Roman" w:eastAsia="Times New Roman" w:hAnsi="Times New Roman"/>
          <w:sz w:val="18"/>
          <w:szCs w:val="18"/>
          <w:color w:val="auto"/>
        </w:rPr>
        <w:t>The Company completed the IND enabling pre-clinical studies and the Chemistry, Manufacturing and Control (“</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 development required to commence clinical trials, including the production of clinical materials, in Q2 2022. The Company intends to continue its progression of post IND enabling</w:t>
      </w:r>
    </w:p>
    <w:p>
      <w:pPr>
        <w:spacing w:after="0" w:line="1" w:lineRule="exact"/>
        <w:rPr>
          <w:sz w:val="20"/>
          <w:szCs w:val="20"/>
          <w:color w:val="auto"/>
        </w:rPr>
      </w:pPr>
    </w:p>
    <w:p>
      <w:pPr>
        <w:ind w:left="2" w:right="20"/>
        <w:spacing w:after="0" w:line="230" w:lineRule="auto"/>
        <w:rPr>
          <w:sz w:val="20"/>
          <w:szCs w:val="20"/>
          <w:color w:val="auto"/>
        </w:rPr>
      </w:pPr>
      <w:r>
        <w:rPr>
          <w:rFonts w:ascii="Times New Roman" w:cs="Times New Roman" w:eastAsia="Times New Roman" w:hAnsi="Times New Roman"/>
          <w:sz w:val="18"/>
          <w:szCs w:val="18"/>
          <w:color w:val="auto"/>
        </w:rPr>
        <w:t>pre-clinical studies and CMC development progression throughout fiscal year 2023. There is no assurance that these timelines will be met or that these preclinical drug candidates will advance to clinical trials at all.</w:t>
      </w:r>
    </w:p>
    <w:p>
      <w:pPr>
        <w:spacing w:after="0" w:line="133" w:lineRule="exact"/>
        <w:rPr>
          <w:sz w:val="20"/>
          <w:szCs w:val="20"/>
          <w:color w:val="auto"/>
        </w:rPr>
      </w:pPr>
    </w:p>
    <w:p>
      <w:pPr>
        <w:ind w:left="2" w:right="20"/>
        <w:spacing w:after="0" w:line="196" w:lineRule="auto"/>
        <w:rPr>
          <w:sz w:val="20"/>
          <w:szCs w:val="20"/>
          <w:color w:val="auto"/>
        </w:rPr>
      </w:pPr>
      <w:r>
        <w:rPr>
          <w:rFonts w:ascii="Times New Roman" w:cs="Times New Roman" w:eastAsia="Times New Roman" w:hAnsi="Times New Roman"/>
          <w:sz w:val="18"/>
          <w:szCs w:val="18"/>
          <w:color w:val="auto"/>
        </w:rPr>
        <w:t>On May 31 2022, the Company announced the submission of an IND application to the FDA for its Phase I/IIa first-in-human clinical trial evaluating CYB003, a proprietary deuterated psilocybin analog, for the treatment of MDD. The Company intends to initiate the Phase I/IIa trial in mid-2022</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 subject</w:t>
      </w:r>
    </w:p>
    <w:p>
      <w:pPr>
        <w:spacing w:after="0" w:line="2" w:lineRule="exact"/>
        <w:rPr>
          <w:sz w:val="20"/>
          <w:szCs w:val="20"/>
          <w:color w:val="auto"/>
        </w:rPr>
      </w:pPr>
    </w:p>
    <w:p>
      <w:pPr>
        <w:ind w:left="2" w:right="20"/>
        <w:spacing w:after="0" w:line="222" w:lineRule="auto"/>
        <w:rPr>
          <w:sz w:val="20"/>
          <w:szCs w:val="20"/>
          <w:color w:val="auto"/>
        </w:rPr>
      </w:pPr>
      <w:r>
        <w:rPr>
          <w:rFonts w:ascii="Times New Roman" w:cs="Times New Roman" w:eastAsia="Times New Roman" w:hAnsi="Times New Roman"/>
          <w:sz w:val="18"/>
          <w:szCs w:val="18"/>
          <w:color w:val="auto"/>
        </w:rPr>
        <w:t>to receiving the necessary approvals. There is no assurance that this timeline will be met or that this preclinical drug candidates will advance to clinical trials at all.</w:t>
      </w:r>
    </w:p>
    <w:p>
      <w:pPr>
        <w:spacing w:after="0" w:line="14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On June 9, 2022, the Company announced that it has received IRB approval to begin the first-in-human Phase I/IIa clinical trial evaluating CYB003.</w:t>
      </w:r>
    </w:p>
    <w:p>
      <w:pPr>
        <w:spacing w:after="0" w:line="172" w:lineRule="exact"/>
        <w:rPr>
          <w:sz w:val="20"/>
          <w:szCs w:val="20"/>
          <w:color w:val="auto"/>
        </w:rPr>
      </w:pPr>
    </w:p>
    <w:p>
      <w:pPr>
        <w:ind w:left="2"/>
        <w:spacing w:after="0" w:line="217" w:lineRule="auto"/>
        <w:rPr>
          <w:sz w:val="20"/>
          <w:szCs w:val="20"/>
          <w:color w:val="auto"/>
        </w:rPr>
      </w:pPr>
      <w:r>
        <w:rPr>
          <w:rFonts w:ascii="Times New Roman" w:cs="Times New Roman" w:eastAsia="Times New Roman" w:hAnsi="Times New Roman"/>
          <w:sz w:val="18"/>
          <w:szCs w:val="18"/>
          <w:color w:val="auto"/>
        </w:rPr>
        <w:t>The Company has engaged Clinilabs, a full-service contract research organization with expertise in central nervous system drug development, to carry out the Phase I/IIa clinical trial of CYB003. The Phase I/IIa trial is a randomized, double blind, placebo-controlled study evaluating people with moderate to</w:t>
      </w:r>
    </w:p>
    <w:p>
      <w:pPr>
        <w:ind w:left="2"/>
        <w:spacing w:after="0"/>
        <w:rPr>
          <w:sz w:val="20"/>
          <w:szCs w:val="20"/>
          <w:color w:val="auto"/>
        </w:rPr>
      </w:pPr>
      <w:r>
        <w:rPr>
          <w:rFonts w:ascii="Times New Roman" w:cs="Times New Roman" w:eastAsia="Times New Roman" w:hAnsi="Times New Roman"/>
          <w:sz w:val="18"/>
          <w:szCs w:val="18"/>
          <w:color w:val="auto"/>
        </w:rPr>
        <w:t>severe MDD.</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As at March 31, 2022, the Company has spent approximately $4,780,000 on the Deuterated Psilocybin Analog Program</w:t>
      </w:r>
      <w:r>
        <w:rPr>
          <w:rFonts w:ascii="Times New Roman" w:cs="Times New Roman" w:eastAsia="Times New Roman" w:hAnsi="Times New Roman"/>
          <w:sz w:val="23"/>
          <w:szCs w:val="23"/>
          <w:color w:val="auto"/>
          <w:vertAlign w:val="superscript"/>
        </w:rPr>
        <w:t>15</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2" w:right="20"/>
        <w:spacing w:after="0" w:line="243" w:lineRule="auto"/>
        <w:rPr>
          <w:sz w:val="20"/>
          <w:szCs w:val="20"/>
          <w:color w:val="auto"/>
        </w:rPr>
      </w:pPr>
      <w:r>
        <w:rPr>
          <w:rFonts w:ascii="Times New Roman" w:cs="Times New Roman" w:eastAsia="Times New Roman" w:hAnsi="Times New Roman"/>
          <w:sz w:val="18"/>
          <w:szCs w:val="18"/>
          <w:color w:val="auto"/>
        </w:rPr>
        <w:t>Due to the new Deuterated Psilocybin Analog Program, the Company no longer anticipates conducting any business activities in Jamaica. The Company intends to complete future clinical trials in the U.S., Canada, UK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55194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37" w:lineRule="exact"/>
        <w:rPr>
          <w:sz w:val="20"/>
          <w:szCs w:val="20"/>
          <w:color w:val="auto"/>
        </w:rPr>
      </w:pPr>
    </w:p>
    <w:p>
      <w:pPr>
        <w:ind w:left="122" w:hanging="122"/>
        <w:spacing w:after="0"/>
        <w:tabs>
          <w:tab w:leader="none" w:pos="122"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statement is based on the material assumption that the FDA will approve the IND in Q2 2022.</w:t>
      </w:r>
    </w:p>
    <w:p>
      <w:pPr>
        <w:spacing w:after="0" w:line="20" w:lineRule="exact"/>
        <w:rPr>
          <w:rFonts w:ascii="Times New Roman" w:cs="Times New Roman" w:eastAsia="Times New Roman" w:hAnsi="Times New Roman"/>
          <w:sz w:val="18"/>
          <w:szCs w:val="18"/>
          <w:color w:val="auto"/>
          <w:vertAlign w:val="superscript"/>
        </w:rPr>
      </w:pPr>
    </w:p>
    <w:p>
      <w:pPr>
        <w:ind w:left="122" w:hanging="122"/>
        <w:spacing w:after="0" w:line="202" w:lineRule="auto"/>
        <w:tabs>
          <w:tab w:leader="none" w:pos="122"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Dollar amount calculated since June 1, 2021, being the date of the financial data used in the July Base Shelf Prospectus.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62"/>
          </w:cols>
          <w:pgMar w:left="318" w:top="1438" w:right="319" w:bottom="1440" w:gutter="0" w:footer="0" w:header="0"/>
        </w:sectPr>
      </w:pPr>
    </w:p>
    <w:bookmarkStart w:id="35" w:name="page36"/>
    <w:bookmarkEnd w:id="35"/>
    <w:p>
      <w:pPr>
        <w:ind w:left="2"/>
        <w:spacing w:after="0"/>
        <w:rPr>
          <w:sz w:val="20"/>
          <w:szCs w:val="20"/>
          <w:color w:val="auto"/>
        </w:rPr>
      </w:pPr>
      <w:r>
        <w:rPr>
          <w:rFonts w:ascii="Times New Roman" w:cs="Times New Roman" w:eastAsia="Times New Roman" w:hAnsi="Times New Roman"/>
          <w:sz w:val="18"/>
          <w:szCs w:val="18"/>
          <w:u w:val="single" w:color="auto"/>
          <w:color w:val="auto"/>
        </w:rPr>
        <w:t>Deuterated Tryptamines Programs</w:t>
      </w:r>
    </w:p>
    <w:p>
      <w:pPr>
        <w:spacing w:after="0" w:line="19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Pursuant to the acquisition of Adelia, the Company acquired preclinical deuterated tryptamines programs. To date, the Company has undertaken sufficient</w:t>
      </w:r>
    </w:p>
    <w:p>
      <w:pPr>
        <w:ind w:left="2"/>
        <w:spacing w:after="0" w:line="205" w:lineRule="auto"/>
        <w:rPr>
          <w:sz w:val="20"/>
          <w:szCs w:val="20"/>
          <w:color w:val="auto"/>
        </w:rPr>
      </w:pPr>
      <w:r>
        <w:rPr>
          <w:rFonts w:ascii="Times New Roman" w:cs="Times New Roman" w:eastAsia="Times New Roman" w:hAnsi="Times New Roman"/>
          <w:sz w:val="18"/>
          <w:szCs w:val="18"/>
          <w:color w:val="auto"/>
        </w:rPr>
        <w:t>work to enable selection of two deuterated tryptamine candidates and has scaled up production processes to optimize and maximize yields and ensure the drug candidates meet the required purity levels. In vitro proof of principal in models has been completed to ensure selection of molecules with optimal</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anticipated pharmacokinetics best suited for future clinical trials.</w:t>
      </w:r>
    </w:p>
    <w:p>
      <w:pPr>
        <w:spacing w:after="0" w:line="152" w:lineRule="exact"/>
        <w:rPr>
          <w:sz w:val="20"/>
          <w:szCs w:val="20"/>
          <w:color w:val="auto"/>
        </w:rPr>
      </w:pPr>
    </w:p>
    <w:p>
      <w:pPr>
        <w:ind w:left="2"/>
        <w:spacing w:after="0" w:line="217" w:lineRule="auto"/>
        <w:rPr>
          <w:sz w:val="20"/>
          <w:szCs w:val="20"/>
          <w:color w:val="auto"/>
        </w:rPr>
      </w:pPr>
      <w:r>
        <w:rPr>
          <w:rFonts w:ascii="Times New Roman" w:cs="Times New Roman" w:eastAsia="Times New Roman" w:hAnsi="Times New Roman"/>
          <w:sz w:val="18"/>
          <w:szCs w:val="18"/>
          <w:color w:val="auto"/>
        </w:rPr>
        <w:t>The Company’s Deuterated Tryptamine Program is primarily focused on a lead candidate, CYB004, a deuterated version of DMT. The Company has a newly defined program, the Deuterated Psilocybin Analog Program, which merges the initiatives of the Psilocybin Program and the CYB003 program into</w:t>
      </w:r>
    </w:p>
    <w:p>
      <w:pPr>
        <w:ind w:left="2"/>
        <w:spacing w:after="0" w:line="230" w:lineRule="auto"/>
        <w:rPr>
          <w:sz w:val="20"/>
          <w:szCs w:val="20"/>
          <w:color w:val="auto"/>
        </w:rPr>
      </w:pPr>
      <w:r>
        <w:rPr>
          <w:rFonts w:ascii="Times New Roman" w:cs="Times New Roman" w:eastAsia="Times New Roman" w:hAnsi="Times New Roman"/>
          <w:sz w:val="18"/>
          <w:szCs w:val="18"/>
          <w:color w:val="auto"/>
        </w:rPr>
        <w:t>one single program (Deuterated Psilocybin Analog Program). The work performed to date related to CYB003 in this program has been instrumental in defining the new program, as described above.</w:t>
      </w:r>
    </w:p>
    <w:p>
      <w:pPr>
        <w:spacing w:after="0" w:line="133" w:lineRule="exact"/>
        <w:rPr>
          <w:sz w:val="20"/>
          <w:szCs w:val="20"/>
          <w:color w:val="auto"/>
        </w:rPr>
      </w:pPr>
    </w:p>
    <w:p>
      <w:pPr>
        <w:jc w:val="both"/>
        <w:ind w:left="2"/>
        <w:spacing w:after="0" w:line="224" w:lineRule="auto"/>
        <w:rPr>
          <w:sz w:val="20"/>
          <w:szCs w:val="20"/>
          <w:color w:val="auto"/>
        </w:rPr>
      </w:pPr>
      <w:r>
        <w:rPr>
          <w:rFonts w:ascii="Times New Roman" w:cs="Times New Roman" w:eastAsia="Times New Roman" w:hAnsi="Times New Roman"/>
          <w:sz w:val="18"/>
          <w:szCs w:val="18"/>
          <w:color w:val="auto"/>
        </w:rPr>
        <w:t>On June 7, 2022, the Company announced it had entered into an agreement to effect the Asset Acquisition with Entheon to accelerate the clinical development path for CYB004, the Company’s proprietary deuterated DMT molecule for the potential treatment of anxiety disorders. The Phase I study,</w:t>
      </w:r>
    </w:p>
    <w:p>
      <w:pPr>
        <w:ind w:left="2"/>
        <w:spacing w:after="0" w:line="205" w:lineRule="auto"/>
        <w:rPr>
          <w:sz w:val="20"/>
          <w:szCs w:val="20"/>
          <w:color w:val="auto"/>
        </w:rPr>
      </w:pPr>
      <w:r>
        <w:rPr>
          <w:rFonts w:ascii="Times New Roman" w:cs="Times New Roman" w:eastAsia="Times New Roman" w:hAnsi="Times New Roman"/>
          <w:sz w:val="18"/>
          <w:szCs w:val="18"/>
          <w:color w:val="auto"/>
        </w:rPr>
        <w:t>previously identified as EBRX-101 and now named CYB004-E, is being conducted in the Netherlands in 50 healthy volunteers who smoke tobacco. Pending the closing of the Asset Acquisition, the CYB004-E study is expected to yield essential safety and dosing optimization data and will replace the</w:t>
      </w:r>
    </w:p>
    <w:p>
      <w:pPr>
        <w:ind w:left="2"/>
        <w:spacing w:after="0" w:line="213" w:lineRule="auto"/>
        <w:rPr>
          <w:sz w:val="20"/>
          <w:szCs w:val="20"/>
          <w:color w:val="auto"/>
        </w:rPr>
      </w:pPr>
      <w:r>
        <w:rPr>
          <w:rFonts w:ascii="Times New Roman" w:cs="Times New Roman" w:eastAsia="Times New Roman" w:hAnsi="Times New Roman"/>
          <w:sz w:val="18"/>
          <w:szCs w:val="18"/>
          <w:color w:val="auto"/>
        </w:rPr>
        <w:t>Company’s planned pilot study for CYB004 that was expected to commence in Q3 2022. Entheon will continue to support the CYB004-E study and act as</w:t>
      </w:r>
    </w:p>
    <w:p>
      <w:pPr>
        <w:ind w:left="2"/>
        <w:spacing w:after="0" w:line="205" w:lineRule="auto"/>
        <w:rPr>
          <w:sz w:val="20"/>
          <w:szCs w:val="20"/>
          <w:color w:val="auto"/>
        </w:rPr>
      </w:pPr>
      <w:r>
        <w:rPr>
          <w:rFonts w:ascii="Times New Roman" w:cs="Times New Roman" w:eastAsia="Times New Roman" w:hAnsi="Times New Roman"/>
          <w:sz w:val="18"/>
          <w:szCs w:val="18"/>
          <w:color w:val="auto"/>
        </w:rPr>
        <w:t>external consultants to the Company. Pending results from the CYB004-E study, the Company plans to evaluate CYB004 delivered via intravenous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and via inhalation to determine the clinical path forward. The Company may enter additional clinical trials thereafter subject to receiving the necessary</w:t>
      </w:r>
    </w:p>
    <w:p>
      <w:pPr>
        <w:spacing w:after="0" w:line="1" w:lineRule="exact"/>
        <w:rPr>
          <w:sz w:val="20"/>
          <w:szCs w:val="20"/>
          <w:color w:val="auto"/>
        </w:rPr>
      </w:pPr>
    </w:p>
    <w:p>
      <w:pPr>
        <w:ind w:left="2"/>
        <w:spacing w:after="0" w:line="233" w:lineRule="auto"/>
        <w:rPr>
          <w:sz w:val="20"/>
          <w:szCs w:val="20"/>
          <w:color w:val="auto"/>
        </w:rPr>
      </w:pPr>
      <w:r>
        <w:rPr>
          <w:rFonts w:ascii="Times New Roman" w:cs="Times New Roman" w:eastAsia="Times New Roman" w:hAnsi="Times New Roman"/>
          <w:sz w:val="18"/>
          <w:szCs w:val="18"/>
          <w:color w:val="auto"/>
        </w:rPr>
        <w:t>approvals. The Company intends to continue its progression of this program throughout fiscal year 2023. There is no assurance that these timelines will be met or that these preclinical drug candidates will advance to clinical trials at all.</w:t>
      </w:r>
      <w:r>
        <w:rPr>
          <w:rFonts w:ascii="Times New Roman" w:cs="Times New Roman" w:eastAsia="Times New Roman" w:hAnsi="Times New Roman"/>
          <w:sz w:val="23"/>
          <w:szCs w:val="23"/>
          <w:color w:val="auto"/>
          <w:vertAlign w:val="superscript"/>
        </w:rPr>
        <w:t>16</w:t>
      </w:r>
    </w:p>
    <w:p>
      <w:pPr>
        <w:spacing w:after="0" w:line="97" w:lineRule="exact"/>
        <w:rPr>
          <w:sz w:val="20"/>
          <w:szCs w:val="20"/>
          <w:color w:val="auto"/>
        </w:rPr>
      </w:pPr>
    </w:p>
    <w:p>
      <w:pPr>
        <w:ind w:left="2"/>
        <w:spacing w:after="0" w:line="258" w:lineRule="auto"/>
        <w:rPr>
          <w:sz w:val="20"/>
          <w:szCs w:val="20"/>
          <w:color w:val="auto"/>
        </w:rPr>
      </w:pPr>
      <w:r>
        <w:rPr>
          <w:rFonts w:ascii="Times New Roman" w:cs="Times New Roman" w:eastAsia="Times New Roman" w:hAnsi="Times New Roman"/>
          <w:sz w:val="18"/>
          <w:szCs w:val="18"/>
          <w:color w:val="auto"/>
        </w:rPr>
        <w:t>As at March 31, 2022, the Company has spent approximately $3,483,000 on deuterated tryptamines, of which $1,198,000 was related to the progression of CYB003</w:t>
      </w:r>
      <w:r>
        <w:rPr>
          <w:rFonts w:ascii="Times New Roman" w:cs="Times New Roman" w:eastAsia="Times New Roman" w:hAnsi="Times New Roman"/>
          <w:sz w:val="23"/>
          <w:szCs w:val="23"/>
          <w:color w:val="auto"/>
          <w:vertAlign w:val="superscript"/>
        </w:rPr>
        <w:t>17</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has continued to advance its Deuterated Tryptamines Program as described herein, including with the following progress:</w:t>
      </w:r>
    </w:p>
    <w:p>
      <w:pPr>
        <w:spacing w:after="0" w:line="156" w:lineRule="exact"/>
        <w:rPr>
          <w:sz w:val="20"/>
          <w:szCs w:val="20"/>
          <w:color w:val="auto"/>
        </w:rPr>
      </w:pPr>
    </w:p>
    <w:p>
      <w:pPr>
        <w:ind w:left="582" w:hanging="292"/>
        <w:spacing w:after="0"/>
        <w:tabs>
          <w:tab w:leader="none" w:pos="5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additional pre-clinical studies on its CYB003 and CYB004 proprietary psychedelic molecules;</w:t>
      </w:r>
    </w:p>
    <w:p>
      <w:pPr>
        <w:ind w:left="582" w:hanging="292"/>
        <w:spacing w:after="0" w:line="212" w:lineRule="auto"/>
        <w:tabs>
          <w:tab w:leader="none" w:pos="5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Zydis feasibility studies with Catalent for its fast-dissolve formulation of novel deuterated tryptamine (CYB003);</w:t>
      </w:r>
    </w:p>
    <w:p>
      <w:pPr>
        <w:ind w:left="582" w:hanging="292"/>
        <w:spacing w:after="0" w:line="205" w:lineRule="auto"/>
        <w:tabs>
          <w:tab w:leader="none" w:pos="5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transitioned its work on CYB003 into a new program; the Deuterated Psilocybin Analog Program, which has the potential to address both the AUD and MDD indications (refer to Deuterated Psilocybin Analog Program section above for further details);</w:t>
      </w:r>
    </w:p>
    <w:p>
      <w:pPr>
        <w:jc w:val="both"/>
        <w:ind w:left="582" w:hanging="292"/>
        <w:spacing w:after="0" w:line="219" w:lineRule="auto"/>
        <w:tabs>
          <w:tab w:leader="none" w:pos="5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awarded a Notice of Allowance from the U.S. Patent and Trademark Office for patent application No. 17/394,038 related to CYB004, the Company’s investigational deuterated psychedelic tryptamine compound for the potential treatment of anxiety disorders. The allowed claims include other forms of deuterated psychedelic tryptamine, notably certain deuterated forms of DMT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15519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196" w:lineRule="exact"/>
        <w:rPr>
          <w:sz w:val="20"/>
          <w:szCs w:val="20"/>
          <w:color w:val="auto"/>
        </w:rPr>
      </w:pPr>
    </w:p>
    <w:p>
      <w:pPr>
        <w:jc w:val="both"/>
        <w:ind w:left="2" w:hanging="2"/>
        <w:spacing w:after="0" w:line="213" w:lineRule="auto"/>
        <w:tabs>
          <w:tab w:leader="none" w:pos="141"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statement is based on the following material factors and assumptions: (a) the timely and successful completion of certain preclinical studies including but not limited to: (i) complete the development of stable formulations utilizing these APIs; (ii) the development and validation of analytical methods for such formulations; (iii) the scale up of API production processes beyond laboratory scale will be suitable for entry into animal and human studies; (iv) studies of the stability of such formulations will be suitable for human studies; and (v) the development of Chemistry, Manufacturing and Controls to meet cGMP; (b) the Company assumes it will enter into agreements with certain third party vendors to complete a range of additional preclinical programs before the final selection of drug candidates for entry into human trials; and (c) obtain an IND and/or a CTA to enter into clinical trials.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5" w:lineRule="exact"/>
        <w:rPr>
          <w:rFonts w:ascii="Times New Roman" w:cs="Times New Roman" w:eastAsia="Times New Roman" w:hAnsi="Times New Roman"/>
          <w:sz w:val="18"/>
          <w:szCs w:val="18"/>
          <w:color w:val="auto"/>
          <w:vertAlign w:val="superscript"/>
        </w:rPr>
      </w:pPr>
    </w:p>
    <w:p>
      <w:pPr>
        <w:ind w:left="122" w:hanging="122"/>
        <w:spacing w:after="0" w:line="202" w:lineRule="auto"/>
        <w:tabs>
          <w:tab w:leader="none" w:pos="122"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Dollar amount calculated since June 1, 2021, being the date of the financial data used in the July Base Shelf Prospectus.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2"/>
          </w:cols>
          <w:pgMar w:left="318" w:top="1438" w:right="339" w:bottom="1440" w:gutter="0" w:footer="0" w:header="0"/>
        </w:sectPr>
      </w:pPr>
    </w:p>
    <w:bookmarkStart w:id="36" w:name="page37"/>
    <w:bookmarkEnd w:id="36"/>
    <w:p>
      <w:pPr>
        <w:ind w:left="582" w:right="20"/>
        <w:spacing w:after="0" w:line="224" w:lineRule="auto"/>
        <w:rPr>
          <w:sz w:val="20"/>
          <w:szCs w:val="20"/>
          <w:color w:val="auto"/>
        </w:rPr>
      </w:pPr>
      <w:r>
        <w:rPr>
          <w:rFonts w:ascii="Times New Roman" w:cs="Times New Roman" w:eastAsia="Times New Roman" w:hAnsi="Times New Roman"/>
          <w:sz w:val="18"/>
          <w:szCs w:val="18"/>
          <w:color w:val="auto"/>
        </w:rPr>
        <w:t>5-MeO-DMT. The patent, which is expected to expire in 2041 before consideration of any patent term extensions, covers composition of matter for the CYB004 drug substance as a putative new chemical entity;</w:t>
      </w:r>
    </w:p>
    <w:p>
      <w:pPr>
        <w:ind w:left="582" w:hanging="292"/>
        <w:spacing w:after="0" w:line="227" w:lineRule="auto"/>
        <w:tabs>
          <w:tab w:leader="none" w:pos="582" w:val="left"/>
        </w:tabs>
        <w:numPr>
          <w:ilvl w:val="0"/>
          <w:numId w:val="25"/>
        </w:numPr>
        <w:rPr>
          <w:rFonts w:ascii="Calibri" w:cs="Calibri" w:eastAsia="Calibri" w:hAnsi="Calibri"/>
          <w:sz w:val="18"/>
          <w:szCs w:val="18"/>
          <w:color w:val="auto"/>
        </w:rPr>
      </w:pPr>
      <w:r>
        <w:rPr>
          <w:rFonts w:ascii="Times New Roman" w:cs="Times New Roman" w:eastAsia="Times New Roman" w:hAnsi="Times New Roman"/>
          <w:sz w:val="18"/>
          <w:szCs w:val="18"/>
          <w:color w:val="auto"/>
        </w:rPr>
        <w:t>granted U.S. patent from the U.S. Patent and Trademark Office related to the Company’s investigational deuterated DMT compound CYB004;</w:t>
      </w:r>
    </w:p>
    <w:p>
      <w:pPr>
        <w:jc w:val="both"/>
        <w:ind w:left="582" w:right="20" w:hanging="292"/>
        <w:spacing w:after="0" w:line="210" w:lineRule="auto"/>
        <w:tabs>
          <w:tab w:leader="none" w:pos="5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announced positive preclinical data from a pharmacokinetic study evaluating CYB004, delivered via inhalation. Specifically, inhaled CYB004 demonstrated significant advantages over both IV DMT and inhaled DMT, including longer duration of action, and improved bioavailability. The study also demonstrated that inhaled CYB004 showed a similar onset of effect and dose profile to IV DMT. These data may support the potential for inhalation as a viable and well-controlled delivery system of therapeutic psychedelics; and</w:t>
      </w:r>
    </w:p>
    <w:p>
      <w:pPr>
        <w:ind w:left="582" w:hanging="292"/>
        <w:spacing w:after="0" w:line="222" w:lineRule="auto"/>
        <w:tabs>
          <w:tab w:leader="none" w:pos="58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entered into an agreement to acquire a Phase I DMT study from Entheon to accelerate the clinical development path for CYB004.</w:t>
      </w:r>
    </w:p>
    <w:p>
      <w:pPr>
        <w:spacing w:after="0" w:line="20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Phenethylamine Program</w:t>
      </w:r>
    </w:p>
    <w:p>
      <w:pPr>
        <w:spacing w:after="0" w:line="19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Pursuant to the Adelia Transaction, the Company acquired a preclinical phenethylamine program. Work on the synthesis and optimization of these</w:t>
      </w:r>
    </w:p>
    <w:p>
      <w:pPr>
        <w:ind w:left="2" w:right="20"/>
        <w:spacing w:after="0" w:line="202" w:lineRule="auto"/>
        <w:rPr>
          <w:sz w:val="20"/>
          <w:szCs w:val="20"/>
          <w:color w:val="auto"/>
        </w:rPr>
      </w:pPr>
      <w:r>
        <w:rPr>
          <w:rFonts w:ascii="Times New Roman" w:cs="Times New Roman" w:eastAsia="Times New Roman" w:hAnsi="Times New Roman"/>
          <w:sz w:val="18"/>
          <w:szCs w:val="18"/>
          <w:color w:val="auto"/>
        </w:rPr>
        <w:t>molecules has begun at a third-party vendor. The Company anticipates that its phenethylamine program may deliver a drug candidate suitable for entry into clinical studies by the end of calendar 2023, updated from the prior estimate of late calendar 2021 to early calendar 2022 due to certain research and</w:t>
      </w:r>
    </w:p>
    <w:p>
      <w:pPr>
        <w:spacing w:after="0" w:line="1" w:lineRule="exact"/>
        <w:rPr>
          <w:sz w:val="20"/>
          <w:szCs w:val="20"/>
          <w:color w:val="auto"/>
        </w:rPr>
      </w:pPr>
    </w:p>
    <w:p>
      <w:pPr>
        <w:ind w:left="2" w:right="500"/>
        <w:spacing w:after="0" w:line="371" w:lineRule="auto"/>
        <w:rPr>
          <w:sz w:val="20"/>
          <w:szCs w:val="20"/>
          <w:color w:val="auto"/>
        </w:rPr>
      </w:pPr>
      <w:r>
        <w:rPr>
          <w:rFonts w:ascii="Times New Roman" w:cs="Times New Roman" w:eastAsia="Times New Roman" w:hAnsi="Times New Roman"/>
          <w:sz w:val="18"/>
          <w:szCs w:val="18"/>
          <w:color w:val="auto"/>
        </w:rPr>
        <w:t>development delays, but there is no assurance that these timelines will be met or that a preclinical drug candidate will advance to clinical trials at all.</w:t>
      </w:r>
      <w:r>
        <w:rPr>
          <w:rFonts w:ascii="Times New Roman" w:cs="Times New Roman" w:eastAsia="Times New Roman" w:hAnsi="Times New Roman"/>
          <w:sz w:val="23"/>
          <w:szCs w:val="23"/>
          <w:color w:val="auto"/>
          <w:vertAlign w:val="superscript"/>
        </w:rPr>
        <w:t>18</w:t>
      </w:r>
      <w:r>
        <w:rPr>
          <w:rFonts w:ascii="Times New Roman" w:cs="Times New Roman" w:eastAsia="Times New Roman" w:hAnsi="Times New Roman"/>
          <w:sz w:val="18"/>
          <w:szCs w:val="18"/>
          <w:color w:val="auto"/>
        </w:rPr>
        <w:t xml:space="preserve"> As at March 31, 2022, the Company has spent approximately $841,000 on preclinical phenethylamines.</w:t>
      </w:r>
      <w:r>
        <w:rPr>
          <w:rFonts w:ascii="Times New Roman" w:cs="Times New Roman" w:eastAsia="Times New Roman" w:hAnsi="Times New Roman"/>
          <w:sz w:val="23"/>
          <w:szCs w:val="23"/>
          <w:color w:val="auto"/>
          <w:vertAlign w:val="superscript"/>
        </w:rPr>
        <w:t>19</w:t>
      </w:r>
    </w:p>
    <w:p>
      <w:pPr>
        <w:spacing w:after="0" w:line="2" w:lineRule="exact"/>
        <w:rPr>
          <w:sz w:val="20"/>
          <w:szCs w:val="20"/>
          <w:color w:val="auto"/>
        </w:rPr>
      </w:pPr>
    </w:p>
    <w:p>
      <w:pPr>
        <w:ind w:left="2"/>
        <w:spacing w:after="0" w:line="224" w:lineRule="auto"/>
        <w:rPr>
          <w:sz w:val="20"/>
          <w:szCs w:val="20"/>
          <w:color w:val="auto"/>
        </w:rPr>
      </w:pPr>
      <w:r>
        <w:rPr>
          <w:rFonts w:ascii="Times New Roman" w:cs="Times New Roman" w:eastAsia="Times New Roman" w:hAnsi="Times New Roman"/>
          <w:sz w:val="18"/>
          <w:szCs w:val="18"/>
          <w:color w:val="auto"/>
        </w:rPr>
        <w:t>As at the date of this AIF, the Company continues its work on its synthesis and optimization of phenethylamines. Multiple phenethylamines have been shown to have psychedelic properties and several, such as MDMA, have shown great promise as therapeutics. Cybin’s proprietary approach to</w:t>
      </w:r>
    </w:p>
    <w:p>
      <w:pPr>
        <w:jc w:val="both"/>
        <w:ind w:left="2" w:right="20"/>
        <w:spacing w:after="0" w:line="217" w:lineRule="auto"/>
        <w:rPr>
          <w:sz w:val="20"/>
          <w:szCs w:val="20"/>
          <w:color w:val="auto"/>
        </w:rPr>
      </w:pPr>
      <w:r>
        <w:rPr>
          <w:rFonts w:ascii="Times New Roman" w:cs="Times New Roman" w:eastAsia="Times New Roman" w:hAnsi="Times New Roman"/>
          <w:sz w:val="17"/>
          <w:szCs w:val="17"/>
          <w:color w:val="auto"/>
        </w:rPr>
        <w:t>phenethylamines modification with deuterium substitution, proprietary formulations and directed delivery systems has yielded a number of novel leads with significant therapeutic potential. Several compounds are now being further studied both in vitro and in vivo for selection of the best development candidates.</w:t>
      </w:r>
    </w:p>
    <w:p>
      <w:pPr>
        <w:ind w:left="2"/>
        <w:spacing w:after="0" w:line="213" w:lineRule="auto"/>
        <w:rPr>
          <w:sz w:val="20"/>
          <w:szCs w:val="20"/>
          <w:color w:val="auto"/>
        </w:rPr>
      </w:pPr>
      <w:r>
        <w:rPr>
          <w:rFonts w:ascii="Times New Roman" w:cs="Times New Roman" w:eastAsia="Times New Roman" w:hAnsi="Times New Roman"/>
          <w:sz w:val="18"/>
          <w:szCs w:val="18"/>
          <w:color w:val="auto"/>
        </w:rPr>
        <w:t>Subsequent to the period ended March 31, 2022, the Company has identified a potential candidate from its phenethylamine program that demonstrates</w:t>
      </w:r>
    </w:p>
    <w:p>
      <w:pPr>
        <w:jc w:val="both"/>
        <w:ind w:left="2" w:right="20"/>
        <w:spacing w:after="0" w:line="205" w:lineRule="auto"/>
        <w:rPr>
          <w:sz w:val="20"/>
          <w:szCs w:val="20"/>
          <w:color w:val="auto"/>
        </w:rPr>
      </w:pPr>
      <w:r>
        <w:rPr>
          <w:rFonts w:ascii="Times New Roman" w:cs="Times New Roman" w:eastAsia="Times New Roman" w:hAnsi="Times New Roman"/>
          <w:sz w:val="18"/>
          <w:szCs w:val="18"/>
          <w:color w:val="auto"/>
        </w:rPr>
        <w:t>5HT2A receptor agonism (CYB005). The Company plans to report preclinical data for CYB005 in Q3 2022 (assuming the completion of the related preclinical trials) at which time the Company expects to nominate a candidate and complete its assessment of the potential path forward for this candidate,</w:t>
      </w:r>
    </w:p>
    <w:p>
      <w:pPr>
        <w:spacing w:after="0" w:line="1" w:lineRule="exact"/>
        <w:rPr>
          <w:sz w:val="20"/>
          <w:szCs w:val="20"/>
          <w:color w:val="auto"/>
        </w:rPr>
      </w:pPr>
    </w:p>
    <w:p>
      <w:pPr>
        <w:ind w:left="2" w:right="20"/>
        <w:spacing w:after="0" w:line="230" w:lineRule="auto"/>
        <w:rPr>
          <w:sz w:val="20"/>
          <w:szCs w:val="20"/>
          <w:color w:val="auto"/>
        </w:rPr>
      </w:pPr>
      <w:r>
        <w:rPr>
          <w:rFonts w:ascii="Times New Roman" w:cs="Times New Roman" w:eastAsia="Times New Roman" w:hAnsi="Times New Roman"/>
          <w:sz w:val="18"/>
          <w:szCs w:val="18"/>
          <w:color w:val="auto"/>
        </w:rPr>
        <w:t>including whether it will be developed internally or by way of potential third party partners; as of the date hereof, there is no assurance that this candidate will advance to clinical trials at all.</w:t>
      </w:r>
    </w:p>
    <w:p>
      <w:pPr>
        <w:spacing w:after="0" w:line="1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Technology Programs</w:t>
      </w:r>
    </w:p>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The Company was previously working on a number of fronts to establish an e-Commerce platform to support the education, sales and marketing of potential</w:t>
      </w:r>
    </w:p>
    <w:p>
      <w:pPr>
        <w:spacing w:after="0" w:line="8" w:lineRule="exact"/>
        <w:rPr>
          <w:sz w:val="20"/>
          <w:szCs w:val="20"/>
          <w:color w:val="auto"/>
        </w:rPr>
      </w:pPr>
    </w:p>
    <w:p>
      <w:pPr>
        <w:ind w:left="2" w:right="20"/>
        <w:spacing w:after="0" w:line="222" w:lineRule="auto"/>
        <w:rPr>
          <w:sz w:val="20"/>
          <w:szCs w:val="20"/>
          <w:color w:val="auto"/>
        </w:rPr>
      </w:pPr>
      <w:r>
        <w:rPr>
          <w:rFonts w:ascii="Times New Roman" w:cs="Times New Roman" w:eastAsia="Times New Roman" w:hAnsi="Times New Roman"/>
          <w:sz w:val="18"/>
          <w:szCs w:val="18"/>
          <w:color w:val="auto"/>
        </w:rPr>
        <w:t>consumer and prescription mental wellness products, including but not limited to its line of nutraceutical products. However, due to the fact that the Company has made the decision to no longer pursue the Product Line, this initiative has been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55194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33" w:lineRule="exact"/>
        <w:rPr>
          <w:sz w:val="20"/>
          <w:szCs w:val="20"/>
          <w:color w:val="auto"/>
        </w:rPr>
      </w:pPr>
    </w:p>
    <w:p>
      <w:pPr>
        <w:jc w:val="both"/>
        <w:ind w:left="2" w:hanging="2"/>
        <w:spacing w:after="0" w:line="200" w:lineRule="auto"/>
        <w:tabs>
          <w:tab w:leader="none" w:pos="142"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ind w:left="122" w:hanging="122"/>
        <w:spacing w:after="0" w:line="202" w:lineRule="auto"/>
        <w:tabs>
          <w:tab w:leader="none" w:pos="122"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Dollar amount calculated since June 1, 2021, being the date of the financial data used in the July Base Shelf Prospectus.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62"/>
          </w:cols>
          <w:pgMar w:left="318" w:top="1438" w:right="319" w:bottom="1440" w:gutter="0" w:footer="0" w:header="0"/>
        </w:sectPr>
      </w:pPr>
    </w:p>
    <w:bookmarkStart w:id="37" w:name="page38"/>
    <w:bookmarkEnd w:id="37"/>
    <w:p>
      <w:pPr>
        <w:jc w:val="both"/>
        <w:ind w:left="2" w:right="20"/>
        <w:spacing w:after="0" w:line="226" w:lineRule="auto"/>
        <w:rPr>
          <w:sz w:val="20"/>
          <w:szCs w:val="20"/>
          <w:color w:val="auto"/>
        </w:rPr>
      </w:pPr>
      <w:r>
        <w:rPr>
          <w:rFonts w:ascii="Times New Roman" w:cs="Times New Roman" w:eastAsia="Times New Roman" w:hAnsi="Times New Roman"/>
          <w:sz w:val="18"/>
          <w:szCs w:val="18"/>
          <w:color w:val="auto"/>
        </w:rPr>
        <w:t>The Company has begun work on the creation of a patient digital therapy platform (the “</w:t>
      </w:r>
      <w:r>
        <w:rPr>
          <w:rFonts w:ascii="Times New Roman" w:cs="Times New Roman" w:eastAsia="Times New Roman" w:hAnsi="Times New Roman"/>
          <w:sz w:val="18"/>
          <w:szCs w:val="18"/>
          <w:b w:val="1"/>
          <w:bCs w:val="1"/>
          <w:color w:val="auto"/>
        </w:rPr>
        <w:t>Digital Platform</w:t>
      </w:r>
      <w:r>
        <w:rPr>
          <w:rFonts w:ascii="Times New Roman" w:cs="Times New Roman" w:eastAsia="Times New Roman" w:hAnsi="Times New Roman"/>
          <w:sz w:val="18"/>
          <w:szCs w:val="18"/>
          <w:color w:val="auto"/>
        </w:rPr>
        <w:t>”). The Digital Platform is envisioned to help patients undergoing psychedelic therapies to memorialize the learning from their treatment sessions and to assist with the integration of such learnings into</w:t>
      </w:r>
    </w:p>
    <w:p>
      <w:pPr>
        <w:spacing w:after="0" w:line="1" w:lineRule="exact"/>
        <w:rPr>
          <w:sz w:val="20"/>
          <w:szCs w:val="20"/>
          <w:color w:val="auto"/>
        </w:rPr>
      </w:pPr>
    </w:p>
    <w:p>
      <w:pPr>
        <w:jc w:val="both"/>
        <w:ind w:left="2"/>
        <w:spacing w:after="0" w:line="222" w:lineRule="auto"/>
        <w:rPr>
          <w:sz w:val="20"/>
          <w:szCs w:val="20"/>
          <w:color w:val="auto"/>
        </w:rPr>
      </w:pPr>
      <w:r>
        <w:rPr>
          <w:rFonts w:ascii="Times New Roman" w:cs="Times New Roman" w:eastAsia="Times New Roman" w:hAnsi="Times New Roman"/>
          <w:sz w:val="18"/>
          <w:szCs w:val="18"/>
          <w:color w:val="auto"/>
        </w:rPr>
        <w:t>the patient’s psychotherapy program. Activities have been undertaken to establish the design of a proof of concept and to identify the necessary key modules and components.</w:t>
      </w:r>
    </w:p>
    <w:p>
      <w:pPr>
        <w:spacing w:after="0" w:line="147" w:lineRule="exact"/>
        <w:rPr>
          <w:sz w:val="20"/>
          <w:szCs w:val="20"/>
          <w:color w:val="auto"/>
        </w:rPr>
      </w:pPr>
    </w:p>
    <w:p>
      <w:pPr>
        <w:jc w:val="both"/>
        <w:ind w:left="2" w:right="20"/>
        <w:spacing w:after="0" w:line="243" w:lineRule="auto"/>
        <w:rPr>
          <w:sz w:val="20"/>
          <w:szCs w:val="20"/>
          <w:color w:val="auto"/>
        </w:rPr>
      </w:pPr>
      <w:r>
        <w:rPr>
          <w:rFonts w:ascii="Times New Roman" w:cs="Times New Roman" w:eastAsia="Times New Roman" w:hAnsi="Times New Roman"/>
          <w:sz w:val="18"/>
          <w:szCs w:val="18"/>
          <w:color w:val="auto"/>
        </w:rPr>
        <w:t>On January 11, 2021, the Company announced that it has entered into an agreement with Kernel that will enable the Company to use Kernel Flow devices to potentially measure neural activity during psychedelic therapy.</w:t>
      </w:r>
    </w:p>
    <w:p>
      <w:pPr>
        <w:spacing w:after="0" w:line="131" w:lineRule="exact"/>
        <w:rPr>
          <w:sz w:val="20"/>
          <w:szCs w:val="20"/>
          <w:color w:val="auto"/>
        </w:rPr>
      </w:pPr>
    </w:p>
    <w:p>
      <w:pPr>
        <w:jc w:val="both"/>
        <w:ind w:left="2"/>
        <w:spacing w:after="0" w:line="212" w:lineRule="auto"/>
        <w:rPr>
          <w:sz w:val="20"/>
          <w:szCs w:val="20"/>
          <w:color w:val="auto"/>
        </w:rPr>
      </w:pPr>
      <w:r>
        <w:rPr>
          <w:rFonts w:ascii="Times New Roman" w:cs="Times New Roman" w:eastAsia="Times New Roman" w:hAnsi="Times New Roman"/>
          <w:sz w:val="18"/>
          <w:szCs w:val="18"/>
          <w:color w:val="auto"/>
        </w:rPr>
        <w:t>On June 1, 2021, the Company announced its sponsorship of Kernel’s feasibility study of its Kernel Flow technology to measure ketamine’s psychedelic effect on cerebral cortex hemodynamics.</w:t>
      </w:r>
      <w:r>
        <w:rPr>
          <w:rFonts w:ascii="Times New Roman" w:cs="Times New Roman" w:eastAsia="Times New Roman" w:hAnsi="Times New Roman"/>
          <w:sz w:val="23"/>
          <w:szCs w:val="23"/>
          <w:color w:val="auto"/>
          <w:vertAlign w:val="superscript"/>
        </w:rPr>
        <w:t>20</w:t>
      </w:r>
      <w:r>
        <w:rPr>
          <w:rFonts w:ascii="Times New Roman" w:cs="Times New Roman" w:eastAsia="Times New Roman" w:hAnsi="Times New Roman"/>
          <w:sz w:val="18"/>
          <w:szCs w:val="18"/>
          <w:color w:val="auto"/>
        </w:rPr>
        <w:t xml:space="preserve"> While the Company previously announced that delivery was expected in Q2 2021 and studies would commence in the second half of 2021, the Company has since decided to focus on sponsoring 3rd-party studies using the Kernel Flow technology in the near term.</w:t>
      </w:r>
    </w:p>
    <w:p>
      <w:pPr>
        <w:spacing w:after="0" w:line="134" w:lineRule="exact"/>
        <w:rPr>
          <w:sz w:val="20"/>
          <w:szCs w:val="20"/>
          <w:color w:val="auto"/>
        </w:rPr>
      </w:pPr>
    </w:p>
    <w:p>
      <w:pPr>
        <w:jc w:val="both"/>
        <w:ind w:left="2" w:right="20"/>
        <w:spacing w:after="0" w:line="206" w:lineRule="auto"/>
        <w:rPr>
          <w:sz w:val="20"/>
          <w:szCs w:val="20"/>
          <w:color w:val="auto"/>
        </w:rPr>
      </w:pPr>
      <w:r>
        <w:rPr>
          <w:rFonts w:ascii="Times New Roman" w:cs="Times New Roman" w:eastAsia="Times New Roman" w:hAnsi="Times New Roman"/>
          <w:sz w:val="17"/>
          <w:szCs w:val="17"/>
          <w:color w:val="auto"/>
        </w:rPr>
        <w:t>On July 13, 2021, the Company announced that it has commenced the next phase of the Company’s digital therapeutics platform which will better enable the evaluation of patient outcomes through a highly secure, patient-centered data analytics platform for better pre- and post-psychedelic treatments.</w:t>
      </w:r>
      <w:r>
        <w:rPr>
          <w:rFonts w:ascii="Times New Roman" w:cs="Times New Roman" w:eastAsia="Times New Roman" w:hAnsi="Times New Roman"/>
          <w:sz w:val="22"/>
          <w:szCs w:val="22"/>
          <w:color w:val="auto"/>
          <w:vertAlign w:val="superscript"/>
        </w:rPr>
        <w:t>21</w:t>
      </w:r>
      <w:r>
        <w:rPr>
          <w:rFonts w:ascii="Times New Roman" w:cs="Times New Roman" w:eastAsia="Times New Roman" w:hAnsi="Times New Roman"/>
          <w:sz w:val="17"/>
          <w:szCs w:val="17"/>
          <w:color w:val="auto"/>
        </w:rPr>
        <w:t xml:space="preserve"> The digital</w:t>
      </w:r>
    </w:p>
    <w:p>
      <w:pPr>
        <w:spacing w:after="0" w:line="2" w:lineRule="exact"/>
        <w:rPr>
          <w:sz w:val="20"/>
          <w:szCs w:val="20"/>
          <w:color w:val="auto"/>
        </w:rPr>
      </w:pPr>
    </w:p>
    <w:p>
      <w:pPr>
        <w:jc w:val="both"/>
        <w:ind w:left="2" w:right="20"/>
        <w:spacing w:after="0" w:line="233" w:lineRule="auto"/>
        <w:rPr>
          <w:sz w:val="20"/>
          <w:szCs w:val="20"/>
          <w:color w:val="auto"/>
        </w:rPr>
      </w:pPr>
      <w:r>
        <w:rPr>
          <w:rFonts w:ascii="Times New Roman" w:cs="Times New Roman" w:eastAsia="Times New Roman" w:hAnsi="Times New Roman"/>
          <w:sz w:val="18"/>
          <w:szCs w:val="18"/>
          <w:color w:val="auto"/>
        </w:rPr>
        <w:t>therapeutics platform, which is proprietary to Cybin and the subject of one of the Company’s patent applications, adds another dimension to the Company’s development programs.</w:t>
      </w:r>
      <w:r>
        <w:rPr>
          <w:rFonts w:ascii="Times New Roman" w:cs="Times New Roman" w:eastAsia="Times New Roman" w:hAnsi="Times New Roman"/>
          <w:sz w:val="23"/>
          <w:szCs w:val="23"/>
          <w:color w:val="auto"/>
          <w:vertAlign w:val="superscript"/>
        </w:rPr>
        <w:t>22</w:t>
      </w:r>
    </w:p>
    <w:p>
      <w:pPr>
        <w:spacing w:after="0" w:line="9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On October 26, 2021, the Company announced that the FDA has authorized an IND application to proceed with the Company’s sponsored feasibility study</w:t>
      </w:r>
    </w:p>
    <w:p>
      <w:pPr>
        <w:jc w:val="both"/>
        <w:ind w:left="2" w:right="20"/>
        <w:spacing w:after="0" w:line="222" w:lineRule="auto"/>
        <w:rPr>
          <w:sz w:val="20"/>
          <w:szCs w:val="20"/>
          <w:color w:val="auto"/>
        </w:rPr>
      </w:pPr>
      <w:r>
        <w:rPr>
          <w:rFonts w:ascii="Times New Roman" w:cs="Times New Roman" w:eastAsia="Times New Roman" w:hAnsi="Times New Roman"/>
          <w:sz w:val="18"/>
          <w:szCs w:val="18"/>
          <w:color w:val="auto"/>
        </w:rPr>
        <w:t>using Kernel’s Flow technology to measure ketamine’s psychedelic effect on cerebral cortex hemodynamics. On January 11, 2022, the Company announced that the FDA IRB has approved the Company’s sponsored feasibility study.</w:t>
      </w:r>
    </w:p>
    <w:p>
      <w:pPr>
        <w:spacing w:after="0" w:line="171" w:lineRule="exact"/>
        <w:rPr>
          <w:sz w:val="20"/>
          <w:szCs w:val="20"/>
          <w:color w:val="auto"/>
        </w:rPr>
      </w:pPr>
    </w:p>
    <w:p>
      <w:pPr>
        <w:jc w:val="both"/>
        <w:ind w:left="2" w:right="20"/>
        <w:spacing w:after="0" w:line="217" w:lineRule="auto"/>
        <w:rPr>
          <w:sz w:val="20"/>
          <w:szCs w:val="20"/>
          <w:color w:val="auto"/>
        </w:rPr>
      </w:pPr>
      <w:r>
        <w:rPr>
          <w:rFonts w:ascii="Times New Roman" w:cs="Times New Roman" w:eastAsia="Times New Roman" w:hAnsi="Times New Roman"/>
          <w:sz w:val="18"/>
          <w:szCs w:val="18"/>
          <w:color w:val="auto"/>
        </w:rPr>
        <w:t>On March 31, 2022, the Company announced that the first study visit has been conducted in a Cybin-sponsored feasibility study evaluating Kernel’s quantitative neuroimaging technology, Flow, to measure ketamine’s psychedelic effects on cerebral cortex hemodynamics. On May 9, 2022 the Company</w:t>
      </w:r>
    </w:p>
    <w:p>
      <w:pPr>
        <w:ind w:left="2"/>
        <w:spacing w:after="0"/>
        <w:rPr>
          <w:sz w:val="20"/>
          <w:szCs w:val="20"/>
          <w:color w:val="auto"/>
        </w:rPr>
      </w:pPr>
      <w:r>
        <w:rPr>
          <w:rFonts w:ascii="Times New Roman" w:cs="Times New Roman" w:eastAsia="Times New Roman" w:hAnsi="Times New Roman"/>
          <w:sz w:val="18"/>
          <w:szCs w:val="18"/>
          <w:color w:val="auto"/>
        </w:rPr>
        <w:t>announced that preliminary data confirmed Flow’s ability to successfully measure neuro-effect of ketamine over 10 days.</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As at March 31, 2022, the Company has spent approximately $1,130,000 on its technology programs.</w:t>
      </w:r>
    </w:p>
    <w:p>
      <w:pPr>
        <w:spacing w:after="0" w:line="18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Nutraceutical Products</w:t>
      </w:r>
    </w:p>
    <w:p>
      <w:pPr>
        <w:spacing w:after="0" w:line="19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In November 2021, the Company determined that it would not proceed with the Product Line in order to focus its efforts on the research and development</w:t>
      </w:r>
    </w:p>
    <w:p>
      <w:pPr>
        <w:jc w:val="both"/>
        <w:ind w:left="2" w:right="20"/>
        <w:spacing w:after="0" w:line="222" w:lineRule="auto"/>
        <w:rPr>
          <w:sz w:val="20"/>
          <w:szCs w:val="20"/>
          <w:color w:val="auto"/>
        </w:rPr>
      </w:pPr>
      <w:r>
        <w:rPr>
          <w:rFonts w:ascii="Times New Roman" w:cs="Times New Roman" w:eastAsia="Times New Roman" w:hAnsi="Times New Roman"/>
          <w:sz w:val="18"/>
          <w:szCs w:val="18"/>
          <w:color w:val="auto"/>
        </w:rPr>
        <w:t>progression of psychedelic molecules. The Company had previously indicated that the timeline for the Product Line was updated from Q4 2021 to Q1 2022, however this business segment will not be pursued. The Company has spent approximately $nil on the Product Line since the Listing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5519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33" w:lineRule="exact"/>
        <w:rPr>
          <w:sz w:val="20"/>
          <w:szCs w:val="20"/>
          <w:color w:val="auto"/>
        </w:rPr>
      </w:pPr>
    </w:p>
    <w:p>
      <w:pPr>
        <w:jc w:val="both"/>
        <w:ind w:left="2" w:right="20" w:hanging="2"/>
        <w:spacing w:after="0" w:line="197" w:lineRule="auto"/>
        <w:tabs>
          <w:tab w:leader="none" w:pos="138"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assumes timely delivery of the these devices, entering into contracts with selected academic research institutions and the approval of the final research study protocols.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3" w:lineRule="exact"/>
        <w:rPr>
          <w:rFonts w:ascii="Times New Roman" w:cs="Times New Roman" w:eastAsia="Times New Roman" w:hAnsi="Times New Roman"/>
          <w:sz w:val="19"/>
          <w:szCs w:val="19"/>
          <w:color w:val="auto"/>
          <w:vertAlign w:val="superscript"/>
        </w:rPr>
      </w:pPr>
    </w:p>
    <w:p>
      <w:pPr>
        <w:jc w:val="both"/>
        <w:ind w:left="2" w:hanging="2"/>
        <w:spacing w:after="0" w:line="199" w:lineRule="auto"/>
        <w:tabs>
          <w:tab w:leader="none" w:pos="121"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material factors or assumptions include, but are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spacing w:after="0" w:line="1" w:lineRule="exact"/>
        <w:rPr>
          <w:rFonts w:ascii="Times New Roman" w:cs="Times New Roman" w:eastAsia="Times New Roman" w:hAnsi="Times New Roman"/>
          <w:sz w:val="18"/>
          <w:szCs w:val="18"/>
          <w:color w:val="auto"/>
          <w:vertAlign w:val="superscript"/>
        </w:rPr>
      </w:pPr>
    </w:p>
    <w:p>
      <w:pPr>
        <w:jc w:val="both"/>
        <w:ind w:left="2" w:right="20" w:hanging="2"/>
        <w:spacing w:after="0" w:line="201" w:lineRule="auto"/>
        <w:tabs>
          <w:tab w:leader="none" w:pos="133"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Significant events that must occur to move forward with the proposed business objective include identifying the intended consumer, entering into third party agreements to develop the platform, and identifying and retaining qualified individuals to support the ongoing development and operation of the digital therapy platform. The material factors and assumptions include, but are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62"/>
          </w:cols>
          <w:pgMar w:left="318" w:top="1434" w:right="319" w:bottom="1440" w:gutter="0" w:footer="0" w:header="0"/>
        </w:sectPr>
      </w:pPr>
    </w:p>
    <w:bookmarkStart w:id="38" w:name="page39"/>
    <w:bookmarkEnd w:id="38"/>
    <w:p>
      <w:pPr>
        <w:ind w:left="2"/>
        <w:spacing w:after="0"/>
        <w:rPr>
          <w:sz w:val="20"/>
          <w:szCs w:val="20"/>
          <w:color w:val="auto"/>
        </w:rPr>
      </w:pPr>
      <w:r>
        <w:rPr>
          <w:rFonts w:ascii="Times New Roman" w:cs="Times New Roman" w:eastAsia="Times New Roman" w:hAnsi="Times New Roman"/>
          <w:sz w:val="18"/>
          <w:szCs w:val="18"/>
          <w:i w:val="1"/>
          <w:iCs w:val="1"/>
          <w:color w:val="auto"/>
        </w:rPr>
        <w:t>Relationships with Third Parties</w:t>
      </w:r>
    </w:p>
    <w:p>
      <w:pPr>
        <w:spacing w:after="0" w:line="19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Company’s research and development on its psychedelic pharmaceutical products is conducted by way of licensed partners. The Company also intends</w:t>
      </w:r>
    </w:p>
    <w:p>
      <w:pPr>
        <w:ind w:left="2" w:right="20"/>
        <w:spacing w:after="0" w:line="205" w:lineRule="auto"/>
        <w:rPr>
          <w:sz w:val="20"/>
          <w:szCs w:val="20"/>
          <w:color w:val="auto"/>
        </w:rPr>
      </w:pPr>
      <w:r>
        <w:rPr>
          <w:rFonts w:ascii="Times New Roman" w:cs="Times New Roman" w:eastAsia="Times New Roman" w:hAnsi="Times New Roman"/>
          <w:sz w:val="18"/>
          <w:szCs w:val="18"/>
          <w:color w:val="auto"/>
        </w:rPr>
        <w:t>to sponsor clinical and other studies at various clinical trial sites. As of the date of this AIF, the Company and the University of Washington are co-sponsoring a randomized, placebo-controlled clinical trial of psychedelic-assisted psychotherapy with psilocybin for frontline clinicians experiencing</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COVID-19 related distress.</w:t>
      </w:r>
    </w:p>
    <w:p>
      <w:pPr>
        <w:spacing w:after="0" w:line="152" w:lineRule="exact"/>
        <w:rPr>
          <w:sz w:val="20"/>
          <w:szCs w:val="20"/>
          <w:color w:val="auto"/>
        </w:rPr>
      </w:pPr>
    </w:p>
    <w:p>
      <w:pPr>
        <w:ind w:left="2" w:right="20"/>
        <w:spacing w:after="0" w:line="234" w:lineRule="auto"/>
        <w:rPr>
          <w:sz w:val="20"/>
          <w:szCs w:val="20"/>
          <w:color w:val="auto"/>
        </w:rPr>
      </w:pPr>
      <w:r>
        <w:rPr>
          <w:rFonts w:ascii="Times New Roman" w:cs="Times New Roman" w:eastAsia="Times New Roman" w:hAnsi="Times New Roman"/>
          <w:sz w:val="18"/>
          <w:szCs w:val="18"/>
          <w:color w:val="auto"/>
        </w:rPr>
        <w:t>On July 6, 2021, the Company entered into the Collaboration Agreement to establish mental health centers of excellence for the purpose of facilitating research and development of innovative psychedelic compound-based therapeutics for patients suffering from depression.</w:t>
      </w:r>
    </w:p>
    <w:p>
      <w:pPr>
        <w:spacing w:after="0" w:line="17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On April 21, 2022, the Company announced that it has partnered with Clinilabs, a global, full-service contract research organization with expertise in central</w:t>
      </w:r>
    </w:p>
    <w:p>
      <w:pPr>
        <w:spacing w:after="0" w:line="8" w:lineRule="exact"/>
        <w:rPr>
          <w:sz w:val="20"/>
          <w:szCs w:val="20"/>
          <w:color w:val="auto"/>
        </w:rPr>
      </w:pPr>
    </w:p>
    <w:p>
      <w:pPr>
        <w:ind w:left="2" w:right="20"/>
        <w:spacing w:after="0" w:line="222" w:lineRule="auto"/>
        <w:rPr>
          <w:sz w:val="20"/>
          <w:szCs w:val="20"/>
          <w:color w:val="auto"/>
        </w:rPr>
      </w:pPr>
      <w:r>
        <w:rPr>
          <w:rFonts w:ascii="Times New Roman" w:cs="Times New Roman" w:eastAsia="Times New Roman" w:hAnsi="Times New Roman"/>
          <w:sz w:val="18"/>
          <w:szCs w:val="18"/>
          <w:color w:val="auto"/>
        </w:rPr>
        <w:t>nervous system drug development, to carry out the Company’s Phase I/IIa clinical trial of CYB003, its proprietary deuterated psilocybin analog. CYB003 will be the first psilocybin analog to be evaluated in Phase I/IIa development for the treatment of MDD.</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has established contractual sources of synthetic GMP (as defined below) and non-GMP raw materials to support its development operations</w:t>
      </w:r>
    </w:p>
    <w:p>
      <w:pPr>
        <w:ind w:left="2"/>
        <w:spacing w:after="0" w:line="180" w:lineRule="auto"/>
        <w:rPr>
          <w:sz w:val="20"/>
          <w:szCs w:val="20"/>
          <w:color w:val="auto"/>
        </w:rPr>
      </w:pPr>
      <w:r>
        <w:rPr>
          <w:rFonts w:ascii="Times New Roman" w:cs="Times New Roman" w:eastAsia="Times New Roman" w:hAnsi="Times New Roman"/>
          <w:sz w:val="18"/>
          <w:szCs w:val="18"/>
          <w:color w:val="auto"/>
        </w:rPr>
        <w:t>through licensed third-party suppliers located in Canada, the United States and the United Kingdom. Such raw materials are expected to be, in general, readily available and in adequate supply to meet the Company’s need for development quantities, or custom manufactured on the Company’s behalf.</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xml:space="preserve"> The</w:t>
      </w:r>
    </w:p>
    <w:p>
      <w:pPr>
        <w:ind w:left="2"/>
        <w:spacing w:after="0" w:line="213" w:lineRule="auto"/>
        <w:rPr>
          <w:sz w:val="20"/>
          <w:szCs w:val="20"/>
          <w:color w:val="auto"/>
        </w:rPr>
      </w:pPr>
      <w:r>
        <w:rPr>
          <w:rFonts w:ascii="Times New Roman" w:cs="Times New Roman" w:eastAsia="Times New Roman" w:hAnsi="Times New Roman"/>
          <w:sz w:val="18"/>
          <w:szCs w:val="18"/>
          <w:color w:val="auto"/>
        </w:rPr>
        <w:t>prices of research quantities of psilocybin and novel psychedelic compounds are generally higher than commercial supply prices at significantly larger scale</w:t>
      </w:r>
    </w:p>
    <w:p>
      <w:pPr>
        <w:ind w:left="2" w:right="20"/>
        <w:spacing w:after="0" w:line="222" w:lineRule="auto"/>
        <w:rPr>
          <w:sz w:val="20"/>
          <w:szCs w:val="20"/>
          <w:color w:val="auto"/>
        </w:rPr>
      </w:pPr>
      <w:r>
        <w:rPr>
          <w:rFonts w:ascii="Times New Roman" w:cs="Times New Roman" w:eastAsia="Times New Roman" w:hAnsi="Times New Roman"/>
          <w:sz w:val="18"/>
          <w:szCs w:val="18"/>
          <w:color w:val="auto"/>
        </w:rPr>
        <w:t>and the Company, therefore, expects its supply prices to reduce over time. Development and production of the Company’s proprietary novel compounds is performed under confidential contractual agreements.</w:t>
      </w:r>
    </w:p>
    <w:p>
      <w:pPr>
        <w:spacing w:after="0" w:line="171" w:lineRule="exact"/>
        <w:rPr>
          <w:sz w:val="20"/>
          <w:szCs w:val="20"/>
          <w:color w:val="auto"/>
        </w:rPr>
      </w:pPr>
    </w:p>
    <w:p>
      <w:pPr>
        <w:ind w:left="2" w:right="20"/>
        <w:spacing w:after="0" w:line="234" w:lineRule="auto"/>
        <w:rPr>
          <w:sz w:val="20"/>
          <w:szCs w:val="20"/>
          <w:color w:val="auto"/>
        </w:rPr>
      </w:pPr>
      <w:r>
        <w:rPr>
          <w:rFonts w:ascii="Times New Roman" w:cs="Times New Roman" w:eastAsia="Times New Roman" w:hAnsi="Times New Roman"/>
          <w:sz w:val="18"/>
          <w:szCs w:val="18"/>
          <w:color w:val="auto"/>
        </w:rPr>
        <w:t>The Company has conducted due diligence on each such third party, including but not limited to the review of necessary licenses and the regulatory framework enacted in the jurisdiction of operation.</w:t>
      </w:r>
    </w:p>
    <w:p>
      <w:pPr>
        <w:spacing w:after="0" w:line="16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13" w:lineRule="exact"/>
        <w:rPr>
          <w:sz w:val="20"/>
          <w:szCs w:val="20"/>
          <w:color w:val="auto"/>
        </w:rPr>
      </w:pPr>
    </w:p>
    <w:tbl>
      <w:tblPr>
        <w:tblLayout w:type="fixed"/>
        <w:tblInd w:w="72" w:type="dxa"/>
        <w:tblCellMar>
          <w:top w:w="0" w:type="dxa"/>
          <w:left w:w="0" w:type="dxa"/>
          <w:bottom w:w="0" w:type="dxa"/>
          <w:right w:w="0" w:type="dxa"/>
        </w:tblCellMar>
      </w:tblPr>
      <w:tr>
        <w:trPr>
          <w:trHeight w:val="159"/>
        </w:trPr>
        <w:tc>
          <w:tcPr>
            <w:tcW w:w="2900" w:type="dxa"/>
            <w:vAlign w:val="bottom"/>
            <w:tcBorders>
              <w:top w:val="single" w:sz="8" w:color="auto"/>
              <w:left w:val="single" w:sz="8" w:color="auto"/>
              <w:right w:val="single" w:sz="8" w:color="auto"/>
            </w:tcBorders>
            <w:vMerge w:val="restart"/>
          </w:tcPr>
          <w:p>
            <w:pPr>
              <w:ind w:left="900"/>
              <w:spacing w:after="0"/>
              <w:rPr>
                <w:sz w:val="20"/>
                <w:szCs w:val="20"/>
                <w:color w:val="auto"/>
              </w:rPr>
            </w:pPr>
            <w:r>
              <w:rPr>
                <w:rFonts w:ascii="Times New Roman" w:cs="Times New Roman" w:eastAsia="Times New Roman" w:hAnsi="Times New Roman"/>
                <w:sz w:val="15"/>
                <w:szCs w:val="15"/>
                <w:b w:val="1"/>
                <w:bCs w:val="1"/>
                <w:color w:val="auto"/>
              </w:rPr>
              <w:t>Business Segment</w:t>
            </w:r>
          </w:p>
        </w:tc>
        <w:tc>
          <w:tcPr>
            <w:tcW w:w="2560" w:type="dxa"/>
            <w:vAlign w:val="bottom"/>
            <w:tcBorders>
              <w:top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5"/>
                <w:szCs w:val="15"/>
                <w:b w:val="1"/>
                <w:bCs w:val="1"/>
                <w:color w:val="auto"/>
                <w:w w:val="97"/>
              </w:rPr>
              <w:t>Current/Proposed Location of</w:t>
            </w:r>
          </w:p>
        </w:tc>
        <w:tc>
          <w:tcPr>
            <w:tcW w:w="5580" w:type="dxa"/>
            <w:vAlign w:val="bottom"/>
            <w:tcBorders>
              <w:top w:val="single" w:sz="8" w:color="auto"/>
              <w:right w:val="single" w:sz="8" w:color="auto"/>
            </w:tcBorders>
            <w:vMerge w:val="restart"/>
          </w:tcPr>
          <w:p>
            <w:pPr>
              <w:ind w:left="1240"/>
              <w:spacing w:after="0"/>
              <w:rPr>
                <w:sz w:val="20"/>
                <w:szCs w:val="20"/>
                <w:color w:val="auto"/>
              </w:rPr>
            </w:pPr>
            <w:r>
              <w:rPr>
                <w:rFonts w:ascii="Times New Roman" w:cs="Times New Roman" w:eastAsia="Times New Roman" w:hAnsi="Times New Roman"/>
                <w:sz w:val="15"/>
                <w:szCs w:val="15"/>
                <w:b w:val="1"/>
                <w:bCs w:val="1"/>
                <w:color w:val="auto"/>
              </w:rPr>
              <w:t>Summary of Applicable Regulatory Frameworks</w:t>
            </w:r>
          </w:p>
        </w:tc>
        <w:tc>
          <w:tcPr>
            <w:tcW w:w="0" w:type="dxa"/>
            <w:vAlign w:val="bottom"/>
          </w:tcPr>
          <w:p>
            <w:pPr>
              <w:spacing w:after="0"/>
              <w:rPr>
                <w:sz w:val="1"/>
                <w:szCs w:val="1"/>
                <w:color w:val="auto"/>
              </w:rPr>
            </w:pPr>
          </w:p>
        </w:tc>
      </w:tr>
      <w:tr>
        <w:trPr>
          <w:trHeight w:val="117"/>
        </w:trPr>
        <w:tc>
          <w:tcPr>
            <w:tcW w:w="2900" w:type="dxa"/>
            <w:vAlign w:val="bottom"/>
            <w:tcBorders>
              <w:left w:val="single" w:sz="8" w:color="auto"/>
              <w:right w:val="single" w:sz="8" w:color="auto"/>
            </w:tcBorders>
            <w:vMerge w:val="continue"/>
          </w:tcPr>
          <w:p>
            <w:pPr>
              <w:spacing w:after="0"/>
              <w:rPr>
                <w:sz w:val="10"/>
                <w:szCs w:val="10"/>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Operation</w:t>
            </w:r>
          </w:p>
        </w:tc>
        <w:tc>
          <w:tcPr>
            <w:tcW w:w="5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900" w:type="dxa"/>
            <w:vAlign w:val="bottom"/>
            <w:tcBorders>
              <w:left w:val="single" w:sz="8" w:color="auto"/>
              <w:bottom w:val="single" w:sz="8" w:color="auto"/>
              <w:right w:val="single" w:sz="8" w:color="auto"/>
            </w:tcBorders>
          </w:tcPr>
          <w:p>
            <w:pPr>
              <w:spacing w:after="0"/>
              <w:rPr>
                <w:sz w:val="6"/>
                <w:szCs w:val="6"/>
                <w:color w:val="auto"/>
              </w:rPr>
            </w:pPr>
          </w:p>
        </w:tc>
        <w:tc>
          <w:tcPr>
            <w:tcW w:w="2560" w:type="dxa"/>
            <w:vAlign w:val="bottom"/>
            <w:tcBorders>
              <w:bottom w:val="single" w:sz="8" w:color="auto"/>
              <w:right w:val="single" w:sz="8" w:color="auto"/>
            </w:tcBorders>
            <w:vMerge w:val="continue"/>
          </w:tcPr>
          <w:p>
            <w:pPr>
              <w:spacing w:after="0"/>
              <w:rPr>
                <w:sz w:val="6"/>
                <w:szCs w:val="6"/>
                <w:color w:val="auto"/>
              </w:rPr>
            </w:pPr>
          </w:p>
        </w:tc>
        <w:tc>
          <w:tcPr>
            <w:tcW w:w="5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900" w:type="dxa"/>
            <w:vAlign w:val="bottom"/>
            <w:tcBorders>
              <w:left w:val="single" w:sz="8" w:color="auto"/>
              <w:right w:val="single" w:sz="8" w:color="auto"/>
            </w:tcBorders>
          </w:tcPr>
          <w:p>
            <w:pPr>
              <w:ind w:left="80"/>
              <w:spacing w:after="0" w:line="141" w:lineRule="exact"/>
              <w:rPr>
                <w:sz w:val="20"/>
                <w:szCs w:val="20"/>
                <w:color w:val="auto"/>
              </w:rPr>
            </w:pPr>
            <w:r>
              <w:rPr>
                <w:rFonts w:ascii="Times New Roman" w:cs="Times New Roman" w:eastAsia="Times New Roman" w:hAnsi="Times New Roman"/>
                <w:sz w:val="15"/>
                <w:szCs w:val="15"/>
                <w:color w:val="auto"/>
                <w:w w:val="98"/>
              </w:rPr>
              <w:t>Research, development and commercialization</w:t>
            </w:r>
          </w:p>
        </w:tc>
        <w:tc>
          <w:tcPr>
            <w:tcW w:w="256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5"/>
                <w:szCs w:val="15"/>
                <w:color w:val="auto"/>
                <w:w w:val="97"/>
              </w:rPr>
              <w:t>Canada, United Kingdom, United States</w:t>
            </w:r>
          </w:p>
        </w:tc>
        <w:tc>
          <w:tcPr>
            <w:tcW w:w="5580" w:type="dxa"/>
            <w:vAlign w:val="bottom"/>
            <w:tcBorders>
              <w:right w:val="single" w:sz="8" w:color="auto"/>
            </w:tcBorders>
          </w:tcPr>
          <w:p>
            <w:pPr>
              <w:ind w:left="40"/>
              <w:spacing w:after="0" w:line="141" w:lineRule="exact"/>
              <w:rPr>
                <w:sz w:val="20"/>
                <w:szCs w:val="20"/>
                <w:color w:val="auto"/>
              </w:rPr>
            </w:pPr>
            <w:r>
              <w:rPr>
                <w:rFonts w:ascii="Times New Roman" w:cs="Times New Roman" w:eastAsia="Times New Roman" w:hAnsi="Times New Roman"/>
                <w:sz w:val="15"/>
                <w:szCs w:val="15"/>
                <w:color w:val="auto"/>
                <w:w w:val="99"/>
              </w:rPr>
              <w:t>The Canadian and United States federal governments regulate drugs through the CDSA and</w:t>
            </w:r>
          </w:p>
        </w:tc>
        <w:tc>
          <w:tcPr>
            <w:tcW w:w="0" w:type="dxa"/>
            <w:vAlign w:val="bottom"/>
          </w:tcPr>
          <w:p>
            <w:pPr>
              <w:spacing w:after="0"/>
              <w:rPr>
                <w:sz w:val="1"/>
                <w:szCs w:val="1"/>
                <w:color w:val="auto"/>
              </w:rPr>
            </w:pPr>
          </w:p>
        </w:tc>
      </w:tr>
      <w:tr>
        <w:trPr>
          <w:trHeight w:val="147"/>
        </w:trPr>
        <w:tc>
          <w:tcPr>
            <w:tcW w:w="2900" w:type="dxa"/>
            <w:vAlign w:val="bottom"/>
            <w:tcBorders>
              <w:left w:val="single" w:sz="8" w:color="auto"/>
              <w:right w:val="single" w:sz="8" w:color="auto"/>
            </w:tcBorders>
          </w:tcPr>
          <w:p>
            <w:pPr>
              <w:ind w:left="80"/>
              <w:spacing w:after="0" w:line="146" w:lineRule="exact"/>
              <w:rPr>
                <w:sz w:val="20"/>
                <w:szCs w:val="20"/>
                <w:color w:val="auto"/>
              </w:rPr>
            </w:pPr>
            <w:r>
              <w:rPr>
                <w:rFonts w:ascii="Times New Roman" w:cs="Times New Roman" w:eastAsia="Times New Roman" w:hAnsi="Times New Roman"/>
                <w:sz w:val="15"/>
                <w:szCs w:val="15"/>
                <w:color w:val="auto"/>
              </w:rPr>
              <w:t>of psychedelic-inspired regulation medicines.</w:t>
            </w:r>
          </w:p>
        </w:tc>
        <w:tc>
          <w:tcPr>
            <w:tcW w:w="2560" w:type="dxa"/>
            <w:vAlign w:val="bottom"/>
            <w:tcBorders>
              <w:right w:val="single" w:sz="8" w:color="auto"/>
            </w:tcBorders>
          </w:tcPr>
          <w:p>
            <w:pPr>
              <w:spacing w:after="0"/>
              <w:rPr>
                <w:sz w:val="12"/>
                <w:szCs w:val="12"/>
                <w:color w:val="auto"/>
              </w:rPr>
            </w:pPr>
          </w:p>
        </w:tc>
        <w:tc>
          <w:tcPr>
            <w:tcW w:w="5580" w:type="dxa"/>
            <w:vAlign w:val="bottom"/>
            <w:tcBorders>
              <w:right w:val="single" w:sz="8" w:color="auto"/>
            </w:tcBorders>
          </w:tcPr>
          <w:p>
            <w:pPr>
              <w:ind w:left="40"/>
              <w:spacing w:after="0" w:line="147" w:lineRule="exact"/>
              <w:rPr>
                <w:sz w:val="20"/>
                <w:szCs w:val="20"/>
                <w:color w:val="auto"/>
              </w:rPr>
            </w:pPr>
            <w:r>
              <w:rPr>
                <w:rFonts w:ascii="Times New Roman" w:cs="Times New Roman" w:eastAsia="Times New Roman" w:hAnsi="Times New Roman"/>
                <w:sz w:val="13"/>
                <w:szCs w:val="13"/>
                <w:color w:val="auto"/>
              </w:rPr>
              <w:t>the CSA, respectively, which place controlled substances in a schedule.</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3"/>
                <w:szCs w:val="13"/>
                <w:color w:val="auto"/>
              </w:rPr>
              <w:t xml:space="preserve"> The United</w:t>
            </w:r>
          </w:p>
        </w:tc>
        <w:tc>
          <w:tcPr>
            <w:tcW w:w="0" w:type="dxa"/>
            <w:vAlign w:val="bottom"/>
          </w:tcPr>
          <w:p>
            <w:pPr>
              <w:spacing w:after="0"/>
              <w:rPr>
                <w:sz w:val="1"/>
                <w:szCs w:val="1"/>
                <w:color w:val="auto"/>
              </w:rPr>
            </w:pPr>
          </w:p>
        </w:tc>
      </w:tr>
      <w:tr>
        <w:trPr>
          <w:trHeight w:val="147"/>
        </w:trPr>
        <w:tc>
          <w:tcPr>
            <w:tcW w:w="2900" w:type="dxa"/>
            <w:vAlign w:val="bottom"/>
            <w:tcBorders>
              <w:left w:val="single" w:sz="8" w:color="auto"/>
              <w:right w:val="single" w:sz="8" w:color="auto"/>
            </w:tcBorders>
          </w:tcPr>
          <w:p>
            <w:pPr>
              <w:spacing w:after="0"/>
              <w:rPr>
                <w:sz w:val="12"/>
                <w:szCs w:val="12"/>
                <w:color w:val="auto"/>
              </w:rPr>
            </w:pPr>
          </w:p>
        </w:tc>
        <w:tc>
          <w:tcPr>
            <w:tcW w:w="2560" w:type="dxa"/>
            <w:vAlign w:val="bottom"/>
            <w:tcBorders>
              <w:right w:val="single" w:sz="8" w:color="auto"/>
            </w:tcBorders>
          </w:tcPr>
          <w:p>
            <w:pPr>
              <w:spacing w:after="0"/>
              <w:rPr>
                <w:sz w:val="12"/>
                <w:szCs w:val="12"/>
                <w:color w:val="auto"/>
              </w:rPr>
            </w:pPr>
          </w:p>
        </w:tc>
        <w:tc>
          <w:tcPr>
            <w:tcW w:w="5580" w:type="dxa"/>
            <w:vAlign w:val="bottom"/>
            <w:tcBorders>
              <w:right w:val="single" w:sz="8" w:color="auto"/>
            </w:tcBorders>
          </w:tcPr>
          <w:p>
            <w:pPr>
              <w:ind w:left="40"/>
              <w:spacing w:after="0" w:line="146" w:lineRule="exact"/>
              <w:rPr>
                <w:sz w:val="20"/>
                <w:szCs w:val="20"/>
                <w:color w:val="auto"/>
              </w:rPr>
            </w:pPr>
            <w:r>
              <w:rPr>
                <w:rFonts w:ascii="Times New Roman" w:cs="Times New Roman" w:eastAsia="Times New Roman" w:hAnsi="Times New Roman"/>
                <w:sz w:val="15"/>
                <w:szCs w:val="15"/>
                <w:color w:val="auto"/>
                <w:w w:val="99"/>
              </w:rPr>
              <w:t>Kingdom regulated drugs through the MDA (through allocation of classes of risk) and MDR</w:t>
            </w:r>
          </w:p>
        </w:tc>
        <w:tc>
          <w:tcPr>
            <w:tcW w:w="0" w:type="dxa"/>
            <w:vAlign w:val="bottom"/>
          </w:tcPr>
          <w:p>
            <w:pPr>
              <w:spacing w:after="0"/>
              <w:rPr>
                <w:sz w:val="1"/>
                <w:szCs w:val="1"/>
                <w:color w:val="auto"/>
              </w:rPr>
            </w:pPr>
          </w:p>
        </w:tc>
      </w:tr>
      <w:tr>
        <w:trPr>
          <w:trHeight w:val="191"/>
        </w:trPr>
        <w:tc>
          <w:tcPr>
            <w:tcW w:w="2900" w:type="dxa"/>
            <w:vAlign w:val="bottom"/>
            <w:tcBorders>
              <w:left w:val="single" w:sz="8" w:color="auto"/>
              <w:right w:val="single" w:sz="8" w:color="auto"/>
            </w:tcBorders>
          </w:tcPr>
          <w:p>
            <w:pPr>
              <w:spacing w:after="0"/>
              <w:rPr>
                <w:sz w:val="16"/>
                <w:szCs w:val="16"/>
                <w:color w:val="auto"/>
              </w:rPr>
            </w:pPr>
          </w:p>
        </w:tc>
        <w:tc>
          <w:tcPr>
            <w:tcW w:w="256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(which places controlled substances in a schedule).</w:t>
            </w:r>
          </w:p>
        </w:tc>
        <w:tc>
          <w:tcPr>
            <w:tcW w:w="0" w:type="dxa"/>
            <w:vAlign w:val="bottom"/>
          </w:tcPr>
          <w:p>
            <w:pPr>
              <w:spacing w:after="0"/>
              <w:rPr>
                <w:sz w:val="1"/>
                <w:szCs w:val="1"/>
                <w:color w:val="auto"/>
              </w:rPr>
            </w:pPr>
          </w:p>
        </w:tc>
      </w:tr>
      <w:tr>
        <w:trPr>
          <w:trHeight w:val="429"/>
        </w:trPr>
        <w:tc>
          <w:tcPr>
            <w:tcW w:w="2900" w:type="dxa"/>
            <w:vAlign w:val="bottom"/>
            <w:tcBorders>
              <w:left w:val="single" w:sz="8" w:color="auto"/>
              <w:righ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Under the CDSA, psilocybin is currently a Schedule III drug.</w:t>
            </w:r>
            <w:r>
              <w:rPr>
                <w:rFonts w:ascii="Times New Roman" w:cs="Times New Roman" w:eastAsia="Times New Roman" w:hAnsi="Times New Roman"/>
                <w:sz w:val="19"/>
                <w:szCs w:val="19"/>
                <w:b w:val="1"/>
                <w:bCs w:val="1"/>
                <w:color w:val="auto"/>
                <w:vertAlign w:val="superscript"/>
              </w:rPr>
              <w:t>(2)</w:t>
            </w:r>
          </w:p>
        </w:tc>
        <w:tc>
          <w:tcPr>
            <w:tcW w:w="0" w:type="dxa"/>
            <w:vAlign w:val="bottom"/>
          </w:tcPr>
          <w:p>
            <w:pPr>
              <w:spacing w:after="0"/>
              <w:rPr>
                <w:sz w:val="1"/>
                <w:szCs w:val="1"/>
                <w:color w:val="auto"/>
              </w:rPr>
            </w:pPr>
          </w:p>
        </w:tc>
      </w:tr>
      <w:tr>
        <w:trPr>
          <w:trHeight w:val="367"/>
        </w:trPr>
        <w:tc>
          <w:tcPr>
            <w:tcW w:w="2900" w:type="dxa"/>
            <w:vAlign w:val="bottom"/>
            <w:tcBorders>
              <w:left w:val="single" w:sz="8" w:color="auto"/>
              <w:righ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Under the CSA, psilocybin is currently a Schedule I drug.</w:t>
            </w:r>
            <w:r>
              <w:rPr>
                <w:rFonts w:ascii="Times New Roman" w:cs="Times New Roman" w:eastAsia="Times New Roman" w:hAnsi="Times New Roman"/>
                <w:sz w:val="19"/>
                <w:szCs w:val="19"/>
                <w:b w:val="1"/>
                <w:bCs w:val="1"/>
                <w:color w:val="auto"/>
                <w:vertAlign w:val="superscript"/>
              </w:rPr>
              <w:t>(3)</w:t>
            </w:r>
          </w:p>
        </w:tc>
        <w:tc>
          <w:tcPr>
            <w:tcW w:w="0" w:type="dxa"/>
            <w:vAlign w:val="bottom"/>
          </w:tcPr>
          <w:p>
            <w:pPr>
              <w:spacing w:after="0"/>
              <w:rPr>
                <w:sz w:val="1"/>
                <w:szCs w:val="1"/>
                <w:color w:val="auto"/>
              </w:rPr>
            </w:pPr>
          </w:p>
        </w:tc>
      </w:tr>
      <w:tr>
        <w:trPr>
          <w:trHeight w:val="260"/>
        </w:trPr>
        <w:tc>
          <w:tcPr>
            <w:tcW w:w="2900" w:type="dxa"/>
            <w:vAlign w:val="bottom"/>
            <w:tcBorders>
              <w:left w:val="single" w:sz="8" w:color="auto"/>
              <w:right w:val="single" w:sz="8" w:color="auto"/>
            </w:tcBorders>
          </w:tcPr>
          <w:p>
            <w:pPr>
              <w:spacing w:after="0"/>
              <w:rPr>
                <w:sz w:val="22"/>
                <w:szCs w:val="22"/>
                <w:color w:val="auto"/>
              </w:rPr>
            </w:pPr>
          </w:p>
        </w:tc>
        <w:tc>
          <w:tcPr>
            <w:tcW w:w="256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Under the MDA, psilocybin is currently a Class A drug under the MDA and a Schedule 1</w:t>
            </w:r>
          </w:p>
        </w:tc>
        <w:tc>
          <w:tcPr>
            <w:tcW w:w="0" w:type="dxa"/>
            <w:vAlign w:val="bottom"/>
          </w:tcPr>
          <w:p>
            <w:pPr>
              <w:spacing w:after="0"/>
              <w:rPr>
                <w:sz w:val="1"/>
                <w:szCs w:val="1"/>
                <w:color w:val="auto"/>
              </w:rPr>
            </w:pPr>
          </w:p>
        </w:tc>
      </w:tr>
      <w:tr>
        <w:trPr>
          <w:trHeight w:val="195"/>
        </w:trPr>
        <w:tc>
          <w:tcPr>
            <w:tcW w:w="2900" w:type="dxa"/>
            <w:vAlign w:val="bottom"/>
            <w:tcBorders>
              <w:left w:val="single" w:sz="8" w:color="auto"/>
              <w:bottom w:val="single" w:sz="8" w:color="auto"/>
              <w:right w:val="single" w:sz="8" w:color="auto"/>
            </w:tcBorders>
          </w:tcPr>
          <w:p>
            <w:pPr>
              <w:spacing w:after="0"/>
              <w:rPr>
                <w:sz w:val="17"/>
                <w:szCs w:val="17"/>
                <w:color w:val="auto"/>
              </w:rPr>
            </w:pPr>
          </w:p>
        </w:tc>
        <w:tc>
          <w:tcPr>
            <w:tcW w:w="2560" w:type="dxa"/>
            <w:vAlign w:val="bottom"/>
            <w:tcBorders>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5"/>
                <w:szCs w:val="15"/>
                <w:color w:val="auto"/>
              </w:rPr>
              <w:t>drug under the MDR.</w:t>
            </w:r>
            <w:r>
              <w:rPr>
                <w:rFonts w:ascii="Times New Roman" w:cs="Times New Roman" w:eastAsia="Times New Roman" w:hAnsi="Times New Roman"/>
                <w:sz w:val="19"/>
                <w:szCs w:val="19"/>
                <w:color w:val="auto"/>
                <w:vertAlign w:val="superscript"/>
              </w:rPr>
              <w:t>(4)</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22"/>
        <w:spacing w:after="0"/>
        <w:rPr>
          <w:sz w:val="20"/>
          <w:szCs w:val="20"/>
          <w:color w:val="auto"/>
        </w:rPr>
      </w:pPr>
      <w:r>
        <w:rPr>
          <w:rFonts w:ascii="Times New Roman" w:cs="Times New Roman" w:eastAsia="Times New Roman" w:hAnsi="Times New Roman"/>
          <w:sz w:val="13"/>
          <w:szCs w:val="13"/>
          <w:b w:val="1"/>
          <w:bCs w:val="1"/>
          <w:u w:val="single" w:color="auto"/>
          <w:color w:val="auto"/>
        </w:rPr>
        <w:t>Notes:</w:t>
      </w:r>
    </w:p>
    <w:p>
      <w:pPr>
        <w:spacing w:after="0" w:line="36" w:lineRule="exact"/>
        <w:rPr>
          <w:sz w:val="20"/>
          <w:szCs w:val="20"/>
          <w:color w:val="auto"/>
        </w:rPr>
      </w:pPr>
    </w:p>
    <w:p>
      <w:pPr>
        <w:jc w:val="both"/>
        <w:ind w:left="582" w:right="240" w:hanging="235"/>
        <w:spacing w:after="0" w:line="216" w:lineRule="auto"/>
        <w:tabs>
          <w:tab w:leader="none" w:pos="716"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FDA have not approved psilocybin as a drug for any indication. It is illegal to possess such substances without a prescription. The Company does not directly engage in any activities that would trigger the need to comply with any federal laws related to psychedelic substances. See </w:t>
      </w:r>
      <w:r>
        <w:rPr>
          <w:rFonts w:ascii="Times New Roman" w:cs="Times New Roman" w:eastAsia="Times New Roman" w:hAnsi="Times New Roman"/>
          <w:sz w:val="13"/>
          <w:szCs w:val="13"/>
          <w:i w:val="1"/>
          <w:iCs w:val="1"/>
          <w:color w:val="auto"/>
        </w:rPr>
        <w:t>“Regulatory Environment – Research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Development”</w:t>
      </w:r>
      <w:r>
        <w:rPr>
          <w:rFonts w:ascii="Times New Roman" w:cs="Times New Roman" w:eastAsia="Times New Roman" w:hAnsi="Times New Roman"/>
          <w:sz w:val="13"/>
          <w:szCs w:val="13"/>
          <w:color w:val="auto"/>
        </w:rPr>
        <w:t>.</w:t>
      </w:r>
    </w:p>
    <w:p>
      <w:pPr>
        <w:spacing w:after="0" w:line="1" w:lineRule="exact"/>
        <w:rPr>
          <w:rFonts w:ascii="Times New Roman" w:cs="Times New Roman" w:eastAsia="Times New Roman" w:hAnsi="Times New Roman"/>
          <w:sz w:val="13"/>
          <w:szCs w:val="13"/>
          <w:color w:val="auto"/>
        </w:rPr>
      </w:pPr>
    </w:p>
    <w:p>
      <w:pPr>
        <w:ind w:left="622" w:hanging="275"/>
        <w:spacing w:after="0" w:line="196" w:lineRule="auto"/>
        <w:tabs>
          <w:tab w:leader="none" w:pos="622"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further information on the Canadian regulatory framework, see </w:t>
      </w:r>
      <w:r>
        <w:rPr>
          <w:rFonts w:ascii="Times New Roman" w:cs="Times New Roman" w:eastAsia="Times New Roman" w:hAnsi="Times New Roman"/>
          <w:sz w:val="13"/>
          <w:szCs w:val="13"/>
          <w:i w:val="1"/>
          <w:iCs w:val="1"/>
          <w:color w:val="auto"/>
        </w:rPr>
        <w:t>“Regulatory Environment – Canada”.</w:t>
      </w:r>
    </w:p>
    <w:p>
      <w:pPr>
        <w:ind w:left="622" w:hanging="275"/>
        <w:spacing w:after="0" w:line="215" w:lineRule="auto"/>
        <w:tabs>
          <w:tab w:leader="none" w:pos="622"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further information on the United States regulatory framework, see </w:t>
      </w:r>
      <w:r>
        <w:rPr>
          <w:rFonts w:ascii="Times New Roman" w:cs="Times New Roman" w:eastAsia="Times New Roman" w:hAnsi="Times New Roman"/>
          <w:sz w:val="13"/>
          <w:szCs w:val="13"/>
          <w:i w:val="1"/>
          <w:iCs w:val="1"/>
          <w:color w:val="auto"/>
        </w:rPr>
        <w:t>“Regulatory Environment – United States”.</w:t>
      </w:r>
    </w:p>
    <w:p>
      <w:pPr>
        <w:ind w:left="622" w:hanging="275"/>
        <w:spacing w:after="0"/>
        <w:tabs>
          <w:tab w:leader="none" w:pos="622"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further information on the United Kingdom regulatory framework, see “</w:t>
      </w:r>
      <w:r>
        <w:rPr>
          <w:rFonts w:ascii="Times New Roman" w:cs="Times New Roman" w:eastAsia="Times New Roman" w:hAnsi="Times New Roman"/>
          <w:sz w:val="13"/>
          <w:szCs w:val="13"/>
          <w:i w:val="1"/>
          <w:iCs w:val="1"/>
          <w:color w:val="auto"/>
        </w:rPr>
        <w:t>Regulatory Environment – United Kingdom</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15519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15" w:lineRule="exact"/>
        <w:rPr>
          <w:sz w:val="20"/>
          <w:szCs w:val="20"/>
          <w:color w:val="auto"/>
        </w:rPr>
      </w:pPr>
    </w:p>
    <w:p>
      <w:pPr>
        <w:ind w:left="2" w:right="20" w:hanging="2"/>
        <w:spacing w:after="0" w:line="207" w:lineRule="auto"/>
        <w:tabs>
          <w:tab w:leader="none" w:pos="149"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62"/>
          </w:cols>
          <w:pgMar w:left="318" w:top="1436"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Canada, oversight of healthcare is divided between the federal and provincial governments. The federal government is responsible for regulating, among</w:t>
      </w:r>
    </w:p>
    <w:p>
      <w:pPr>
        <w:spacing w:after="0" w:line="205" w:lineRule="auto"/>
        <w:rPr>
          <w:sz w:val="20"/>
          <w:szCs w:val="20"/>
          <w:color w:val="auto"/>
        </w:rPr>
      </w:pPr>
      <w:r>
        <w:rPr>
          <w:rFonts w:ascii="Times New Roman" w:cs="Times New Roman" w:eastAsia="Times New Roman" w:hAnsi="Times New Roman"/>
          <w:sz w:val="18"/>
          <w:szCs w:val="18"/>
          <w:color w:val="auto"/>
        </w:rPr>
        <w:t>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w:t>
      </w:r>
    </w:p>
    <w:p>
      <w:pPr>
        <w:spacing w:after="0" w:line="213" w:lineRule="auto"/>
        <w:rPr>
          <w:sz w:val="20"/>
          <w:szCs w:val="20"/>
          <w:color w:val="auto"/>
        </w:rPr>
      </w:pPr>
      <w:r>
        <w:rPr>
          <w:rFonts w:ascii="Times New Roman" w:cs="Times New Roman" w:eastAsia="Times New Roman" w:hAnsi="Times New Roman"/>
          <w:sz w:val="18"/>
          <w:szCs w:val="18"/>
          <w:color w:val="auto"/>
        </w:rPr>
        <w:t>insurance plans such as the Ontario Health Insurance Plan, distributing prescription drugs within the province, and regulating health professionals such as</w:t>
      </w:r>
    </w:p>
    <w:p>
      <w:pPr>
        <w:ind w:right="20"/>
        <w:spacing w:after="0" w:line="222" w:lineRule="auto"/>
        <w:rPr>
          <w:sz w:val="20"/>
          <w:szCs w:val="20"/>
          <w:color w:val="auto"/>
        </w:rPr>
      </w:pPr>
      <w:r>
        <w:rPr>
          <w:rFonts w:ascii="Times New Roman" w:cs="Times New Roman" w:eastAsia="Times New Roman" w:hAnsi="Times New Roman"/>
          <w:sz w:val="18"/>
          <w:szCs w:val="18"/>
          <w:color w:val="auto"/>
        </w:rPr>
        <w:t>doctors, psychologists, psychotherapists and nurse practitioners. Regulation is generally overseen by various colleges formed for that purpose, such as the College of Physicians and Surgeons of Ontario.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psychoactive compounds, such as psilocybin, are considered controlled substances under Schedule III of the CDSA. In order to conduct any</w:t>
      </w:r>
    </w:p>
    <w:p>
      <w:pPr>
        <w:ind w:right="20"/>
        <w:spacing w:after="0" w:line="217" w:lineRule="auto"/>
        <w:rPr>
          <w:sz w:val="20"/>
          <w:szCs w:val="20"/>
          <w:color w:val="auto"/>
        </w:rPr>
      </w:pPr>
      <w:r>
        <w:rPr>
          <w:rFonts w:ascii="Times New Roman" w:cs="Times New Roman" w:eastAsia="Times New Roman" w:hAnsi="Times New Roman"/>
          <w:sz w:val="17"/>
          <w:szCs w:val="17"/>
          <w:color w:val="auto"/>
        </w:rPr>
        <w:t>scientific research, including pre-clinical and clinical trials, using psychoactive compounds listed as controlled substances under the CDSA, an exemption under Section 56 of the CDSA (“</w:t>
      </w:r>
      <w:r>
        <w:rPr>
          <w:rFonts w:ascii="Times New Roman" w:cs="Times New Roman" w:eastAsia="Times New Roman" w:hAnsi="Times New Roman"/>
          <w:sz w:val="17"/>
          <w:szCs w:val="17"/>
          <w:b w:val="1"/>
          <w:bCs w:val="1"/>
          <w:color w:val="auto"/>
        </w:rPr>
        <w:t>Section 56 Exemption</w:t>
      </w:r>
      <w:r>
        <w:rPr>
          <w:rFonts w:ascii="Times New Roman" w:cs="Times New Roman" w:eastAsia="Times New Roman" w:hAnsi="Times New Roman"/>
          <w:sz w:val="17"/>
          <w:szCs w:val="17"/>
          <w:color w:val="auto"/>
        </w:rPr>
        <w:t>”) is required. This exemption allows the holder to possess and use the controlled substance without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subject to the restrictions set out in the CDSA. The Company has not applied for a Section 56 Exemption from Health Canada.</w:t>
      </w:r>
    </w:p>
    <w:p>
      <w:pPr>
        <w:spacing w:after="0" w:line="152"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w:t>
      </w:r>
    </w:p>
    <w:p>
      <w:pPr>
        <w:spacing w:after="0" w:line="212" w:lineRule="auto"/>
        <w:rPr>
          <w:sz w:val="20"/>
          <w:szCs w:val="20"/>
          <w:color w:val="auto"/>
        </w:rPr>
      </w:pPr>
      <w:r>
        <w:rPr>
          <w:rFonts w:ascii="Times New Roman" w:cs="Times New Roman" w:eastAsia="Times New Roman" w:hAnsi="Times New Roman"/>
          <w:sz w:val="18"/>
          <w:szCs w:val="18"/>
          <w:color w:val="auto"/>
        </w:rPr>
        <w:t>Products that contain a controlled substance such as psilocybin cannot be made, transported or sold without proper authorization from the government. A</w:t>
      </w:r>
    </w:p>
    <w:p>
      <w:pPr>
        <w:ind w:right="20"/>
        <w:spacing w:after="0" w:line="217" w:lineRule="auto"/>
        <w:rPr>
          <w:sz w:val="20"/>
          <w:szCs w:val="20"/>
          <w:color w:val="auto"/>
        </w:rPr>
      </w:pPr>
      <w:r>
        <w:rPr>
          <w:rFonts w:ascii="Times New Roman" w:cs="Times New Roman" w:eastAsia="Times New Roman" w:hAnsi="Times New Roman"/>
          <w:sz w:val="17"/>
          <w:szCs w:val="17"/>
          <w:color w:val="auto"/>
        </w:rPr>
        <w:t>party can apply for a Dealer’s License under the Food and Drug Regulations (Part J). In order to qualify as a licensed dealer, a party must meet all regulatory requirements mandated by the regulations including having compliant facilities, compliant materials and staff that meet the qualifications under the</w:t>
      </w:r>
    </w:p>
    <w:p>
      <w:pPr>
        <w:spacing w:after="0" w:line="1" w:lineRule="exact"/>
        <w:rPr>
          <w:sz w:val="20"/>
          <w:szCs w:val="20"/>
          <w:color w:val="auto"/>
        </w:rPr>
      </w:pP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regulations of a senior person in charge and a qualified person in charge. Assuming compliance with all relevant laws (</w:t>
      </w:r>
      <w:r>
        <w:rPr>
          <w:rFonts w:ascii="Times New Roman" w:cs="Times New Roman" w:eastAsia="Times New Roman" w:hAnsi="Times New Roman"/>
          <w:sz w:val="18"/>
          <w:szCs w:val="18"/>
          <w:i w:val="1"/>
          <w:iCs w:val="1"/>
          <w:color w:val="auto"/>
        </w:rPr>
        <w:t>Controlled Drugs and Substances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Food and Drugs Regulations</w:t>
      </w:r>
      <w:r>
        <w:rPr>
          <w:rFonts w:ascii="Times New Roman" w:cs="Times New Roman" w:eastAsia="Times New Roman" w:hAnsi="Times New Roman"/>
          <w:sz w:val="18"/>
          <w:szCs w:val="18"/>
          <w:color w:val="auto"/>
        </w:rPr>
        <w:t>) and subject to any restrictions placed on the license by Health Canada, an entity with a Dealer’s License may produce,</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assemble, sell, provide, transport, send, deliver, import or export a restricted drug (as listed in Part J in the Food and Drugs Regulations – which includes psilocybin and psilocin) (see s. J.01.009 (1) of the Food and Drug Regulations).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sponsor and work with licensed third parties to conduct any clinical trials and research and does not handle controlled substances.</w:t>
      </w:r>
    </w:p>
    <w:p>
      <w:pPr>
        <w:spacing w:after="0"/>
        <w:rPr>
          <w:sz w:val="20"/>
          <w:szCs w:val="20"/>
          <w:color w:val="auto"/>
        </w:rPr>
      </w:pPr>
      <w:r>
        <w:rPr>
          <w:rFonts w:ascii="Times New Roman" w:cs="Times New Roman" w:eastAsia="Times New Roman" w:hAnsi="Times New Roman"/>
          <w:sz w:val="18"/>
          <w:szCs w:val="18"/>
          <w:color w:val="auto"/>
        </w:rPr>
        <w:t>If the Company were to conduct this work without the reliance on third parties, it would need to obtain additional licenses and approvals described above.</w:t>
      </w:r>
    </w:p>
    <w:p>
      <w:pPr>
        <w:spacing w:after="0" w:line="15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Description of the Business – Research and Development”</w:t>
      </w:r>
      <w:r>
        <w:rPr>
          <w:rFonts w:ascii="Times New Roman" w:cs="Times New Roman" w:eastAsia="Times New Roman" w:hAnsi="Times New Roman"/>
          <w:sz w:val="18"/>
          <w:szCs w:val="18"/>
          <w:color w:val="auto"/>
        </w:rPr>
        <w:t xml:space="preserve"> for additional information concerning the regulation applicable to the process required before prescription drug product candidates may be marketed in Canada.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74"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w:t>
      </w:r>
    </w:p>
    <w:p>
      <w:pPr>
        <w:spacing w:after="0" w:line="212" w:lineRule="auto"/>
        <w:rPr>
          <w:sz w:val="20"/>
          <w:szCs w:val="20"/>
          <w:color w:val="auto"/>
        </w:rPr>
      </w:pPr>
      <w:r>
        <w:rPr>
          <w:rFonts w:ascii="Times New Roman" w:cs="Times New Roman" w:eastAsia="Times New Roman" w:hAnsi="Times New Roman"/>
          <w:sz w:val="18"/>
          <w:szCs w:val="18"/>
          <w:color w:val="auto"/>
        </w:rPr>
        <w:t>activities and the testing, approval, manufacture, quality control, safety, effectiveness, labeling, storage, record keeping, advertising and promotion of any</w:t>
      </w:r>
    </w:p>
    <w:p>
      <w:pPr>
        <w:jc w:val="both"/>
        <w:ind w:right="20"/>
        <w:spacing w:after="0" w:line="217" w:lineRule="auto"/>
        <w:rPr>
          <w:sz w:val="20"/>
          <w:szCs w:val="20"/>
          <w:color w:val="auto"/>
        </w:rPr>
      </w:pPr>
      <w:r>
        <w:rPr>
          <w:rFonts w:ascii="Times New Roman" w:cs="Times New Roman" w:eastAsia="Times New Roman" w:hAnsi="Times New Roman"/>
          <w:sz w:val="17"/>
          <w:szCs w:val="17"/>
          <w:color w:val="auto"/>
        </w:rPr>
        <w:t>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injunctive relief including partial or total suspension of production, or withdrawal of a product from the market. The Company intends to file an IND application related to its Deuterated Psilocybin Analog Program upon completion of its pre-clinical studies and CMC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60"/>
          </w:cols>
          <w:pgMar w:left="320" w:top="1436" w:right="319" w:bottom="1440" w:gutter="0" w:footer="0" w:header="0"/>
        </w:sectPr>
      </w:pPr>
    </w:p>
    <w:bookmarkStart w:id="40" w:name="page41"/>
    <w:bookmarkEnd w:id="40"/>
    <w:p>
      <w:pPr>
        <w:ind w:left="2"/>
        <w:spacing w:after="0" w:line="212" w:lineRule="auto"/>
        <w:rPr>
          <w:sz w:val="20"/>
          <w:szCs w:val="20"/>
          <w:color w:val="auto"/>
        </w:rPr>
      </w:pPr>
      <w:r>
        <w:rPr>
          <w:rFonts w:ascii="Times New Roman" w:cs="Times New Roman" w:eastAsia="Times New Roman" w:hAnsi="Times New Roman"/>
          <w:sz w:val="18"/>
          <w:szCs w:val="18"/>
          <w:color w:val="auto"/>
        </w:rPr>
        <w:t>development.</w:t>
      </w:r>
      <w:r>
        <w:rPr>
          <w:rFonts w:ascii="Times New Roman" w:cs="Times New Roman" w:eastAsia="Times New Roman" w:hAnsi="Times New Roman"/>
          <w:sz w:val="23"/>
          <w:szCs w:val="23"/>
          <w:color w:val="auto"/>
          <w:vertAlign w:val="superscript"/>
        </w:rPr>
        <w:t>24</w:t>
      </w:r>
      <w:r>
        <w:rPr>
          <w:rFonts w:ascii="Times New Roman" w:cs="Times New Roman" w:eastAsia="Times New Roman" w:hAnsi="Times New Roman"/>
          <w:sz w:val="18"/>
          <w:szCs w:val="18"/>
          <w:color w:val="auto"/>
        </w:rPr>
        <w:t xml:space="preserve"> Anticipated timelines related to regulatory filings are based on reasonable assumptions informed by current knowledge and information available to the Company.</w:t>
      </w:r>
    </w:p>
    <w:p>
      <w:pPr>
        <w:spacing w:after="0" w:line="146" w:lineRule="exact"/>
        <w:rPr>
          <w:sz w:val="20"/>
          <w:szCs w:val="20"/>
          <w:color w:val="auto"/>
        </w:rPr>
      </w:pPr>
    </w:p>
    <w:p>
      <w:pPr>
        <w:jc w:val="both"/>
        <w:ind w:left="2"/>
        <w:spacing w:after="0" w:line="229" w:lineRule="auto"/>
        <w:rPr>
          <w:sz w:val="20"/>
          <w:szCs w:val="20"/>
          <w:color w:val="auto"/>
        </w:rPr>
      </w:pPr>
      <w:r>
        <w:rPr>
          <w:rFonts w:ascii="Times New Roman" w:cs="Times New Roman" w:eastAsia="Times New Roman" w:hAnsi="Times New Roman"/>
          <w:sz w:val="17"/>
          <w:szCs w:val="17"/>
          <w:color w:val="auto"/>
        </w:rPr>
        <w:t>Psilocybin, psilocin, dimethyltryptamine, and 5-Methoxy-N-N-dimethyltryptamine are strictly controlled under the federal CSA as Schedule I substances. Schedule I substances by definition have no currently accepted medical use in the United States, a lack of accepted safety for use under medical supervision,</w:t>
      </w:r>
    </w:p>
    <w:p>
      <w:pPr>
        <w:ind w:left="2"/>
        <w:spacing w:after="0" w:line="213" w:lineRule="auto"/>
        <w:rPr>
          <w:sz w:val="20"/>
          <w:szCs w:val="20"/>
          <w:color w:val="auto"/>
        </w:rPr>
      </w:pPr>
      <w:r>
        <w:rPr>
          <w:rFonts w:ascii="Times New Roman" w:cs="Times New Roman" w:eastAsia="Times New Roman" w:hAnsi="Times New Roman"/>
          <w:sz w:val="18"/>
          <w:szCs w:val="18"/>
          <w:color w:val="auto"/>
        </w:rPr>
        <w:t>and a high potential for abuse. Schedule I and II drugs are subject to the strictest controls under the CSA, including manufacturing and procurement quotas,</w:t>
      </w:r>
    </w:p>
    <w:p>
      <w:pPr>
        <w:spacing w:after="0" w:line="1" w:lineRule="exact"/>
        <w:rPr>
          <w:sz w:val="20"/>
          <w:szCs w:val="20"/>
          <w:color w:val="auto"/>
        </w:rPr>
      </w:pPr>
    </w:p>
    <w:p>
      <w:pPr>
        <w:ind w:left="2"/>
        <w:spacing w:after="0" w:line="205" w:lineRule="auto"/>
        <w:rPr>
          <w:sz w:val="20"/>
          <w:szCs w:val="20"/>
          <w:color w:val="auto"/>
        </w:rPr>
      </w:pPr>
      <w:r>
        <w:rPr>
          <w:rFonts w:ascii="Times New Roman" w:cs="Times New Roman" w:eastAsia="Times New Roman" w:hAnsi="Times New Roman"/>
          <w:sz w:val="18"/>
          <w:szCs w:val="18"/>
          <w:color w:val="auto"/>
        </w:rPr>
        <w:t>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w:t>
      </w:r>
    </w:p>
    <w:p>
      <w:pPr>
        <w:ind w:left="2"/>
        <w:spacing w:after="0" w:line="213" w:lineRule="auto"/>
        <w:rPr>
          <w:sz w:val="20"/>
          <w:szCs w:val="20"/>
          <w:color w:val="auto"/>
        </w:rPr>
      </w:pPr>
      <w:r>
        <w:rPr>
          <w:rFonts w:ascii="Times New Roman" w:cs="Times New Roman" w:eastAsia="Times New Roman" w:hAnsi="Times New Roman"/>
          <w:sz w:val="18"/>
          <w:szCs w:val="18"/>
          <w:color w:val="auto"/>
        </w:rPr>
        <w:t>controlled substances. For any product containing psilocybin to be available for commercial marketing in the United States, psilocybin and psilocin must be</w:t>
      </w:r>
    </w:p>
    <w:p>
      <w:pPr>
        <w:ind w:left="2"/>
        <w:spacing w:after="0" w:line="222" w:lineRule="auto"/>
        <w:rPr>
          <w:sz w:val="20"/>
          <w:szCs w:val="20"/>
          <w:color w:val="auto"/>
        </w:rPr>
      </w:pPr>
      <w:r>
        <w:rPr>
          <w:rFonts w:ascii="Times New Roman" w:cs="Times New Roman" w:eastAsia="Times New Roman" w:hAnsi="Times New Roman"/>
          <w:sz w:val="18"/>
          <w:szCs w:val="18"/>
          <w:color w:val="auto"/>
        </w:rPr>
        <w:t>rescheduled, or the product itself must be scheduled, by the DEA to Schedule II, III, IV or V. Scheduling determinations by the DEA are dependent on FDA approval of a substance or a specific formulation of a substance.</w:t>
      </w:r>
    </w:p>
    <w:p>
      <w:pPr>
        <w:spacing w:after="0" w:line="145" w:lineRule="exact"/>
        <w:rPr>
          <w:sz w:val="20"/>
          <w:szCs w:val="20"/>
          <w:color w:val="auto"/>
        </w:rPr>
      </w:pPr>
    </w:p>
    <w:p>
      <w:pPr>
        <w:ind w:left="2"/>
        <w:spacing w:after="0" w:line="245" w:lineRule="auto"/>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Description of the Business – Research and Development”</w:t>
      </w:r>
      <w:r>
        <w:rPr>
          <w:rFonts w:ascii="Times New Roman" w:cs="Times New Roman" w:eastAsia="Times New Roman" w:hAnsi="Times New Roman"/>
          <w:sz w:val="18"/>
          <w:szCs w:val="18"/>
          <w:color w:val="auto"/>
        </w:rPr>
        <w:t xml:space="preserve"> for additional information concerning the regulation applicable to the process required before prescription drug product candidates may be marketed in the United States.</w:t>
      </w:r>
    </w:p>
    <w:p>
      <w:pPr>
        <w:spacing w:after="0" w:line="1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7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In the UK, there are two main “layers” of regulation with which products containing controlled substances must comply. These are: (i) controlled drugs</w:t>
      </w:r>
    </w:p>
    <w:p>
      <w:pPr>
        <w:ind w:left="2"/>
        <w:spacing w:after="0" w:line="222" w:lineRule="auto"/>
        <w:rPr>
          <w:sz w:val="20"/>
          <w:szCs w:val="20"/>
          <w:color w:val="auto"/>
        </w:rPr>
      </w:pPr>
      <w:r>
        <w:rPr>
          <w:rFonts w:ascii="Times New Roman" w:cs="Times New Roman" w:eastAsia="Times New Roman" w:hAnsi="Times New Roman"/>
          <w:sz w:val="18"/>
          <w:szCs w:val="18"/>
          <w:color w:val="auto"/>
        </w:rPr>
        <w:t>legislation, which applies to all products irrespective of the type of product, and (ii) the regulatory framework applicable to a specific category of products, in this case, pharmaceuticals and food/food supplements.</w:t>
      </w:r>
    </w:p>
    <w:p>
      <w:pPr>
        <w:spacing w:after="0" w:line="143" w:lineRule="exact"/>
        <w:rPr>
          <w:sz w:val="20"/>
          <w:szCs w:val="20"/>
          <w:color w:val="auto"/>
        </w:rPr>
      </w:pPr>
    </w:p>
    <w:p>
      <w:pPr>
        <w:jc w:val="both"/>
        <w:ind w:left="2"/>
        <w:spacing w:after="0" w:line="219" w:lineRule="auto"/>
        <w:rPr>
          <w:sz w:val="20"/>
          <w:szCs w:val="20"/>
          <w:color w:val="auto"/>
        </w:rPr>
      </w:pPr>
      <w:r>
        <w:rPr>
          <w:rFonts w:ascii="Times New Roman" w:cs="Times New Roman" w:eastAsia="Times New Roman" w:hAnsi="Times New Roman"/>
          <w:sz w:val="18"/>
          <w:szCs w:val="18"/>
          <w:color w:val="auto"/>
        </w:rPr>
        <w:t>The main UK controlled drugs legislation is the Misuse of Drugs Act 1971 (“</w:t>
      </w:r>
      <w:r>
        <w:rPr>
          <w:rFonts w:ascii="Times New Roman" w:cs="Times New Roman" w:eastAsia="Times New Roman" w:hAnsi="Times New Roman"/>
          <w:sz w:val="18"/>
          <w:szCs w:val="18"/>
          <w:b w:val="1"/>
          <w:bCs w:val="1"/>
          <w:color w:val="auto"/>
        </w:rPr>
        <w:t>MDA</w:t>
      </w:r>
      <w:r>
        <w:rPr>
          <w:rFonts w:ascii="Times New Roman" w:cs="Times New Roman" w:eastAsia="Times New Roman" w:hAnsi="Times New Roman"/>
          <w:sz w:val="18"/>
          <w:szCs w:val="18"/>
          <w:color w:val="auto"/>
        </w:rPr>
        <w:t>”) and the Misuse of Drugs Regulations 2001 (“</w:t>
      </w:r>
      <w:r>
        <w:rPr>
          <w:rFonts w:ascii="Times New Roman" w:cs="Times New Roman" w:eastAsia="Times New Roman" w:hAnsi="Times New Roman"/>
          <w:sz w:val="18"/>
          <w:szCs w:val="18"/>
          <w:b w:val="1"/>
          <w:bCs w:val="1"/>
          <w:color w:val="auto"/>
        </w:rPr>
        <w:t>MDR</w:t>
      </w:r>
      <w:r>
        <w:rPr>
          <w:rFonts w:ascii="Times New Roman" w:cs="Times New Roman" w:eastAsia="Times New Roman" w:hAnsi="Times New Roman"/>
          <w:sz w:val="18"/>
          <w:szCs w:val="18"/>
          <w:color w:val="auto"/>
        </w:rPr>
        <w:t>”), each as amended. The MDA sets out the penalties for unlawful production, possession and supply of controlled drugs based on three classes of risk (A, B and C).</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MDR sets out the permitted uses of controlled drugs based on which Schedule (1 to 5) they fall within.</w:t>
      </w:r>
    </w:p>
    <w:p>
      <w:pPr>
        <w:spacing w:after="0" w:line="152" w:lineRule="exact"/>
        <w:rPr>
          <w:sz w:val="20"/>
          <w:szCs w:val="20"/>
          <w:color w:val="auto"/>
        </w:rPr>
      </w:pPr>
    </w:p>
    <w:p>
      <w:pPr>
        <w:ind w:left="2"/>
        <w:spacing w:after="0" w:line="234" w:lineRule="auto"/>
        <w:rPr>
          <w:sz w:val="20"/>
          <w:szCs w:val="20"/>
          <w:color w:val="auto"/>
        </w:rPr>
      </w:pPr>
      <w:r>
        <w:rPr>
          <w:rFonts w:ascii="Times New Roman" w:cs="Times New Roman" w:eastAsia="Times New Roman" w:hAnsi="Times New Roman"/>
          <w:sz w:val="18"/>
          <w:szCs w:val="18"/>
          <w:color w:val="auto"/>
        </w:rPr>
        <w:t>In the United Kingdom, “Fungus (of any kind) which contains psilocin or an ester of psilocin” is controlled as a Class A drug under the MDA and Schedule 1 drug under the MDR. As psilocybin is a phosphate ester of psilocin, even if it were isolated from psilocin, it would still fulfil this definition.</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In the United Kingdom, Class A drugs are deemed to be the most dangerous, and so carry the harshest punishments for unlawful manufacture, production,</w:t>
      </w:r>
    </w:p>
    <w:p>
      <w:pPr>
        <w:ind w:left="2"/>
        <w:spacing w:after="0" w:line="222" w:lineRule="auto"/>
        <w:rPr>
          <w:sz w:val="20"/>
          <w:szCs w:val="20"/>
          <w:color w:val="auto"/>
        </w:rPr>
      </w:pPr>
      <w:r>
        <w:rPr>
          <w:rFonts w:ascii="Times New Roman" w:cs="Times New Roman" w:eastAsia="Times New Roman" w:hAnsi="Times New Roman"/>
          <w:sz w:val="18"/>
          <w:szCs w:val="18"/>
          <w:color w:val="auto"/>
        </w:rPr>
        <w:t>possession and supply. Schedule 1 drugs can only be lawfully manufactured, produced, possessed and supplied under a Home Office licence. Whilst exemptions do exist, none are applicable to the API.</w:t>
      </w:r>
    </w:p>
    <w:p>
      <w:pPr>
        <w:spacing w:after="0" w:line="13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intends to file a clinical trial application with the MHRA related to the Deuterated Psilocybin Analog Program upon completion of its pre-</w:t>
      </w:r>
    </w:p>
    <w:p>
      <w:pPr>
        <w:ind w:left="2"/>
        <w:spacing w:after="0" w:line="198" w:lineRule="auto"/>
        <w:rPr>
          <w:sz w:val="20"/>
          <w:szCs w:val="20"/>
          <w:color w:val="auto"/>
        </w:rPr>
      </w:pPr>
      <w:r>
        <w:rPr>
          <w:rFonts w:ascii="Times New Roman" w:cs="Times New Roman" w:eastAsia="Times New Roman" w:hAnsi="Times New Roman"/>
          <w:sz w:val="18"/>
          <w:szCs w:val="18"/>
          <w:color w:val="auto"/>
        </w:rPr>
        <w:t>clinical studies and CMC development.</w:t>
      </w:r>
      <w:r>
        <w:rPr>
          <w:rFonts w:ascii="Times New Roman" w:cs="Times New Roman" w:eastAsia="Times New Roman" w:hAnsi="Times New Roman"/>
          <w:sz w:val="23"/>
          <w:szCs w:val="23"/>
          <w:color w:val="auto"/>
          <w:vertAlign w:val="superscript"/>
        </w:rPr>
        <w:t>25</w:t>
      </w:r>
      <w:r>
        <w:rPr>
          <w:rFonts w:ascii="Times New Roman" w:cs="Times New Roman" w:eastAsia="Times New Roman" w:hAnsi="Times New Roman"/>
          <w:sz w:val="18"/>
          <w:szCs w:val="18"/>
          <w:color w:val="auto"/>
        </w:rPr>
        <w:t xml:space="preserve"> Anticipated timelines related to regulatory filings are based on reasonable assumptions informed by current knowledge and information available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15519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32" w:lineRule="exact"/>
        <w:rPr>
          <w:sz w:val="20"/>
          <w:szCs w:val="20"/>
          <w:color w:val="auto"/>
        </w:rPr>
      </w:pPr>
    </w:p>
    <w:p>
      <w:pPr>
        <w:jc w:val="both"/>
        <w:ind w:left="2" w:hanging="2"/>
        <w:spacing w:after="0" w:line="197" w:lineRule="auto"/>
        <w:tabs>
          <w:tab w:leader="none" w:pos="155"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w:t>
      </w:r>
    </w:p>
    <w:p>
      <w:pPr>
        <w:spacing w:after="0" w:line="3" w:lineRule="exact"/>
        <w:rPr>
          <w:rFonts w:ascii="Times New Roman" w:cs="Times New Roman" w:eastAsia="Times New Roman" w:hAnsi="Times New Roman"/>
          <w:sz w:val="19"/>
          <w:szCs w:val="19"/>
          <w:color w:val="auto"/>
          <w:vertAlign w:val="superscript"/>
        </w:rPr>
      </w:pPr>
    </w:p>
    <w:p>
      <w:pPr>
        <w:jc w:val="both"/>
        <w:ind w:left="2" w:hanging="2"/>
        <w:spacing w:after="0" w:line="201" w:lineRule="auto"/>
        <w:tabs>
          <w:tab w:leader="none" w:pos="155"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2"/>
          </w:cols>
          <w:pgMar w:left="318" w:top="1438" w:right="339" w:bottom="1440" w:gutter="0" w:footer="0" w:header="0"/>
        </w:sectPr>
      </w:pPr>
    </w:p>
    <w:bookmarkStart w:id="41" w:name="page42"/>
    <w:bookmarkEnd w:id="41"/>
    <w:p>
      <w:pPr>
        <w:ind w:left="2"/>
        <w:spacing w:after="0"/>
        <w:rPr>
          <w:sz w:val="20"/>
          <w:szCs w:val="20"/>
          <w:color w:val="auto"/>
        </w:rPr>
      </w:pPr>
      <w:r>
        <w:rPr>
          <w:rFonts w:ascii="Times New Roman" w:cs="Times New Roman" w:eastAsia="Times New Roman" w:hAnsi="Times New Roman"/>
          <w:sz w:val="18"/>
          <w:szCs w:val="18"/>
          <w:u w:val="single" w:color="auto"/>
          <w:color w:val="auto"/>
        </w:rPr>
        <w:t>Licensing Requirements</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 xml:space="preserve">As discussed below in </w:t>
      </w:r>
      <w:r>
        <w:rPr>
          <w:rFonts w:ascii="Times New Roman" w:cs="Times New Roman" w:eastAsia="Times New Roman" w:hAnsi="Times New Roman"/>
          <w:sz w:val="18"/>
          <w:szCs w:val="18"/>
          <w:i w:val="1"/>
          <w:iCs w:val="1"/>
          <w:color w:val="auto"/>
        </w:rPr>
        <w:t>Foreign Operations</w:t>
      </w:r>
      <w:r>
        <w:rPr>
          <w:rFonts w:ascii="Times New Roman" w:cs="Times New Roman" w:eastAsia="Times New Roman" w:hAnsi="Times New Roman"/>
          <w:sz w:val="18"/>
          <w:szCs w:val="18"/>
          <w:color w:val="auto"/>
        </w:rPr>
        <w:t>, the Company obtains API from the Pharmaceutical Ingredient Provider who is based in the United States. The</w:t>
      </w:r>
    </w:p>
    <w:p>
      <w:pPr>
        <w:ind w:left="2" w:right="100"/>
        <w:spacing w:after="0" w:line="222" w:lineRule="auto"/>
        <w:rPr>
          <w:sz w:val="20"/>
          <w:szCs w:val="20"/>
          <w:color w:val="auto"/>
        </w:rPr>
      </w:pPr>
      <w:r>
        <w:rPr>
          <w:rFonts w:ascii="Times New Roman" w:cs="Times New Roman" w:eastAsia="Times New Roman" w:hAnsi="Times New Roman"/>
          <w:sz w:val="18"/>
          <w:szCs w:val="18"/>
          <w:color w:val="auto"/>
        </w:rPr>
        <w:t>API itself is expected to be manufactured and packaged in FDA registered facilities in the United Kingdom. The API is expected to be sent directly to the Company’s partners for research and development purposes in the United States, Canada and the UK.</w:t>
      </w:r>
    </w:p>
    <w:p>
      <w:pPr>
        <w:spacing w:after="0" w:line="14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Although the facilities in the UK are currently FDA-registered, this would not be sufficient to ensure the existence of valid marketing activities at this site.</w:t>
      </w:r>
    </w:p>
    <w:p>
      <w:pPr>
        <w:ind w:left="2" w:right="100"/>
        <w:spacing w:after="0" w:line="205" w:lineRule="auto"/>
        <w:rPr>
          <w:sz w:val="20"/>
          <w:szCs w:val="20"/>
          <w:color w:val="auto"/>
        </w:rPr>
      </w:pPr>
      <w:r>
        <w:rPr>
          <w:rFonts w:ascii="Times New Roman" w:cs="Times New Roman" w:eastAsia="Times New Roman" w:hAnsi="Times New Roman"/>
          <w:sz w:val="18"/>
          <w:szCs w:val="18"/>
          <w:color w:val="auto"/>
        </w:rPr>
        <w:t>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w:t>
      </w:r>
    </w:p>
    <w:p>
      <w:pPr>
        <w:ind w:left="2"/>
        <w:spacing w:after="0" w:line="213" w:lineRule="auto"/>
        <w:rPr>
          <w:sz w:val="20"/>
          <w:szCs w:val="20"/>
          <w:color w:val="auto"/>
        </w:rPr>
      </w:pPr>
      <w:r>
        <w:rPr>
          <w:rFonts w:ascii="Times New Roman" w:cs="Times New Roman" w:eastAsia="Times New Roman" w:hAnsi="Times New Roman"/>
          <w:sz w:val="18"/>
          <w:szCs w:val="18"/>
          <w:color w:val="auto"/>
        </w:rPr>
        <w:t>application must include details of the importer and any import licence required by the local authorities in the United States. Moreover, as set out below in</w:t>
      </w:r>
    </w:p>
    <w:p>
      <w:pPr>
        <w:ind w:left="2" w:right="100"/>
        <w:spacing w:after="0" w:line="222" w:lineRule="auto"/>
        <w:rPr>
          <w:sz w:val="20"/>
          <w:szCs w:val="20"/>
          <w:color w:val="auto"/>
        </w:rPr>
      </w:pPr>
      <w:r>
        <w:rPr>
          <w:rFonts w:ascii="Times New Roman" w:cs="Times New Roman" w:eastAsia="Times New Roman" w:hAnsi="Times New Roman"/>
          <w:sz w:val="18"/>
          <w:szCs w:val="18"/>
          <w:color w:val="auto"/>
        </w:rPr>
        <w:t>more detail under the heading “Pharmaceutical Products”, depending on how the API is developed, certain authorizations and licences from the MHRA may be required to authorize some of the activities carried on at the UK-based facilities in relation to the API.</w:t>
      </w:r>
    </w:p>
    <w:p>
      <w:pPr>
        <w:spacing w:after="0" w:line="147" w:lineRule="exact"/>
        <w:rPr>
          <w:sz w:val="20"/>
          <w:szCs w:val="20"/>
          <w:color w:val="auto"/>
        </w:rPr>
      </w:pPr>
    </w:p>
    <w:p>
      <w:pPr>
        <w:ind w:left="2" w:right="100"/>
        <w:spacing w:after="0" w:line="246" w:lineRule="auto"/>
        <w:rPr>
          <w:sz w:val="20"/>
          <w:szCs w:val="20"/>
          <w:color w:val="auto"/>
        </w:rPr>
      </w:pPr>
      <w:r>
        <w:rPr>
          <w:rFonts w:ascii="Times New Roman" w:cs="Times New Roman" w:eastAsia="Times New Roman" w:hAnsi="Times New Roman"/>
          <w:sz w:val="18"/>
          <w:szCs w:val="18"/>
          <w:color w:val="auto"/>
        </w:rPr>
        <w:t>All premises that are licensed in connection with the possession, supply, manufacture and/or production of controlled drugs are required to adhere to detailed security standards.</w:t>
      </w:r>
      <w:r>
        <w:rPr>
          <w:rFonts w:ascii="Times New Roman" w:cs="Times New Roman" w:eastAsia="Times New Roman" w:hAnsi="Times New Roman"/>
          <w:sz w:val="23"/>
          <w:szCs w:val="23"/>
          <w:color w:val="auto"/>
          <w:vertAlign w:val="superscript"/>
        </w:rPr>
        <w:t>26</w:t>
      </w:r>
    </w:p>
    <w:p>
      <w:pPr>
        <w:spacing w:after="0" w:line="67" w:lineRule="exact"/>
        <w:rPr>
          <w:sz w:val="20"/>
          <w:szCs w:val="20"/>
          <w:color w:val="auto"/>
        </w:rPr>
      </w:pPr>
    </w:p>
    <w:p>
      <w:pPr>
        <w:ind w:left="2" w:right="100"/>
        <w:spacing w:after="0" w:line="224" w:lineRule="auto"/>
        <w:rPr>
          <w:sz w:val="20"/>
          <w:szCs w:val="20"/>
          <w:color w:val="auto"/>
        </w:rPr>
      </w:pPr>
      <w:r>
        <w:rPr>
          <w:rFonts w:ascii="Times New Roman" w:cs="Times New Roman" w:eastAsia="Times New Roman" w:hAnsi="Times New Roman"/>
          <w:sz w:val="18"/>
          <w:szCs w:val="18"/>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w:t>
      </w:r>
    </w:p>
    <w:p>
      <w:pPr>
        <w:ind w:left="2" w:right="100"/>
        <w:spacing w:after="0" w:line="202" w:lineRule="auto"/>
        <w:rPr>
          <w:sz w:val="20"/>
          <w:szCs w:val="20"/>
          <w:color w:val="auto"/>
        </w:rPr>
      </w:pPr>
      <w:r>
        <w:rPr>
          <w:rFonts w:ascii="Times New Roman" w:cs="Times New Roman" w:eastAsia="Times New Roman" w:hAnsi="Times New Roman"/>
          <w:sz w:val="18"/>
          <w:szCs w:val="18"/>
          <w:color w:val="auto"/>
        </w:rPr>
        <w:t>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covering their responsibilities, record keeping, reconciliation and reporting of thefts/losses.</w:t>
      </w:r>
      <w:r>
        <w:rPr>
          <w:rFonts w:ascii="Times New Roman" w:cs="Times New Roman" w:eastAsia="Times New Roman" w:hAnsi="Times New Roman"/>
          <w:sz w:val="23"/>
          <w:szCs w:val="23"/>
          <w:color w:val="auto"/>
          <w:vertAlign w:val="superscript"/>
        </w:rPr>
        <w:t>27</w:t>
      </w:r>
    </w:p>
    <w:p>
      <w:pPr>
        <w:spacing w:after="0" w:line="8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Pharmaceutical Products</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Products are regulated as “medicinal products” under UK legislation (the Human Medicines Regulations 2012, which implements EU medicines legislation)</w:t>
      </w:r>
    </w:p>
    <w:p>
      <w:pPr>
        <w:ind w:left="2" w:right="100"/>
        <w:spacing w:after="0" w:line="222" w:lineRule="auto"/>
        <w:rPr>
          <w:sz w:val="20"/>
          <w:szCs w:val="20"/>
          <w:color w:val="auto"/>
        </w:rPr>
      </w:pPr>
      <w:r>
        <w:rPr>
          <w:rFonts w:ascii="Times New Roman" w:cs="Times New Roman" w:eastAsia="Times New Roman" w:hAnsi="Times New Roman"/>
          <w:sz w:val="18"/>
          <w:szCs w:val="18"/>
          <w:color w:val="auto"/>
        </w:rPr>
        <w:t>if (i) they are presented as a substance or combination of substances having properties for treating or preventing disease in human beings having a medicinal effect (e.g., in marketing claims) or (ii) have a medicinal effect (i.e., even if no claims are made about the product).</w:t>
      </w:r>
    </w:p>
    <w:p>
      <w:pPr>
        <w:spacing w:after="0" w:line="14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 product has a “medicinal effect” if it has a pharmacological, immunological or metabolic effect on the body that restores, corrects or modifies a</w:t>
      </w:r>
    </w:p>
    <w:p>
      <w:pPr>
        <w:ind w:left="2" w:right="100"/>
        <w:spacing w:after="0" w:line="222" w:lineRule="auto"/>
        <w:rPr>
          <w:sz w:val="20"/>
          <w:szCs w:val="20"/>
          <w:color w:val="auto"/>
        </w:rPr>
      </w:pPr>
      <w:r>
        <w:rPr>
          <w:rFonts w:ascii="Times New Roman" w:cs="Times New Roman" w:eastAsia="Times New Roman" w:hAnsi="Times New Roman"/>
          <w:sz w:val="18"/>
          <w:szCs w:val="18"/>
          <w:color w:val="auto"/>
        </w:rPr>
        <w:t>physiological function. Whether this is the case for a specific product will depend on factors such as the concentration of the psilocybin/psilocin and the mode of action of any psilocybin/psilocin absorbed in the body.</w:t>
      </w:r>
    </w:p>
    <w:p>
      <w:pPr>
        <w:spacing w:after="0" w:line="14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If a product is a medicinal product, a marketing authorisation for the product is required before the product can be placed on the market in the UK. The</w:t>
      </w:r>
    </w:p>
    <w:p>
      <w:pPr>
        <w:ind w:left="2" w:right="100"/>
        <w:spacing w:after="0" w:line="205" w:lineRule="auto"/>
        <w:rPr>
          <w:sz w:val="20"/>
          <w:szCs w:val="20"/>
          <w:color w:val="auto"/>
        </w:rPr>
      </w:pPr>
      <w:r>
        <w:rPr>
          <w:rFonts w:ascii="Times New Roman" w:cs="Times New Roman" w:eastAsia="Times New Roman" w:hAnsi="Times New Roman"/>
          <w:sz w:val="18"/>
          <w:szCs w:val="18"/>
          <w:color w:val="auto"/>
        </w:rPr>
        <w:t>process for obtaining a marketing authorisation involves submitting pre-clinical and clinical data as well as quality and manufacturing information in the form of a common technical document. In addition to a marketing authorisation for the product itself, companies carrying out activities involving medicinal</w:t>
      </w:r>
    </w:p>
    <w:p>
      <w:pPr>
        <w:spacing w:after="0" w:line="1" w:lineRule="exact"/>
        <w:rPr>
          <w:sz w:val="20"/>
          <w:szCs w:val="20"/>
          <w:color w:val="auto"/>
        </w:rPr>
      </w:pPr>
    </w:p>
    <w:p>
      <w:pPr>
        <w:ind w:left="2" w:right="80"/>
        <w:spacing w:after="0" w:line="230" w:lineRule="auto"/>
        <w:rPr>
          <w:sz w:val="20"/>
          <w:szCs w:val="20"/>
          <w:color w:val="auto"/>
        </w:rPr>
      </w:pPr>
      <w:r>
        <w:rPr>
          <w:rFonts w:ascii="Times New Roman" w:cs="Times New Roman" w:eastAsia="Times New Roman" w:hAnsi="Times New Roman"/>
          <w:sz w:val="18"/>
          <w:szCs w:val="18"/>
          <w:color w:val="auto"/>
        </w:rPr>
        <w:t>products, such as manufacturing, distribution and wholesaling, need to meet defined standards (Good Manufacturing Practices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and/or Good Distribution Practice (“</w:t>
      </w:r>
      <w:r>
        <w:rPr>
          <w:rFonts w:ascii="Times New Roman" w:cs="Times New Roman" w:eastAsia="Times New Roman" w:hAnsi="Times New Roman"/>
          <w:sz w:val="18"/>
          <w:szCs w:val="18"/>
          <w:b w:val="1"/>
          <w:bCs w:val="1"/>
          <w:color w:val="auto"/>
        </w:rPr>
        <w:t>GDP</w:t>
      </w:r>
      <w:r>
        <w:rPr>
          <w:rFonts w:ascii="Times New Roman" w:cs="Times New Roman" w:eastAsia="Times New Roman" w:hAnsi="Times New Roman"/>
          <w:sz w:val="18"/>
          <w:szCs w:val="18"/>
          <w:color w:val="auto"/>
        </w:rPr>
        <w:t>”) and to hold a related licence from the MHRA.</w:t>
      </w:r>
    </w:p>
    <w:p>
      <w:pPr>
        <w:spacing w:after="0" w:line="133" w:lineRule="exact"/>
        <w:rPr>
          <w:sz w:val="20"/>
          <w:szCs w:val="20"/>
          <w:color w:val="auto"/>
        </w:rPr>
      </w:pPr>
    </w:p>
    <w:p>
      <w:pPr>
        <w:ind w:left="2" w:right="100"/>
        <w:spacing w:after="0" w:line="243" w:lineRule="auto"/>
        <w:rPr>
          <w:sz w:val="20"/>
          <w:szCs w:val="20"/>
          <w:color w:val="auto"/>
        </w:rPr>
      </w:pPr>
      <w:r>
        <w:rPr>
          <w:rFonts w:ascii="Times New Roman" w:cs="Times New Roman" w:eastAsia="Times New Roman" w:hAnsi="Times New Roman"/>
          <w:sz w:val="18"/>
          <w:szCs w:val="18"/>
          <w:color w:val="auto"/>
        </w:rPr>
        <w:t>As mentioned above, once the API has been made in the United States and UK, it is expected to be sent directly to the Company’s partners for research and development purposes in the United States, UK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55194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20" w:lineRule="exact"/>
        <w:rPr>
          <w:sz w:val="20"/>
          <w:szCs w:val="20"/>
          <w:color w:val="auto"/>
        </w:rPr>
      </w:pPr>
    </w:p>
    <w:p>
      <w:pPr>
        <w:ind w:left="2"/>
        <w:spacing w:after="0" w:line="197" w:lineRule="auto"/>
        <w:rPr>
          <w:sz w:val="20"/>
          <w:szCs w:val="20"/>
          <w:color w:val="auto"/>
        </w:rPr>
      </w:pPr>
      <w:r>
        <w:rPr>
          <w:rFonts w:ascii="Times New Roman" w:cs="Times New Roman" w:eastAsia="Times New Roman" w:hAnsi="Times New Roman"/>
          <w:sz w:val="18"/>
          <w:szCs w:val="18"/>
          <w:color w:val="auto"/>
          <w:vertAlign w:val="superscript"/>
        </w:rPr>
        <w:t>26</w:t>
      </w:r>
      <w:r>
        <w:rPr>
          <w:rFonts w:ascii="Times New Roman" w:cs="Times New Roman" w:eastAsia="Times New Roman" w:hAnsi="Times New Roman"/>
          <w:sz w:val="14"/>
          <w:szCs w:val="14"/>
          <w:color w:val="auto"/>
        </w:rPr>
        <w:t xml:space="preserve"> Home Office guidance; Security guidance for all existing or prospective Home Office Controlled Drug Licensees and/or Precursor Chemical Licensees or Registrants; 2020; </w:t>
      </w:r>
      <w:r>
        <w:rPr>
          <w:rFonts w:ascii="Times New Roman" w:cs="Times New Roman" w:eastAsia="Times New Roman" w:hAnsi="Times New Roman"/>
          <w:sz w:val="14"/>
          <w:szCs w:val="14"/>
          <w:u w:val="single" w:color="auto"/>
          <w:color w:val="3051F2"/>
        </w:rPr>
        <w:t>https://assets.publishing.service.gov.uk/government/uploads/system/uploads/attachment_data/file/857591/Security_Guidance_for_all_Businesses_and_Other_Organisations_v1.4_Jan_2020.pdf</w:t>
      </w:r>
      <w:r>
        <w:rPr>
          <w:rFonts w:ascii="Times New Roman" w:cs="Times New Roman" w:eastAsia="Times New Roman" w:hAnsi="Times New Roman"/>
          <w:sz w:val="14"/>
          <w:szCs w:val="14"/>
          <w:color w:val="000000"/>
        </w:rPr>
        <w:t>.</w:t>
      </w:r>
    </w:p>
    <w:p>
      <w:pPr>
        <w:spacing w:after="0" w:line="1" w:lineRule="exact"/>
        <w:rPr>
          <w:sz w:val="20"/>
          <w:szCs w:val="20"/>
          <w:color w:val="auto"/>
        </w:rPr>
      </w:pPr>
    </w:p>
    <w:p>
      <w:pPr>
        <w:ind w:left="2" w:right="3540" w:hanging="2"/>
        <w:spacing w:after="0" w:line="219" w:lineRule="auto"/>
        <w:tabs>
          <w:tab w:leader="none" w:pos="134" w:val="left"/>
        </w:tabs>
        <w:numPr>
          <w:ilvl w:val="0"/>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Home Office guidance; Guidelines for Standard Operating Procedures (SOPs); </w:t>
      </w:r>
      <w:r>
        <w:rPr>
          <w:rFonts w:ascii="Times New Roman" w:cs="Times New Roman" w:eastAsia="Times New Roman" w:hAnsi="Times New Roman"/>
          <w:sz w:val="14"/>
          <w:szCs w:val="14"/>
          <w:u w:val="single" w:color="auto"/>
          <w:color w:val="3051F2"/>
        </w:rPr>
        <w:t>https://assets.publishing.service.gov.uk/government/uploads/system/uploads/attachment_data/file/480572/StandardOpProcedure.pdf.</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2"/>
          </w:cols>
          <w:pgMar w:left="318" w:top="1438"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Canada. How the API is subsequently processed will determine the licences that the UK-based facility must hold. In particular:</w:t>
      </w:r>
    </w:p>
    <w:p>
      <w:pPr>
        <w:spacing w:after="0" w:line="168" w:lineRule="exact"/>
        <w:rPr>
          <w:sz w:val="20"/>
          <w:szCs w:val="20"/>
          <w:color w:val="auto"/>
        </w:rPr>
      </w:pPr>
    </w:p>
    <w:p>
      <w:pPr>
        <w:jc w:val="both"/>
        <w:ind w:left="1180" w:hanging="596"/>
        <w:spacing w:after="0" w:line="228" w:lineRule="auto"/>
        <w:tabs>
          <w:tab w:leader="none" w:pos="11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API is just one ‘ingredient’ of the investigational medicinal product (“</w:t>
      </w:r>
      <w:r>
        <w:rPr>
          <w:rFonts w:ascii="Times New Roman" w:cs="Times New Roman" w:eastAsia="Times New Roman" w:hAnsi="Times New Roman"/>
          <w:sz w:val="18"/>
          <w:szCs w:val="18"/>
          <w:b w:val="1"/>
          <w:bCs w:val="1"/>
          <w:color w:val="auto"/>
        </w:rPr>
        <w:t>IMP</w:t>
      </w:r>
      <w:r>
        <w:rPr>
          <w:rFonts w:ascii="Times New Roman" w:cs="Times New Roman" w:eastAsia="Times New Roman" w:hAnsi="Times New Roman"/>
          <w:sz w:val="18"/>
          <w:szCs w:val="18"/>
          <w:color w:val="auto"/>
        </w:rPr>
        <w:t>”) which is used in the clinical trial then the UK-based facility must register with the MHRA and provide the MHRA with 60 days’ notice of the intended start of manufacture/distribution, and comply with GMP and GDP for active substances; and</w:t>
      </w:r>
    </w:p>
    <w:p>
      <w:pPr>
        <w:spacing w:after="0" w:line="147" w:lineRule="exact"/>
        <w:rPr>
          <w:rFonts w:ascii="Times New Roman" w:cs="Times New Roman" w:eastAsia="Times New Roman" w:hAnsi="Times New Roman"/>
          <w:sz w:val="18"/>
          <w:szCs w:val="18"/>
          <w:color w:val="auto"/>
        </w:rPr>
      </w:pPr>
    </w:p>
    <w:p>
      <w:pPr>
        <w:jc w:val="both"/>
        <w:ind w:left="1180" w:right="20" w:hanging="596"/>
        <w:spacing w:after="0" w:line="227" w:lineRule="auto"/>
        <w:tabs>
          <w:tab w:leader="none" w:pos="11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conversely, if the API will itself constitute the IMP, the manufacturer must hold a Manufacturer’s Authorisations for IMPs licence (“</w:t>
      </w:r>
      <w:r>
        <w:rPr>
          <w:rFonts w:ascii="Times New Roman" w:cs="Times New Roman" w:eastAsia="Times New Roman" w:hAnsi="Times New Roman"/>
          <w:sz w:val="18"/>
          <w:szCs w:val="18"/>
          <w:b w:val="1"/>
          <w:bCs w:val="1"/>
          <w:color w:val="auto"/>
        </w:rPr>
        <w:t>MIA(IMP</w:t>
      </w:r>
      <w:r>
        <w:rPr>
          <w:rFonts w:ascii="Times New Roman" w:cs="Times New Roman" w:eastAsia="Times New Roman" w:hAnsi="Times New Roman"/>
          <w:sz w:val="18"/>
          <w:szCs w:val="18"/>
          <w:color w:val="auto"/>
        </w:rPr>
        <w:t>)”). In this scenario, an MIA(IMP) would be required regardless of whether the IMP is for use in the UK, another EEA Member State or a third country (such as the United States or Canada).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Some products fall on the borderline between medicines and another category such as medical devices, cosmetics or food supplements. The regulatory status</w:t>
      </w:r>
    </w:p>
    <w:p>
      <w:pPr>
        <w:spacing w:after="0" w:line="8"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18"/>
          <w:szCs w:val="18"/>
          <w:color w:val="auto"/>
        </w:rPr>
        <w:t>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64"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w:t>
      </w:r>
    </w:p>
    <w:p>
      <w:pPr>
        <w:ind w:right="20"/>
        <w:spacing w:after="0" w:line="205" w:lineRule="auto"/>
        <w:rPr>
          <w:sz w:val="20"/>
          <w:szCs w:val="20"/>
          <w:color w:val="auto"/>
        </w:rPr>
      </w:pPr>
      <w:r>
        <w:rPr>
          <w:rFonts w:ascii="Times New Roman" w:cs="Times New Roman" w:eastAsia="Times New Roman" w:hAnsi="Times New Roman"/>
          <w:sz w:val="18"/>
          <w:szCs w:val="18"/>
          <w:color w:val="auto"/>
        </w:rPr>
        <w:t>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w:t>
      </w:r>
    </w:p>
    <w:p>
      <w:pPr>
        <w:spacing w:after="0" w:line="1"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R&amp;D programs through patent filings and as trade secrets. The Company anticipates that as these programs mature more patent applications will be filed and more details about these programs will be disclosed at such time.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COVID-19, certain institutions have implemented certain facility procedures and are utilizing technology in an effort to mitigate the effects of</w:t>
      </w:r>
    </w:p>
    <w:p>
      <w:pPr>
        <w:ind w:right="20"/>
        <w:spacing w:after="0" w:line="222" w:lineRule="auto"/>
        <w:rPr>
          <w:sz w:val="20"/>
          <w:szCs w:val="20"/>
          <w:color w:val="auto"/>
        </w:rPr>
      </w:pPr>
      <w:r>
        <w:rPr>
          <w:rFonts w:ascii="Times New Roman" w:cs="Times New Roman" w:eastAsia="Times New Roman" w:hAnsi="Times New Roman"/>
          <w:sz w:val="18"/>
          <w:szCs w:val="18"/>
          <w:color w:val="auto"/>
        </w:rPr>
        <w:t>the pandemic, specifically by moving patient interactions to remote status wherever possible. The Company cannot guarantee that the continued effects of COVID-19 will not impact patient recruiting for clinical trials and institutional processes at institutions involved in pharmaceutical product development.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Psychedelics are a class of drug whose primary action is to trigger psychedelic experiences by way of serotonin receptor agonism, causing thought, visual</w:t>
      </w:r>
    </w:p>
    <w:p>
      <w:pPr>
        <w:ind w:right="20"/>
        <w:spacing w:after="0" w:line="217" w:lineRule="auto"/>
        <w:rPr>
          <w:sz w:val="20"/>
          <w:szCs w:val="20"/>
          <w:color w:val="auto"/>
        </w:rPr>
      </w:pPr>
      <w:r>
        <w:rPr>
          <w:rFonts w:ascii="Times New Roman" w:cs="Times New Roman" w:eastAsia="Times New Roman" w:hAnsi="Times New Roman"/>
          <w:sz w:val="17"/>
          <w:szCs w:val="17"/>
          <w:color w:val="auto"/>
        </w:rPr>
        <w:t>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 xml:space="preserve">are members of the genus </w:t>
      </w:r>
      <w:r>
        <w:rPr>
          <w:rFonts w:ascii="Times New Roman" w:cs="Times New Roman" w:eastAsia="Times New Roman" w:hAnsi="Times New Roman"/>
          <w:sz w:val="18"/>
          <w:szCs w:val="18"/>
          <w:i w:val="1"/>
          <w:iCs w:val="1"/>
          <w:color w:val="auto"/>
        </w:rPr>
        <w:t>Psilocybe</w:t>
      </w:r>
      <w:r>
        <w:rPr>
          <w:rFonts w:ascii="Times New Roman" w:cs="Times New Roman" w:eastAsia="Times New Roman" w:hAnsi="Times New Roman"/>
          <w:sz w:val="18"/>
          <w:szCs w:val="18"/>
          <w:color w:val="auto"/>
        </w:rPr>
        <w:t xml:space="preserve">, such as </w:t>
      </w:r>
      <w:r>
        <w:rPr>
          <w:rFonts w:ascii="Times New Roman" w:cs="Times New Roman" w:eastAsia="Times New Roman" w:hAnsi="Times New Roman"/>
          <w:sz w:val="18"/>
          <w:szCs w:val="18"/>
          <w:i w:val="1"/>
          <w:iCs w:val="1"/>
          <w:color w:val="auto"/>
        </w:rPr>
        <w:t>P. azurescens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 semilanceata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 cyanescens</w:t>
      </w:r>
      <w:r>
        <w:rPr>
          <w:rFonts w:ascii="Times New Roman" w:cs="Times New Roman" w:eastAsia="Times New Roman" w:hAnsi="Times New Roman"/>
          <w:sz w:val="18"/>
          <w:szCs w:val="18"/>
          <w:color w:val="auto"/>
        </w:rPr>
        <w:t>, but psilocybin has also been isolated from about a dozen other genera. As a prodrug, psilocybin is quickly converted by the body to psilocin, which has mind-altering effects.</w:t>
      </w:r>
    </w:p>
    <w:p>
      <w:pPr>
        <w:spacing w:after="0" w:line="13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43"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4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Cybin has commenced research and development on the delivery of synthetic psilocybin and other psychedelics through mechanisms such as sublingual film delivery, ODT and by way of inhalation.</w:t>
      </w:r>
    </w:p>
    <w:p>
      <w:pPr>
        <w:spacing w:after="0" w:line="13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Research and development is led by the Company’s North American Chief Research and Development Officer, Dr. Michael G. Palfreyman. Dr. Palfreyman, who holds a PhD in Neuroscience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60"/>
          </w:cols>
          <w:pgMar w:left="320" w:top="1438" w:right="319" w:bottom="1440" w:gutter="0" w:footer="0" w:header="0"/>
        </w:sectPr>
      </w:pPr>
    </w:p>
    <w:bookmarkStart w:id="43" w:name="page44"/>
    <w:bookmarkEnd w:id="43"/>
    <w:p>
      <w:pPr>
        <w:ind w:right="20"/>
        <w:spacing w:after="0" w:line="243" w:lineRule="auto"/>
        <w:rPr>
          <w:sz w:val="20"/>
          <w:szCs w:val="20"/>
          <w:color w:val="auto"/>
        </w:rPr>
      </w:pPr>
      <w:r>
        <w:rPr>
          <w:rFonts w:ascii="Times New Roman" w:cs="Times New Roman" w:eastAsia="Times New Roman" w:hAnsi="Times New Roman"/>
          <w:sz w:val="18"/>
          <w:szCs w:val="18"/>
          <w:color w:val="auto"/>
        </w:rPr>
        <w:t>Neuropharmacology from the University of Nottingham, United Kingdom, is an accomplished pharmaceutical industry veteran responsible for more than 30 successful clinical programs.</w:t>
      </w:r>
    </w:p>
    <w:p>
      <w:pPr>
        <w:spacing w:after="0" w:line="143"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The Company has also retained Stosic and Associates, a leading government relations firm, to work with high level pharmaceutical, institutional and government relations individuals to progress the acceptance of psychedelics in Canada for medical use.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research and development must be conducted in strict compliance with the regulations of federal, state, local and regulatory agencies in</w:t>
      </w:r>
    </w:p>
    <w:p>
      <w:pPr>
        <w:ind w:right="200"/>
        <w:spacing w:after="0" w:line="217" w:lineRule="auto"/>
        <w:rPr>
          <w:sz w:val="20"/>
          <w:szCs w:val="20"/>
          <w:color w:val="auto"/>
        </w:rPr>
      </w:pPr>
      <w:r>
        <w:rPr>
          <w:rFonts w:ascii="Times New Roman" w:cs="Times New Roman" w:eastAsia="Times New Roman" w:hAnsi="Times New Roman"/>
          <w:sz w:val="17"/>
          <w:szCs w:val="17"/>
          <w:color w:val="auto"/>
        </w:rPr>
        <w:t>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Canada generally involves:</w:t>
      </w:r>
    </w:p>
    <w:p>
      <w:pPr>
        <w:spacing w:after="0" w:line="170" w:lineRule="exact"/>
        <w:rPr>
          <w:sz w:val="20"/>
          <w:szCs w:val="20"/>
          <w:color w:val="auto"/>
        </w:rPr>
      </w:pPr>
    </w:p>
    <w:p>
      <w:pPr>
        <w:ind w:left="580" w:right="20" w:hanging="289"/>
        <w:spacing w:after="0" w:line="245" w:lineRule="auto"/>
        <w:tabs>
          <w:tab w:leader="none" w:pos="5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Chemical and Biological Research </w:t>
      </w:r>
      <w:r>
        <w:rPr>
          <w:rFonts w:ascii="Times New Roman" w:cs="Times New Roman" w:eastAsia="Times New Roman" w:hAnsi="Times New Roman"/>
          <w:sz w:val="18"/>
          <w:szCs w:val="18"/>
          <w:color w:val="auto"/>
        </w:rPr>
        <w:t>- Laboratory tests are carried out on tissue cultures and with a variety of small animals to determine the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drug. If the results are promising, the manufacturer will proceed to the next step of development.</w:t>
      </w:r>
    </w:p>
    <w:p>
      <w:pPr>
        <w:spacing w:after="0" w:line="127" w:lineRule="exact"/>
        <w:rPr>
          <w:rFonts w:ascii="Times New Roman" w:cs="Times New Roman" w:eastAsia="Times New Roman" w:hAnsi="Times New Roman"/>
          <w:sz w:val="18"/>
          <w:szCs w:val="18"/>
          <w:color w:val="auto"/>
        </w:rPr>
      </w:pPr>
    </w:p>
    <w:p>
      <w:pPr>
        <w:ind w:left="580" w:right="20" w:hanging="289"/>
        <w:spacing w:after="0" w:line="245" w:lineRule="auto"/>
        <w:tabs>
          <w:tab w:leader="none" w:pos="5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Pre-Clinical Development – </w:t>
      </w:r>
      <w:r>
        <w:rPr>
          <w:rFonts w:ascii="Times New Roman" w:cs="Times New Roman" w:eastAsia="Times New Roman" w:hAnsi="Times New Roman"/>
          <w:sz w:val="18"/>
          <w:szCs w:val="18"/>
          <w:color w:val="auto"/>
        </w:rPr>
        <w:t>Animals are given the drug in varying amounts over differing periods of time. If it can be shown that the drug causes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serious or unexpected harm at the doses required to have an effect, the manufacturer will proceed to clinical trials.</w:t>
      </w:r>
    </w:p>
    <w:p>
      <w:pPr>
        <w:spacing w:after="0" w:line="139" w:lineRule="exact"/>
        <w:rPr>
          <w:rFonts w:ascii="Times New Roman" w:cs="Times New Roman" w:eastAsia="Times New Roman" w:hAnsi="Times New Roman"/>
          <w:sz w:val="18"/>
          <w:szCs w:val="18"/>
          <w:color w:val="auto"/>
        </w:rPr>
      </w:pPr>
    </w:p>
    <w:p>
      <w:pPr>
        <w:jc w:val="both"/>
        <w:ind w:left="580" w:hanging="289"/>
        <w:spacing w:after="0" w:line="218" w:lineRule="auto"/>
        <w:tabs>
          <w:tab w:leader="none" w:pos="5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I (Safety Phase) - </w:t>
      </w:r>
      <w:r>
        <w:rPr>
          <w:rFonts w:ascii="Times New Roman" w:cs="Times New Roman" w:eastAsia="Times New Roman" w:hAnsi="Times New Roman"/>
          <w:sz w:val="18"/>
          <w:szCs w:val="18"/>
          <w:color w:val="auto"/>
        </w:rPr>
        <w:t>The first administration in humans is to test if people can tolerate the drug. If this testing is to take 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Canada, the manufacturer must prepare a clinical trial application for the Therapeutic Products Directorate of Health Canada (the “</w:t>
      </w:r>
      <w:r>
        <w:rPr>
          <w:rFonts w:ascii="Times New Roman" w:cs="Times New Roman" w:eastAsia="Times New Roman" w:hAnsi="Times New Roman"/>
          <w:sz w:val="18"/>
          <w:szCs w:val="18"/>
          <w:b w:val="1"/>
          <w:bCs w:val="1"/>
          <w:color w:val="auto"/>
        </w:rPr>
        <w:t>TPD</w:t>
      </w:r>
      <w:r>
        <w:rPr>
          <w:rFonts w:ascii="Times New Roman" w:cs="Times New Roman" w:eastAsia="Times New Roman" w:hAnsi="Times New Roman"/>
          <w:sz w:val="18"/>
          <w:szCs w:val="18"/>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18"/>
          <w:szCs w:val="18"/>
          <w:b w:val="1"/>
          <w:bCs w:val="1"/>
          <w:color w:val="auto"/>
        </w:rPr>
        <w:t>HPFB</w:t>
      </w:r>
      <w:r>
        <w:rPr>
          <w:rFonts w:ascii="Times New Roman" w:cs="Times New Roman" w:eastAsia="Times New Roman" w:hAnsi="Times New Roman"/>
          <w:sz w:val="18"/>
          <w:szCs w:val="18"/>
          <w:color w:val="auto"/>
        </w:rPr>
        <w:t>”) grants permission to start testing the drug, generally first on healthy volunteers. The purpose of Phase I trials is to determine the pharmacokinetics/pharmacological action of the drugs, find a safe dosage range and identify adverse drug reactions.</w:t>
      </w:r>
    </w:p>
    <w:p>
      <w:pPr>
        <w:spacing w:after="0" w:line="147" w:lineRule="exact"/>
        <w:rPr>
          <w:rFonts w:ascii="Times New Roman" w:cs="Times New Roman" w:eastAsia="Times New Roman" w:hAnsi="Times New Roman"/>
          <w:sz w:val="18"/>
          <w:szCs w:val="18"/>
          <w:color w:val="auto"/>
        </w:rPr>
      </w:pPr>
    </w:p>
    <w:p>
      <w:pPr>
        <w:jc w:val="both"/>
        <w:ind w:left="580" w:right="20" w:hanging="289"/>
        <w:spacing w:after="0" w:line="227" w:lineRule="auto"/>
        <w:tabs>
          <w:tab w:leader="none" w:pos="5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II (Effectiveness Phase) - </w:t>
      </w:r>
      <w:r>
        <w:rPr>
          <w:rFonts w:ascii="Times New Roman" w:cs="Times New Roman" w:eastAsia="Times New Roman" w:hAnsi="Times New Roman"/>
          <w:sz w:val="18"/>
          <w:szCs w:val="18"/>
          <w:color w:val="auto"/>
        </w:rPr>
        <w:t>Phase II trials are carried out on people with the target condition, who are usually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healthy, with no other medical condition. Trials carried out in Canada must be approved by the TPD. In Phase II, the objective of the trials is to continue to gather information on the safety of the drug and begin to determine its effectiveness.</w:t>
      </w:r>
    </w:p>
    <w:p>
      <w:pPr>
        <w:spacing w:after="0" w:line="145" w:lineRule="exact"/>
        <w:rPr>
          <w:rFonts w:ascii="Times New Roman" w:cs="Times New Roman" w:eastAsia="Times New Roman" w:hAnsi="Times New Roman"/>
          <w:sz w:val="18"/>
          <w:szCs w:val="18"/>
          <w:color w:val="auto"/>
        </w:rPr>
      </w:pPr>
    </w:p>
    <w:p>
      <w:pPr>
        <w:jc w:val="both"/>
        <w:ind w:left="580" w:right="20" w:hanging="289"/>
        <w:spacing w:after="0" w:line="224" w:lineRule="auto"/>
        <w:tabs>
          <w:tab w:leader="none" w:pos="5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III (Confirmation Phase) - </w:t>
      </w:r>
      <w:r>
        <w:rPr>
          <w:rFonts w:ascii="Times New Roman" w:cs="Times New Roman" w:eastAsia="Times New Roman" w:hAnsi="Times New Roman"/>
          <w:sz w:val="18"/>
          <w:szCs w:val="18"/>
          <w:color w:val="auto"/>
        </w:rPr>
        <w:t>If the results from Phase II show promise, the manufacturer provides an updated clinical 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129" w:lineRule="exact"/>
        <w:rPr>
          <w:rFonts w:ascii="Times New Roman" w:cs="Times New Roman" w:eastAsia="Times New Roman" w:hAnsi="Times New Roman"/>
          <w:sz w:val="18"/>
          <w:szCs w:val="18"/>
          <w:color w:val="auto"/>
        </w:rPr>
      </w:pPr>
    </w:p>
    <w:p>
      <w:pPr>
        <w:jc w:val="both"/>
        <w:ind w:left="580" w:right="20" w:hanging="289"/>
        <w:spacing w:after="0" w:line="222" w:lineRule="auto"/>
        <w:tabs>
          <w:tab w:leader="none" w:pos="5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Drug Submission - </w:t>
      </w:r>
      <w:r>
        <w:rPr>
          <w:rFonts w:ascii="Times New Roman" w:cs="Times New Roman" w:eastAsia="Times New Roman" w:hAnsi="Times New Roman"/>
          <w:sz w:val="18"/>
          <w:szCs w:val="18"/>
          <w:color w:val="auto"/>
        </w:rPr>
        <w:t>If the results from Phase III continue to be favourable, the drug manufacturer can submit a new drug submission (“</w:t>
      </w:r>
      <w:r>
        <w:rPr>
          <w:rFonts w:ascii="Times New Roman" w:cs="Times New Roman" w:eastAsia="Times New Roman" w:hAnsi="Times New Roman"/>
          <w:sz w:val="18"/>
          <w:szCs w:val="18"/>
          <w:b w:val="1"/>
          <w:bCs w:val="1"/>
          <w:color w:val="auto"/>
        </w:rPr>
        <w:t>NDS</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144" w:lineRule="exact"/>
        <w:rPr>
          <w:rFonts w:ascii="Times New Roman" w:cs="Times New Roman" w:eastAsia="Times New Roman" w:hAnsi="Times New Roman"/>
          <w:sz w:val="18"/>
          <w:szCs w:val="18"/>
          <w:color w:val="auto"/>
        </w:rPr>
      </w:pPr>
    </w:p>
    <w:p>
      <w:pPr>
        <w:ind w:left="580" w:right="20" w:hanging="289"/>
        <w:spacing w:after="0" w:line="235" w:lineRule="auto"/>
        <w:tabs>
          <w:tab w:leader="none" w:pos="5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After Approval </w:t>
      </w:r>
      <w:r>
        <w:rPr>
          <w:rFonts w:ascii="Times New Roman" w:cs="Times New Roman" w:eastAsia="Times New Roman" w:hAnsi="Times New Roman"/>
          <w:sz w:val="18"/>
          <w:szCs w:val="18"/>
          <w:color w:val="auto"/>
        </w:rPr>
        <w:t>– Once a drug is approved and on the market, the HPFB requires a sponsor to ensure that the use of its drug is done under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market authorization. In addition, life cycle management activities (post approval submissions to TPD, for new indications, new dosage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60"/>
          </w:cols>
          <w:pgMar w:left="320" w:top="1438" w:right="319" w:bottom="1440" w:gutter="0" w:footer="0" w:header="0"/>
        </w:sectPr>
      </w:pPr>
    </w:p>
    <w:bookmarkStart w:id="44" w:name="page45"/>
    <w:bookmarkEnd w:id="44"/>
    <w:p>
      <w:pPr>
        <w:ind w:right="600" w:firstLine="586"/>
        <w:spacing w:after="0" w:line="439" w:lineRule="auto"/>
        <w:rPr>
          <w:sz w:val="20"/>
          <w:szCs w:val="20"/>
          <w:color w:val="auto"/>
        </w:rPr>
      </w:pPr>
      <w:r>
        <w:rPr>
          <w:rFonts w:ascii="Times New Roman" w:cs="Times New Roman" w:eastAsia="Times New Roman" w:hAnsi="Times New Roman"/>
          <w:sz w:val="18"/>
          <w:szCs w:val="18"/>
          <w:color w:val="auto"/>
        </w:rPr>
        <w:t xml:space="preserve">forms, new strengths, manufacturing changes, etc.) are required to ensure the maintenance of the drug licence with its related improvements. </w:t>
      </w:r>
      <w:r>
        <w:rPr>
          <w:rFonts w:ascii="Times New Roman" w:cs="Times New Roman" w:eastAsia="Times New Roman" w:hAnsi="Times New Roman"/>
          <w:sz w:val="18"/>
          <w:szCs w:val="18"/>
          <w:u w:val="single" w:color="auto"/>
          <w:color w:val="auto"/>
        </w:rPr>
        <w:t>United States</w:t>
      </w:r>
    </w:p>
    <w:p>
      <w:pPr>
        <w:jc w:val="both"/>
        <w:spacing w:after="0" w:line="256" w:lineRule="auto"/>
        <w:rPr>
          <w:sz w:val="20"/>
          <w:szCs w:val="20"/>
          <w:color w:val="auto"/>
        </w:rPr>
      </w:pPr>
      <w:r>
        <w:rPr>
          <w:rFonts w:ascii="Times New Roman" w:cs="Times New Roman" w:eastAsia="Times New Roman" w:hAnsi="Times New Roman"/>
          <w:sz w:val="17"/>
          <w:szCs w:val="17"/>
          <w:color w:val="auto"/>
        </w:rPr>
        <w:t>Because psilocybin and psilocin are listed as Schedule I substances under the CSA, for any product containing psilocybin to be available for commercial marketing in the United States, psilocybin and psilocin must be rescheduled, or the product itself must be scheduled, by the DEA to Schedule II, III, IV or V.</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the United States generally involves:</w:t>
      </w:r>
    </w:p>
    <w:p>
      <w:pPr>
        <w:spacing w:after="0" w:line="172" w:lineRule="exact"/>
        <w:rPr>
          <w:sz w:val="20"/>
          <w:szCs w:val="20"/>
          <w:color w:val="auto"/>
        </w:rPr>
      </w:pPr>
    </w:p>
    <w:p>
      <w:pPr>
        <w:ind w:left="580" w:right="20" w:hanging="289"/>
        <w:spacing w:after="0" w:line="217" w:lineRule="auto"/>
        <w:tabs>
          <w:tab w:leader="none" w:pos="56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laboratory tests, animal studies and formulation studies, all performed in accordance with the FDA’s GLP, Good Clinical and/or GMP regulations;</w:t>
      </w:r>
    </w:p>
    <w:p>
      <w:pPr>
        <w:ind w:left="580" w:hanging="289"/>
        <w:spacing w:after="0" w:line="212" w:lineRule="auto"/>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the FDA must approve before human clinical trials may begin;</w:t>
      </w:r>
    </w:p>
    <w:p>
      <w:pPr>
        <w:ind w:left="580" w:hanging="289"/>
        <w:spacing w:after="0" w:line="198" w:lineRule="auto"/>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independent ethics committee at each clinical trial site before each trial may be initiated;</w:t>
      </w:r>
    </w:p>
    <w:p>
      <w:pPr>
        <w:ind w:left="580" w:right="20" w:hanging="289"/>
        <w:spacing w:after="0" w:line="212" w:lineRule="auto"/>
        <w:tabs>
          <w:tab w:leader="none" w:pos="56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ind w:left="580" w:hanging="289"/>
        <w:spacing w:after="0" w:line="198" w:lineRule="auto"/>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w:t>
      </w:r>
    </w:p>
    <w:p>
      <w:pPr>
        <w:jc w:val="both"/>
        <w:ind w:left="580" w:right="20" w:hanging="289"/>
        <w:spacing w:after="0" w:line="207" w:lineRule="auto"/>
        <w:tabs>
          <w:tab w:leader="none" w:pos="56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2" w:lineRule="exact"/>
        <w:rPr>
          <w:rFonts w:ascii="Times New Roman" w:cs="Times New Roman" w:eastAsia="Times New Roman" w:hAnsi="Times New Roman"/>
          <w:sz w:val="18"/>
          <w:szCs w:val="18"/>
          <w:color w:val="auto"/>
        </w:rPr>
      </w:pPr>
    </w:p>
    <w:p>
      <w:pPr>
        <w:ind w:left="580" w:hanging="289"/>
        <w:spacing w:after="0"/>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sale or shipment of the drug.</w:t>
      </w:r>
    </w:p>
    <w:p>
      <w:pPr>
        <w:spacing w:after="0" w:line="15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Company cannot be certain that any approvals for its prescription drug product candidates will be granted on a timely basis, if at all.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Non-clinical tests include laboratory evaluations of product chemistry, formulation and stability, as well as studies to evaluate toxicity in animals and other</w:t>
      </w:r>
    </w:p>
    <w:p>
      <w:pPr>
        <w:spacing w:after="0" w:line="217" w:lineRule="auto"/>
        <w:rPr>
          <w:sz w:val="20"/>
          <w:szCs w:val="20"/>
          <w:color w:val="auto"/>
        </w:rPr>
      </w:pPr>
      <w:r>
        <w:rPr>
          <w:rFonts w:ascii="Times New Roman" w:cs="Times New Roman" w:eastAsia="Times New Roman" w:hAnsi="Times New Roman"/>
          <w:sz w:val="17"/>
          <w:szCs w:val="17"/>
          <w:color w:val="auto"/>
        </w:rPr>
        <w:t>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w:t>
      </w:r>
    </w:p>
    <w:p>
      <w:pPr>
        <w:spacing w:after="0" w:line="226" w:lineRule="auto"/>
        <w:rPr>
          <w:sz w:val="20"/>
          <w:szCs w:val="20"/>
          <w:color w:val="auto"/>
        </w:rPr>
      </w:pPr>
      <w:r>
        <w:rPr>
          <w:rFonts w:ascii="Times New Roman" w:cs="Times New Roman" w:eastAsia="Times New Roman" w:hAnsi="Times New Roman"/>
          <w:sz w:val="17"/>
          <w:szCs w:val="17"/>
          <w:color w:val="auto"/>
        </w:rPr>
        <w:t>an investigator’s brochure. An IND automatically becomes effective 30 days after receipt by the FDA, unless the FDA, within the 30-day time period, raises</w:t>
      </w:r>
    </w:p>
    <w:p>
      <w:pPr>
        <w:ind w:right="20"/>
        <w:spacing w:after="0" w:line="217" w:lineRule="auto"/>
        <w:rPr>
          <w:sz w:val="20"/>
          <w:szCs w:val="20"/>
          <w:color w:val="auto"/>
        </w:rPr>
      </w:pPr>
      <w:r>
        <w:rPr>
          <w:rFonts w:ascii="Times New Roman" w:cs="Times New Roman" w:eastAsia="Times New Roman" w:hAnsi="Times New Roman"/>
          <w:sz w:val="17"/>
          <w:szCs w:val="17"/>
          <w:color w:val="auto"/>
        </w:rPr>
        <w:t>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before or during studies due to safety concerns or non-compliance with regulatory requirements.</w:t>
      </w:r>
    </w:p>
    <w:p>
      <w:pPr>
        <w:spacing w:after="0" w:line="152"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An independent IRB,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w:t>
      </w:r>
    </w:p>
    <w:p>
      <w:pPr>
        <w:spacing w:after="0" w:line="213" w:lineRule="auto"/>
        <w:rPr>
          <w:sz w:val="20"/>
          <w:szCs w:val="20"/>
          <w:color w:val="auto"/>
        </w:rPr>
      </w:pPr>
      <w:r>
        <w:rPr>
          <w:rFonts w:ascii="Times New Roman" w:cs="Times New Roman" w:eastAsia="Times New Roman" w:hAnsi="Times New Roman"/>
          <w:sz w:val="18"/>
          <w:szCs w:val="18"/>
          <w:color w:val="auto"/>
        </w:rPr>
        <w:t>in relation to anticipated benefits. The IRB also approves the consent form signed by the trial participants and must monitor the study until completed. The</w:t>
      </w:r>
    </w:p>
    <w:p>
      <w:pPr>
        <w:spacing w:after="0" w:line="1"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18"/>
          <w:szCs w:val="18"/>
          <w:color w:val="auto"/>
        </w:rPr>
        <w:t>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registries.</w:t>
      </w:r>
    </w:p>
    <w:p>
      <w:pPr>
        <w:spacing w:after="0" w:line="15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60"/>
          </w:cols>
          <w:pgMar w:left="320" w:top="1438" w:right="319" w:bottom="1440" w:gutter="0" w:footer="0" w:header="0"/>
        </w:sectPr>
      </w:pPr>
    </w:p>
    <w:bookmarkStart w:id="45" w:name="page46"/>
    <w:bookmarkEnd w:id="45"/>
    <w:p>
      <w:pPr>
        <w:ind w:right="20"/>
        <w:spacing w:after="0" w:line="243" w:lineRule="auto"/>
        <w:rPr>
          <w:sz w:val="20"/>
          <w:szCs w:val="20"/>
          <w:color w:val="auto"/>
        </w:rPr>
      </w:pPr>
      <w:r>
        <w:rPr>
          <w:rFonts w:ascii="Times New Roman" w:cs="Times New Roman" w:eastAsia="Times New Roman" w:hAnsi="Times New Roman"/>
          <w:sz w:val="18"/>
          <w:szCs w:val="18"/>
          <w:color w:val="auto"/>
        </w:rPr>
        <w:t>Breakthrough Therapy designations, Fast Track designations, Priority Review and Accelerated Approval, which the Company may need to rely upon in order to receive timely approval or to be competitive.</w:t>
      </w:r>
    </w:p>
    <w:p>
      <w:pPr>
        <w:spacing w:after="0" w:line="143"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w:t>
      </w:r>
    </w:p>
    <w:p>
      <w:pPr>
        <w:spacing w:after="0" w:line="212" w:lineRule="auto"/>
        <w:rPr>
          <w:sz w:val="20"/>
          <w:szCs w:val="20"/>
          <w:color w:val="auto"/>
        </w:rPr>
      </w:pPr>
      <w:r>
        <w:rPr>
          <w:rFonts w:ascii="Times New Roman" w:cs="Times New Roman" w:eastAsia="Times New Roman" w:hAnsi="Times New Roman"/>
          <w:sz w:val="18"/>
          <w:szCs w:val="18"/>
          <w:color w:val="auto"/>
        </w:rPr>
        <w:t>fewer than 200,000 individuals in the United States, or 200,000 or more individuals in the United States and for which there is no reasonable expectation</w:t>
      </w:r>
    </w:p>
    <w:p>
      <w:pPr>
        <w:ind w:right="20"/>
        <w:spacing w:after="0" w:line="205" w:lineRule="auto"/>
        <w:rPr>
          <w:sz w:val="20"/>
          <w:szCs w:val="20"/>
          <w:color w:val="auto"/>
        </w:rPr>
      </w:pPr>
      <w:r>
        <w:rPr>
          <w:rFonts w:ascii="Times New Roman" w:cs="Times New Roman" w:eastAsia="Times New Roman" w:hAnsi="Times New Roman"/>
          <w:sz w:val="18"/>
          <w:szCs w:val="18"/>
          <w:color w:val="auto"/>
        </w:rPr>
        <w:t>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w:t>
      </w:r>
    </w:p>
    <w:p>
      <w:pPr>
        <w:spacing w:after="0" w:line="213" w:lineRule="auto"/>
        <w:rPr>
          <w:sz w:val="20"/>
          <w:szCs w:val="20"/>
          <w:color w:val="auto"/>
        </w:rPr>
      </w:pPr>
      <w:r>
        <w:rPr>
          <w:rFonts w:ascii="Times New Roman" w:cs="Times New Roman" w:eastAsia="Times New Roman" w:hAnsi="Times New Roman"/>
          <w:sz w:val="18"/>
          <w:szCs w:val="18"/>
          <w:color w:val="auto"/>
        </w:rPr>
        <w:t>persons in the E.U.; without incentive it is unlikely that the drug would generate sufficient return to justify the necessary investment; and no satisfactory</w:t>
      </w:r>
    </w:p>
    <w:p>
      <w:pPr>
        <w:ind w:right="20"/>
        <w:spacing w:after="0" w:line="205" w:lineRule="auto"/>
        <w:rPr>
          <w:sz w:val="20"/>
          <w:szCs w:val="20"/>
          <w:color w:val="auto"/>
        </w:rPr>
      </w:pPr>
      <w:r>
        <w:rPr>
          <w:rFonts w:ascii="Times New Roman" w:cs="Times New Roman" w:eastAsia="Times New Roman" w:hAnsi="Times New Roman"/>
          <w:sz w:val="18"/>
          <w:szCs w:val="18"/>
          <w:color w:val="auto"/>
        </w:rPr>
        <w:t>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w:t>
      </w:r>
    </w:p>
    <w:p>
      <w:pPr>
        <w:spacing w:after="0" w:line="213" w:lineRule="auto"/>
        <w:rPr>
          <w:sz w:val="20"/>
          <w:szCs w:val="20"/>
          <w:color w:val="auto"/>
        </w:rPr>
      </w:pPr>
      <w:r>
        <w:rPr>
          <w:rFonts w:ascii="Times New Roman" w:cs="Times New Roman" w:eastAsia="Times New Roman" w:hAnsi="Times New Roman"/>
          <w:sz w:val="18"/>
          <w:szCs w:val="18"/>
          <w:color w:val="auto"/>
        </w:rPr>
        <w:t>approval for the indication for which it has such designation, the product is entitled to orphan exclusivity, meaning that the applicable regulatory authority</w:t>
      </w:r>
    </w:p>
    <w:p>
      <w:pPr>
        <w:ind w:right="20"/>
        <w:spacing w:after="0" w:line="205" w:lineRule="auto"/>
        <w:rPr>
          <w:sz w:val="20"/>
          <w:szCs w:val="20"/>
          <w:color w:val="auto"/>
        </w:rPr>
      </w:pPr>
      <w:r>
        <w:rPr>
          <w:rFonts w:ascii="Times New Roman" w:cs="Times New Roman" w:eastAsia="Times New Roman" w:hAnsi="Times New Roman"/>
          <w:sz w:val="18"/>
          <w:szCs w:val="18"/>
          <w:color w:val="auto"/>
        </w:rPr>
        <w:t>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w:t>
      </w:r>
    </w:p>
    <w:p>
      <w:pPr>
        <w:spacing w:after="0" w:line="213" w:lineRule="auto"/>
        <w:rPr>
          <w:sz w:val="20"/>
          <w:szCs w:val="20"/>
          <w:color w:val="auto"/>
        </w:rPr>
      </w:pPr>
      <w:r>
        <w:rPr>
          <w:rFonts w:ascii="Times New Roman" w:cs="Times New Roman" w:eastAsia="Times New Roman" w:hAnsi="Times New Roman"/>
          <w:sz w:val="18"/>
          <w:szCs w:val="18"/>
          <w:color w:val="auto"/>
        </w:rPr>
        <w:t>indication or the same drug for different indications. After orphan drug designation is granted, the identity of the therapeutic agent and its potential orphan</w:t>
      </w:r>
    </w:p>
    <w:p>
      <w:pPr>
        <w:ind w:right="20"/>
        <w:spacing w:after="0" w:line="222" w:lineRule="auto"/>
        <w:rPr>
          <w:sz w:val="20"/>
          <w:szCs w:val="20"/>
          <w:color w:val="auto"/>
        </w:rPr>
      </w:pPr>
      <w:r>
        <w:rPr>
          <w:rFonts w:ascii="Times New Roman" w:cs="Times New Roman" w:eastAsia="Times New Roman" w:hAnsi="Times New Roman"/>
          <w:sz w:val="18"/>
          <w:szCs w:val="18"/>
          <w:color w:val="auto"/>
        </w:rPr>
        <w:t>use are publicly disclosed. Orphan drug designation does not convey an advantage in, or shorten the duration of, the development, review and approval process. However, this designation provides an exemption from marketing and authorization fees.</w:t>
      </w:r>
    </w:p>
    <w:p>
      <w:pPr>
        <w:spacing w:after="0" w:line="147"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w:t>
      </w:r>
    </w:p>
    <w:p>
      <w:pPr>
        <w:spacing w:after="0" w:line="213" w:lineRule="auto"/>
        <w:rPr>
          <w:sz w:val="20"/>
          <w:szCs w:val="20"/>
          <w:color w:val="auto"/>
        </w:rPr>
      </w:pPr>
      <w:r>
        <w:rPr>
          <w:rFonts w:ascii="Times New Roman" w:cs="Times New Roman" w:eastAsia="Times New Roman" w:hAnsi="Times New Roman"/>
          <w:sz w:val="18"/>
          <w:szCs w:val="18"/>
          <w:color w:val="auto"/>
        </w:rPr>
        <w:t>promotion and advertising requirements. The FDA may impose a number of post-approval requirements as a condition of approval of an NDA. For</w:t>
      </w:r>
    </w:p>
    <w:p>
      <w:pPr>
        <w:spacing w:after="0" w:line="1"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7"/>
          <w:szCs w:val="17"/>
          <w:color w:val="auto"/>
        </w:rPr>
        <w:t>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w:t>
      </w:r>
    </w:p>
    <w:p>
      <w:pPr>
        <w:spacing w:after="0" w:line="213" w:lineRule="auto"/>
        <w:rPr>
          <w:sz w:val="20"/>
          <w:szCs w:val="20"/>
          <w:color w:val="auto"/>
        </w:rPr>
      </w:pPr>
      <w:r>
        <w:rPr>
          <w:rFonts w:ascii="Times New Roman" w:cs="Times New Roman" w:eastAsia="Times New Roman" w:hAnsi="Times New Roman"/>
          <w:sz w:val="18"/>
          <w:szCs w:val="18"/>
          <w:color w:val="auto"/>
        </w:rPr>
        <w:t>drugs are required to register their establishments with the FDA and certain state agencies and are subject to periodic unannounced inspections by the FDA</w:t>
      </w:r>
    </w:p>
    <w:p>
      <w:pPr>
        <w:ind w:right="20"/>
        <w:spacing w:after="0" w:line="217" w:lineRule="auto"/>
        <w:rPr>
          <w:sz w:val="20"/>
          <w:szCs w:val="20"/>
          <w:color w:val="auto"/>
        </w:rPr>
      </w:pPr>
      <w:r>
        <w:rPr>
          <w:rFonts w:ascii="Times New Roman" w:cs="Times New Roman" w:eastAsia="Times New Roman" w:hAnsi="Times New Roman"/>
          <w:sz w:val="17"/>
          <w:szCs w:val="17"/>
          <w:color w:val="auto"/>
        </w:rPr>
        <w:t>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action, such as warning letters, suspension of manufacturing, product seizures, injunctions, civil penalties or criminal prosecution. There is also a continuing, annual prescription drug product program user fee.</w:t>
      </w:r>
    </w:p>
    <w:p>
      <w:pPr>
        <w:spacing w:after="0" w:line="13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w:t>
      </w:r>
    </w:p>
    <w:p>
      <w:pPr>
        <w:ind w:right="20"/>
        <w:spacing w:after="0" w:line="217" w:lineRule="auto"/>
        <w:rPr>
          <w:sz w:val="20"/>
          <w:szCs w:val="20"/>
          <w:color w:val="auto"/>
        </w:rPr>
      </w:pPr>
      <w:r>
        <w:rPr>
          <w:rFonts w:ascii="Times New Roman" w:cs="Times New Roman" w:eastAsia="Times New Roman" w:hAnsi="Times New Roman"/>
          <w:sz w:val="17"/>
          <w:szCs w:val="17"/>
          <w:color w:val="auto"/>
        </w:rPr>
        <w:t>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mitigation strategy.</w:t>
      </w:r>
    </w:p>
    <w:p>
      <w:pPr>
        <w:spacing w:after="0" w:line="152"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18"/>
          <w:szCs w:val="18"/>
          <w:i w:val="1"/>
          <w:iCs w:val="1"/>
          <w:color w:val="auto"/>
        </w:rPr>
        <w:t>False Claims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FCA</w:t>
      </w:r>
      <w:r>
        <w:rPr>
          <w:rFonts w:ascii="Times New Roman" w:cs="Times New Roman" w:eastAsia="Times New Roman" w:hAnsi="Times New Roman"/>
          <w:sz w:val="18"/>
          <w:szCs w:val="18"/>
          <w:color w:val="auto"/>
        </w:rPr>
        <w:t>”), and other state and federal laws and regulations. The Anti-Kickback</w:t>
      </w:r>
    </w:p>
    <w:p>
      <w:pPr>
        <w:spacing w:after="0" w:line="225" w:lineRule="auto"/>
        <w:rPr>
          <w:sz w:val="20"/>
          <w:szCs w:val="20"/>
          <w:color w:val="auto"/>
        </w:rPr>
      </w:pPr>
      <w:r>
        <w:rPr>
          <w:rFonts w:ascii="Times New Roman" w:cs="Times New Roman" w:eastAsia="Times New Roman" w:hAnsi="Times New Roman"/>
          <w:sz w:val="17"/>
          <w:szCs w:val="17"/>
          <w:color w:val="auto"/>
        </w:rPr>
        <w:t>Statute makes it illegal for any person, including a prescription drug manufacturer (or a party acting on its behalf) to knowingly and willfully solicit, receive,</w:t>
      </w:r>
    </w:p>
    <w:p>
      <w:pPr>
        <w:ind w:right="20"/>
        <w:spacing w:after="0" w:line="222" w:lineRule="auto"/>
        <w:rPr>
          <w:sz w:val="20"/>
          <w:szCs w:val="20"/>
          <w:color w:val="auto"/>
        </w:rPr>
      </w:pPr>
      <w:r>
        <w:rPr>
          <w:rFonts w:ascii="Times New Roman" w:cs="Times New Roman" w:eastAsia="Times New Roman" w:hAnsi="Times New Roman"/>
          <w:sz w:val="18"/>
          <w:szCs w:val="18"/>
          <w:color w:val="auto"/>
        </w:rPr>
        <w:t>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4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FCA prohibits, among other things, any person or entity from knowingly presenting, or causing to be presented, a false or fraudulent claim for payment to or approval by the federal government or knowingly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60"/>
          </w:cols>
          <w:pgMar w:left="320" w:top="1438" w:right="319" w:bottom="1440" w:gutter="0" w:footer="0" w:header="0"/>
        </w:sectPr>
      </w:pPr>
    </w:p>
    <w:bookmarkStart w:id="46" w:name="page47"/>
    <w:bookmarkEnd w:id="46"/>
    <w:p>
      <w:pPr>
        <w:ind w:right="20"/>
        <w:spacing w:after="0" w:line="224" w:lineRule="auto"/>
        <w:rPr>
          <w:sz w:val="20"/>
          <w:szCs w:val="20"/>
          <w:color w:val="auto"/>
        </w:rPr>
      </w:pPr>
      <w:r>
        <w:rPr>
          <w:rFonts w:ascii="Times New Roman" w:cs="Times New Roman" w:eastAsia="Times New Roman" w:hAnsi="Times New Roman"/>
          <w:sz w:val="18"/>
          <w:szCs w:val="18"/>
          <w:color w:val="auto"/>
        </w:rPr>
        <w:t>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w:t>
      </w:r>
    </w:p>
    <w:p>
      <w:pPr>
        <w:ind w:right="20"/>
        <w:spacing w:after="0" w:line="205" w:lineRule="auto"/>
        <w:rPr>
          <w:sz w:val="20"/>
          <w:szCs w:val="20"/>
          <w:color w:val="auto"/>
        </w:rPr>
      </w:pPr>
      <w:r>
        <w:rPr>
          <w:rFonts w:ascii="Times New Roman" w:cs="Times New Roman" w:eastAsia="Times New Roman" w:hAnsi="Times New Roman"/>
          <w:sz w:val="18"/>
          <w:szCs w:val="18"/>
          <w:color w:val="auto"/>
        </w:rPr>
        <w:t>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w:t>
      </w:r>
    </w:p>
    <w:p>
      <w:pPr>
        <w:spacing w:after="0" w:line="213" w:lineRule="auto"/>
        <w:rPr>
          <w:sz w:val="20"/>
          <w:szCs w:val="20"/>
          <w:color w:val="auto"/>
        </w:rPr>
      </w:pPr>
      <w:r>
        <w:rPr>
          <w:rFonts w:ascii="Times New Roman" w:cs="Times New Roman" w:eastAsia="Times New Roman" w:hAnsi="Times New Roman"/>
          <w:sz w:val="18"/>
          <w:szCs w:val="18"/>
          <w:color w:val="auto"/>
        </w:rPr>
        <w:t>marketing practices. The government has obtained multi-million and multibillion dollar settlements under the FCA in addition to individual criminal</w:t>
      </w:r>
    </w:p>
    <w:p>
      <w:pPr>
        <w:ind w:right="20"/>
        <w:spacing w:after="0" w:line="205" w:lineRule="auto"/>
        <w:rPr>
          <w:sz w:val="20"/>
          <w:szCs w:val="20"/>
          <w:color w:val="auto"/>
        </w:rPr>
      </w:pPr>
      <w:r>
        <w:rPr>
          <w:rFonts w:ascii="Times New Roman" w:cs="Times New Roman" w:eastAsia="Times New Roman" w:hAnsi="Times New Roman"/>
          <w:sz w:val="18"/>
          <w:szCs w:val="18"/>
          <w:color w:val="auto"/>
        </w:rPr>
        <w:t>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w:t>
      </w:r>
    </w:p>
    <w:p>
      <w:pPr>
        <w:spacing w:after="0" w:line="213" w:lineRule="auto"/>
        <w:rPr>
          <w:sz w:val="20"/>
          <w:szCs w:val="20"/>
          <w:color w:val="auto"/>
        </w:rPr>
      </w:pPr>
      <w:r>
        <w:rPr>
          <w:rFonts w:ascii="Times New Roman" w:cs="Times New Roman" w:eastAsia="Times New Roman" w:hAnsi="Times New Roman"/>
          <w:sz w:val="18"/>
          <w:szCs w:val="18"/>
          <w:color w:val="auto"/>
        </w:rPr>
        <w:t>for an item or service that was not provided as claimed or is false or fraudulent. Given the significant size of actual and potential settlements, it is expected</w:t>
      </w:r>
    </w:p>
    <w:p>
      <w:pPr>
        <w:ind w:right="20"/>
        <w:spacing w:after="0" w:line="222" w:lineRule="auto"/>
        <w:rPr>
          <w:sz w:val="20"/>
          <w:szCs w:val="20"/>
          <w:color w:val="auto"/>
        </w:rPr>
      </w:pPr>
      <w:r>
        <w:rPr>
          <w:rFonts w:ascii="Times New Roman" w:cs="Times New Roman" w:eastAsia="Times New Roman" w:hAnsi="Times New Roman"/>
          <w:sz w:val="18"/>
          <w:szCs w:val="18"/>
          <w:color w:val="auto"/>
        </w:rPr>
        <w:t>that the government will continue to devote substantial resources to investigating healthcare providers’ and manufacturers’ compliance with applicable fraud and abuse laws.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In addition, a</w:t>
      </w:r>
    </w:p>
    <w:p>
      <w:pPr>
        <w:ind w:right="20"/>
        <w:spacing w:after="0" w:line="205" w:lineRule="auto"/>
        <w:rPr>
          <w:sz w:val="20"/>
          <w:szCs w:val="20"/>
          <w:color w:val="auto"/>
        </w:rPr>
      </w:pPr>
      <w:r>
        <w:rPr>
          <w:rFonts w:ascii="Times New Roman" w:cs="Times New Roman" w:eastAsia="Times New Roman" w:hAnsi="Times New Roman"/>
          <w:sz w:val="18"/>
          <w:szCs w:val="18"/>
          <w:color w:val="auto"/>
        </w:rPr>
        <w:t>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w:t>
      </w:r>
    </w:p>
    <w:p>
      <w:pPr>
        <w:spacing w:after="0" w:line="213" w:lineRule="auto"/>
        <w:rPr>
          <w:sz w:val="20"/>
          <w:szCs w:val="20"/>
          <w:color w:val="auto"/>
        </w:rPr>
      </w:pPr>
      <w:r>
        <w:rPr>
          <w:rFonts w:ascii="Times New Roman" w:cs="Times New Roman" w:eastAsia="Times New Roman" w:hAnsi="Times New Roman"/>
          <w:sz w:val="18"/>
          <w:szCs w:val="18"/>
          <w:color w:val="auto"/>
        </w:rPr>
        <w:t>and report to the federal government certain payments and “transfers of value” made to physicians and teaching hospitals, as well as ownership and</w:t>
      </w:r>
    </w:p>
    <w:p>
      <w:pPr>
        <w:ind w:right="20"/>
        <w:spacing w:after="0" w:line="222" w:lineRule="auto"/>
        <w:rPr>
          <w:sz w:val="20"/>
          <w:szCs w:val="20"/>
          <w:color w:val="auto"/>
        </w:rPr>
      </w:pPr>
      <w:r>
        <w:rPr>
          <w:rFonts w:ascii="Times New Roman" w:cs="Times New Roman" w:eastAsia="Times New Roman" w:hAnsi="Times New Roman"/>
          <w:sz w:val="18"/>
          <w:szCs w:val="18"/>
          <w:color w:val="auto"/>
        </w:rPr>
        <w:t>investment interests held by physicians and their immediate family members, made in the previous calendar year. There are a number of states that have various types of additional reporting requirements.</w:t>
      </w:r>
    </w:p>
    <w:p>
      <w:pPr>
        <w:spacing w:after="0" w:line="147"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w:t>
      </w:r>
    </w:p>
    <w:p>
      <w:pPr>
        <w:ind w:right="20"/>
        <w:spacing w:after="0" w:line="230" w:lineRule="auto"/>
        <w:rPr>
          <w:sz w:val="20"/>
          <w:szCs w:val="20"/>
          <w:color w:val="auto"/>
        </w:rPr>
      </w:pPr>
      <w:r>
        <w:rPr>
          <w:rFonts w:ascii="Times New Roman" w:cs="Times New Roman" w:eastAsia="Times New Roman" w:hAnsi="Times New Roman"/>
          <w:sz w:val="18"/>
          <w:szCs w:val="18"/>
          <w:color w:val="auto"/>
        </w:rPr>
        <w:t>for post-market studies or clinical trials to assess new safety risks, or imposition of distribution or other restrictions under a risk evaluation and mitigation strategy.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Controlled Substances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CSA and its implementing regulations establish a “closed system” of regulations for controlled substances. The CSA imposes registration, security,</w:t>
      </w:r>
    </w:p>
    <w:p>
      <w:pPr>
        <w:ind w:right="20"/>
        <w:spacing w:after="0" w:line="205" w:lineRule="auto"/>
        <w:rPr>
          <w:sz w:val="20"/>
          <w:szCs w:val="20"/>
          <w:color w:val="auto"/>
        </w:rPr>
      </w:pPr>
      <w:r>
        <w:rPr>
          <w:rFonts w:ascii="Times New Roman" w:cs="Times New Roman" w:eastAsia="Times New Roman" w:hAnsi="Times New Roman"/>
          <w:sz w:val="18"/>
          <w:szCs w:val="18"/>
          <w:color w:val="auto"/>
        </w:rPr>
        <w:t>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substances to comply with the regulatory requirements in order to prevent the diversion of controlled substances to illicit channels of commerce.</w:t>
      </w:r>
    </w:p>
    <w:p>
      <w:pPr>
        <w:spacing w:after="0" w:line="152"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w:t>
      </w:r>
    </w:p>
    <w:p>
      <w:pPr>
        <w:spacing w:after="0" w:line="212" w:lineRule="auto"/>
        <w:rPr>
          <w:sz w:val="20"/>
          <w:szCs w:val="20"/>
          <w:color w:val="auto"/>
        </w:rPr>
      </w:pPr>
      <w:r>
        <w:rPr>
          <w:rFonts w:ascii="Times New Roman" w:cs="Times New Roman" w:eastAsia="Times New Roman" w:hAnsi="Times New Roman"/>
          <w:sz w:val="18"/>
          <w:szCs w:val="18"/>
          <w:color w:val="auto"/>
        </w:rPr>
        <w:t>lack accepted safety for use under medical supervision. Because psilocybin and psilocin are listed as Schedule I substances under the CSA, for any product</w:t>
      </w:r>
    </w:p>
    <w:p>
      <w:pPr>
        <w:ind w:right="20"/>
        <w:spacing w:after="0" w:line="205" w:lineRule="auto"/>
        <w:rPr>
          <w:sz w:val="20"/>
          <w:szCs w:val="20"/>
          <w:color w:val="auto"/>
        </w:rPr>
      </w:pPr>
      <w:r>
        <w:rPr>
          <w:rFonts w:ascii="Times New Roman" w:cs="Times New Roman" w:eastAsia="Times New Roman" w:hAnsi="Times New Roman"/>
          <w:sz w:val="18"/>
          <w:szCs w:val="18"/>
          <w:color w:val="auto"/>
        </w:rPr>
        <w:t>containing psilocybin to be available for commercial marketing in the United States, psilocybin and psilocin must be rescheduled, or the product itself must be scheduled, by the DEA to Schedule II, III, IV or V. Scheduling determinations by the DEA are dependent on FDA approval of a substance or a specific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formulation of a substance.</w:t>
      </w:r>
    </w:p>
    <w:p>
      <w:pPr>
        <w:spacing w:after="0" w:line="176"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w:t>
      </w:r>
    </w:p>
    <w:p>
      <w:pPr>
        <w:spacing w:after="0"/>
        <w:rPr>
          <w:sz w:val="20"/>
          <w:szCs w:val="20"/>
          <w:color w:val="auto"/>
        </w:rPr>
      </w:pPr>
      <w:r>
        <w:rPr>
          <w:rFonts w:ascii="Times New Roman" w:cs="Times New Roman" w:eastAsia="Times New Roman" w:hAnsi="Times New Roman"/>
          <w:sz w:val="18"/>
          <w:szCs w:val="18"/>
          <w:color w:val="auto"/>
        </w:rPr>
        <w:t>each registration will specify which schedules of controlled substances are authorized.</w:t>
      </w:r>
    </w:p>
    <w:p>
      <w:pPr>
        <w:spacing w:after="0" w:line="152"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w:t>
      </w:r>
    </w:p>
    <w:p>
      <w:pPr>
        <w:ind w:right="20"/>
        <w:spacing w:after="0" w:line="230" w:lineRule="auto"/>
        <w:rPr>
          <w:sz w:val="20"/>
          <w:szCs w:val="20"/>
          <w:color w:val="auto"/>
        </w:rPr>
      </w:pPr>
      <w:r>
        <w:rPr>
          <w:rFonts w:ascii="Times New Roman" w:cs="Times New Roman" w:eastAsia="Times New Roman" w:hAnsi="Times New Roman"/>
          <w:sz w:val="18"/>
          <w:szCs w:val="18"/>
          <w:color w:val="auto"/>
        </w:rPr>
        <w:t>controlled substances handled. The most stringent requirements apply to manufacturers of Schedule I and Schedule II substances. Required security measures commonly include background checks on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60"/>
          </w:cols>
          <w:pgMar w:left="320" w:top="1438" w:right="319" w:bottom="1440" w:gutter="0" w:footer="0" w:header="0"/>
        </w:sectPr>
      </w:pPr>
    </w:p>
    <w:bookmarkStart w:id="47" w:name="page48"/>
    <w:bookmarkEnd w:id="47"/>
    <w:p>
      <w:pPr>
        <w:jc w:val="both"/>
        <w:spacing w:after="0" w:line="237" w:lineRule="auto"/>
        <w:rPr>
          <w:sz w:val="20"/>
          <w:szCs w:val="20"/>
          <w:color w:val="auto"/>
        </w:rPr>
      </w:pPr>
      <w:r>
        <w:rPr>
          <w:rFonts w:ascii="Times New Roman" w:cs="Times New Roman" w:eastAsia="Times New Roman" w:hAnsi="Times New Roman"/>
          <w:sz w:val="17"/>
          <w:szCs w:val="17"/>
          <w:color w:val="auto"/>
        </w:rPr>
        <w:t>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w:t>
      </w:r>
    </w:p>
    <w:p>
      <w:pPr>
        <w:spacing w:after="0" w:line="205" w:lineRule="auto"/>
        <w:rPr>
          <w:sz w:val="20"/>
          <w:szCs w:val="20"/>
          <w:color w:val="auto"/>
        </w:rPr>
      </w:pPr>
      <w:r>
        <w:rPr>
          <w:rFonts w:ascii="Times New Roman" w:cs="Times New Roman" w:eastAsia="Times New Roman" w:hAnsi="Times New Roman"/>
          <w:sz w:val="18"/>
          <w:szCs w:val="18"/>
          <w:color w:val="auto"/>
        </w:rPr>
        <w:t>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w:t>
      </w:r>
    </w:p>
    <w:p>
      <w:pPr>
        <w:spacing w:after="0" w:line="213" w:lineRule="auto"/>
        <w:rPr>
          <w:sz w:val="20"/>
          <w:szCs w:val="20"/>
          <w:color w:val="auto"/>
        </w:rPr>
      </w:pPr>
      <w:r>
        <w:rPr>
          <w:rFonts w:ascii="Times New Roman" w:cs="Times New Roman" w:eastAsia="Times New Roman" w:hAnsi="Times New Roman"/>
          <w:sz w:val="18"/>
          <w:szCs w:val="18"/>
          <w:color w:val="auto"/>
        </w:rPr>
        <w:t>dispose of controlled substances. Imports of Schedule I and II controlled substances for commercial purposes are generally restricted to substances not</w:t>
      </w:r>
    </w:p>
    <w:p>
      <w:pPr>
        <w:spacing w:after="0" w:line="217" w:lineRule="auto"/>
        <w:rPr>
          <w:sz w:val="20"/>
          <w:szCs w:val="20"/>
          <w:color w:val="auto"/>
        </w:rPr>
      </w:pPr>
      <w:r>
        <w:rPr>
          <w:rFonts w:ascii="Times New Roman" w:cs="Times New Roman" w:eastAsia="Times New Roman" w:hAnsi="Times New Roman"/>
          <w:sz w:val="17"/>
          <w:szCs w:val="17"/>
          <w:color w:val="auto"/>
        </w:rPr>
        <w:t>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 import or export declarations for Schedule III, IV and V non-narcotics.</w:t>
      </w:r>
    </w:p>
    <w:p>
      <w:pPr>
        <w:spacing w:after="0" w:line="152"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w:t>
      </w:r>
    </w:p>
    <w:p>
      <w:pPr>
        <w:spacing w:after="0" w:line="212" w:lineRule="auto"/>
        <w:rPr>
          <w:sz w:val="20"/>
          <w:szCs w:val="20"/>
          <w:color w:val="auto"/>
        </w:rPr>
      </w:pPr>
      <w:r>
        <w:rPr>
          <w:rFonts w:ascii="Times New Roman" w:cs="Times New Roman" w:eastAsia="Times New Roman" w:hAnsi="Times New Roman"/>
          <w:sz w:val="18"/>
          <w:szCs w:val="18"/>
          <w:color w:val="auto"/>
        </w:rPr>
        <w:t>and industrial needs. The quotas apply equally to the manufacturing of the active pharmaceutical ingredient and production of dosage forms. The DEA may</w:t>
      </w:r>
    </w:p>
    <w:p>
      <w:pPr>
        <w:spacing w:after="0" w:line="222" w:lineRule="auto"/>
        <w:rPr>
          <w:sz w:val="20"/>
          <w:szCs w:val="20"/>
          <w:color w:val="auto"/>
        </w:rPr>
      </w:pPr>
      <w:r>
        <w:rPr>
          <w:rFonts w:ascii="Times New Roman" w:cs="Times New Roman" w:eastAsia="Times New Roman" w:hAnsi="Times New Roman"/>
          <w:sz w:val="18"/>
          <w:szCs w:val="18"/>
          <w:color w:val="auto"/>
        </w:rPr>
        <w:t>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 U.S. states also establish and maintain separate controlled substance laws and regulations, including licensing, recordkeeping, security,</w:t>
      </w:r>
    </w:p>
    <w:p>
      <w:pPr>
        <w:jc w:val="both"/>
        <w:spacing w:after="0" w:line="205" w:lineRule="auto"/>
        <w:rPr>
          <w:sz w:val="20"/>
          <w:szCs w:val="20"/>
          <w:color w:val="auto"/>
        </w:rPr>
      </w:pPr>
      <w:r>
        <w:rPr>
          <w:rFonts w:ascii="Times New Roman" w:cs="Times New Roman" w:eastAsia="Times New Roman" w:hAnsi="Times New Roman"/>
          <w:sz w:val="18"/>
          <w:szCs w:val="18"/>
          <w:color w:val="auto"/>
        </w:rPr>
        <w:t>distribution, and dispensing requirements. A majority of state laws in the United States classify psilocybin as Schedule I controlled substances. State authorities, including boards of pharmacy, regulate use of controlled substances in each state. Failure to maintain compliance with applicable requirements,</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particularly as manifested in the loss or diversion of controlled substances, can result in enforcement action that could have a material adverse effect on the Company’s business, operations and financial condition. The DEA may seek civil penalties, refuse to renew necessary registrations, or initiate proceedings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revoke those registrations. In certain circumstances, violations could lead to criminal prosecution.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Patent Cooperation Treaty</w:t>
      </w:r>
    </w:p>
    <w:p>
      <w:pPr>
        <w:spacing w:after="0" w:line="16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PCT facilitates filing for patent recognition in multiple jurisdictions simultaneously using a single uniform patent application. 193 countries, including Canada and the United States have ratified the PCT.</w:t>
      </w:r>
    </w:p>
    <w:p>
      <w:pPr>
        <w:spacing w:after="0" w:line="14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Within 12 months of filing a provisional patent application at the United States Patent and Trademark Office, the Company may elect to file a regular utility</w:t>
      </w:r>
    </w:p>
    <w:p>
      <w:pPr>
        <w:spacing w:after="0" w:line="8"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desired jurisdictions globally, such as Canada (30 months) and Europe (31 months), in each case claiming priority to the provisional patent application.</w:t>
      </w:r>
    </w:p>
    <w:p>
      <w:pPr>
        <w:spacing w:after="0" w:line="152"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w:t>
      </w:r>
    </w:p>
    <w:p>
      <w:pPr>
        <w:spacing w:after="0" w:line="212" w:lineRule="auto"/>
        <w:rPr>
          <w:sz w:val="20"/>
          <w:szCs w:val="20"/>
          <w:color w:val="auto"/>
        </w:rPr>
      </w:pPr>
      <w:r>
        <w:rPr>
          <w:rFonts w:ascii="Times New Roman" w:cs="Times New Roman" w:eastAsia="Times New Roman" w:hAnsi="Times New Roman"/>
          <w:sz w:val="18"/>
          <w:szCs w:val="18"/>
          <w:color w:val="auto"/>
        </w:rPr>
        <w:t>approved laboratory clinical trial settings conducted within approved regulatory frameworks. Though highly speculative, should any prescription drug</w:t>
      </w:r>
    </w:p>
    <w:p>
      <w:pPr>
        <w:spacing w:after="0" w:line="205" w:lineRule="auto"/>
        <w:rPr>
          <w:sz w:val="20"/>
          <w:szCs w:val="20"/>
          <w:color w:val="auto"/>
        </w:rPr>
      </w:pPr>
      <w:r>
        <w:rPr>
          <w:rFonts w:ascii="Times New Roman" w:cs="Times New Roman" w:eastAsia="Times New Roman" w:hAnsi="Times New Roman"/>
          <w:sz w:val="18"/>
          <w:szCs w:val="18"/>
          <w:color w:val="auto"/>
        </w:rPr>
        <w:t>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developed. The Company may also employ non-prescription drugs, where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3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auto"/>
        </w:rPr>
        <w:t>Ireland</w:t>
      </w:r>
    </w:p>
    <w:p>
      <w:pPr>
        <w:spacing w:after="0" w:line="19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Ireland, psilocin is a controlled substance under the Misuse of Drugs Act, 1977, 1984 and 2015 (the “</w:t>
      </w:r>
      <w:r>
        <w:rPr>
          <w:rFonts w:ascii="Times New Roman" w:cs="Times New Roman" w:eastAsia="Times New Roman" w:hAnsi="Times New Roman"/>
          <w:sz w:val="18"/>
          <w:szCs w:val="18"/>
          <w:b w:val="1"/>
          <w:bCs w:val="1"/>
          <w:color w:val="auto"/>
        </w:rPr>
        <w:t>Ireland MDA</w:t>
      </w:r>
      <w:r>
        <w:rPr>
          <w:rFonts w:ascii="Times New Roman" w:cs="Times New Roman" w:eastAsia="Times New Roman" w:hAnsi="Times New Roman"/>
          <w:sz w:val="18"/>
          <w:szCs w:val="18"/>
          <w:color w:val="auto"/>
        </w:rPr>
        <w:t>”), the Misuse of Drugs Regulations 2017 (the “</w:t>
      </w:r>
      <w:r>
        <w:rPr>
          <w:rFonts w:ascii="Times New Roman" w:cs="Times New Roman" w:eastAsia="Times New Roman" w:hAnsi="Times New Roman"/>
          <w:sz w:val="18"/>
          <w:szCs w:val="18"/>
          <w:b w:val="1"/>
          <w:bCs w:val="1"/>
          <w:color w:val="auto"/>
        </w:rPr>
        <w:t>Ireland MDR</w:t>
      </w:r>
      <w:r>
        <w:rPr>
          <w:rFonts w:ascii="Times New Roman" w:cs="Times New Roman" w:eastAsia="Times New Roman" w:hAnsi="Times New Roman"/>
          <w:sz w:val="18"/>
          <w:szCs w:val="18"/>
          <w:color w:val="auto"/>
        </w:rPr>
        <w:t>”) and the Criminal Justice (Psychoactive Substances) Act 2010. These are the primary legislative instruments which govern</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controlled substances in Ireland. This legislation regulates the use, possession, supply, licensing, and administration of listed scheduled substances and establishes the offences and penalties for anything done contrary to the legislation.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substance, product or preparation (whether natural or otherwise) including a fungus of any kind or description, which contains psilocin or an ester of</w:t>
      </w:r>
    </w:p>
    <w:p>
      <w:pPr>
        <w:jc w:val="both"/>
        <w:spacing w:after="0" w:line="205" w:lineRule="auto"/>
        <w:rPr>
          <w:sz w:val="20"/>
          <w:szCs w:val="20"/>
          <w:color w:val="auto"/>
        </w:rPr>
      </w:pPr>
      <w:r>
        <w:rPr>
          <w:rFonts w:ascii="Times New Roman" w:cs="Times New Roman" w:eastAsia="Times New Roman" w:hAnsi="Times New Roman"/>
          <w:sz w:val="18"/>
          <w:szCs w:val="18"/>
          <w:color w:val="auto"/>
        </w:rPr>
        <w:t>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mushrooms’)” within the strict regime of control that applies to those substances in Schedule 1 of the Ireland MDR. Accordingly, psilocin will qualify as a Schedule 1 controlled substance and is subject to the strict regime of control that applies.</w:t>
      </w:r>
    </w:p>
    <w:p>
      <w:pPr>
        <w:spacing w:after="0" w:line="1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Ireland MDA, in certain circumstances, the Minister for Health “may grant licences or issue permits or authorizations for any of the purposes</w:t>
      </w:r>
    </w:p>
    <w:p>
      <w:pPr>
        <w:spacing w:after="0" w:line="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documenting controlled substances.</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w:t>
      </w:r>
    </w:p>
    <w:p>
      <w:pPr>
        <w:spacing w:after="0"/>
        <w:rPr>
          <w:sz w:val="20"/>
          <w:szCs w:val="20"/>
          <w:color w:val="auto"/>
        </w:rPr>
      </w:pPr>
      <w:r>
        <w:rPr>
          <w:rFonts w:ascii="Times New Roman" w:cs="Times New Roman" w:eastAsia="Times New Roman" w:hAnsi="Times New Roman"/>
          <w:sz w:val="18"/>
          <w:szCs w:val="18"/>
          <w:color w:val="auto"/>
        </w:rPr>
        <w:t>compliance with all applicable laws as the operations evolve.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Objectives of the Company</w:t>
      </w:r>
    </w:p>
    <w:p>
      <w:pPr>
        <w:spacing w:after="0" w:line="16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Key elements of the Company’s growth strategy include: (i) progressing its psychedelic division through the development and commercialization of key psychedelic molecules (including tryptamines and phenethylamines) and delivery mechanisms; (ii) working to develop the synthetic production of</w:t>
      </w:r>
    </w:p>
    <w:p>
      <w:pPr>
        <w:jc w:val="both"/>
        <w:spacing w:after="0" w:line="205" w:lineRule="auto"/>
        <w:rPr>
          <w:sz w:val="20"/>
          <w:szCs w:val="20"/>
          <w:color w:val="auto"/>
        </w:rPr>
      </w:pPr>
      <w:r>
        <w:rPr>
          <w:rFonts w:ascii="Times New Roman" w:cs="Times New Roman" w:eastAsia="Times New Roman" w:hAnsi="Times New Roman"/>
          <w:sz w:val="18"/>
          <w:szCs w:val="18"/>
          <w:color w:val="auto"/>
        </w:rPr>
        <w:t>deuterated psychedelic active pharmaceutical ingredients; (iii) obtaining regulatory approval for an approved psilocybin product targeting MDD; (iv) establishing strategic partnerships to advance its scientific research and to develop patented or trade secret intellectual property for the Company’s new</w:t>
      </w:r>
    </w:p>
    <w:p>
      <w:pPr>
        <w:spacing w:after="0" w:line="213" w:lineRule="auto"/>
        <w:rPr>
          <w:sz w:val="20"/>
          <w:szCs w:val="20"/>
          <w:color w:val="auto"/>
        </w:rPr>
      </w:pPr>
      <w:r>
        <w:rPr>
          <w:rFonts w:ascii="Times New Roman" w:cs="Times New Roman" w:eastAsia="Times New Roman" w:hAnsi="Times New Roman"/>
          <w:sz w:val="18"/>
          <w:szCs w:val="18"/>
          <w:color w:val="auto"/>
        </w:rPr>
        <w:t>psychedelic chemical compounds and processes related to psychedelics; (v) sponsoring clinical studies to determine the safety and efficacy of delivery</w:t>
      </w:r>
    </w:p>
    <w:p>
      <w:pPr>
        <w:jc w:val="both"/>
        <w:spacing w:after="0" w:line="205" w:lineRule="auto"/>
        <w:rPr>
          <w:sz w:val="20"/>
          <w:szCs w:val="20"/>
          <w:color w:val="auto"/>
        </w:rPr>
      </w:pPr>
      <w:r>
        <w:rPr>
          <w:rFonts w:ascii="Times New Roman" w:cs="Times New Roman" w:eastAsia="Times New Roman" w:hAnsi="Times New Roman"/>
          <w:sz w:val="18"/>
          <w:szCs w:val="18"/>
          <w:color w:val="auto"/>
        </w:rPr>
        <w:t>mechanisms, chemically synthesised psychedelic compounds and screening protocols; and (vi) developing digital mental wellness platforms to support the promotion and commercialization of prescription and consumer products, including the Company’s custom formulated products centered around non-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regulated medicinal mushrooms and adaptogens through various form factors such as capsules, mixable powders, and effervescent tablets.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Events or Milestones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achieve the broad business objectives set out above, the Company has established the following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38" w:right="339" w:bottom="1440" w:gutter="0" w:footer="0" w:header="0"/>
        </w:sectPr>
      </w:pPr>
    </w:p>
    <w:bookmarkStart w:id="49" w:name="page50"/>
    <w:bookmarkEnd w:id="49"/>
    <w:p>
      <w:pPr>
        <w:spacing w:after="0" w:line="36" w:lineRule="exact"/>
        <w:rPr>
          <w:sz w:val="20"/>
          <w:szCs w:val="20"/>
          <w:color w:val="auto"/>
        </w:rPr>
      </w:pPr>
    </w:p>
    <w:tbl>
      <w:tblPr>
        <w:tblLayout w:type="fixed"/>
        <w:tblInd w:w="12" w:type="dxa"/>
        <w:tblCellMar>
          <w:top w:w="0" w:type="dxa"/>
          <w:left w:w="0" w:type="dxa"/>
          <w:bottom w:w="0" w:type="dxa"/>
          <w:right w:w="0" w:type="dxa"/>
        </w:tblCellMar>
      </w:tblPr>
      <w:tr>
        <w:trPr>
          <w:trHeight w:val="227"/>
        </w:trPr>
        <w:tc>
          <w:tcPr>
            <w:tcW w:w="2260" w:type="dxa"/>
            <w:vAlign w:val="bottom"/>
            <w:tcBorders>
              <w:top w:val="single" w:sz="8" w:color="auto"/>
              <w:left w:val="single" w:sz="8" w:color="auto"/>
              <w:right w:val="single" w:sz="8" w:color="auto"/>
            </w:tcBorders>
            <w:vMerge w:val="restart"/>
            <w:shd w:val="clear" w:color="auto" w:fill="D9D9D9"/>
          </w:tcPr>
          <w:p>
            <w:pPr>
              <w:ind w:left="820"/>
              <w:spacing w:after="0"/>
              <w:rPr>
                <w:sz w:val="20"/>
                <w:szCs w:val="20"/>
                <w:color w:val="auto"/>
              </w:rPr>
            </w:pPr>
            <w:r>
              <w:rPr>
                <w:rFonts w:ascii="Times New Roman" w:cs="Times New Roman" w:eastAsia="Times New Roman" w:hAnsi="Times New Roman"/>
                <w:sz w:val="15"/>
                <w:szCs w:val="15"/>
                <w:b w:val="1"/>
                <w:bCs w:val="1"/>
                <w:color w:val="auto"/>
              </w:rPr>
              <w:t>Objective</w:t>
            </w:r>
          </w:p>
        </w:tc>
        <w:tc>
          <w:tcPr>
            <w:tcW w:w="5140" w:type="dxa"/>
            <w:vAlign w:val="bottom"/>
            <w:tcBorders>
              <w:top w:val="single" w:sz="8" w:color="auto"/>
              <w:right w:val="single" w:sz="8" w:color="auto"/>
            </w:tcBorders>
            <w:vMerge w:val="restart"/>
            <w:shd w:val="clear" w:color="auto" w:fill="D9D9D9"/>
          </w:tcPr>
          <w:p>
            <w:pPr>
              <w:ind w:left="2140"/>
              <w:spacing w:after="0"/>
              <w:rPr>
                <w:sz w:val="20"/>
                <w:szCs w:val="20"/>
                <w:color w:val="auto"/>
              </w:rPr>
            </w:pPr>
            <w:r>
              <w:rPr>
                <w:rFonts w:ascii="Times New Roman" w:cs="Times New Roman" w:eastAsia="Times New Roman" w:hAnsi="Times New Roman"/>
                <w:sz w:val="15"/>
                <w:szCs w:val="15"/>
                <w:b w:val="1"/>
                <w:bCs w:val="1"/>
                <w:color w:val="auto"/>
              </w:rPr>
              <w:t>Milestone</w:t>
            </w:r>
            <w:r>
              <w:rPr>
                <w:rFonts w:ascii="Times New Roman" w:cs="Times New Roman" w:eastAsia="Times New Roman" w:hAnsi="Times New Roman"/>
                <w:sz w:val="19"/>
                <w:szCs w:val="19"/>
                <w:b w:val="1"/>
                <w:bCs w:val="1"/>
                <w:color w:val="auto"/>
                <w:vertAlign w:val="superscript"/>
              </w:rPr>
              <w:t>(1)(2)</w:t>
            </w:r>
          </w:p>
        </w:tc>
        <w:tc>
          <w:tcPr>
            <w:tcW w:w="19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Actual/Estimated Timeframe</w:t>
            </w:r>
          </w:p>
        </w:tc>
        <w:tc>
          <w:tcPr>
            <w:tcW w:w="19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0" w:type="dxa"/>
            <w:vAlign w:val="bottom"/>
          </w:tcPr>
          <w:p>
            <w:pPr>
              <w:spacing w:after="0"/>
              <w:rPr>
                <w:sz w:val="1"/>
                <w:szCs w:val="1"/>
                <w:color w:val="auto"/>
              </w:rPr>
            </w:pPr>
          </w:p>
        </w:tc>
      </w:tr>
      <w:tr>
        <w:trPr>
          <w:trHeight w:val="160"/>
        </w:trPr>
        <w:tc>
          <w:tcPr>
            <w:tcW w:w="2260" w:type="dxa"/>
            <w:vAlign w:val="bottom"/>
            <w:tcBorders>
              <w:left w:val="single" w:sz="8" w:color="auto"/>
              <w:right w:val="single" w:sz="8" w:color="auto"/>
            </w:tcBorders>
            <w:vMerge w:val="continue"/>
            <w:shd w:val="clear" w:color="auto" w:fill="D9D9D9"/>
          </w:tcPr>
          <w:p>
            <w:pPr>
              <w:spacing w:after="0"/>
              <w:rPr>
                <w:sz w:val="13"/>
                <w:szCs w:val="13"/>
                <w:color w:val="auto"/>
              </w:rPr>
            </w:pPr>
          </w:p>
        </w:tc>
        <w:tc>
          <w:tcPr>
            <w:tcW w:w="5140" w:type="dxa"/>
            <w:vAlign w:val="bottom"/>
            <w:tcBorders>
              <w:right w:val="single" w:sz="8" w:color="auto"/>
            </w:tcBorders>
            <w:vMerge w:val="continue"/>
            <w:shd w:val="clear" w:color="auto" w:fill="D9D9D9"/>
          </w:tcPr>
          <w:p>
            <w:pPr>
              <w:spacing w:after="0"/>
              <w:rPr>
                <w:sz w:val="13"/>
                <w:szCs w:val="13"/>
                <w:color w:val="auto"/>
              </w:rPr>
            </w:pPr>
          </w:p>
        </w:tc>
        <w:tc>
          <w:tcPr>
            <w:tcW w:w="19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for Completion</w:t>
            </w:r>
            <w:r>
              <w:rPr>
                <w:rFonts w:ascii="Times New Roman" w:cs="Times New Roman" w:eastAsia="Times New Roman" w:hAnsi="Times New Roman"/>
                <w:sz w:val="19"/>
                <w:szCs w:val="19"/>
                <w:b w:val="1"/>
                <w:bCs w:val="1"/>
                <w:color w:val="auto"/>
                <w:w w:val="94"/>
                <w:vertAlign w:val="superscript"/>
              </w:rPr>
              <w:t>(3)</w:t>
            </w:r>
          </w:p>
        </w:tc>
        <w:tc>
          <w:tcPr>
            <w:tcW w:w="1960" w:type="dxa"/>
            <w:vAlign w:val="bottom"/>
            <w:tcBorders>
              <w:right w:val="single" w:sz="8" w:color="auto"/>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26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5140" w:type="dxa"/>
            <w:vAlign w:val="bottom"/>
            <w:tcBorders>
              <w:bottom w:val="single" w:sz="8" w:color="auto"/>
              <w:right w:val="single" w:sz="8" w:color="auto"/>
            </w:tcBorders>
            <w:shd w:val="clear" w:color="auto" w:fill="D9D9D9"/>
          </w:tcPr>
          <w:p>
            <w:pPr>
              <w:spacing w:after="0"/>
              <w:rPr>
                <w:sz w:val="6"/>
                <w:szCs w:val="6"/>
                <w:color w:val="auto"/>
              </w:rPr>
            </w:pPr>
          </w:p>
        </w:tc>
        <w:tc>
          <w:tcPr>
            <w:tcW w:w="1920" w:type="dxa"/>
            <w:vAlign w:val="bottom"/>
            <w:tcBorders>
              <w:bottom w:val="single" w:sz="8" w:color="auto"/>
              <w:right w:val="single" w:sz="8" w:color="auto"/>
            </w:tcBorders>
            <w:vMerge w:val="continue"/>
            <w:shd w:val="clear" w:color="auto" w:fill="D9D9D9"/>
          </w:tcPr>
          <w:p>
            <w:pPr>
              <w:spacing w:after="0"/>
              <w:rPr>
                <w:sz w:val="6"/>
                <w:szCs w:val="6"/>
                <w:color w:val="auto"/>
              </w:rPr>
            </w:pPr>
          </w:p>
        </w:tc>
        <w:tc>
          <w:tcPr>
            <w:tcW w:w="1960" w:type="dxa"/>
            <w:vAlign w:val="bottom"/>
            <w:tcBorders>
              <w:bottom w:val="single" w:sz="8" w:color="auto"/>
              <w:right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Psilocybin Program</w:t>
            </w:r>
            <w:r>
              <w:rPr>
                <w:rFonts w:ascii="Times New Roman" w:cs="Times New Roman" w:eastAsia="Times New Roman" w:hAnsi="Times New Roman"/>
                <w:sz w:val="19"/>
                <w:szCs w:val="19"/>
                <w:color w:val="auto"/>
                <w:vertAlign w:val="superscript"/>
              </w:rPr>
              <w:t>(4)</w:t>
            </w:r>
          </w:p>
        </w:tc>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Chemically develop and synthesize psychedelic APIs</w:t>
            </w:r>
            <w:r>
              <w:rPr>
                <w:rFonts w:ascii="Times New Roman" w:cs="Times New Roman" w:eastAsia="Times New Roman" w:hAnsi="Times New Roman"/>
                <w:sz w:val="19"/>
                <w:szCs w:val="19"/>
                <w:color w:val="auto"/>
                <w:vertAlign w:val="superscript"/>
              </w:rPr>
              <w:t>(5)</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Q1 2021</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Completed</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right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Development of psilocybin Sublingual Film</w:t>
            </w:r>
            <w:r>
              <w:rPr>
                <w:rFonts w:ascii="Times New Roman" w:cs="Times New Roman" w:eastAsia="Times New Roman" w:hAnsi="Times New Roman"/>
                <w:sz w:val="19"/>
                <w:szCs w:val="19"/>
                <w:color w:val="auto"/>
                <w:vertAlign w:val="superscript"/>
              </w:rPr>
              <w:t>(6)</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Merged</w:t>
            </w:r>
            <w:r>
              <w:rPr>
                <w:rFonts w:ascii="Times New Roman" w:cs="Times New Roman" w:eastAsia="Times New Roman" w:hAnsi="Times New Roman"/>
                <w:sz w:val="19"/>
                <w:szCs w:val="19"/>
                <w:color w:val="auto"/>
                <w:w w:val="91"/>
                <w:vertAlign w:val="superscript"/>
              </w:rPr>
              <w:t>(4)</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right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Phase IIa MDD study completed with data</w:t>
            </w:r>
            <w:r>
              <w:rPr>
                <w:rFonts w:ascii="Times New Roman" w:cs="Times New Roman" w:eastAsia="Times New Roman" w:hAnsi="Times New Roman"/>
                <w:sz w:val="19"/>
                <w:szCs w:val="19"/>
                <w:color w:val="auto"/>
                <w:vertAlign w:val="superscript"/>
              </w:rPr>
              <w:t>(7)</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Merged</w:t>
            </w:r>
            <w:r>
              <w:rPr>
                <w:rFonts w:ascii="Times New Roman" w:cs="Times New Roman" w:eastAsia="Times New Roman" w:hAnsi="Times New Roman"/>
                <w:sz w:val="19"/>
                <w:szCs w:val="19"/>
                <w:color w:val="auto"/>
                <w:w w:val="91"/>
                <w:vertAlign w:val="superscript"/>
              </w:rPr>
              <w:t>(4)</w:t>
            </w: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right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Phase IIb MDD study completed with data</w:t>
            </w:r>
            <w:r>
              <w:rPr>
                <w:rFonts w:ascii="Times New Roman" w:cs="Times New Roman" w:eastAsia="Times New Roman" w:hAnsi="Times New Roman"/>
                <w:sz w:val="19"/>
                <w:szCs w:val="19"/>
                <w:color w:val="auto"/>
                <w:vertAlign w:val="superscript"/>
              </w:rPr>
              <w:t>(7)</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Merged</w:t>
            </w:r>
            <w:r>
              <w:rPr>
                <w:rFonts w:ascii="Times New Roman" w:cs="Times New Roman" w:eastAsia="Times New Roman" w:hAnsi="Times New Roman"/>
                <w:sz w:val="19"/>
                <w:szCs w:val="19"/>
                <w:color w:val="auto"/>
                <w:w w:val="91"/>
                <w:vertAlign w:val="superscript"/>
              </w:rPr>
              <w:t>(4)</w:t>
            </w:r>
          </w:p>
        </w:tc>
        <w:tc>
          <w:tcPr>
            <w:tcW w:w="0" w:type="dxa"/>
            <w:vAlign w:val="bottom"/>
          </w:tcPr>
          <w:p>
            <w:pPr>
              <w:spacing w:after="0"/>
              <w:rPr>
                <w:sz w:val="1"/>
                <w:szCs w:val="1"/>
                <w:color w:val="auto"/>
              </w:rPr>
            </w:pPr>
          </w:p>
        </w:tc>
      </w:tr>
      <w:tr>
        <w:trPr>
          <w:trHeight w:val="224"/>
        </w:trPr>
        <w:tc>
          <w:tcPr>
            <w:tcW w:w="2260" w:type="dxa"/>
            <w:vAlign w:val="bottom"/>
            <w:tcBorders>
              <w:left w:val="single" w:sz="8" w:color="auto"/>
              <w:right w:val="single" w:sz="8" w:color="auto"/>
            </w:tcBorders>
          </w:tcPr>
          <w:p>
            <w:pPr>
              <w:spacing w:after="0"/>
              <w:rPr>
                <w:sz w:val="19"/>
                <w:szCs w:val="19"/>
                <w:color w:val="auto"/>
              </w:rPr>
            </w:pP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Support of additional phase IIb study sites in Canada and the United States</w:t>
            </w:r>
            <w:r>
              <w:rPr>
                <w:rFonts w:ascii="Times New Roman" w:cs="Times New Roman" w:eastAsia="Times New Roman" w:hAnsi="Times New Roman"/>
                <w:sz w:val="19"/>
                <w:szCs w:val="19"/>
                <w:color w:val="auto"/>
                <w:vertAlign w:val="superscript"/>
              </w:rPr>
              <w:t>(7)</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1"/>
              </w:rPr>
              <w:t>Merged</w:t>
            </w:r>
            <w:r>
              <w:rPr>
                <w:rFonts w:ascii="Times New Roman" w:cs="Times New Roman" w:eastAsia="Times New Roman" w:hAnsi="Times New Roman"/>
                <w:sz w:val="19"/>
                <w:szCs w:val="19"/>
                <w:color w:val="auto"/>
                <w:w w:val="91"/>
                <w:vertAlign w:val="superscript"/>
              </w:rPr>
              <w:t>(4)</w:t>
            </w:r>
          </w:p>
        </w:tc>
        <w:tc>
          <w:tcPr>
            <w:tcW w:w="0" w:type="dxa"/>
            <w:vAlign w:val="bottom"/>
          </w:tcPr>
          <w:p>
            <w:pPr>
              <w:spacing w:after="0"/>
              <w:rPr>
                <w:sz w:val="1"/>
                <w:szCs w:val="1"/>
                <w:color w:val="auto"/>
              </w:rPr>
            </w:pPr>
          </w:p>
        </w:tc>
      </w:tr>
      <w:tr>
        <w:trPr>
          <w:trHeight w:val="106"/>
        </w:trPr>
        <w:tc>
          <w:tcPr>
            <w:tcW w:w="2260" w:type="dxa"/>
            <w:vAlign w:val="bottom"/>
            <w:tcBorders>
              <w:left w:val="single" w:sz="8" w:color="auto"/>
              <w:right w:val="single" w:sz="8" w:color="auto"/>
            </w:tcBorders>
          </w:tcPr>
          <w:p>
            <w:pPr>
              <w:spacing w:after="0"/>
              <w:rPr>
                <w:sz w:val="9"/>
                <w:szCs w:val="9"/>
                <w:color w:val="auto"/>
              </w:rPr>
            </w:pPr>
          </w:p>
        </w:tc>
        <w:tc>
          <w:tcPr>
            <w:tcW w:w="514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260" w:type="dxa"/>
            <w:vAlign w:val="bottom"/>
            <w:tcBorders>
              <w:left w:val="single" w:sz="8" w:color="auto"/>
              <w:right w:val="single" w:sz="8" w:color="auto"/>
            </w:tcBorders>
          </w:tcPr>
          <w:p>
            <w:pPr>
              <w:spacing w:after="0"/>
              <w:rPr>
                <w:sz w:val="3"/>
                <w:szCs w:val="3"/>
                <w:color w:val="auto"/>
              </w:rPr>
            </w:pPr>
          </w:p>
        </w:tc>
        <w:tc>
          <w:tcPr>
            <w:tcW w:w="514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260" w:type="dxa"/>
            <w:vAlign w:val="bottom"/>
            <w:tcBorders>
              <w:left w:val="single" w:sz="8" w:color="auto"/>
              <w:right w:val="single" w:sz="8" w:color="auto"/>
            </w:tcBorders>
          </w:tcPr>
          <w:p>
            <w:pPr>
              <w:spacing w:after="0"/>
              <w:rPr>
                <w:sz w:val="21"/>
                <w:szCs w:val="21"/>
                <w:color w:val="auto"/>
              </w:rPr>
            </w:pP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Commence microdose study with the Canadian Centre of Psychedelic Science</w:t>
            </w:r>
            <w:r>
              <w:rPr>
                <w:rFonts w:ascii="Times New Roman" w:cs="Times New Roman" w:eastAsia="Times New Roman" w:hAnsi="Times New Roman"/>
                <w:sz w:val="19"/>
                <w:szCs w:val="19"/>
                <w:color w:val="auto"/>
                <w:vertAlign w:val="superscript"/>
              </w:rPr>
              <w:t>(8)</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Cancelled</w:t>
            </w:r>
          </w:p>
        </w:tc>
        <w:tc>
          <w:tcPr>
            <w:tcW w:w="0" w:type="dxa"/>
            <w:vAlign w:val="bottom"/>
          </w:tcPr>
          <w:p>
            <w:pPr>
              <w:spacing w:after="0"/>
              <w:rPr>
                <w:sz w:val="1"/>
                <w:szCs w:val="1"/>
                <w:color w:val="auto"/>
              </w:rPr>
            </w:pPr>
          </w:p>
        </w:tc>
      </w:tr>
      <w:tr>
        <w:trPr>
          <w:trHeight w:val="60"/>
        </w:trPr>
        <w:tc>
          <w:tcPr>
            <w:tcW w:w="2260" w:type="dxa"/>
            <w:vAlign w:val="bottom"/>
            <w:tcBorders>
              <w:left w:val="single" w:sz="8" w:color="auto"/>
              <w:right w:val="single" w:sz="8" w:color="auto"/>
            </w:tcBorders>
          </w:tcPr>
          <w:p>
            <w:pPr>
              <w:spacing w:after="0"/>
              <w:rPr>
                <w:sz w:val="5"/>
                <w:szCs w:val="5"/>
                <w:color w:val="auto"/>
              </w:rPr>
            </w:pPr>
          </w:p>
        </w:tc>
        <w:tc>
          <w:tcPr>
            <w:tcW w:w="5140" w:type="dxa"/>
            <w:vAlign w:val="bottom"/>
            <w:tcBorders>
              <w:right w:val="single" w:sz="8" w:color="auto"/>
            </w:tcBorders>
          </w:tcPr>
          <w:p>
            <w:pPr>
              <w:spacing w:after="0"/>
              <w:rPr>
                <w:sz w:val="5"/>
                <w:szCs w:val="5"/>
                <w:color w:val="auto"/>
              </w:rPr>
            </w:pPr>
          </w:p>
        </w:tc>
        <w:tc>
          <w:tcPr>
            <w:tcW w:w="1920" w:type="dxa"/>
            <w:vAlign w:val="bottom"/>
            <w:tcBorders>
              <w:right w:val="single" w:sz="8" w:color="auto"/>
            </w:tcBorders>
            <w:vMerge w:val="continue"/>
          </w:tcPr>
          <w:p>
            <w:pPr>
              <w:spacing w:after="0"/>
              <w:rPr>
                <w:sz w:val="5"/>
                <w:szCs w:val="5"/>
                <w:color w:val="auto"/>
              </w:rPr>
            </w:pPr>
          </w:p>
        </w:tc>
        <w:tc>
          <w:tcPr>
            <w:tcW w:w="19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260" w:type="dxa"/>
            <w:vAlign w:val="bottom"/>
            <w:tcBorders>
              <w:left w:val="single" w:sz="8" w:color="auto"/>
              <w:bottom w:val="single" w:sz="8" w:color="auto"/>
              <w:right w:val="single" w:sz="8" w:color="auto"/>
            </w:tcBorders>
          </w:tcPr>
          <w:p>
            <w:pPr>
              <w:spacing w:after="0"/>
              <w:rPr>
                <w:sz w:val="11"/>
                <w:szCs w:val="11"/>
                <w:color w:val="auto"/>
              </w:rPr>
            </w:pPr>
          </w:p>
        </w:tc>
        <w:tc>
          <w:tcPr>
            <w:tcW w:w="5140" w:type="dxa"/>
            <w:vAlign w:val="bottom"/>
            <w:tcBorders>
              <w:bottom w:val="single" w:sz="8" w:color="auto"/>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26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Deuterated Psilocybin Analog</w:t>
            </w: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Completion of IND enabling pre-clinical studies</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Q2-2022</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Completed</w:t>
            </w:r>
          </w:p>
        </w:tc>
        <w:tc>
          <w:tcPr>
            <w:tcW w:w="0" w:type="dxa"/>
            <w:vAlign w:val="bottom"/>
          </w:tcPr>
          <w:p>
            <w:pPr>
              <w:spacing w:after="0"/>
              <w:rPr>
                <w:sz w:val="1"/>
                <w:szCs w:val="1"/>
                <w:color w:val="auto"/>
              </w:rPr>
            </w:pPr>
          </w:p>
        </w:tc>
      </w:tr>
      <w:tr>
        <w:trPr>
          <w:trHeight w:val="61"/>
        </w:trPr>
        <w:tc>
          <w:tcPr>
            <w:tcW w:w="2260" w:type="dxa"/>
            <w:vAlign w:val="bottom"/>
            <w:tcBorders>
              <w:left w:val="single" w:sz="8" w:color="auto"/>
              <w:right w:val="single" w:sz="8" w:color="auto"/>
            </w:tcBorders>
            <w:vMerge w:val="continue"/>
          </w:tcPr>
          <w:p>
            <w:pPr>
              <w:spacing w:after="0"/>
              <w:rPr>
                <w:sz w:val="5"/>
                <w:szCs w:val="5"/>
                <w:color w:val="auto"/>
              </w:rPr>
            </w:pPr>
          </w:p>
        </w:tc>
        <w:tc>
          <w:tcPr>
            <w:tcW w:w="5140" w:type="dxa"/>
            <w:vAlign w:val="bottom"/>
            <w:tcBorders>
              <w:right w:val="single" w:sz="8" w:color="auto"/>
            </w:tcBorders>
          </w:tcPr>
          <w:p>
            <w:pPr>
              <w:spacing w:after="0"/>
              <w:rPr>
                <w:sz w:val="5"/>
                <w:szCs w:val="5"/>
                <w:color w:val="auto"/>
              </w:rPr>
            </w:pPr>
          </w:p>
        </w:tc>
        <w:tc>
          <w:tcPr>
            <w:tcW w:w="1920" w:type="dxa"/>
            <w:vAlign w:val="bottom"/>
            <w:tcBorders>
              <w:right w:val="single" w:sz="8" w:color="auto"/>
            </w:tcBorders>
            <w:vMerge w:val="continue"/>
          </w:tcPr>
          <w:p>
            <w:pPr>
              <w:spacing w:after="0"/>
              <w:rPr>
                <w:sz w:val="5"/>
                <w:szCs w:val="5"/>
                <w:color w:val="auto"/>
              </w:rPr>
            </w:pPr>
          </w:p>
        </w:tc>
        <w:tc>
          <w:tcPr>
            <w:tcW w:w="19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26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Program</w:t>
            </w:r>
            <w:r>
              <w:rPr>
                <w:rFonts w:ascii="Times New Roman" w:cs="Times New Roman" w:eastAsia="Times New Roman" w:hAnsi="Times New Roman"/>
                <w:sz w:val="19"/>
                <w:szCs w:val="19"/>
                <w:color w:val="auto"/>
                <w:vertAlign w:val="superscript"/>
              </w:rPr>
              <w:t>(4)</w:t>
            </w:r>
          </w:p>
        </w:tc>
        <w:tc>
          <w:tcPr>
            <w:tcW w:w="514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vMerge w:val="continue"/>
          </w:tcPr>
          <w:p>
            <w:pPr>
              <w:spacing w:after="0"/>
              <w:rPr>
                <w:sz w:val="16"/>
                <w:szCs w:val="16"/>
                <w:color w:val="auto"/>
              </w:rPr>
            </w:pPr>
          </w:p>
        </w:tc>
        <w:tc>
          <w:tcPr>
            <w:tcW w:w="51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Progression of post IND enabling pre-clinical studies</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2"/>
              </w:rPr>
              <w:t>Ongoing</w:t>
            </w:r>
            <w:r>
              <w:rPr>
                <w:rFonts w:ascii="Times New Roman" w:cs="Times New Roman" w:eastAsia="Times New Roman" w:hAnsi="Times New Roman"/>
                <w:sz w:val="19"/>
                <w:szCs w:val="19"/>
                <w:color w:val="auto"/>
                <w:w w:val="92"/>
                <w:vertAlign w:val="superscript"/>
              </w:rPr>
              <w:t>(9)</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123"/>
        </w:trPr>
        <w:tc>
          <w:tcPr>
            <w:tcW w:w="2260" w:type="dxa"/>
            <w:vAlign w:val="bottom"/>
            <w:tcBorders>
              <w:left w:val="single" w:sz="8" w:color="auto"/>
              <w:right w:val="single" w:sz="8" w:color="auto"/>
            </w:tcBorders>
          </w:tcPr>
          <w:p>
            <w:pPr>
              <w:spacing w:after="0"/>
              <w:rPr>
                <w:sz w:val="10"/>
                <w:szCs w:val="10"/>
                <w:color w:val="auto"/>
              </w:rPr>
            </w:pPr>
          </w:p>
        </w:tc>
        <w:tc>
          <w:tcPr>
            <w:tcW w:w="5140" w:type="dxa"/>
            <w:vAlign w:val="bottom"/>
            <w:tcBorders>
              <w:bottom w:val="single" w:sz="8" w:color="auto"/>
              <w:right w:val="single" w:sz="8" w:color="auto"/>
            </w:tcBorders>
            <w:vMerge w:val="continue"/>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19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260" w:type="dxa"/>
            <w:vAlign w:val="bottom"/>
            <w:tcBorders>
              <w:left w:val="single" w:sz="8" w:color="auto"/>
              <w:right w:val="single" w:sz="8" w:color="auto"/>
            </w:tcBorders>
          </w:tcPr>
          <w:p>
            <w:pPr>
              <w:spacing w:after="0"/>
              <w:rPr>
                <w:sz w:val="12"/>
                <w:szCs w:val="12"/>
                <w:color w:val="auto"/>
              </w:rPr>
            </w:pPr>
          </w:p>
        </w:tc>
        <w:tc>
          <w:tcPr>
            <w:tcW w:w="5140" w:type="dxa"/>
            <w:vAlign w:val="bottom"/>
            <w:tcBorders>
              <w:right w:val="single" w:sz="8" w:color="auto"/>
            </w:tcBorders>
          </w:tcPr>
          <w:p>
            <w:pPr>
              <w:ind w:left="20"/>
              <w:spacing w:after="0" w:line="146" w:lineRule="exact"/>
              <w:rPr>
                <w:sz w:val="20"/>
                <w:szCs w:val="20"/>
                <w:color w:val="auto"/>
              </w:rPr>
            </w:pPr>
            <w:r>
              <w:rPr>
                <w:rFonts w:ascii="Times New Roman" w:cs="Times New Roman" w:eastAsia="Times New Roman" w:hAnsi="Times New Roman"/>
                <w:sz w:val="15"/>
                <w:szCs w:val="15"/>
                <w:color w:val="auto"/>
                <w:w w:val="98"/>
              </w:rPr>
              <w:t>Completion of chemistry, manufacturing and control development for pre-clinical and</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Q2-2022</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Completed</w:t>
            </w:r>
          </w:p>
        </w:tc>
        <w:tc>
          <w:tcPr>
            <w:tcW w:w="0" w:type="dxa"/>
            <w:vAlign w:val="bottom"/>
          </w:tcPr>
          <w:p>
            <w:pPr>
              <w:spacing w:after="0"/>
              <w:rPr>
                <w:sz w:val="1"/>
                <w:szCs w:val="1"/>
                <w:color w:val="auto"/>
              </w:rPr>
            </w:pPr>
          </w:p>
        </w:tc>
      </w:tr>
      <w:tr>
        <w:trPr>
          <w:trHeight w:val="191"/>
        </w:trPr>
        <w:tc>
          <w:tcPr>
            <w:tcW w:w="2260" w:type="dxa"/>
            <w:vAlign w:val="bottom"/>
            <w:tcBorders>
              <w:left w:val="single" w:sz="8" w:color="auto"/>
              <w:right w:val="single" w:sz="8" w:color="auto"/>
            </w:tcBorders>
          </w:tcPr>
          <w:p>
            <w:pPr>
              <w:spacing w:after="0"/>
              <w:rPr>
                <w:sz w:val="16"/>
                <w:szCs w:val="16"/>
                <w:color w:val="auto"/>
              </w:rPr>
            </w:pP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clinical studies</w:t>
            </w:r>
          </w:p>
        </w:tc>
        <w:tc>
          <w:tcPr>
            <w:tcW w:w="1920" w:type="dxa"/>
            <w:vAlign w:val="bottom"/>
            <w:tcBorders>
              <w:right w:val="single" w:sz="8" w:color="auto"/>
            </w:tcBorders>
            <w:vMerge w:val="continue"/>
          </w:tcPr>
          <w:p>
            <w:pPr>
              <w:spacing w:after="0"/>
              <w:rPr>
                <w:sz w:val="16"/>
                <w:szCs w:val="16"/>
                <w:color w:val="auto"/>
              </w:rPr>
            </w:pPr>
          </w:p>
        </w:tc>
        <w:tc>
          <w:tcPr>
            <w:tcW w:w="19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260" w:type="dxa"/>
            <w:vAlign w:val="bottom"/>
            <w:tcBorders>
              <w:left w:val="single" w:sz="8" w:color="auto"/>
              <w:right w:val="single" w:sz="8" w:color="auto"/>
            </w:tcBorders>
          </w:tcPr>
          <w:p>
            <w:pPr>
              <w:spacing w:after="0"/>
              <w:rPr>
                <w:sz w:val="7"/>
                <w:szCs w:val="7"/>
                <w:color w:val="auto"/>
              </w:rPr>
            </w:pPr>
          </w:p>
        </w:tc>
        <w:tc>
          <w:tcPr>
            <w:tcW w:w="514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260" w:type="dxa"/>
            <w:vAlign w:val="bottom"/>
            <w:tcBorders>
              <w:left w:val="single" w:sz="8" w:color="auto"/>
              <w:right w:val="single" w:sz="8" w:color="auto"/>
            </w:tcBorders>
          </w:tcPr>
          <w:p>
            <w:pPr>
              <w:spacing w:after="0"/>
              <w:rPr>
                <w:sz w:val="15"/>
                <w:szCs w:val="15"/>
                <w:color w:val="auto"/>
              </w:rPr>
            </w:pP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Chemistry, manufacturing and control development progression</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2"/>
              </w:rPr>
              <w:t>Ongoing</w:t>
            </w:r>
            <w:r>
              <w:rPr>
                <w:rFonts w:ascii="Times New Roman" w:cs="Times New Roman" w:eastAsia="Times New Roman" w:hAnsi="Times New Roman"/>
                <w:sz w:val="19"/>
                <w:szCs w:val="19"/>
                <w:color w:val="auto"/>
                <w:w w:val="92"/>
                <w:vertAlign w:val="superscript"/>
              </w:rPr>
              <w:t>(9)</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172"/>
        </w:trPr>
        <w:tc>
          <w:tcPr>
            <w:tcW w:w="2260" w:type="dxa"/>
            <w:vAlign w:val="bottom"/>
            <w:tcBorders>
              <w:left w:val="single" w:sz="8" w:color="auto"/>
              <w:right w:val="single" w:sz="8" w:color="auto"/>
            </w:tcBorders>
          </w:tcPr>
          <w:p>
            <w:pPr>
              <w:spacing w:after="0"/>
              <w:rPr>
                <w:sz w:val="14"/>
                <w:szCs w:val="14"/>
                <w:color w:val="auto"/>
              </w:rPr>
            </w:pPr>
          </w:p>
        </w:tc>
        <w:tc>
          <w:tcPr>
            <w:tcW w:w="514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vMerge w:val="continue"/>
          </w:tcPr>
          <w:p>
            <w:pPr>
              <w:spacing w:after="0"/>
              <w:rPr>
                <w:sz w:val="14"/>
                <w:szCs w:val="14"/>
                <w:color w:val="auto"/>
              </w:rPr>
            </w:pPr>
          </w:p>
        </w:tc>
        <w:tc>
          <w:tcPr>
            <w:tcW w:w="19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260" w:type="dxa"/>
            <w:vAlign w:val="bottom"/>
            <w:tcBorders>
              <w:left w:val="single" w:sz="8" w:color="auto"/>
              <w:right w:val="single" w:sz="8" w:color="auto"/>
            </w:tcBorders>
          </w:tcPr>
          <w:p>
            <w:pPr>
              <w:spacing w:after="0"/>
              <w:rPr>
                <w:sz w:val="5"/>
                <w:szCs w:val="5"/>
                <w:color w:val="auto"/>
              </w:rPr>
            </w:pPr>
          </w:p>
        </w:tc>
        <w:tc>
          <w:tcPr>
            <w:tcW w:w="514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260" w:type="dxa"/>
            <w:vAlign w:val="bottom"/>
            <w:tcBorders>
              <w:left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Clinical trial filings and first in human study initiation</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0"/>
              </w:rPr>
              <w:t>Q3 2022</w:t>
            </w:r>
            <w:r>
              <w:rPr>
                <w:rFonts w:ascii="Times New Roman" w:cs="Times New Roman" w:eastAsia="Times New Roman" w:hAnsi="Times New Roman"/>
                <w:sz w:val="19"/>
                <w:szCs w:val="19"/>
                <w:color w:val="auto"/>
                <w:w w:val="90"/>
                <w:vertAlign w:val="superscript"/>
              </w:rPr>
              <w:t>(10)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322"/>
        </w:trPr>
        <w:tc>
          <w:tcPr>
            <w:tcW w:w="2260" w:type="dxa"/>
            <w:vAlign w:val="bottom"/>
            <w:tcBorders>
              <w:left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Initial pharmacokinetic and safety readout</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0"/>
              </w:rPr>
              <w:t>Q4 2022</w:t>
            </w:r>
            <w:r>
              <w:rPr>
                <w:rFonts w:ascii="Times New Roman" w:cs="Times New Roman" w:eastAsia="Times New Roman" w:hAnsi="Times New Roman"/>
                <w:sz w:val="19"/>
                <w:szCs w:val="19"/>
                <w:color w:val="auto"/>
                <w:w w:val="90"/>
                <w:vertAlign w:val="superscript"/>
              </w:rPr>
              <w:t>(10)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322"/>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Clinical trial first in human full study report</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0"/>
              </w:rPr>
              <w:t>Q3 2023</w:t>
            </w:r>
            <w:r>
              <w:rPr>
                <w:rFonts w:ascii="Times New Roman" w:cs="Times New Roman" w:eastAsia="Times New Roman" w:hAnsi="Times New Roman"/>
                <w:sz w:val="19"/>
                <w:szCs w:val="19"/>
                <w:color w:val="auto"/>
                <w:w w:val="90"/>
                <w:vertAlign w:val="superscript"/>
              </w:rPr>
              <w:t>(10)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147"/>
        </w:trPr>
        <w:tc>
          <w:tcPr>
            <w:tcW w:w="2260" w:type="dxa"/>
            <w:vAlign w:val="bottom"/>
            <w:tcBorders>
              <w:left w:val="single" w:sz="8" w:color="auto"/>
              <w:right w:val="single" w:sz="8" w:color="auto"/>
            </w:tcBorders>
          </w:tcPr>
          <w:p>
            <w:pPr>
              <w:ind w:left="100"/>
              <w:spacing w:after="0" w:line="146" w:lineRule="exact"/>
              <w:rPr>
                <w:sz w:val="20"/>
                <w:szCs w:val="20"/>
                <w:color w:val="auto"/>
              </w:rPr>
            </w:pPr>
            <w:r>
              <w:rPr>
                <w:rFonts w:ascii="Times New Roman" w:cs="Times New Roman" w:eastAsia="Times New Roman" w:hAnsi="Times New Roman"/>
                <w:sz w:val="15"/>
                <w:szCs w:val="15"/>
                <w:color w:val="auto"/>
              </w:rPr>
              <w:t>Deuterated Tryptamines Programs</w:t>
            </w:r>
          </w:p>
        </w:tc>
        <w:tc>
          <w:tcPr>
            <w:tcW w:w="5140" w:type="dxa"/>
            <w:vAlign w:val="bottom"/>
            <w:tcBorders>
              <w:right w:val="single" w:sz="8" w:color="auto"/>
            </w:tcBorders>
          </w:tcPr>
          <w:p>
            <w:pPr>
              <w:ind w:left="20"/>
              <w:spacing w:after="0" w:line="146" w:lineRule="exact"/>
              <w:rPr>
                <w:sz w:val="20"/>
                <w:szCs w:val="20"/>
                <w:color w:val="auto"/>
              </w:rPr>
            </w:pPr>
            <w:r>
              <w:rPr>
                <w:rFonts w:ascii="Times New Roman" w:cs="Times New Roman" w:eastAsia="Times New Roman" w:hAnsi="Times New Roman"/>
                <w:sz w:val="15"/>
                <w:szCs w:val="15"/>
                <w:color w:val="auto"/>
                <w:w w:val="98"/>
              </w:rPr>
              <w:t>Progression of CYB003 to phase I studies and development of the associated delivery</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1"/>
              </w:rPr>
              <w:t>Merged</w:t>
            </w:r>
            <w:r>
              <w:rPr>
                <w:rFonts w:ascii="Times New Roman" w:cs="Times New Roman" w:eastAsia="Times New Roman" w:hAnsi="Times New Roman"/>
                <w:sz w:val="19"/>
                <w:szCs w:val="19"/>
                <w:color w:val="auto"/>
                <w:w w:val="91"/>
                <w:vertAlign w:val="superscript"/>
              </w:rPr>
              <w:t>(4)</w:t>
            </w:r>
          </w:p>
        </w:tc>
        <w:tc>
          <w:tcPr>
            <w:tcW w:w="0" w:type="dxa"/>
            <w:vAlign w:val="bottom"/>
          </w:tcPr>
          <w:p>
            <w:pPr>
              <w:spacing w:after="0"/>
              <w:rPr>
                <w:sz w:val="1"/>
                <w:szCs w:val="1"/>
                <w:color w:val="auto"/>
              </w:rPr>
            </w:pPr>
          </w:p>
        </w:tc>
      </w:tr>
      <w:tr>
        <w:trPr>
          <w:trHeight w:val="253"/>
        </w:trPr>
        <w:tc>
          <w:tcPr>
            <w:tcW w:w="2260" w:type="dxa"/>
            <w:vAlign w:val="bottom"/>
            <w:tcBorders>
              <w:left w:val="single" w:sz="8" w:color="auto"/>
              <w:right w:val="single" w:sz="8" w:color="auto"/>
            </w:tcBorders>
          </w:tcPr>
          <w:p>
            <w:pPr>
              <w:spacing w:after="0"/>
              <w:rPr>
                <w:sz w:val="22"/>
                <w:szCs w:val="22"/>
                <w:color w:val="auto"/>
              </w:rPr>
            </w:pP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platform</w:t>
            </w:r>
            <w:r>
              <w:rPr>
                <w:rFonts w:ascii="Times New Roman" w:cs="Times New Roman" w:eastAsia="Times New Roman" w:hAnsi="Times New Roman"/>
                <w:sz w:val="19"/>
                <w:szCs w:val="19"/>
                <w:color w:val="auto"/>
                <w:vertAlign w:val="superscript"/>
              </w:rPr>
              <w:t>(4)</w:t>
            </w:r>
          </w:p>
        </w:tc>
        <w:tc>
          <w:tcPr>
            <w:tcW w:w="1920" w:type="dxa"/>
            <w:vAlign w:val="bottom"/>
            <w:tcBorders>
              <w:right w:val="single" w:sz="8" w:color="auto"/>
            </w:tcBorders>
            <w:vMerge w:val="continue"/>
          </w:tcPr>
          <w:p>
            <w:pPr>
              <w:spacing w:after="0"/>
              <w:rPr>
                <w:sz w:val="22"/>
                <w:szCs w:val="22"/>
                <w:color w:val="auto"/>
              </w:rPr>
            </w:pPr>
          </w:p>
        </w:tc>
        <w:tc>
          <w:tcPr>
            <w:tcW w:w="196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2260" w:type="dxa"/>
            <w:vAlign w:val="bottom"/>
            <w:tcBorders>
              <w:left w:val="single" w:sz="8" w:color="auto"/>
              <w:right w:val="single" w:sz="8" w:color="auto"/>
            </w:tcBorders>
          </w:tcPr>
          <w:p>
            <w:pPr>
              <w:spacing w:after="0"/>
              <w:rPr>
                <w:sz w:val="3"/>
                <w:szCs w:val="3"/>
                <w:color w:val="auto"/>
              </w:rPr>
            </w:pPr>
          </w:p>
        </w:tc>
        <w:tc>
          <w:tcPr>
            <w:tcW w:w="514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260" w:type="dxa"/>
            <w:vAlign w:val="bottom"/>
            <w:tcBorders>
              <w:left w:val="single" w:sz="8" w:color="auto"/>
              <w:right w:val="single" w:sz="8" w:color="auto"/>
            </w:tcBorders>
          </w:tcPr>
          <w:p>
            <w:pPr>
              <w:spacing w:after="0"/>
              <w:rPr>
                <w:sz w:val="21"/>
                <w:szCs w:val="21"/>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Progression of CYB004 to clinical studies</w:t>
            </w:r>
            <w:r>
              <w:rPr>
                <w:rFonts w:ascii="Times New Roman" w:cs="Times New Roman" w:eastAsia="Times New Roman" w:hAnsi="Times New Roman"/>
                <w:sz w:val="19"/>
                <w:szCs w:val="19"/>
                <w:color w:val="auto"/>
                <w:vertAlign w:val="superscript"/>
              </w:rPr>
              <w:t>(11)</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Ongoing</w:t>
            </w:r>
            <w:r>
              <w:rPr>
                <w:rFonts w:ascii="Times New Roman" w:cs="Times New Roman" w:eastAsia="Times New Roman" w:hAnsi="Times New Roman"/>
                <w:sz w:val="19"/>
                <w:szCs w:val="19"/>
                <w:color w:val="auto"/>
                <w:w w:val="92"/>
                <w:vertAlign w:val="superscript"/>
              </w:rPr>
              <w:t>(9)</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224"/>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CYB004-E Phase 1 DMT study</w:t>
            </w:r>
          </w:p>
        </w:tc>
        <w:tc>
          <w:tcPr>
            <w:tcW w:w="1920" w:type="dxa"/>
            <w:vAlign w:val="bottom"/>
            <w:tcBorders>
              <w:bottom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26"/>
                <w:szCs w:val="26"/>
                <w:color w:val="auto"/>
                <w:w w:val="92"/>
                <w:vertAlign w:val="subscript"/>
              </w:rPr>
              <w:t>TBD</w:t>
            </w:r>
            <w:r>
              <w:rPr>
                <w:rFonts w:ascii="Times New Roman" w:cs="Times New Roman" w:eastAsia="Times New Roman" w:hAnsi="Times New Roman"/>
                <w:sz w:val="9"/>
                <w:szCs w:val="9"/>
                <w:color w:val="auto"/>
                <w:w w:val="92"/>
              </w:rPr>
              <w:t>(12)</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139"/>
        </w:trPr>
        <w:tc>
          <w:tcPr>
            <w:tcW w:w="2260" w:type="dxa"/>
            <w:vAlign w:val="bottom"/>
            <w:tcBorders>
              <w:left w:val="single" w:sz="8" w:color="auto"/>
              <w:right w:val="single" w:sz="8" w:color="auto"/>
            </w:tcBorders>
          </w:tcPr>
          <w:p>
            <w:pPr>
              <w:ind w:left="100"/>
              <w:spacing w:after="0" w:line="139" w:lineRule="exact"/>
              <w:rPr>
                <w:sz w:val="20"/>
                <w:szCs w:val="20"/>
                <w:color w:val="auto"/>
              </w:rPr>
            </w:pPr>
            <w:r>
              <w:rPr>
                <w:rFonts w:ascii="Times New Roman" w:cs="Times New Roman" w:eastAsia="Times New Roman" w:hAnsi="Times New Roman"/>
                <w:sz w:val="15"/>
                <w:szCs w:val="15"/>
                <w:color w:val="auto"/>
              </w:rPr>
              <w:t>Phenethylamine Preclinical</w:t>
            </w:r>
          </w:p>
        </w:tc>
        <w:tc>
          <w:tcPr>
            <w:tcW w:w="5140" w:type="dxa"/>
            <w:vAlign w:val="bottom"/>
            <w:tcBorders>
              <w:right w:val="single" w:sz="8" w:color="auto"/>
            </w:tcBorders>
          </w:tcPr>
          <w:p>
            <w:pPr>
              <w:ind w:left="20"/>
              <w:spacing w:after="0" w:line="139" w:lineRule="exact"/>
              <w:rPr>
                <w:sz w:val="20"/>
                <w:szCs w:val="20"/>
                <w:color w:val="auto"/>
              </w:rPr>
            </w:pPr>
            <w:r>
              <w:rPr>
                <w:rFonts w:ascii="Times New Roman" w:cs="Times New Roman" w:eastAsia="Times New Roman" w:hAnsi="Times New Roman"/>
                <w:sz w:val="12"/>
                <w:szCs w:val="12"/>
                <w:color w:val="auto"/>
              </w:rPr>
              <w:t>Progression of phenethylamine candidate to clinical studies</w:t>
            </w:r>
            <w:r>
              <w:rPr>
                <w:rFonts w:ascii="Times New Roman" w:cs="Times New Roman" w:eastAsia="Times New Roman" w:hAnsi="Times New Roman"/>
                <w:sz w:val="16"/>
                <w:szCs w:val="16"/>
                <w:color w:val="auto"/>
                <w:vertAlign w:val="superscript"/>
              </w:rPr>
              <w:t>(13)</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Q4 2023</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117"/>
        </w:trPr>
        <w:tc>
          <w:tcPr>
            <w:tcW w:w="226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Program</w:t>
            </w:r>
          </w:p>
        </w:tc>
        <w:tc>
          <w:tcPr>
            <w:tcW w:w="514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2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2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Nutraceutical Products</w:t>
            </w:r>
            <w:r>
              <w:rPr>
                <w:rFonts w:ascii="Times New Roman" w:cs="Times New Roman" w:eastAsia="Times New Roman" w:hAnsi="Times New Roman"/>
                <w:sz w:val="19"/>
                <w:szCs w:val="19"/>
                <w:color w:val="auto"/>
                <w:vertAlign w:val="superscript"/>
              </w:rPr>
              <w:t>(14)</w:t>
            </w: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Inventory fulfillment</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Cancelled</w:t>
            </w:r>
          </w:p>
        </w:tc>
        <w:tc>
          <w:tcPr>
            <w:tcW w:w="0" w:type="dxa"/>
            <w:vAlign w:val="bottom"/>
          </w:tcPr>
          <w:p>
            <w:pPr>
              <w:spacing w:after="0"/>
              <w:rPr>
                <w:sz w:val="1"/>
                <w:szCs w:val="1"/>
                <w:color w:val="auto"/>
              </w:rPr>
            </w:pPr>
          </w:p>
        </w:tc>
      </w:tr>
      <w:tr>
        <w:trPr>
          <w:trHeight w:val="28"/>
        </w:trPr>
        <w:tc>
          <w:tcPr>
            <w:tcW w:w="2260" w:type="dxa"/>
            <w:vAlign w:val="bottom"/>
            <w:tcBorders>
              <w:left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60" w:type="dxa"/>
            <w:vAlign w:val="bottom"/>
            <w:tcBorders>
              <w:left w:val="single" w:sz="8" w:color="auto"/>
              <w:right w:val="single" w:sz="8" w:color="auto"/>
            </w:tcBorders>
          </w:tcPr>
          <w:p>
            <w:pPr>
              <w:spacing w:after="0"/>
              <w:rPr>
                <w:sz w:val="15"/>
                <w:szCs w:val="15"/>
                <w:color w:val="auto"/>
              </w:rPr>
            </w:pP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Product deployment</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Cancelled</w:t>
            </w:r>
          </w:p>
        </w:tc>
        <w:tc>
          <w:tcPr>
            <w:tcW w:w="0" w:type="dxa"/>
            <w:vAlign w:val="bottom"/>
          </w:tcPr>
          <w:p>
            <w:pPr>
              <w:spacing w:after="0"/>
              <w:rPr>
                <w:sz w:val="1"/>
                <w:szCs w:val="1"/>
                <w:color w:val="auto"/>
              </w:rPr>
            </w:pPr>
          </w:p>
        </w:tc>
      </w:tr>
      <w:tr>
        <w:trPr>
          <w:trHeight w:val="61"/>
        </w:trPr>
        <w:tc>
          <w:tcPr>
            <w:tcW w:w="2260" w:type="dxa"/>
            <w:vAlign w:val="bottom"/>
            <w:tcBorders>
              <w:left w:val="single" w:sz="8" w:color="auto"/>
              <w:right w:val="single" w:sz="8" w:color="auto"/>
            </w:tcBorders>
          </w:tcPr>
          <w:p>
            <w:pPr>
              <w:spacing w:after="0"/>
              <w:rPr>
                <w:sz w:val="5"/>
                <w:szCs w:val="5"/>
                <w:color w:val="auto"/>
              </w:rPr>
            </w:pPr>
          </w:p>
        </w:tc>
        <w:tc>
          <w:tcPr>
            <w:tcW w:w="5140" w:type="dxa"/>
            <w:vAlign w:val="bottom"/>
            <w:tcBorders>
              <w:right w:val="single" w:sz="8" w:color="auto"/>
            </w:tcBorders>
          </w:tcPr>
          <w:p>
            <w:pPr>
              <w:spacing w:after="0"/>
              <w:rPr>
                <w:sz w:val="5"/>
                <w:szCs w:val="5"/>
                <w:color w:val="auto"/>
              </w:rPr>
            </w:pPr>
          </w:p>
        </w:tc>
        <w:tc>
          <w:tcPr>
            <w:tcW w:w="1920" w:type="dxa"/>
            <w:vAlign w:val="bottom"/>
            <w:tcBorders>
              <w:right w:val="single" w:sz="8" w:color="auto"/>
            </w:tcBorders>
            <w:vMerge w:val="continue"/>
          </w:tcPr>
          <w:p>
            <w:pPr>
              <w:spacing w:after="0"/>
              <w:rPr>
                <w:sz w:val="5"/>
                <w:szCs w:val="5"/>
                <w:color w:val="auto"/>
              </w:rPr>
            </w:pPr>
          </w:p>
        </w:tc>
        <w:tc>
          <w:tcPr>
            <w:tcW w:w="19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260" w:type="dxa"/>
            <w:vAlign w:val="bottom"/>
            <w:tcBorders>
              <w:left w:val="single" w:sz="8" w:color="auto"/>
              <w:right w:val="single" w:sz="8" w:color="auto"/>
            </w:tcBorders>
          </w:tcPr>
          <w:p>
            <w:pPr>
              <w:spacing w:after="0"/>
              <w:rPr>
                <w:sz w:val="5"/>
                <w:szCs w:val="5"/>
                <w:color w:val="auto"/>
              </w:rPr>
            </w:pPr>
          </w:p>
        </w:tc>
        <w:tc>
          <w:tcPr>
            <w:tcW w:w="514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260" w:type="dxa"/>
            <w:vAlign w:val="bottom"/>
            <w:tcBorders>
              <w:left w:val="single" w:sz="8" w:color="auto"/>
              <w:right w:val="single" w:sz="8" w:color="auto"/>
            </w:tcBorders>
          </w:tcPr>
          <w:p>
            <w:pPr>
              <w:spacing w:after="0"/>
              <w:rPr>
                <w:sz w:val="15"/>
                <w:szCs w:val="15"/>
                <w:color w:val="auto"/>
              </w:rPr>
            </w:pP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Marketing</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Cancelled</w:t>
            </w:r>
          </w:p>
        </w:tc>
        <w:tc>
          <w:tcPr>
            <w:tcW w:w="0" w:type="dxa"/>
            <w:vAlign w:val="bottom"/>
          </w:tcPr>
          <w:p>
            <w:pPr>
              <w:spacing w:after="0"/>
              <w:rPr>
                <w:sz w:val="1"/>
                <w:szCs w:val="1"/>
                <w:color w:val="auto"/>
              </w:rPr>
            </w:pPr>
          </w:p>
        </w:tc>
      </w:tr>
      <w:tr>
        <w:trPr>
          <w:trHeight w:val="61"/>
        </w:trPr>
        <w:tc>
          <w:tcPr>
            <w:tcW w:w="2260" w:type="dxa"/>
            <w:vAlign w:val="bottom"/>
            <w:tcBorders>
              <w:left w:val="single" w:sz="8" w:color="auto"/>
              <w:right w:val="single" w:sz="8" w:color="auto"/>
            </w:tcBorders>
          </w:tcPr>
          <w:p>
            <w:pPr>
              <w:spacing w:after="0"/>
              <w:rPr>
                <w:sz w:val="5"/>
                <w:szCs w:val="5"/>
                <w:color w:val="auto"/>
              </w:rPr>
            </w:pPr>
          </w:p>
        </w:tc>
        <w:tc>
          <w:tcPr>
            <w:tcW w:w="5140" w:type="dxa"/>
            <w:vAlign w:val="bottom"/>
            <w:tcBorders>
              <w:right w:val="single" w:sz="8" w:color="auto"/>
            </w:tcBorders>
          </w:tcPr>
          <w:p>
            <w:pPr>
              <w:spacing w:after="0"/>
              <w:rPr>
                <w:sz w:val="5"/>
                <w:szCs w:val="5"/>
                <w:color w:val="auto"/>
              </w:rPr>
            </w:pPr>
          </w:p>
        </w:tc>
        <w:tc>
          <w:tcPr>
            <w:tcW w:w="1920" w:type="dxa"/>
            <w:vAlign w:val="bottom"/>
            <w:tcBorders>
              <w:right w:val="single" w:sz="8" w:color="auto"/>
            </w:tcBorders>
            <w:vMerge w:val="continue"/>
          </w:tcPr>
          <w:p>
            <w:pPr>
              <w:spacing w:after="0"/>
              <w:rPr>
                <w:sz w:val="5"/>
                <w:szCs w:val="5"/>
                <w:color w:val="auto"/>
              </w:rPr>
            </w:pPr>
          </w:p>
        </w:tc>
        <w:tc>
          <w:tcPr>
            <w:tcW w:w="19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260" w:type="dxa"/>
            <w:vAlign w:val="bottom"/>
            <w:tcBorders>
              <w:left w:val="single" w:sz="8" w:color="auto"/>
              <w:bottom w:val="single" w:sz="8" w:color="auto"/>
              <w:right w:val="single" w:sz="8" w:color="auto"/>
            </w:tcBorders>
          </w:tcPr>
          <w:p>
            <w:pPr>
              <w:spacing w:after="0"/>
              <w:rPr>
                <w:sz w:val="5"/>
                <w:szCs w:val="5"/>
                <w:color w:val="auto"/>
              </w:rPr>
            </w:pPr>
          </w:p>
        </w:tc>
        <w:tc>
          <w:tcPr>
            <w:tcW w:w="514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Technology Programs</w:t>
            </w:r>
          </w:p>
        </w:tc>
        <w:tc>
          <w:tcPr>
            <w:tcW w:w="514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15"/>
                <w:szCs w:val="15"/>
                <w:color w:val="auto"/>
              </w:rPr>
              <w:t>Marketing</w:t>
            </w:r>
            <w:r>
              <w:rPr>
                <w:rFonts w:ascii="Times New Roman" w:cs="Times New Roman" w:eastAsia="Times New Roman" w:hAnsi="Times New Roman"/>
                <w:sz w:val="19"/>
                <w:szCs w:val="19"/>
                <w:color w:val="auto"/>
                <w:vertAlign w:val="superscript"/>
              </w:rPr>
              <w:t>(14)</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Cancelled</w:t>
            </w:r>
          </w:p>
        </w:tc>
        <w:tc>
          <w:tcPr>
            <w:tcW w:w="0" w:type="dxa"/>
            <w:vAlign w:val="bottom"/>
          </w:tcPr>
          <w:p>
            <w:pPr>
              <w:spacing w:after="0"/>
              <w:rPr>
                <w:sz w:val="1"/>
                <w:szCs w:val="1"/>
                <w:color w:val="auto"/>
              </w:rPr>
            </w:pPr>
          </w:p>
        </w:tc>
      </w:tr>
      <w:tr>
        <w:trPr>
          <w:trHeight w:val="44"/>
        </w:trPr>
        <w:tc>
          <w:tcPr>
            <w:tcW w:w="2260" w:type="dxa"/>
            <w:vAlign w:val="bottom"/>
            <w:tcBorders>
              <w:left w:val="single" w:sz="8" w:color="auto"/>
              <w:right w:val="single" w:sz="8" w:color="auto"/>
            </w:tcBorders>
          </w:tcPr>
          <w:p>
            <w:pPr>
              <w:spacing w:after="0"/>
              <w:rPr>
                <w:sz w:val="3"/>
                <w:szCs w:val="3"/>
                <w:color w:val="auto"/>
              </w:rPr>
            </w:pPr>
          </w:p>
        </w:tc>
        <w:tc>
          <w:tcPr>
            <w:tcW w:w="5140" w:type="dxa"/>
            <w:vAlign w:val="bottom"/>
            <w:tcBorders>
              <w:right w:val="single" w:sz="8" w:color="auto"/>
            </w:tcBorders>
          </w:tcPr>
          <w:p>
            <w:pPr>
              <w:spacing w:after="0"/>
              <w:rPr>
                <w:sz w:val="3"/>
                <w:szCs w:val="3"/>
                <w:color w:val="auto"/>
              </w:rPr>
            </w:pPr>
          </w:p>
        </w:tc>
        <w:tc>
          <w:tcPr>
            <w:tcW w:w="1920" w:type="dxa"/>
            <w:vAlign w:val="bottom"/>
            <w:tcBorders>
              <w:right w:val="single" w:sz="8" w:color="auto"/>
            </w:tcBorders>
            <w:vMerge w:val="continue"/>
          </w:tcPr>
          <w:p>
            <w:pPr>
              <w:spacing w:after="0"/>
              <w:rPr>
                <w:sz w:val="3"/>
                <w:szCs w:val="3"/>
                <w:color w:val="auto"/>
              </w:rPr>
            </w:pPr>
          </w:p>
        </w:tc>
        <w:tc>
          <w:tcPr>
            <w:tcW w:w="196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8"/>
        </w:trPr>
        <w:tc>
          <w:tcPr>
            <w:tcW w:w="2260" w:type="dxa"/>
            <w:vAlign w:val="bottom"/>
            <w:tcBorders>
              <w:left w:val="single" w:sz="8" w:color="auto"/>
              <w:right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260" w:type="dxa"/>
            <w:vAlign w:val="bottom"/>
            <w:tcBorders>
              <w:left w:val="single" w:sz="8" w:color="auto"/>
              <w:right w:val="single" w:sz="8" w:color="auto"/>
            </w:tcBorders>
          </w:tcPr>
          <w:p>
            <w:pPr>
              <w:spacing w:after="0"/>
              <w:rPr>
                <w:sz w:val="17"/>
                <w:szCs w:val="17"/>
                <w:color w:val="auto"/>
              </w:rPr>
            </w:pPr>
          </w:p>
        </w:tc>
        <w:tc>
          <w:tcPr>
            <w:tcW w:w="514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15"/>
                <w:szCs w:val="15"/>
                <w:color w:val="auto"/>
              </w:rPr>
              <w:t>Development of patient digital therapy platform</w:t>
            </w:r>
            <w:r>
              <w:rPr>
                <w:rFonts w:ascii="Times New Roman" w:cs="Times New Roman" w:eastAsia="Times New Roman" w:hAnsi="Times New Roman"/>
                <w:sz w:val="19"/>
                <w:szCs w:val="19"/>
                <w:color w:val="auto"/>
                <w:vertAlign w:val="superscript"/>
              </w:rPr>
              <w:t>(15)</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Q2 2022</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44"/>
        </w:trPr>
        <w:tc>
          <w:tcPr>
            <w:tcW w:w="2260" w:type="dxa"/>
            <w:vAlign w:val="bottom"/>
            <w:tcBorders>
              <w:left w:val="single" w:sz="8" w:color="auto"/>
              <w:right w:val="single" w:sz="8" w:color="auto"/>
            </w:tcBorders>
          </w:tcPr>
          <w:p>
            <w:pPr>
              <w:spacing w:after="0"/>
              <w:rPr>
                <w:sz w:val="3"/>
                <w:szCs w:val="3"/>
                <w:color w:val="auto"/>
              </w:rPr>
            </w:pPr>
          </w:p>
        </w:tc>
        <w:tc>
          <w:tcPr>
            <w:tcW w:w="5140" w:type="dxa"/>
            <w:vAlign w:val="bottom"/>
            <w:tcBorders>
              <w:right w:val="single" w:sz="8" w:color="auto"/>
            </w:tcBorders>
          </w:tcPr>
          <w:p>
            <w:pPr>
              <w:spacing w:after="0"/>
              <w:rPr>
                <w:sz w:val="3"/>
                <w:szCs w:val="3"/>
                <w:color w:val="auto"/>
              </w:rPr>
            </w:pPr>
          </w:p>
        </w:tc>
        <w:tc>
          <w:tcPr>
            <w:tcW w:w="1920" w:type="dxa"/>
            <w:vAlign w:val="bottom"/>
            <w:tcBorders>
              <w:right w:val="single" w:sz="8" w:color="auto"/>
            </w:tcBorders>
            <w:vMerge w:val="continue"/>
          </w:tcPr>
          <w:p>
            <w:pPr>
              <w:spacing w:after="0"/>
              <w:rPr>
                <w:sz w:val="3"/>
                <w:szCs w:val="3"/>
                <w:color w:val="auto"/>
              </w:rPr>
            </w:pPr>
          </w:p>
        </w:tc>
        <w:tc>
          <w:tcPr>
            <w:tcW w:w="196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6"/>
        </w:trPr>
        <w:tc>
          <w:tcPr>
            <w:tcW w:w="2260" w:type="dxa"/>
            <w:vAlign w:val="bottom"/>
            <w:tcBorders>
              <w:left w:val="single" w:sz="8" w:color="auto"/>
              <w:right w:val="single" w:sz="8" w:color="auto"/>
            </w:tcBorders>
          </w:tcPr>
          <w:p>
            <w:pPr>
              <w:spacing w:after="0"/>
              <w:rPr>
                <w:sz w:val="5"/>
                <w:szCs w:val="5"/>
                <w:color w:val="auto"/>
              </w:rPr>
            </w:pPr>
          </w:p>
        </w:tc>
        <w:tc>
          <w:tcPr>
            <w:tcW w:w="514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260" w:type="dxa"/>
            <w:vAlign w:val="bottom"/>
            <w:tcBorders>
              <w:left w:val="single" w:sz="8" w:color="auto"/>
              <w:bottom w:val="single" w:sz="8" w:color="auto"/>
              <w:right w:val="single" w:sz="8" w:color="auto"/>
            </w:tcBorders>
          </w:tcPr>
          <w:p>
            <w:pPr>
              <w:spacing w:after="0"/>
              <w:rPr>
                <w:sz w:val="18"/>
                <w:szCs w:val="18"/>
                <w:color w:val="auto"/>
              </w:rPr>
            </w:pPr>
          </w:p>
        </w:tc>
        <w:tc>
          <w:tcPr>
            <w:tcW w:w="5140" w:type="dxa"/>
            <w:vAlign w:val="bottom"/>
            <w:tcBorders>
              <w:bottom w:val="single" w:sz="8" w:color="auto"/>
              <w:right w:val="single" w:sz="8" w:color="auto"/>
            </w:tcBorders>
          </w:tcPr>
          <w:p>
            <w:pPr>
              <w:ind w:left="20"/>
              <w:spacing w:after="0" w:line="213" w:lineRule="exact"/>
              <w:rPr>
                <w:sz w:val="20"/>
                <w:szCs w:val="20"/>
                <w:color w:val="auto"/>
              </w:rPr>
            </w:pPr>
            <w:r>
              <w:rPr>
                <w:rFonts w:ascii="Times New Roman" w:cs="Times New Roman" w:eastAsia="Times New Roman" w:hAnsi="Times New Roman"/>
                <w:sz w:val="15"/>
                <w:szCs w:val="15"/>
                <w:color w:val="auto"/>
              </w:rPr>
              <w:t>Sponsorship of studies utilizing Kernel Flow technology</w:t>
            </w:r>
            <w:r>
              <w:rPr>
                <w:rFonts w:ascii="Times New Roman" w:cs="Times New Roman" w:eastAsia="Times New Roman" w:hAnsi="Times New Roman"/>
                <w:sz w:val="19"/>
                <w:szCs w:val="19"/>
                <w:color w:val="auto"/>
                <w:vertAlign w:val="superscript"/>
              </w:rPr>
              <w:t>(16)</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Q4 2022</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u w:val="single" w:color="auto"/>
          <w:color w:val="auto"/>
        </w:rPr>
        <w:t>Notes</w:t>
      </w:r>
      <w:r>
        <w:rPr>
          <w:rFonts w:ascii="Times New Roman" w:cs="Times New Roman" w:eastAsia="Times New Roman" w:hAnsi="Times New Roman"/>
          <w:sz w:val="13"/>
          <w:szCs w:val="13"/>
          <w:color w:val="auto"/>
        </w:rPr>
        <w:t>:</w:t>
      </w:r>
    </w:p>
    <w:p>
      <w:pPr>
        <w:spacing w:after="0" w:line="22" w:lineRule="exact"/>
        <w:rPr>
          <w:sz w:val="20"/>
          <w:szCs w:val="20"/>
          <w:color w:val="auto"/>
        </w:rPr>
      </w:pPr>
    </w:p>
    <w:p>
      <w:pPr>
        <w:ind w:left="322" w:hanging="322"/>
        <w:spacing w:after="0"/>
        <w:tabs>
          <w:tab w:leader="none" w:pos="322"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may be circumstances where for sound business reasons the Company reallocates the funds or determines to not proceed with a milestone.</w:t>
      </w:r>
    </w:p>
    <w:p>
      <w:pPr>
        <w:ind w:left="282" w:hanging="282"/>
        <w:spacing w:after="0" w:line="215" w:lineRule="auto"/>
        <w:tabs>
          <w:tab w:leader="none" w:pos="282"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receipt of all necessary approvals, including the academic and scientific organizations with which the Company is working.</w:t>
      </w:r>
    </w:p>
    <w:p>
      <w:pPr>
        <w:ind w:left="282" w:hanging="282"/>
        <w:spacing w:after="0" w:line="215" w:lineRule="auto"/>
        <w:tabs>
          <w:tab w:leader="none" w:pos="282"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a calendar year-end.</w:t>
      </w:r>
    </w:p>
    <w:p>
      <w:pPr>
        <w:ind w:left="582" w:hanging="582"/>
        <w:spacing w:after="0" w:line="209" w:lineRule="auto"/>
        <w:tabs>
          <w:tab w:leader="none" w:pos="282"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light of compelling data related to CYB003, the Company has merged its Psilocybin Program with its deuterated tryptamine CYB003 preclinical program. The Company was previously running the programs in parallel in order to determine the molecules and methods of actions with the most benefits and least amount of drawbacks. This has now evolved into a single program, focusing on both the MDD and AUD indication in the U.S. and UK, to prioritize the advancement of the potentially superior molecule in the most cost effective manner.</w:t>
      </w:r>
    </w:p>
    <w:p>
      <w:pPr>
        <w:ind w:left="582" w:right="20" w:hanging="582"/>
        <w:spacing w:after="0" w:line="218" w:lineRule="auto"/>
        <w:tabs>
          <w:tab w:leader="none" w:pos="289"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milestone was previously expected to be completed in Q2 2021, as disclosed in the Listing Statement. However, the milestone was completed earlier than expected, in Q1 2021, due to frustration between Smart Medicines and Cybin Corp. and this resulted in the termination of the professional services agreement dated June 24, 2020 between Cybin Corp. and Smart Medicines. With the completion of the Adelia Transaction, the Company secured an alternative to the drug master file of synthetic API and novel compounds which Smart Medicines had been engaged to provide, and now has in-house ability to develop molecules which can be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62"/>
          </w:cols>
          <w:pgMar w:left="318" w:top="1440" w:right="319" w:bottom="1440" w:gutter="0" w:footer="0" w:header="0"/>
        </w:sectPr>
      </w:pPr>
    </w:p>
    <w:bookmarkStart w:id="50" w:name="page51"/>
    <w:bookmarkEnd w:id="50"/>
    <w:p>
      <w:pPr>
        <w:jc w:val="both"/>
        <w:ind w:left="582" w:right="20"/>
        <w:spacing w:after="0" w:line="228" w:lineRule="auto"/>
        <w:rPr>
          <w:sz w:val="20"/>
          <w:szCs w:val="20"/>
          <w:color w:val="auto"/>
        </w:rPr>
      </w:pPr>
      <w:r>
        <w:rPr>
          <w:rFonts w:ascii="Times New Roman" w:cs="Times New Roman" w:eastAsia="Times New Roman" w:hAnsi="Times New Roman"/>
          <w:sz w:val="13"/>
          <w:szCs w:val="13"/>
          <w:color w:val="auto"/>
        </w:rPr>
        <w:t>scaled to GMP quantities. See “</w:t>
      </w:r>
      <w:r>
        <w:rPr>
          <w:rFonts w:ascii="Times New Roman" w:cs="Times New Roman" w:eastAsia="Times New Roman" w:hAnsi="Times New Roman"/>
          <w:sz w:val="13"/>
          <w:szCs w:val="13"/>
          <w:i w:val="1"/>
          <w:iCs w:val="1"/>
          <w:color w:val="auto"/>
        </w:rPr>
        <w:t>History of the Company</w:t>
      </w:r>
      <w:r>
        <w:rPr>
          <w:rFonts w:ascii="Times New Roman" w:cs="Times New Roman" w:eastAsia="Times New Roman" w:hAnsi="Times New Roman"/>
          <w:sz w:val="13"/>
          <w:szCs w:val="13"/>
          <w:color w:val="auto"/>
        </w:rPr>
        <w:t>”. There are multiple risk factors regarding the ability to successfully commercially scale a chemically synthesized process to obtain psilocybin and other analogues. The Company expects to work with Adelia to provide psilocybin API for further studies, commercial oral film manufacturing and potential sales to research institutes. See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w:t>
      </w:r>
    </w:p>
    <w:p>
      <w:pPr>
        <w:spacing w:after="0" w:line="1" w:lineRule="exact"/>
        <w:rPr>
          <w:sz w:val="20"/>
          <w:szCs w:val="20"/>
          <w:color w:val="auto"/>
        </w:rPr>
      </w:pPr>
    </w:p>
    <w:p>
      <w:pPr>
        <w:ind w:left="582" w:right="20" w:hanging="582"/>
        <w:spacing w:after="0" w:line="209" w:lineRule="auto"/>
        <w:tabs>
          <w:tab w:leader="none" w:pos="301"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material factors and assumptions underlying this forward-looking statement are: (a)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Further, the Company has contracted with IntelGenx to develop the Sublingual Film formulation of psilocybin. IntelGenx has produced multiple formulation types but the final formulation has not been selected. Successful completion of formulation is necessary before clinical trials supplies can be provided to investigators. The Company is prioritizing its Deuterated Psilocybin Analog Program.</w:t>
      </w:r>
    </w:p>
    <w:p>
      <w:pPr>
        <w:ind w:left="582" w:right="20" w:hanging="582"/>
        <w:spacing w:after="0" w:line="205" w:lineRule="auto"/>
        <w:tabs>
          <w:tab w:leader="none" w:pos="313"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currently prioritizing its Deuterated Psilocybin Analog Program and it has merged its efforts from both the Psilocybin Program and the deuterated tryptamine CYB003 preclinical program, focusing on both the MDD and AUD indications in the U.S. and the UK.</w:t>
      </w:r>
    </w:p>
    <w:p>
      <w:pPr>
        <w:spacing w:after="0" w:line="1" w:lineRule="exact"/>
        <w:rPr>
          <w:rFonts w:ascii="Times New Roman" w:cs="Times New Roman" w:eastAsia="Times New Roman" w:hAnsi="Times New Roman"/>
          <w:sz w:val="13"/>
          <w:szCs w:val="13"/>
          <w:color w:val="auto"/>
        </w:rPr>
      </w:pPr>
    </w:p>
    <w:p>
      <w:pPr>
        <w:ind w:left="282" w:hanging="282"/>
        <w:spacing w:after="0" w:line="215" w:lineRule="auto"/>
        <w:tabs>
          <w:tab w:leader="none" w:pos="282"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April 6, 2021, the Company provided notice to the CCPS of its decision to terminate this arrangement. See “</w:t>
      </w:r>
      <w:r>
        <w:rPr>
          <w:rFonts w:ascii="Times New Roman" w:cs="Times New Roman" w:eastAsia="Times New Roman" w:hAnsi="Times New Roman"/>
          <w:sz w:val="13"/>
          <w:szCs w:val="13"/>
          <w:i w:val="1"/>
          <w:iCs w:val="1"/>
          <w:color w:val="auto"/>
        </w:rPr>
        <w:t>History of the Company</w:t>
      </w:r>
      <w:r>
        <w:rPr>
          <w:rFonts w:ascii="Times New Roman" w:cs="Times New Roman" w:eastAsia="Times New Roman" w:hAnsi="Times New Roman"/>
          <w:sz w:val="13"/>
          <w:szCs w:val="13"/>
          <w:color w:val="auto"/>
        </w:rPr>
        <w:t>”.</w:t>
      </w:r>
    </w:p>
    <w:p>
      <w:pPr>
        <w:ind w:left="282" w:hanging="282"/>
        <w:spacing w:after="0" w:line="196" w:lineRule="auto"/>
        <w:tabs>
          <w:tab w:leader="none" w:pos="282"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progression of these milestones are expected to be ongoing for the duration of the Deuterated Psilocybin Analog Program.</w:t>
      </w:r>
    </w:p>
    <w:p>
      <w:pPr>
        <w:ind w:left="582" w:right="20" w:hanging="582"/>
        <w:spacing w:after="0" w:line="215" w:lineRule="auto"/>
        <w:tabs>
          <w:tab w:leader="none" w:pos="35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completed clinical trial application filings in Q2 2022 and plans to conduct its first in human trial, in patients with MDD, subject to receiving the necessary approvals. There is no assurance that these timelines will be met or that these preclinical drug candidates will advance to clinical trials at all.</w:t>
      </w:r>
    </w:p>
    <w:p>
      <w:pPr>
        <w:ind w:left="582" w:hanging="582"/>
        <w:spacing w:after="0" w:line="207" w:lineRule="auto"/>
        <w:tabs>
          <w:tab w:leader="none" w:pos="385"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Deuterated Tryptamines Program was a new objective following completion of the Adelia Transaction. This business objective requires clinical trial sites, contract manufacturers, certain scale-ups in operation, etc. which may impact the time frame that these are completed. The proceeds allocated include estimated costs associated with the progression of CYB004 to clinical studies over the period from June 1, 2021 up to March 31, 2023. The Company intends to file a clinical trial application for a pilot study for the CYB004 candidate by the end of Q2 2022 and it also intends to continue pre-clinical studies and other research and development activities throughout the year and has therefore revised its timeline to ongoing. The anticipated timeline for submitting a pilot clinical trial application is Q2 2022, which is based on, among others, the following material assumptions: (a) the timely and successful completion of certain preclinical studies including but not limited to: (i) complete the development of stable formulations utilizing these APIs; (ii) the development and validation of analytical methods for such formulations; (iii) the scale up of API production processes beyond laboratory scale will be suitable for entry into animal and human studies; (iv) studies of the stability of such formulations will be suitable for human studies; and (v) the development of Chemistry, Manufacturing and Controls to meet cGMP (as defined below); and (b) the Company assumes it will enter into agreements with certain third party vendors to complete a range of additional preclinical programs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There is no assurance that these timelines will be met or that these preclinical drug candidates will advance to clinical trials at all. See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w:t>
      </w:r>
    </w:p>
    <w:p>
      <w:pPr>
        <w:spacing w:after="0" w:line="4" w:lineRule="exact"/>
        <w:rPr>
          <w:rFonts w:ascii="Times New Roman" w:cs="Times New Roman" w:eastAsia="Times New Roman" w:hAnsi="Times New Roman"/>
          <w:sz w:val="13"/>
          <w:szCs w:val="13"/>
          <w:color w:val="auto"/>
        </w:rPr>
      </w:pPr>
    </w:p>
    <w:p>
      <w:pPr>
        <w:ind w:left="342" w:hanging="342"/>
        <w:spacing w:after="0" w:line="215" w:lineRule="auto"/>
        <w:tabs>
          <w:tab w:leader="none" w:pos="342"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Due to the timing of the Asset Acquisition, the Company is in the process of determining the anticipated completion date of the study.</w:t>
      </w:r>
    </w:p>
    <w:p>
      <w:pPr>
        <w:ind w:left="582" w:hanging="582"/>
        <w:spacing w:after="0" w:line="209" w:lineRule="auto"/>
        <w:tabs>
          <w:tab w:leader="none" w:pos="393"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Phenethylamine Preclinical Program was a new objectives following completion of the Adelia Transaction. This business objective requires clinical trial sites, contract manufacturers, certain scale-ups in operation, etc. which may impact the time frame that these are completed. The proceeds allocated include estimated costs for the next 12 months associated with the progression of phenethylamine candidate to clinical studies. The Company anticipates that its phenethylamine program may deliver a drug candidate suitable for entry into clinical studies by Q4 2023, updated from Q4 2022 - Q1 2023, due to certain research and development delays. 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and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5" w:lineRule="exact"/>
        <w:rPr>
          <w:rFonts w:ascii="Times New Roman" w:cs="Times New Roman" w:eastAsia="Times New Roman" w:hAnsi="Times New Roman"/>
          <w:sz w:val="13"/>
          <w:szCs w:val="13"/>
          <w:color w:val="auto"/>
        </w:rPr>
      </w:pPr>
    </w:p>
    <w:p>
      <w:pPr>
        <w:ind w:left="582" w:right="20" w:hanging="582"/>
        <w:spacing w:after="0" w:line="205" w:lineRule="auto"/>
        <w:tabs>
          <w:tab w:leader="none" w:pos="342"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completed its evaluation of the Product Line and its marketing platform and concluded that it would not proceed with this program in order to prioritize the research and development progression of psychedelic molecules.</w:t>
      </w:r>
    </w:p>
    <w:p>
      <w:pPr>
        <w:spacing w:after="0" w:line="1" w:lineRule="exact"/>
        <w:rPr>
          <w:rFonts w:ascii="Times New Roman" w:cs="Times New Roman" w:eastAsia="Times New Roman" w:hAnsi="Times New Roman"/>
          <w:sz w:val="13"/>
          <w:szCs w:val="13"/>
          <w:color w:val="auto"/>
        </w:rPr>
      </w:pPr>
    </w:p>
    <w:p>
      <w:pPr>
        <w:ind w:left="582" w:right="20" w:hanging="582"/>
        <w:spacing w:after="0" w:line="207" w:lineRule="auto"/>
        <w:tabs>
          <w:tab w:leader="none" w:pos="381"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proceeds allocated include estimated costs associated to establish the design of a proof of concept. The Company shall base future plans for the Digital platform on the results of the planned proof of concept work. The anticipated timeline to complete the proof of concept work is Q2-2022. This is an update from the previous disclosed milestone which included spend for the ongoing development of the patient digital platform, which was expected to be completed by Q4-2021. The anticipated timeline for completing this objective is based on certain material factors or assumptions including, but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spacing w:after="0" w:line="2" w:lineRule="exact"/>
        <w:rPr>
          <w:rFonts w:ascii="Times New Roman" w:cs="Times New Roman" w:eastAsia="Times New Roman" w:hAnsi="Times New Roman"/>
          <w:sz w:val="13"/>
          <w:szCs w:val="13"/>
          <w:color w:val="auto"/>
        </w:rPr>
      </w:pPr>
    </w:p>
    <w:p>
      <w:pPr>
        <w:ind w:left="342" w:hanging="342"/>
        <w:spacing w:after="0"/>
        <w:tabs>
          <w:tab w:leader="none" w:pos="342"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Kernel Flow study will require the identification and recruitment of investigators and development of acceptable study protocols. See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w:t>
      </w:r>
    </w:p>
    <w:p>
      <w:pPr>
        <w:spacing w:after="0" w:line="190" w:lineRule="exact"/>
        <w:rPr>
          <w:sz w:val="20"/>
          <w:szCs w:val="20"/>
          <w:color w:val="auto"/>
        </w:rPr>
      </w:pPr>
    </w:p>
    <w:p>
      <w:pPr>
        <w:ind w:left="2" w:right="20"/>
        <w:spacing w:after="0" w:line="217" w:lineRule="auto"/>
        <w:rPr>
          <w:sz w:val="20"/>
          <w:szCs w:val="20"/>
          <w:color w:val="auto"/>
        </w:rPr>
      </w:pPr>
      <w:r>
        <w:rPr>
          <w:rFonts w:ascii="Times New Roman" w:cs="Times New Roman" w:eastAsia="Times New Roman" w:hAnsi="Times New Roman"/>
          <w:sz w:val="18"/>
          <w:szCs w:val="18"/>
          <w:color w:val="auto"/>
        </w:rPr>
        <w:t>Additional details on the Company’s programs, business objectives and milestones, are described in the Company’s management discussion &amp; analysis for the fiscal year ended March 31, 2022 (the “</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under the heading “Update on Use of Proceeds” which is available on the Company’s SEDAR profile</w:t>
      </w:r>
    </w:p>
    <w:p>
      <w:pPr>
        <w:ind w:left="2" w:right="20"/>
        <w:spacing w:after="0" w:line="230" w:lineRule="auto"/>
        <w:rPr>
          <w:sz w:val="20"/>
          <w:szCs w:val="20"/>
          <w:color w:val="auto"/>
        </w:rPr>
      </w:pPr>
      <w:r>
        <w:rPr>
          <w:rFonts w:ascii="Times New Roman" w:cs="Times New Roman" w:eastAsia="Times New Roman" w:hAnsi="Times New Roman"/>
          <w:sz w:val="18"/>
          <w:szCs w:val="18"/>
          <w:color w:val="auto"/>
        </w:rPr>
        <w:t>at www.sedar.com. Other than as described in this AIF and the MD&amp;A, to the knowledge of management, there are no other particular significant events or milestones that must occur for the Company’s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62"/>
          </w:cols>
          <w:pgMar w:left="318" w:top="1437" w:right="319" w:bottom="1440" w:gutter="0" w:footer="0" w:header="0"/>
        </w:sectPr>
      </w:pPr>
    </w:p>
    <w:bookmarkStart w:id="51" w:name="page52"/>
    <w:bookmarkEnd w:id="51"/>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business objectives to be accomplished. However, there is no guarantee that the Company will meet its business objectives or milestones described above within the specific time periods, within the estimated costs or at all. The Company may, for sound business reasons, reallocate its time or capital resources,</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or both, differently than as described in this AIF and the MD&amp;A. See “</w:t>
      </w:r>
      <w:r>
        <w:rPr>
          <w:rFonts w:ascii="Times New Roman" w:cs="Times New Roman" w:eastAsia="Times New Roman" w:hAnsi="Times New Roman"/>
          <w:sz w:val="18"/>
          <w:szCs w:val="18"/>
          <w:i w:val="1"/>
          <w:iCs w:val="1"/>
          <w:color w:val="auto"/>
        </w:rPr>
        <w:t>Cautionary Note Regarding Forward-Looking Information”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AIF.</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capital towards the Company’s ongoing projects and programs, as reflected in the MD&amp;A, is largely dependent on the success, or</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w:t>
      </w:r>
    </w:p>
    <w:p>
      <w:pPr>
        <w:spacing w:after="0" w:line="213" w:lineRule="auto"/>
        <w:rPr>
          <w:sz w:val="20"/>
          <w:szCs w:val="20"/>
          <w:color w:val="auto"/>
        </w:rPr>
      </w:pPr>
      <w:r>
        <w:rPr>
          <w:rFonts w:ascii="Times New Roman" w:cs="Times New Roman" w:eastAsia="Times New Roman" w:hAnsi="Times New Roman"/>
          <w:sz w:val="18"/>
          <w:szCs w:val="18"/>
          <w:color w:val="auto"/>
        </w:rPr>
        <w:t>to rapidly reallocate capital to projects whose results show the greatest potential. As such, it is difficult for the Company to anticipate the timing and costs</w:t>
      </w:r>
    </w:p>
    <w:p>
      <w:pPr>
        <w:jc w:val="both"/>
        <w:ind w:right="20"/>
        <w:spacing w:after="0" w:line="217" w:lineRule="auto"/>
        <w:rPr>
          <w:sz w:val="20"/>
          <w:szCs w:val="20"/>
          <w:color w:val="auto"/>
        </w:rPr>
      </w:pPr>
      <w:r>
        <w:rPr>
          <w:rFonts w:ascii="Times New Roman" w:cs="Times New Roman" w:eastAsia="Times New Roman" w:hAnsi="Times New Roman"/>
          <w:sz w:val="17"/>
          <w:szCs w:val="17"/>
          <w:color w:val="auto"/>
        </w:rPr>
        <w:t>associated with taking the projects to their next planned stage, and the Company cannot make assurances that the estimates reflected in the MD&amp;A will prove to be accurate, as actual results and future events could differ materially from those anticipated. Accordingly, investors are cautioned not to put undue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reliance on the estimates reflected in the MD&amp;A.</w:t>
      </w:r>
    </w:p>
    <w:p>
      <w:pPr>
        <w:spacing w:after="0" w:line="152"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w:t>
      </w:r>
    </w:p>
    <w:p>
      <w:pPr>
        <w:spacing w:after="0" w:line="212" w:lineRule="auto"/>
        <w:rPr>
          <w:sz w:val="20"/>
          <w:szCs w:val="20"/>
          <w:color w:val="auto"/>
        </w:rPr>
      </w:pPr>
      <w:r>
        <w:rPr>
          <w:rFonts w:ascii="Times New Roman" w:cs="Times New Roman" w:eastAsia="Times New Roman" w:hAnsi="Times New Roman"/>
          <w:sz w:val="18"/>
          <w:szCs w:val="18"/>
          <w:color w:val="auto"/>
        </w:rPr>
        <w:t>shareholder value and undermine the Company’s proprietary technology. In keeping with pharmaceutical industry practice, it is the Company’s policy to</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on the Company’s patent and other intellectual property rights and could result in the breach of confidentiality obligations.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and Raw Materials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established contractual sources of synthetic GMP and non-GMP raw materials to support its development operations through licensed</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third-party suppliers located in Canada, the United States and the United Kingdom. Such raw materials are expected to be, in general, readily available and in adequate supply to meet the Company’s need for development quantities, or custom manufactured on the Company’s behalf. The prices of research</w:t>
      </w:r>
    </w:p>
    <w:p>
      <w:pPr>
        <w:spacing w:after="0" w:line="225" w:lineRule="auto"/>
        <w:rPr>
          <w:sz w:val="20"/>
          <w:szCs w:val="20"/>
          <w:color w:val="auto"/>
        </w:rPr>
      </w:pPr>
      <w:r>
        <w:rPr>
          <w:rFonts w:ascii="Times New Roman" w:cs="Times New Roman" w:eastAsia="Times New Roman" w:hAnsi="Times New Roman"/>
          <w:sz w:val="17"/>
          <w:szCs w:val="17"/>
          <w:color w:val="auto"/>
        </w:rPr>
        <w:t>quantities of psilocybin and novel psychedelic compounds are generally higher than commercial supply prices at significantly larger scale and the Company,</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therefore, expects its supply prices to reduce over time. Development and production of the Company’s proprietary novel compounds is performed under confidential contractual agreements.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Operations</w:t>
      </w:r>
    </w:p>
    <w:p>
      <w:pPr>
        <w:spacing w:after="0" w:line="17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7"/>
          <w:szCs w:val="17"/>
          <w:color w:val="auto"/>
        </w:rPr>
        <w:t>The Company’s management is located in Canada</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Ireland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 the United States led by others in local jurisdictions. The Company psilocybin raw materials are expected to be sourced from a supplier in the United States and are expected to be manufactured and packaged in FDA registered facilities in the United</w:t>
      </w: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Kingdom. Such raw materials are expected to be sent directly to the Company’s partners (e.g., IntelGenx) for research and development purposes pursuant to its corresponding agreements, subject to receipt of all necessary approvals.</w:t>
      </w:r>
    </w:p>
    <w:p>
      <w:pPr>
        <w:spacing w:after="0" w:line="1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Company conducts its international operations to conform to local variations, economic realities, market customs, consumer habits and regulatory environments. The Company will modify its products (including labeling of such products) and its distribution and marketing programs in response to local and foreign legal requirements and customer preferences.</w:t>
      </w:r>
    </w:p>
    <w:p>
      <w:pPr>
        <w:spacing w:after="0" w:line="13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7"/>
          <w:szCs w:val="17"/>
          <w:color w:val="auto"/>
        </w:rPr>
        <w:t>The Company’s international operations are subject to many of the same risks that its domestic operations face. These include competition and the strength of the relevant economy. In addition, international operations are subject to certain risks inherent in conducting business abroad, including foreign regulatory</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restrictions, fluctuations in monetary exchange rates, import-export controls and the economic and political policies of foreign governments. Government regulations in foreign countries may prevent or delay the introduction, or require the reformulation, of certain of its products. Compliance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60"/>
          </w:cols>
          <w:pgMar w:left="320" w:top="1438" w:right="319" w:bottom="1440" w:gutter="0" w:footer="0" w:header="0"/>
        </w:sectPr>
      </w:pPr>
    </w:p>
    <w:bookmarkStart w:id="52" w:name="page53"/>
    <w:bookmarkEnd w:id="52"/>
    <w:p>
      <w:pPr>
        <w:jc w:val="both"/>
        <w:spacing w:after="0" w:line="231" w:lineRule="auto"/>
        <w:rPr>
          <w:sz w:val="20"/>
          <w:szCs w:val="20"/>
          <w:color w:val="auto"/>
        </w:rPr>
      </w:pPr>
      <w:r>
        <w:rPr>
          <w:rFonts w:ascii="Times New Roman" w:cs="Times New Roman" w:eastAsia="Times New Roman" w:hAnsi="Times New Roman"/>
          <w:sz w:val="18"/>
          <w:szCs w:val="18"/>
          <w:color w:val="auto"/>
        </w:rPr>
        <w:t>foreign governmental regulations is generally the responsibility of the Company’s distributors in those countries. These distributors are independent contractors whom the Company does not control. The importance of these risks increases as the Company’s international operations grow and expand.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Segment, Market Acceptance and Geographic Areas</w:t>
      </w:r>
    </w:p>
    <w:p>
      <w:pPr>
        <w:spacing w:after="0" w:line="174"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The Company is focused on developing novel compounds and improving the bioavailability and pharmacokinetic profiles of existing compounds to target psychiatric and neurological conditions. The Company is focused on progressing its ten patent filings which cover novel psychedelic compounds, delivery</w:t>
      </w:r>
    </w:p>
    <w:p>
      <w:pPr>
        <w:spacing w:after="0"/>
        <w:rPr>
          <w:sz w:val="20"/>
          <w:szCs w:val="20"/>
          <w:color w:val="auto"/>
        </w:rPr>
      </w:pPr>
      <w:r>
        <w:rPr>
          <w:rFonts w:ascii="Times New Roman" w:cs="Times New Roman" w:eastAsia="Times New Roman" w:hAnsi="Times New Roman"/>
          <w:sz w:val="18"/>
          <w:szCs w:val="18"/>
          <w:color w:val="auto"/>
        </w:rPr>
        <w:t>mechanisms and supportive treatment platforms.</w:t>
      </w:r>
    </w:p>
    <w:p>
      <w:pPr>
        <w:spacing w:after="0" w:line="15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The Company’s initial product is expected to be the Sublingual Film, an oral delivery mechanism, provided that the clinical trial is successful, and all necessary approvals are obtained. The Company’s market for the Sublingual Film is expected to be in jurisdictions where such products are lawful.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Plan and Strategies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marketing strategy will be initially driven through a digital marketing strategy composed of digital advertising and influencer marketing.</w:t>
      </w:r>
    </w:p>
    <w:p>
      <w:pPr>
        <w:spacing w:after="0"/>
        <w:rPr>
          <w:sz w:val="20"/>
          <w:szCs w:val="20"/>
          <w:color w:val="auto"/>
        </w:rPr>
      </w:pPr>
      <w:r>
        <w:rPr>
          <w:rFonts w:ascii="Times New Roman" w:cs="Times New Roman" w:eastAsia="Times New Roman" w:hAnsi="Times New Roman"/>
          <w:sz w:val="18"/>
          <w:szCs w:val="18"/>
          <w:color w:val="auto"/>
        </w:rPr>
        <w:t>The Company expects to also retain a sales force to complement its digital strategy by targeting wholesale and retail distribution.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Specialized Skills and Knowledge</w:t>
      </w:r>
    </w:p>
    <w:p>
      <w:pPr>
        <w:spacing w:after="0" w:line="176"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The Company’s directors and officers possess a wide range of professional skills and experience relevant to pursuing and executing on the Company’s business strategy. Drawing on significant experience in various industries and sectors, the Company believes its management has a demonstrated track</w:t>
      </w:r>
    </w:p>
    <w:p>
      <w:pPr>
        <w:spacing w:after="0" w:line="205" w:lineRule="auto"/>
        <w:rPr>
          <w:sz w:val="20"/>
          <w:szCs w:val="20"/>
          <w:color w:val="auto"/>
        </w:rPr>
      </w:pPr>
      <w:r>
        <w:rPr>
          <w:rFonts w:ascii="Times New Roman" w:cs="Times New Roman" w:eastAsia="Times New Roman" w:hAnsi="Times New Roman"/>
          <w:sz w:val="18"/>
          <w:szCs w:val="18"/>
          <w:color w:val="auto"/>
        </w:rPr>
        <w:t>record of bringing together all of the key components for a successful psychedelic medicine and nutraceutical company, such as strong technical skills, expertise in planning and financial controls, ability to execute on business development opportunities, and capital markets expertise. The operational skills</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of the Company’s management include valuable knowledge and ability to analyze demographics and consumer purchasing habits, and tailor product brands and consumer retail experiences based on relevant demographic data.</w:t>
      </w:r>
    </w:p>
    <w:p>
      <w:pPr>
        <w:spacing w:after="0" w:line="133"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By leveraging the strengths and experiences of its management team (i.e., individuals who possess a wealth of combined knowledge and experience necessary for the research and development, sales, marketing, and distribution of psychedelic pharmaceutical and nutraceutical products) the Company</w:t>
      </w:r>
    </w:p>
    <w:p>
      <w:pPr>
        <w:ind w:right="20"/>
        <w:spacing w:after="0" w:line="222" w:lineRule="auto"/>
        <w:rPr>
          <w:sz w:val="20"/>
          <w:szCs w:val="20"/>
          <w:color w:val="auto"/>
        </w:rPr>
      </w:pPr>
      <w:r>
        <w:rPr>
          <w:rFonts w:ascii="Times New Roman" w:cs="Times New Roman" w:eastAsia="Times New Roman" w:hAnsi="Times New Roman"/>
          <w:sz w:val="18"/>
          <w:szCs w:val="18"/>
          <w:color w:val="auto"/>
        </w:rPr>
        <w:t>intends to, over time, establish itself as a leader in the psychedelic pharmaceutical and nutraceutical industry. The Company will continue to build out its team with specialists on an “as-needed” basis.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current directors, officers and key executives have significant collective experience with psychedelic molecules, medicinal chemistry, pre-</w:t>
      </w:r>
    </w:p>
    <w:p>
      <w:pPr>
        <w:ind w:right="20"/>
        <w:spacing w:after="0" w:line="217" w:lineRule="auto"/>
        <w:rPr>
          <w:sz w:val="20"/>
          <w:szCs w:val="20"/>
          <w:color w:val="auto"/>
        </w:rPr>
      </w:pPr>
      <w:r>
        <w:rPr>
          <w:rFonts w:ascii="Times New Roman" w:cs="Times New Roman" w:eastAsia="Times New Roman" w:hAnsi="Times New Roman"/>
          <w:sz w:val="17"/>
          <w:szCs w:val="17"/>
          <w:color w:val="auto"/>
        </w:rPr>
        <w:t>clinical and clinical operations, clinical psychology, quality and regulatory affairs, in addition to a track record of growing pharmaceutical companies including aspects of commercial operations, securities and capital markets. Collectively, the Company believes that it has adequate access to the current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skill sets required to grow and sustain its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Cyclical or Seasonality of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business is not expected to be cyclical or seasonal.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At the current stage of development, the Company is focused on maintaining a lean corporate structure, utilizing a highly experienced core team of senior executives and managers, while leveraging a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60"/>
          </w:cols>
          <w:pgMar w:left="320" w:top="1438" w:right="319" w:bottom="1440" w:gutter="0" w:footer="0" w:header="0"/>
        </w:sectPr>
      </w:pPr>
    </w:p>
    <w:bookmarkStart w:id="53" w:name="page54"/>
    <w:bookmarkEnd w:id="53"/>
    <w:p>
      <w:pPr>
        <w:ind w:right="20"/>
        <w:spacing w:after="0" w:line="243" w:lineRule="auto"/>
        <w:rPr>
          <w:sz w:val="20"/>
          <w:szCs w:val="20"/>
          <w:color w:val="auto"/>
        </w:rPr>
      </w:pPr>
      <w:r>
        <w:rPr>
          <w:rFonts w:ascii="Times New Roman" w:cs="Times New Roman" w:eastAsia="Times New Roman" w:hAnsi="Times New Roman"/>
          <w:sz w:val="18"/>
          <w:szCs w:val="18"/>
          <w:color w:val="auto"/>
        </w:rPr>
        <w:t>effective ecosystem of independent contractors, consultants and advisors, on an “as needed” basis. The Company employs less than 50 current full-time staff.</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Cybin has title to one granted U.S. patent related to the Company’s investigational deuterated DMT compound CYB004. The patent covers composition of matter and protects the CYB004 drug substance, a putative new chemical entity.</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340" w:type="dxa"/>
            <w:vAlign w:val="bottom"/>
            <w:tcBorders>
              <w:top w:val="single" w:sz="8" w:color="auto"/>
              <w:left w:val="single" w:sz="8" w:color="auto"/>
              <w:bottom w:val="single" w:sz="8" w:color="auto"/>
              <w:right w:val="single" w:sz="8" w:color="auto"/>
            </w:tcBorders>
            <w:shd w:val="clear" w:color="auto" w:fill="BFBFBF"/>
          </w:tcPr>
          <w:p>
            <w:pPr>
              <w:spacing w:after="0"/>
              <w:rPr>
                <w:sz w:val="19"/>
                <w:szCs w:val="19"/>
                <w:color w:val="auto"/>
              </w:rPr>
            </w:pPr>
          </w:p>
        </w:tc>
        <w:tc>
          <w:tcPr>
            <w:tcW w:w="2240" w:type="dxa"/>
            <w:vAlign w:val="bottom"/>
            <w:tcBorders>
              <w:top w:val="single" w:sz="8" w:color="auto"/>
              <w:bottom w:val="single" w:sz="8" w:color="auto"/>
              <w:right w:val="single" w:sz="8" w:color="auto"/>
            </w:tcBorders>
            <w:shd w:val="clear" w:color="auto" w:fill="BFBFB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1940" w:type="dxa"/>
            <w:vAlign w:val="bottom"/>
            <w:tcBorders>
              <w:top w:val="single" w:sz="8" w:color="auto"/>
              <w:bottom w:val="single" w:sz="8" w:color="auto"/>
              <w:right w:val="single" w:sz="8" w:color="auto"/>
            </w:tcBorders>
            <w:shd w:val="clear" w:color="auto" w:fill="BFBFBF"/>
          </w:tcPr>
          <w:p>
            <w:pPr>
              <w:ind w:left="220"/>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6760" w:type="dxa"/>
            <w:vAlign w:val="bottom"/>
            <w:tcBorders>
              <w:top w:val="single" w:sz="8" w:color="auto"/>
              <w:bottom w:val="single" w:sz="8" w:color="auto"/>
              <w:right w:val="single" w:sz="8" w:color="auto"/>
            </w:tcBorders>
            <w:shd w:val="clear" w:color="auto" w:fill="BFBFBF"/>
          </w:tcPr>
          <w:p>
            <w:pPr>
              <w:ind w:left="29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0"/>
        </w:trPr>
        <w:tc>
          <w:tcPr>
            <w:tcW w:w="340" w:type="dxa"/>
            <w:vAlign w:val="bottom"/>
            <w:tcBorders>
              <w:left w:val="single" w:sz="8" w:color="auto"/>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1</w:t>
            </w:r>
          </w:p>
        </w:tc>
        <w:tc>
          <w:tcPr>
            <w:tcW w:w="2240" w:type="dxa"/>
            <w:vAlign w:val="bottom"/>
            <w:tcBorders>
              <w:bottom w:val="single" w:sz="8" w:color="auto"/>
              <w:right w:val="single" w:sz="8" w:color="auto"/>
            </w:tcBorders>
          </w:tcPr>
          <w:p>
            <w:pPr>
              <w:jc w:val="right"/>
              <w:ind w:right="1419"/>
              <w:spacing w:after="0"/>
              <w:rPr>
                <w:sz w:val="20"/>
                <w:szCs w:val="20"/>
                <w:color w:val="auto"/>
              </w:rPr>
            </w:pPr>
            <w:r>
              <w:rPr>
                <w:rFonts w:ascii="Times New Roman" w:cs="Times New Roman" w:eastAsia="Times New Roman" w:hAnsi="Times New Roman"/>
                <w:sz w:val="16"/>
                <w:szCs w:val="16"/>
                <w:color w:val="auto"/>
                <w:w w:val="99"/>
              </w:rPr>
              <w:t>11,242,318</w:t>
            </w:r>
          </w:p>
        </w:tc>
        <w:tc>
          <w:tcPr>
            <w:tcW w:w="1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6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r>
    </w:tbl>
    <w:p>
      <w:pPr>
        <w:spacing w:after="0" w:line="26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In addition, Cybin has title to ten provisional patent applications, one U.S. non-provisional patent application, and seven PCT applications, including claims directed to compositions of matter and methods of use in support of its research and development and pre-clinical and clinical trial programs.</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340" w:type="dxa"/>
            <w:vAlign w:val="bottom"/>
            <w:tcBorders>
              <w:top w:val="single" w:sz="8" w:color="auto"/>
              <w:left w:val="single" w:sz="8" w:color="auto"/>
              <w:bottom w:val="single" w:sz="8" w:color="auto"/>
              <w:right w:val="single" w:sz="8" w:color="auto"/>
            </w:tcBorders>
            <w:shd w:val="clear" w:color="auto" w:fill="BFBFBF"/>
          </w:tcPr>
          <w:p>
            <w:pPr>
              <w:spacing w:after="0"/>
              <w:rPr>
                <w:sz w:val="19"/>
                <w:szCs w:val="19"/>
                <w:color w:val="auto"/>
              </w:rPr>
            </w:pPr>
          </w:p>
        </w:tc>
        <w:tc>
          <w:tcPr>
            <w:tcW w:w="2240" w:type="dxa"/>
            <w:vAlign w:val="bottom"/>
            <w:tcBorders>
              <w:top w:val="single" w:sz="8" w:color="auto"/>
              <w:bottom w:val="single" w:sz="8" w:color="auto"/>
              <w:right w:val="single" w:sz="8" w:color="auto"/>
            </w:tcBorders>
            <w:shd w:val="clear" w:color="auto" w:fill="BFBFBF"/>
          </w:tcPr>
          <w:p>
            <w:pPr>
              <w:ind w:left="14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640" w:type="dxa"/>
            <w:vAlign w:val="bottom"/>
            <w:tcBorders>
              <w:top w:val="single" w:sz="8" w:color="auto"/>
              <w:bottom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1520" w:type="dxa"/>
            <w:vAlign w:val="bottom"/>
            <w:tcBorders>
              <w:top w:val="single" w:sz="8" w:color="auto"/>
              <w:bottom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5540" w:type="dxa"/>
            <w:vAlign w:val="bottom"/>
            <w:tcBorders>
              <w:top w:val="single" w:sz="8" w:color="auto"/>
              <w:bottom w:val="single" w:sz="8" w:color="auto"/>
              <w:right w:val="single" w:sz="8" w:color="auto"/>
            </w:tcBorders>
            <w:shd w:val="clear" w:color="auto" w:fill="BFBFBF"/>
          </w:tcPr>
          <w:p>
            <w:pPr>
              <w:ind w:left="23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0"/>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PCT/IB2021/054340</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Tryptamine Derivative Compounds and Methods</w:t>
            </w:r>
          </w:p>
        </w:tc>
        <w:tc>
          <w:tcPr>
            <w:tcW w:w="0" w:type="dxa"/>
            <w:vAlign w:val="bottom"/>
          </w:tcPr>
          <w:p>
            <w:pPr>
              <w:spacing w:after="0"/>
              <w:rPr>
                <w:sz w:val="1"/>
                <w:szCs w:val="1"/>
                <w:color w:val="auto"/>
              </w:rPr>
            </w:pPr>
          </w:p>
        </w:tc>
      </w:tr>
      <w:tr>
        <w:trPr>
          <w:trHeight w:val="200"/>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63/219,880</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Integrated Data Collection Devices for Use in Psychotherapy</w:t>
            </w:r>
          </w:p>
        </w:tc>
        <w:tc>
          <w:tcPr>
            <w:tcW w:w="0" w:type="dxa"/>
            <w:vAlign w:val="bottom"/>
          </w:tcPr>
          <w:p>
            <w:pPr>
              <w:spacing w:after="0"/>
              <w:rPr>
                <w:sz w:val="1"/>
                <w:szCs w:val="1"/>
                <w:color w:val="auto"/>
              </w:rPr>
            </w:pPr>
          </w:p>
        </w:tc>
      </w:tr>
      <w:tr>
        <w:trPr>
          <w:trHeight w:val="200"/>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PCT/EP2021/072898</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00"/>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PCT/EP2021/072896</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00"/>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63/241,891</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0" w:type="dxa"/>
            <w:vAlign w:val="bottom"/>
          </w:tcPr>
          <w:p>
            <w:pPr>
              <w:spacing w:after="0"/>
              <w:rPr>
                <w:sz w:val="1"/>
                <w:szCs w:val="1"/>
                <w:color w:val="auto"/>
              </w:rPr>
            </w:pPr>
          </w:p>
        </w:tc>
      </w:tr>
      <w:tr>
        <w:trPr>
          <w:trHeight w:val="151"/>
        </w:trPr>
        <w:tc>
          <w:tcPr>
            <w:tcW w:w="3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6</w:t>
            </w:r>
          </w:p>
        </w:tc>
        <w:tc>
          <w:tcPr>
            <w:tcW w:w="22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PCT/EP2021/077057</w:t>
            </w:r>
          </w:p>
        </w:tc>
        <w:tc>
          <w:tcPr>
            <w:tcW w:w="16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Ireland</w:t>
            </w:r>
          </w:p>
        </w:tc>
        <w:tc>
          <w:tcPr>
            <w:tcW w:w="15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right w:val="single" w:sz="8" w:color="auto"/>
            </w:tcBorders>
          </w:tcPr>
          <w:p>
            <w:pPr>
              <w:spacing w:after="0" w:line="152" w:lineRule="exact"/>
              <w:rPr>
                <w:sz w:val="20"/>
                <w:szCs w:val="20"/>
                <w:color w:val="auto"/>
              </w:rPr>
            </w:pPr>
            <w:r>
              <w:rPr>
                <w:rFonts w:ascii="Times New Roman" w:cs="Times New Roman" w:eastAsia="Times New Roman" w:hAnsi="Times New Roman"/>
                <w:sz w:val="16"/>
                <w:szCs w:val="16"/>
                <w:color w:val="auto"/>
              </w:rPr>
              <w:t>Methods For Delivery of Psychedelic Medications By Inhalation and Systems For</w:t>
            </w:r>
          </w:p>
        </w:tc>
        <w:tc>
          <w:tcPr>
            <w:tcW w:w="0" w:type="dxa"/>
            <w:vAlign w:val="bottom"/>
          </w:tcPr>
          <w:p>
            <w:pPr>
              <w:spacing w:after="0"/>
              <w:rPr>
                <w:sz w:val="1"/>
                <w:szCs w:val="1"/>
                <w:color w:val="auto"/>
              </w:rPr>
            </w:pPr>
          </w:p>
        </w:tc>
      </w:tr>
      <w:tr>
        <w:trPr>
          <w:trHeight w:val="134"/>
        </w:trPr>
        <w:tc>
          <w:tcPr>
            <w:tcW w:w="340" w:type="dxa"/>
            <w:vAlign w:val="bottom"/>
            <w:tcBorders>
              <w:left w:val="single" w:sz="8" w:color="auto"/>
              <w:right w:val="single" w:sz="8" w:color="auto"/>
            </w:tcBorders>
            <w:vMerge w:val="continue"/>
          </w:tcPr>
          <w:p>
            <w:pPr>
              <w:spacing w:after="0"/>
              <w:rPr>
                <w:sz w:val="11"/>
                <w:szCs w:val="11"/>
                <w:color w:val="auto"/>
              </w:rPr>
            </w:pPr>
          </w:p>
        </w:tc>
        <w:tc>
          <w:tcPr>
            <w:tcW w:w="2240" w:type="dxa"/>
            <w:vAlign w:val="bottom"/>
            <w:tcBorders>
              <w:right w:val="single" w:sz="8" w:color="auto"/>
            </w:tcBorders>
            <w:vMerge w:val="continue"/>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55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Performing the Methods</w:t>
            </w:r>
          </w:p>
        </w:tc>
        <w:tc>
          <w:tcPr>
            <w:tcW w:w="0" w:type="dxa"/>
            <w:vAlign w:val="bottom"/>
          </w:tcPr>
          <w:p>
            <w:pPr>
              <w:spacing w:after="0"/>
              <w:rPr>
                <w:sz w:val="1"/>
                <w:szCs w:val="1"/>
                <w:color w:val="auto"/>
              </w:rPr>
            </w:pPr>
          </w:p>
        </w:tc>
      </w:tr>
      <w:tr>
        <w:trPr>
          <w:trHeight w:val="82"/>
        </w:trPr>
        <w:tc>
          <w:tcPr>
            <w:tcW w:w="340" w:type="dxa"/>
            <w:vAlign w:val="bottom"/>
            <w:tcBorders>
              <w:left w:val="single" w:sz="8" w:color="auto"/>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55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63/276,117</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Psilocybin Analog Formulations and Methods of Use</w:t>
            </w:r>
          </w:p>
        </w:tc>
        <w:tc>
          <w:tcPr>
            <w:tcW w:w="0" w:type="dxa"/>
            <w:vAlign w:val="bottom"/>
          </w:tcPr>
          <w:p>
            <w:pPr>
              <w:spacing w:after="0"/>
              <w:rPr>
                <w:sz w:val="1"/>
                <w:szCs w:val="1"/>
                <w:color w:val="auto"/>
              </w:rPr>
            </w:pPr>
          </w:p>
        </w:tc>
      </w:tr>
      <w:tr>
        <w:trPr>
          <w:trHeight w:val="200"/>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17/564,707</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200"/>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PCT/EP2022/056991</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200"/>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63/268,019</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00"/>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63/268,020</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200"/>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PCT/EP2022/058574</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0" w:type="dxa"/>
            <w:vAlign w:val="bottom"/>
          </w:tcPr>
          <w:p>
            <w:pPr>
              <w:spacing w:after="0"/>
              <w:rPr>
                <w:sz w:val="1"/>
                <w:szCs w:val="1"/>
                <w:color w:val="auto"/>
              </w:rPr>
            </w:pPr>
          </w:p>
        </w:tc>
      </w:tr>
      <w:tr>
        <w:trPr>
          <w:trHeight w:val="200"/>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63/268,022</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200"/>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14</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63/268,024</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Amphetamine Derivatives, Compositions, and Methods of Use</w:t>
            </w:r>
          </w:p>
        </w:tc>
        <w:tc>
          <w:tcPr>
            <w:tcW w:w="0" w:type="dxa"/>
            <w:vAlign w:val="bottom"/>
          </w:tcPr>
          <w:p>
            <w:pPr>
              <w:spacing w:after="0"/>
              <w:rPr>
                <w:sz w:val="1"/>
                <w:szCs w:val="1"/>
                <w:color w:val="auto"/>
              </w:rPr>
            </w:pPr>
          </w:p>
        </w:tc>
      </w:tr>
      <w:tr>
        <w:trPr>
          <w:trHeight w:val="200"/>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63/299,599</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200"/>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16</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63/362,238</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Methods For Delivery of Psychedelic Medications by Inhalation and Systems</w:t>
            </w:r>
          </w:p>
        </w:tc>
        <w:tc>
          <w:tcPr>
            <w:tcW w:w="0" w:type="dxa"/>
            <w:vAlign w:val="bottom"/>
          </w:tcPr>
          <w:p>
            <w:pPr>
              <w:spacing w:after="0"/>
              <w:rPr>
                <w:sz w:val="1"/>
                <w:szCs w:val="1"/>
                <w:color w:val="auto"/>
              </w:rPr>
            </w:pPr>
          </w:p>
        </w:tc>
      </w:tr>
      <w:tr>
        <w:trPr>
          <w:trHeight w:val="200"/>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17</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63/362,258</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0" w:type="dxa"/>
            <w:vAlign w:val="bottom"/>
          </w:tcPr>
          <w:p>
            <w:pPr>
              <w:spacing w:after="0"/>
              <w:rPr>
                <w:sz w:val="1"/>
                <w:szCs w:val="1"/>
                <w:color w:val="auto"/>
              </w:rPr>
            </w:pPr>
          </w:p>
        </w:tc>
      </w:tr>
      <w:tr>
        <w:trPr>
          <w:trHeight w:val="200"/>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18</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PCT/EP2022/063269</w:t>
            </w:r>
          </w:p>
        </w:tc>
        <w:tc>
          <w:tcPr>
            <w:tcW w:w="1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The Company’s patent applications cover a wide range of novel psychedelic compounds from different classes, including those with targeted structural modifications with a goal of improved pharmacokinetic</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60"/>
          </w:cols>
          <w:pgMar w:left="320" w:top="1438" w:right="319" w:bottom="1440" w:gutter="0" w:footer="0" w:header="0"/>
        </w:sectPr>
      </w:pPr>
    </w:p>
    <w:bookmarkStart w:id="54" w:name="page55"/>
    <w:bookmarkEnd w:id="54"/>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characteristics and safety profiles without altering their receptor binding. The patent applications also cover novel drug delivery platforms for administration of the psychedelic drugs with a goal of achieving faster onset of action, higher bioavailability by way of bypassing liver metabolism, more controlled delivery for better patient experience, and optimized therapeutic outcomes.</w:t>
      </w:r>
    </w:p>
    <w:p>
      <w:pPr>
        <w:spacing w:after="0" w:line="16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Cybin has also filed applications for registration of twenty-two trademarks, including Changing Minds™, Cybin, Cybin Therapeutics™, Embark™, It’s not magic. It’s mushrooms™, It's not magic, its science™, Journey™, Mushroom &amp; Friends™, Psilotonin™, Psychedelics to Therapeutics™ and CYB™.</w:t>
      </w:r>
    </w:p>
    <w:p>
      <w:pPr>
        <w:spacing w:after="0" w:line="167"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w:t>
      </w: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for compounds and formulations. As the Company generates new data it will continue to file or acquire additional patent applications throughout the Company’s development program.</w:t>
      </w:r>
    </w:p>
    <w:p>
      <w:pPr>
        <w:spacing w:after="0" w:line="15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On July 8, 2021, the Company announced its scaling up of its European operations through its wholly owned Ireland subsidiary, Cybin Ireland. In connection with the formation of Cybin Ireland, the Company transferred its intellectual property assets to this entity.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Protections</w:t>
      </w:r>
    </w:p>
    <w:p>
      <w:pPr>
        <w:spacing w:after="0" w:line="164"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The Company is committed to minimizing any environmental impact of its operations and operating its business in a way that will foster sustainable use of the world’s natural resources. At this time, the Company’s business does not materially impact environmental conditions. However, prior to commencing</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any operations that the Company expects to impact environmental conditions, the Company will establish internal policies to comply with all applicable environmental protection laws and regulations.</w:t>
      </w:r>
    </w:p>
    <w:p>
      <w:pPr>
        <w:spacing w:after="0" w:line="171"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The Company does not expect that there will be any financial or operational effects as a result of environmental protection requirements on its capital expenditures, profit or loss, or its competitive positions in the current fiscal year or in future years.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176"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The Company’s proposed development of psychoactive compounds for use in medical research will compete with other entities that are developing or supplying psychoactive compounds for use in medical research, including clinical trials.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industry within which the Company intends to operate will become intensely competitive in all its phases, and the Company will face intense</w:t>
      </w:r>
    </w:p>
    <w:p>
      <w:pPr>
        <w:jc w:val="both"/>
        <w:spacing w:after="0" w:line="217" w:lineRule="auto"/>
        <w:rPr>
          <w:sz w:val="20"/>
          <w:szCs w:val="20"/>
          <w:color w:val="auto"/>
        </w:rPr>
      </w:pPr>
      <w:r>
        <w:rPr>
          <w:rFonts w:ascii="Times New Roman" w:cs="Times New Roman" w:eastAsia="Times New Roman" w:hAnsi="Times New Roman"/>
          <w:sz w:val="17"/>
          <w:szCs w:val="17"/>
          <w:color w:val="auto"/>
        </w:rPr>
        <w:t>competition from other companies, some of which can be expected to have more financial resources and retail, formulation, research, processing, and marketing experience than the Company. Although the Company has access to capital, a management team with specialized skills and knowledge, and an IP</w:t>
      </w:r>
    </w:p>
    <w:p>
      <w:pPr>
        <w:spacing w:after="0" w:line="213" w:lineRule="auto"/>
        <w:rPr>
          <w:sz w:val="20"/>
          <w:szCs w:val="20"/>
          <w:color w:val="auto"/>
        </w:rPr>
      </w:pPr>
      <w:r>
        <w:rPr>
          <w:rFonts w:ascii="Times New Roman" w:cs="Times New Roman" w:eastAsia="Times New Roman" w:hAnsi="Times New Roman"/>
          <w:sz w:val="18"/>
          <w:szCs w:val="18"/>
          <w:color w:val="auto"/>
        </w:rPr>
        <w:t>portfolio that positions it well among its competitors, there can be no assurance that potential competitors of the Company, which may have greater</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financial, formulation, research, production, sales and marketing experience, and personnel and resources than the Company, are not currently developing, or will not in the future develop, products and strategies that are equally or more effective and/or economical as any products or strategies developed by the</w:t>
      </w:r>
    </w:p>
    <w:p>
      <w:pPr>
        <w:spacing w:after="0" w:line="213" w:lineRule="auto"/>
        <w:rPr>
          <w:sz w:val="20"/>
          <w:szCs w:val="20"/>
          <w:color w:val="auto"/>
        </w:rPr>
      </w:pPr>
      <w:r>
        <w:rPr>
          <w:rFonts w:ascii="Times New Roman" w:cs="Times New Roman" w:eastAsia="Times New Roman" w:hAnsi="Times New Roman"/>
          <w:sz w:val="18"/>
          <w:szCs w:val="18"/>
          <w:color w:val="auto"/>
        </w:rPr>
        <w:t>Company or which would otherwise render the Company’s business, products and strategies, as applicable, ineffective, or obsolete. Increased competition</w:t>
      </w:r>
    </w:p>
    <w:p>
      <w:pPr>
        <w:spacing w:after="0" w:line="198" w:lineRule="auto"/>
        <w:rPr>
          <w:sz w:val="20"/>
          <w:szCs w:val="20"/>
          <w:color w:val="auto"/>
        </w:rPr>
      </w:pPr>
      <w:r>
        <w:rPr>
          <w:rFonts w:ascii="Times New Roman" w:cs="Times New Roman" w:eastAsia="Times New Roman" w:hAnsi="Times New Roman"/>
          <w:sz w:val="18"/>
          <w:szCs w:val="18"/>
          <w:color w:val="auto"/>
        </w:rPr>
        <w:t>by larger and better financed competitors could materially and adversely affect the business, financial condition and results of operations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Negative Operating Cash Flow</w:t>
      </w:r>
    </w:p>
    <w:p>
      <w:pPr>
        <w:spacing w:after="0" w:line="176"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7"/>
          <w:szCs w:val="17"/>
          <w:color w:val="auto"/>
        </w:rPr>
        <w:t>Since inception, the Company has had negative operating cash flow and incurred losses. The Company’s negative operating cash flow and losses may continue for the foreseeable future. The Company cannot predict when it will reach positive operating cash flow, if ever. Due to the expected continuation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negative operating cash flow, the Company will be reliant on future financings in order to meet its cash</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60"/>
          </w:cols>
          <w:pgMar w:left="320" w:top="1438"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needs. There is no assurance that such future financings will be available on acceptable terms or at all.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6"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There are various risk factors that could cause the Company’s future results to differ materially from those described in this AIF. The risks and uncertainties described below are those the Company currently believes to be material, but they are not the only ones it faces. If any of the following risks, or any other</w:t>
      </w:r>
    </w:p>
    <w:p>
      <w:pPr>
        <w:spacing w:after="0" w:line="213" w:lineRule="auto"/>
        <w:rPr>
          <w:sz w:val="20"/>
          <w:szCs w:val="20"/>
          <w:color w:val="auto"/>
        </w:rPr>
      </w:pPr>
      <w:r>
        <w:rPr>
          <w:rFonts w:ascii="Times New Roman" w:cs="Times New Roman" w:eastAsia="Times New Roman" w:hAnsi="Times New Roman"/>
          <w:sz w:val="18"/>
          <w:szCs w:val="18"/>
          <w:color w:val="auto"/>
        </w:rPr>
        <w:t>risks and uncertainties that the Company has not yet identified or that it currently considers not to be material, actually occur or become material risks, the</w:t>
      </w:r>
    </w:p>
    <w:p>
      <w:pPr>
        <w:spacing w:after="0" w:line="1"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18"/>
          <w:szCs w:val="18"/>
          <w:color w:val="auto"/>
        </w:rPr>
        <w:t>Company’s business, financial condition, results of operations and cash flows, and consequently the price of the Common Shares, could be materially and adversely affected. The risks discussed below also include forward-looking statements and the Company’s actual results may differ substantially from those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discussed in these forward-looking statements. See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 in this AIF.</w:t>
      </w:r>
    </w:p>
    <w:p>
      <w:pPr>
        <w:spacing w:after="0" w:line="14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AND INDUSTRY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Novel Coronavirus “COVID-19”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outbreak of the novel strain of coronavirus, specifically identified as “COVID-19”, has resulted in governments worldwide enacting emergency</w:t>
      </w:r>
    </w:p>
    <w:p>
      <w:pPr>
        <w:ind w:right="20"/>
        <w:spacing w:after="0" w:line="205" w:lineRule="auto"/>
        <w:rPr>
          <w:sz w:val="20"/>
          <w:szCs w:val="20"/>
          <w:color w:val="auto"/>
        </w:rPr>
      </w:pPr>
      <w:r>
        <w:rPr>
          <w:rFonts w:ascii="Times New Roman" w:cs="Times New Roman" w:eastAsia="Times New Roman" w:hAnsi="Times New Roman"/>
          <w:sz w:val="18"/>
          <w:szCs w:val="18"/>
          <w:color w:val="auto"/>
        </w:rPr>
        <w:t>measures to combat the spread of the virus. These measures, including the implementation of travel bans, self-imposed quarantine periods and social distancing, have caused material disruption to businesses globally resulting in an economic slowdown. Global equity markets have experienced significant</w:t>
      </w:r>
    </w:p>
    <w:p>
      <w:pPr>
        <w:spacing w:after="0" w:line="213" w:lineRule="auto"/>
        <w:rPr>
          <w:sz w:val="20"/>
          <w:szCs w:val="20"/>
          <w:color w:val="auto"/>
        </w:rPr>
      </w:pPr>
      <w:r>
        <w:rPr>
          <w:rFonts w:ascii="Times New Roman" w:cs="Times New Roman" w:eastAsia="Times New Roman" w:hAnsi="Times New Roman"/>
          <w:sz w:val="18"/>
          <w:szCs w:val="18"/>
          <w:color w:val="auto"/>
        </w:rPr>
        <w:t>volatility and weakness. Governments and central banks have reacted with significant monetary and fiscal interventions designed to stabilize economic</w:t>
      </w:r>
    </w:p>
    <w:p>
      <w:pPr>
        <w:ind w:right="20"/>
        <w:spacing w:after="0" w:line="217" w:lineRule="auto"/>
        <w:rPr>
          <w:sz w:val="20"/>
          <w:szCs w:val="20"/>
          <w:color w:val="auto"/>
        </w:rPr>
      </w:pPr>
      <w:r>
        <w:rPr>
          <w:rFonts w:ascii="Times New Roman" w:cs="Times New Roman" w:eastAsia="Times New Roman" w:hAnsi="Times New Roman"/>
          <w:sz w:val="17"/>
          <w:szCs w:val="17"/>
          <w:color w:val="auto"/>
        </w:rPr>
        <w:t>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Company and</w:t>
      </w:r>
    </w:p>
    <w:p>
      <w:pPr>
        <w:spacing w:after="0" w:line="1"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18"/>
          <w:szCs w:val="18"/>
          <w:color w:val="auto"/>
        </w:rPr>
        <w:t>its operating subsidiaries in future periods. However, depending on the length and severity of the pandemic, COVID-19 could impact the Company’s operations, could cause delays relating to approval from Health Canada, the FDA and equivalent organizations in other countries, could postpone research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and could impair the Company’s ability to raise funds depending on COVID-19s effect on capital markets.</w:t>
      </w:r>
    </w:p>
    <w:p>
      <w:pPr>
        <w:spacing w:after="0" w:line="152"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The rapid development of the COVID-19 pandemic and the measures being taken by governments and private parties to respond to it are extremely fluid. While the Company has continuously sought to assess the potential impact of the pandemic on its operations, any assessment is subject to extreme</w:t>
      </w:r>
    </w:p>
    <w:p>
      <w:pPr>
        <w:ind w:right="20"/>
        <w:spacing w:after="0" w:line="230" w:lineRule="auto"/>
        <w:rPr>
          <w:sz w:val="20"/>
          <w:szCs w:val="20"/>
          <w:color w:val="auto"/>
        </w:rPr>
      </w:pPr>
      <w:r>
        <w:rPr>
          <w:rFonts w:ascii="Times New Roman" w:cs="Times New Roman" w:eastAsia="Times New Roman" w:hAnsi="Times New Roman"/>
          <w:sz w:val="18"/>
          <w:szCs w:val="18"/>
          <w:color w:val="auto"/>
        </w:rPr>
        <w:t>uncertainty as to probability, severity and duration. The Company has attempted to assess the impact of the pandemic by identifying risks in the following principle areas:</w:t>
      </w:r>
    </w:p>
    <w:p>
      <w:pPr>
        <w:spacing w:after="0" w:line="129" w:lineRule="exact"/>
        <w:rPr>
          <w:sz w:val="20"/>
          <w:szCs w:val="20"/>
          <w:color w:val="auto"/>
        </w:rPr>
      </w:pPr>
    </w:p>
    <w:p>
      <w:pPr>
        <w:jc w:val="both"/>
        <w:ind w:left="580" w:hanging="289"/>
        <w:spacing w:after="0" w:line="215" w:lineRule="auto"/>
        <w:tabs>
          <w:tab w:leader="none" w:pos="5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Mandatory Closure. </w:t>
      </w:r>
      <w:r>
        <w:rPr>
          <w:rFonts w:ascii="Times New Roman" w:cs="Times New Roman" w:eastAsia="Times New Roman" w:hAnsi="Times New Roman"/>
          <w:sz w:val="18"/>
          <w:szCs w:val="18"/>
          <w:color w:val="auto"/>
        </w:rPr>
        <w:t>In response to the pandemic, many provinces, states and localities have implemented mandatory shut-downs of business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 the spread of COVID-19. In the locations where the Company operates or conducts research activity, these activities have been deemed an “essential service”, and thus not subject to the mandatory closures applicable to nonessential businesses. The Company’s ability to generate revenue and meet its milestones could be materially impacted by any shut down of operations or services.</w:t>
      </w:r>
    </w:p>
    <w:p>
      <w:pPr>
        <w:spacing w:after="0" w:line="3" w:lineRule="exact"/>
        <w:rPr>
          <w:rFonts w:ascii="Times New Roman" w:cs="Times New Roman" w:eastAsia="Times New Roman" w:hAnsi="Times New Roman"/>
          <w:sz w:val="18"/>
          <w:szCs w:val="18"/>
          <w:color w:val="auto"/>
        </w:rPr>
      </w:pPr>
    </w:p>
    <w:p>
      <w:pPr>
        <w:jc w:val="both"/>
        <w:ind w:left="580" w:right="20" w:hanging="289"/>
        <w:spacing w:after="0" w:line="207" w:lineRule="auto"/>
        <w:tabs>
          <w:tab w:leader="none" w:pos="5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Research and Development Disruptions</w:t>
      </w:r>
      <w:r>
        <w:rPr>
          <w:rFonts w:ascii="Times New Roman" w:cs="Times New Roman" w:eastAsia="Times New Roman" w:hAnsi="Times New Roman"/>
          <w:sz w:val="18"/>
          <w:szCs w:val="18"/>
          <w:color w:val="auto"/>
        </w:rPr>
        <w:t>. The Company relies on a third parties for its research and development activities. If these third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unable to continue operating due to mandatory closures or other effects of the pandemic, it may negatively impact the Company’s ability to meet its milestones and may significantly delay development. At this time, the Company has not experienced any significant disruptions.</w:t>
      </w:r>
    </w:p>
    <w:p>
      <w:pPr>
        <w:spacing w:after="0" w:line="2" w:lineRule="exact"/>
        <w:rPr>
          <w:rFonts w:ascii="Times New Roman" w:cs="Times New Roman" w:eastAsia="Times New Roman" w:hAnsi="Times New Roman"/>
          <w:sz w:val="18"/>
          <w:szCs w:val="18"/>
          <w:color w:val="auto"/>
        </w:rPr>
      </w:pPr>
    </w:p>
    <w:p>
      <w:pPr>
        <w:jc w:val="both"/>
        <w:ind w:left="580" w:right="20" w:hanging="289"/>
        <w:spacing w:after="0" w:line="213" w:lineRule="auto"/>
        <w:tabs>
          <w:tab w:leader="none" w:pos="5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Staffing Disruption</w:t>
      </w:r>
      <w:r>
        <w:rPr>
          <w:rFonts w:ascii="Times New Roman" w:cs="Times New Roman" w:eastAsia="Times New Roman" w:hAnsi="Times New Roman"/>
          <w:sz w:val="18"/>
          <w:szCs w:val="18"/>
          <w:color w:val="auto"/>
        </w:rPr>
        <w:t>. The Company is, for the time being, implementing among its staff where feasible “social distancing” measures recommended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local authorities. The Company has cancelled nonessential travel by employees, implemented remote meetings where possible, and permitted all staff who can work remotely to do so. For those whose duties require them to work on-site, measures have been implemented to reduce infection risk, such as reducing contact with patients, mandating additional cleaning and hand disinfection and providing masks and gloves to certain personnel. Nevertheless, despite such measures, the Company may find it difficult to ensure that its operations remain staffed due to employees falling ill with COVID-19, becoming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60"/>
          </w:cols>
          <w:pgMar w:left="320" w:top="1436" w:right="319"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8"/>
          <w:szCs w:val="18"/>
          <w:color w:val="auto"/>
        </w:rPr>
        <w:t>subject to quarantine, or deciding not to come to come to work on their own volition to avoid infection.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actively addressing the risk to business continuity represented by each of the above factors through the implementation of a broad range of</w:t>
      </w:r>
    </w:p>
    <w:p>
      <w:pPr>
        <w:ind w:right="20"/>
        <w:spacing w:after="0" w:line="222" w:lineRule="auto"/>
        <w:rPr>
          <w:sz w:val="20"/>
          <w:szCs w:val="20"/>
          <w:color w:val="auto"/>
        </w:rPr>
      </w:pPr>
      <w:r>
        <w:rPr>
          <w:rFonts w:ascii="Times New Roman" w:cs="Times New Roman" w:eastAsia="Times New Roman" w:hAnsi="Times New Roman"/>
          <w:sz w:val="18"/>
          <w:szCs w:val="18"/>
          <w:color w:val="auto"/>
        </w:rPr>
        <w:t>measures throughout its structure and is re-assessing its response to the COVID-19 pandemic on an ongoing basis. The above risks individually or collectively may have a material impact on the Company’s ability to generate revenue.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sufficient cash on hand raised via equity financings to fund its operations for the next 12-18-months and meet its working capital</w:t>
      </w:r>
    </w:p>
    <w:p>
      <w:pPr>
        <w:ind w:right="20"/>
        <w:spacing w:after="0" w:line="205" w:lineRule="auto"/>
        <w:rPr>
          <w:sz w:val="20"/>
          <w:szCs w:val="20"/>
          <w:color w:val="auto"/>
        </w:rPr>
      </w:pPr>
      <w:r>
        <w:rPr>
          <w:rFonts w:ascii="Times New Roman" w:cs="Times New Roman" w:eastAsia="Times New Roman" w:hAnsi="Times New Roman"/>
          <w:sz w:val="18"/>
          <w:szCs w:val="18"/>
          <w:color w:val="auto"/>
        </w:rPr>
        <w:t>requirements. It is anticipated that the long-term goals of the Company will require additional capital contributions via debt or equity financings. In the event that the impact of COVID-19 worsens and negatively affects capital markets generally, there is a risk that the Company may not be able to secure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for these long-term objectives.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Operating History</w:t>
      </w:r>
    </w:p>
    <w:p>
      <w:pPr>
        <w:spacing w:after="0" w:line="164"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The Common Shares commenced trading on the Exchange on November 10, 2020 on a post-Transaction basis and therefore the Company has a limited operating history as a public company. To operate effectively, the Company will be required to continue to implement changes in certain aspects of its</w:t>
      </w:r>
    </w:p>
    <w:p>
      <w:pPr>
        <w:ind w:right="20"/>
        <w:spacing w:after="0" w:line="205" w:lineRule="auto"/>
        <w:rPr>
          <w:sz w:val="20"/>
          <w:szCs w:val="20"/>
          <w:color w:val="auto"/>
        </w:rPr>
      </w:pPr>
      <w:r>
        <w:rPr>
          <w:rFonts w:ascii="Times New Roman" w:cs="Times New Roman" w:eastAsia="Times New Roman" w:hAnsi="Times New Roman"/>
          <w:sz w:val="18"/>
          <w:szCs w:val="18"/>
          <w:color w:val="auto"/>
        </w:rPr>
        <w:t>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of operations of the Company and, more specifically, could result in regulatory penalties, market criticism or the imposition of cease trade orders in respect of the Common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be subject to all of the business risks and uncertainties associated with any new business enterprise, including the risk that it will not</w:t>
      </w:r>
    </w:p>
    <w:p>
      <w:pPr>
        <w:ind w:right="20"/>
        <w:spacing w:after="0" w:line="205" w:lineRule="auto"/>
        <w:rPr>
          <w:sz w:val="20"/>
          <w:szCs w:val="20"/>
          <w:color w:val="auto"/>
        </w:rPr>
      </w:pPr>
      <w:r>
        <w:rPr>
          <w:rFonts w:ascii="Times New Roman" w:cs="Times New Roman" w:eastAsia="Times New Roman" w:hAnsi="Times New Roman"/>
          <w:sz w:val="18"/>
          <w:szCs w:val="18"/>
          <w:color w:val="auto"/>
        </w:rPr>
        <w:t>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Achieving Publicly Announced Milestones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may announce the timing of certain events it expects to occur, such as the anticipated timing of results from clinical trials.</w:t>
      </w:r>
    </w:p>
    <w:p>
      <w:pPr>
        <w:ind w:right="20"/>
        <w:spacing w:after="0" w:line="217" w:lineRule="auto"/>
        <w:rPr>
          <w:sz w:val="20"/>
          <w:szCs w:val="20"/>
          <w:color w:val="auto"/>
        </w:rPr>
      </w:pPr>
      <w:r>
        <w:rPr>
          <w:rFonts w:ascii="Times New Roman" w:cs="Times New Roman" w:eastAsia="Times New Roman" w:hAnsi="Times New Roman"/>
          <w:sz w:val="17"/>
          <w:szCs w:val="17"/>
          <w:color w:val="auto"/>
        </w:rPr>
        <w:t>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w:t>
      </w:r>
    </w:p>
    <w:p>
      <w:pPr>
        <w:spacing w:after="0" w:line="213" w:lineRule="auto"/>
        <w:rPr>
          <w:sz w:val="20"/>
          <w:szCs w:val="20"/>
          <w:color w:val="auto"/>
        </w:rPr>
      </w:pPr>
      <w:r>
        <w:rPr>
          <w:rFonts w:ascii="Times New Roman" w:cs="Times New Roman" w:eastAsia="Times New Roman" w:hAnsi="Times New Roman"/>
          <w:sz w:val="18"/>
          <w:szCs w:val="18"/>
          <w:color w:val="auto"/>
        </w:rPr>
        <w:t>of an application to obtain regulatory approval, or announcement of additional clinical trials for a prescription drug product candidate may ultimately vary</w:t>
      </w:r>
    </w:p>
    <w:p>
      <w:pPr>
        <w:ind w:right="20"/>
        <w:spacing w:after="0" w:line="217" w:lineRule="auto"/>
        <w:rPr>
          <w:sz w:val="20"/>
          <w:szCs w:val="20"/>
          <w:color w:val="auto"/>
        </w:rPr>
      </w:pPr>
      <w:r>
        <w:rPr>
          <w:rFonts w:ascii="Times New Roman" w:cs="Times New Roman" w:eastAsia="Times New Roman" w:hAnsi="Times New Roman"/>
          <w:sz w:val="17"/>
          <w:szCs w:val="17"/>
          <w:color w:val="auto"/>
        </w:rPr>
        <w:t>from what is publicly disclosed. See “</w:t>
      </w:r>
      <w:r>
        <w:rPr>
          <w:rFonts w:ascii="Times New Roman" w:cs="Times New Roman" w:eastAsia="Times New Roman" w:hAnsi="Times New Roman"/>
          <w:sz w:val="17"/>
          <w:szCs w:val="17"/>
          <w:i w:val="1"/>
          <w:iCs w:val="1"/>
          <w:color w:val="auto"/>
        </w:rPr>
        <w:t>Commercial Scale Product Manufacturing</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Safety and Efficacy of Products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Clinical Testing and Commercializing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Product Candidates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Completion of Clinical Trials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Nature of Regulatory Approvals</w:t>
      </w:r>
      <w:r>
        <w:rPr>
          <w:rFonts w:ascii="Times New Roman" w:cs="Times New Roman" w:eastAsia="Times New Roman" w:hAnsi="Times New Roman"/>
          <w:sz w:val="17"/>
          <w:szCs w:val="17"/>
          <w:color w:val="auto"/>
        </w:rPr>
        <w:t>” as discussed under this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for further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of risks and events that may affect the timing of certain events the Company may announce.</w:t>
      </w:r>
    </w:p>
    <w:p>
      <w:pPr>
        <w:spacing w:after="0" w:line="152"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w:t>
      </w:r>
    </w:p>
    <w:p>
      <w:pPr>
        <w:spacing w:after="0"/>
        <w:rPr>
          <w:sz w:val="20"/>
          <w:szCs w:val="20"/>
          <w:color w:val="auto"/>
        </w:rPr>
      </w:pPr>
      <w:r>
        <w:rPr>
          <w:rFonts w:ascii="Times New Roman" w:cs="Times New Roman" w:eastAsia="Times New Roman" w:hAnsi="Times New Roman"/>
          <w:sz w:val="18"/>
          <w:szCs w:val="18"/>
          <w:color w:val="auto"/>
        </w:rPr>
        <w:t>effect on the Company’s business plan, financial condition or operating results and the trading price of the Common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Speculative Nature of Investment Risk</w:t>
      </w:r>
    </w:p>
    <w:p>
      <w:pPr>
        <w:spacing w:after="0" w:line="16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60"/>
          </w:cols>
          <w:pgMar w:left="320" w:top="1438"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Early Stage of the Industry and Product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 early stage of its prescription drug product development, the Company can make no assurance that its research and development programs will</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w:t>
      </w:r>
    </w:p>
    <w:p>
      <w:pPr>
        <w:spacing w:after="0" w:line="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7"/>
          <w:szCs w:val="17"/>
          <w:color w:val="auto"/>
        </w:rPr>
        <w:t>the FDA,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127"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w:t>
      </w:r>
    </w:p>
    <w:p>
      <w:pPr>
        <w:ind w:right="20"/>
        <w:spacing w:after="0" w:line="205" w:lineRule="auto"/>
        <w:rPr>
          <w:sz w:val="20"/>
          <w:szCs w:val="20"/>
          <w:color w:val="auto"/>
        </w:rPr>
      </w:pPr>
      <w:r>
        <w:rPr>
          <w:rFonts w:ascii="Times New Roman" w:cs="Times New Roman" w:eastAsia="Times New Roman" w:hAnsi="Times New Roman"/>
          <w:sz w:val="18"/>
          <w:szCs w:val="18"/>
          <w:color w:val="auto"/>
        </w:rPr>
        <w:t>limited to, being unsafe for human use or due to the failure to provide therapeutic benefits equal to or better than the standard of treatment at the time of testing. Unsatisfactory results obtained from a particular study relating to a research and development program may cause the Company or its collaborators</w:t>
      </w:r>
    </w:p>
    <w:p>
      <w:pPr>
        <w:spacing w:after="0" w:line="213" w:lineRule="auto"/>
        <w:rPr>
          <w:sz w:val="20"/>
          <w:szCs w:val="20"/>
          <w:color w:val="auto"/>
        </w:rPr>
      </w:pPr>
      <w:r>
        <w:rPr>
          <w:rFonts w:ascii="Times New Roman" w:cs="Times New Roman" w:eastAsia="Times New Roman" w:hAnsi="Times New Roman"/>
          <w:sz w:val="18"/>
          <w:szCs w:val="18"/>
          <w:color w:val="auto"/>
        </w:rPr>
        <w:t>to abandon commitments to that program. Positive results of early preclinical research may not be indicative of the results that will be obtained in later</w:t>
      </w:r>
    </w:p>
    <w:p>
      <w:pPr>
        <w:ind w:right="20"/>
        <w:spacing w:after="0" w:line="222" w:lineRule="auto"/>
        <w:rPr>
          <w:sz w:val="20"/>
          <w:szCs w:val="20"/>
          <w:color w:val="auto"/>
        </w:rPr>
      </w:pPr>
      <w:r>
        <w:rPr>
          <w:rFonts w:ascii="Times New Roman" w:cs="Times New Roman" w:eastAsia="Times New Roman" w:hAnsi="Times New Roman"/>
          <w:sz w:val="18"/>
          <w:szCs w:val="18"/>
          <w:color w:val="auto"/>
        </w:rPr>
        <w:t>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early stage of the Company’s product development makes it particularly uncertain whether any of its product development efforts will prove to be</w:t>
      </w:r>
    </w:p>
    <w:p>
      <w:pPr>
        <w:ind w:right="20"/>
        <w:spacing w:after="0" w:line="205" w:lineRule="auto"/>
        <w:rPr>
          <w:sz w:val="20"/>
          <w:szCs w:val="20"/>
          <w:color w:val="auto"/>
        </w:rPr>
      </w:pPr>
      <w:r>
        <w:rPr>
          <w:rFonts w:ascii="Times New Roman" w:cs="Times New Roman" w:eastAsia="Times New Roman" w:hAnsi="Times New Roman"/>
          <w:sz w:val="18"/>
          <w:szCs w:val="18"/>
          <w:color w:val="auto"/>
        </w:rPr>
        <w:t>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w:t>
      </w:r>
    </w:p>
    <w:p>
      <w:pPr>
        <w:spacing w:after="0" w:line="1"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18"/>
          <w:szCs w:val="18"/>
          <w:color w:val="auto"/>
        </w:rPr>
        <w:t>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133"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w:t>
      </w:r>
    </w:p>
    <w:p>
      <w:pPr>
        <w:spacing w:after="0" w:line="217" w:lineRule="auto"/>
        <w:rPr>
          <w:sz w:val="20"/>
          <w:szCs w:val="20"/>
          <w:color w:val="auto"/>
        </w:rPr>
      </w:pPr>
      <w:r>
        <w:rPr>
          <w:rFonts w:ascii="Times New Roman" w:cs="Times New Roman" w:eastAsia="Times New Roman" w:hAnsi="Times New Roman"/>
          <w:sz w:val="17"/>
          <w:szCs w:val="17"/>
          <w:color w:val="auto"/>
        </w:rPr>
        <w:t>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Moreover, preclinical</w:t>
      </w:r>
    </w:p>
    <w:p>
      <w:pPr>
        <w:spacing w:after="0" w:line="213" w:lineRule="auto"/>
        <w:rPr>
          <w:sz w:val="20"/>
          <w:szCs w:val="20"/>
          <w:color w:val="auto"/>
        </w:rPr>
      </w:pPr>
      <w:r>
        <w:rPr>
          <w:rFonts w:ascii="Times New Roman" w:cs="Times New Roman" w:eastAsia="Times New Roman" w:hAnsi="Times New Roman"/>
          <w:sz w:val="18"/>
          <w:szCs w:val="18"/>
          <w:color w:val="auto"/>
        </w:rPr>
        <w:t>and clinical data are often susceptible to varying interpretations and analyses, and many companies that believed their prescription drug product candidates</w:t>
      </w:r>
    </w:p>
    <w:p>
      <w:pPr>
        <w:ind w:right="20"/>
        <w:spacing w:after="0" w:line="205" w:lineRule="auto"/>
        <w:rPr>
          <w:sz w:val="20"/>
          <w:szCs w:val="20"/>
          <w:color w:val="auto"/>
        </w:rPr>
      </w:pPr>
      <w:r>
        <w:rPr>
          <w:rFonts w:ascii="Times New Roman" w:cs="Times New Roman" w:eastAsia="Times New Roman" w:hAnsi="Times New Roman"/>
          <w:sz w:val="18"/>
          <w:szCs w:val="18"/>
          <w:color w:val="auto"/>
        </w:rPr>
        <w:t>performed satisfactorily in preclinical studies and clinical trials nonetheless failed to obtain Health Canada or FDA approval. If the Company fails to produce positive results in future clinical trials and other programs, the development timeline and regulatory approval and commercialization prospects for</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the Company’s leading prescription drug product candidates, and, correspondingly, its business and financial prospects, would be materially adversely affected.</w:t>
      </w:r>
    </w:p>
    <w:p>
      <w:pPr>
        <w:spacing w:after="0" w:line="133"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w:t>
      </w:r>
    </w:p>
    <w:p>
      <w:pPr>
        <w:ind w:right="20"/>
        <w:spacing w:after="0" w:line="205" w:lineRule="auto"/>
        <w:rPr>
          <w:sz w:val="20"/>
          <w:szCs w:val="20"/>
          <w:color w:val="auto"/>
        </w:rPr>
      </w:pPr>
      <w:r>
        <w:rPr>
          <w:rFonts w:ascii="Times New Roman" w:cs="Times New Roman" w:eastAsia="Times New Roman" w:hAnsi="Times New Roman"/>
          <w:sz w:val="18"/>
          <w:szCs w:val="18"/>
          <w:color w:val="auto"/>
        </w:rPr>
        <w:t>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able to obtain or maintain product liability insurance on acceptable terms or with adequate coverage against potential liabilities.</w:t>
      </w:r>
    </w:p>
    <w:p>
      <w:pPr>
        <w:spacing w:after="0" w:line="15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 xml:space="preserve">The Company’s business relies on its ability to access, develop, and sell psilocybin. Psilocybin is a controlled substance in many jurisdictions, including in Canada under Schedule III of the </w:t>
      </w:r>
      <w:r>
        <w:rPr>
          <w:rFonts w:ascii="Times New Roman" w:cs="Times New Roman" w:eastAsia="Times New Roman" w:hAnsi="Times New Roman"/>
          <w:sz w:val="18"/>
          <w:szCs w:val="18"/>
          <w:i w:val="1"/>
          <w:iCs w:val="1"/>
          <w:color w:val="auto"/>
        </w:rPr>
        <w:t>Controlled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60"/>
          </w:cols>
          <w:pgMar w:left="320" w:top="1434" w:right="319" w:bottom="1440" w:gutter="0" w:footer="0" w:header="0"/>
        </w:sectPr>
      </w:pPr>
    </w:p>
    <w:bookmarkStart w:id="58" w:name="page59"/>
    <w:bookmarkEnd w:id="58"/>
    <w:p>
      <w:pPr>
        <w:jc w:val="both"/>
        <w:ind w:right="20"/>
        <w:spacing w:after="0" w:line="225" w:lineRule="auto"/>
        <w:rPr>
          <w:sz w:val="20"/>
          <w:szCs w:val="20"/>
          <w:color w:val="auto"/>
        </w:rPr>
      </w:pPr>
      <w:r>
        <w:rPr>
          <w:rFonts w:ascii="Times New Roman" w:cs="Times New Roman" w:eastAsia="Times New Roman" w:hAnsi="Times New Roman"/>
          <w:sz w:val="18"/>
          <w:szCs w:val="18"/>
          <w:i w:val="1"/>
          <w:iCs w:val="1"/>
          <w:color w:val="auto"/>
        </w:rPr>
        <w:t xml:space="preserve">Drugs and Substances Act </w:t>
      </w:r>
      <w:r>
        <w:rPr>
          <w:rFonts w:ascii="Times New Roman" w:cs="Times New Roman" w:eastAsia="Times New Roman" w:hAnsi="Times New Roman"/>
          <w:sz w:val="18"/>
          <w:szCs w:val="18"/>
          <w:color w:val="auto"/>
        </w:rPr>
        <w:t>and in the United States. The Company may face difficulty accessing psilocybin and the public capital markets in Canada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the response of regulators, stock exchanges, and other market participants to the Company’s development and sale of a controlled substance. The</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Company may also have limited access to traditional banking services, as well as limited access to debt financing from traditional institutional lenders. The medical efficacy of psilocybin has not been confirmed and requires further study and scientific rigour.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Risks and Uncertainties</w:t>
      </w:r>
    </w:p>
    <w:p>
      <w:pPr>
        <w:spacing w:after="0" w:line="176"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7"/>
          <w:szCs w:val="17"/>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are classified as Schedule I drugs under the CSA</w:t>
      </w:r>
    </w:p>
    <w:p>
      <w:pPr>
        <w:spacing w:after="0" w:line="213" w:lineRule="auto"/>
        <w:rPr>
          <w:sz w:val="20"/>
          <w:szCs w:val="20"/>
          <w:color w:val="auto"/>
        </w:rPr>
      </w:pPr>
      <w:r>
        <w:rPr>
          <w:rFonts w:ascii="Times New Roman" w:cs="Times New Roman" w:eastAsia="Times New Roman" w:hAnsi="Times New Roman"/>
          <w:sz w:val="18"/>
          <w:szCs w:val="18"/>
          <w:color w:val="auto"/>
        </w:rPr>
        <w:t xml:space="preserve">and the </w:t>
      </w:r>
      <w:r>
        <w:rPr>
          <w:rFonts w:ascii="Times New Roman" w:cs="Times New Roman" w:eastAsia="Times New Roman" w:hAnsi="Times New Roman"/>
          <w:sz w:val="18"/>
          <w:szCs w:val="18"/>
          <w:i w:val="1"/>
          <w:iCs w:val="1"/>
          <w:color w:val="auto"/>
        </w:rPr>
        <w:t>Controlled Substances Import and Export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CSIEA</w:t>
      </w:r>
      <w:r>
        <w:rPr>
          <w:rFonts w:ascii="Times New Roman" w:cs="Times New Roman" w:eastAsia="Times New Roman" w:hAnsi="Times New Roman"/>
          <w:sz w:val="18"/>
          <w:szCs w:val="18"/>
          <w:color w:val="auto"/>
        </w:rPr>
        <w:t>”) and as such, medical and recreational use is illegal under the U.S. federal laws. There</w:t>
      </w:r>
    </w:p>
    <w:p>
      <w:pPr>
        <w:spacing w:after="0" w:line="1" w:lineRule="exact"/>
        <w:rPr>
          <w:sz w:val="20"/>
          <w:szCs w:val="20"/>
          <w:color w:val="auto"/>
        </w:rPr>
      </w:pP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w:t>
      </w:r>
    </w:p>
    <w:p>
      <w:pPr>
        <w:spacing w:after="0" w:line="213" w:lineRule="auto"/>
        <w:rPr>
          <w:sz w:val="20"/>
          <w:szCs w:val="20"/>
          <w:color w:val="auto"/>
        </w:rPr>
      </w:pPr>
      <w:r>
        <w:rPr>
          <w:rFonts w:ascii="Times New Roman" w:cs="Times New Roman" w:eastAsia="Times New Roman" w:hAnsi="Times New Roman"/>
          <w:sz w:val="18"/>
          <w:szCs w:val="18"/>
          <w:color w:val="auto"/>
        </w:rPr>
        <w:t>laws. Further, all facilities engaged with such substances by or on behalf of the Company do so under current licences and permits issued by appropriate</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w:t>
      </w:r>
    </w:p>
    <w:p>
      <w:pPr>
        <w:spacing w:after="0" w:line="213" w:lineRule="auto"/>
        <w:rPr>
          <w:sz w:val="20"/>
          <w:szCs w:val="20"/>
          <w:color w:val="auto"/>
        </w:rPr>
      </w:pPr>
      <w:r>
        <w:rPr>
          <w:rFonts w:ascii="Times New Roman" w:cs="Times New Roman" w:eastAsia="Times New Roman" w:hAnsi="Times New Roman"/>
          <w:sz w:val="18"/>
          <w:szCs w:val="18"/>
          <w:color w:val="auto"/>
        </w:rPr>
        <w:t>does not intend to have any such involvement. However, the laws and regulations generally applicable to the industry in which the Company is involved in</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w:t>
      </w:r>
    </w:p>
    <w:p>
      <w:pPr>
        <w:spacing w:after="0" w:line="1"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7"/>
          <w:szCs w:val="17"/>
          <w:color w:val="auto"/>
        </w:rPr>
        <w:t>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of the necessary licenses and permits for Schedule III drugs could have an adverse effect on the Company’s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psychedelic drug industry is a fairly new industry and the Company cannot predict the impact of the ever-evolving compliance regime in respect of this</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133"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The success of the Company’s business is dependent on the reform of controlled substances laws pertaining to psilocybin. If controlled substances laws are not favourably reformed in Canada, the United States, the UK, and other global jurisdictions, the commercial opportunity that the Company is pursuing may be highly limited.</w:t>
      </w:r>
    </w:p>
    <w:p>
      <w:pPr>
        <w:spacing w:after="0" w:line="135"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The Company makes no medical, treatment or health benefit claims about the Company’s proposed products. The FDA, Health Canada or other similar regulatory authorities have not evaluated claims regarding psilocybin, DMT, psilocybin analogues, or other psychedelic compounds. The efficacy of such</w:t>
      </w:r>
    </w:p>
    <w:p>
      <w:pPr>
        <w:jc w:val="both"/>
        <w:spacing w:after="0" w:line="205" w:lineRule="auto"/>
        <w:rPr>
          <w:sz w:val="20"/>
          <w:szCs w:val="20"/>
          <w:color w:val="auto"/>
        </w:rPr>
      </w:pPr>
      <w:r>
        <w:rPr>
          <w:rFonts w:ascii="Times New Roman" w:cs="Times New Roman" w:eastAsia="Times New Roman" w:hAnsi="Times New Roman"/>
          <w:sz w:val="18"/>
          <w:szCs w:val="18"/>
          <w:color w:val="auto"/>
        </w:rPr>
        <w:t>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60"/>
          </w:cols>
          <w:pgMar w:left="320" w:top="1436" w:right="319" w:bottom="1440" w:gutter="0" w:footer="0" w:header="0"/>
        </w:sectPr>
      </w:pPr>
    </w:p>
    <w:bookmarkStart w:id="59" w:name="page60"/>
    <w:bookmarkEnd w:id="59"/>
    <w:p>
      <w:pPr>
        <w:ind w:right="2240"/>
        <w:spacing w:after="0" w:line="439" w:lineRule="auto"/>
        <w:rPr>
          <w:sz w:val="20"/>
          <w:szCs w:val="20"/>
          <w:color w:val="auto"/>
        </w:rPr>
      </w:pPr>
      <w:r>
        <w:rPr>
          <w:rFonts w:ascii="Times New Roman" w:cs="Times New Roman" w:eastAsia="Times New Roman" w:hAnsi="Times New Roman"/>
          <w:sz w:val="18"/>
          <w:szCs w:val="18"/>
          <w:color w:val="auto"/>
        </w:rPr>
        <w:t xml:space="preserve">necessary to commercialize its business, it may have a material adverse effect on the Company’s performance and operations. </w:t>
      </w:r>
      <w:r>
        <w:rPr>
          <w:rFonts w:ascii="Times New Roman" w:cs="Times New Roman" w:eastAsia="Times New Roman" w:hAnsi="Times New Roman"/>
          <w:sz w:val="18"/>
          <w:szCs w:val="18"/>
          <w:b w:val="1"/>
          <w:bCs w:val="1"/>
          <w:color w:val="auto"/>
        </w:rPr>
        <w:t>Plans for Growth</w:t>
      </w:r>
    </w:p>
    <w:p>
      <w:pPr>
        <w:spacing w:after="0" w:line="217" w:lineRule="auto"/>
        <w:rPr>
          <w:sz w:val="20"/>
          <w:szCs w:val="20"/>
          <w:color w:val="auto"/>
        </w:rPr>
      </w:pPr>
      <w:r>
        <w:rPr>
          <w:rFonts w:ascii="Times New Roman" w:cs="Times New Roman" w:eastAsia="Times New Roman" w:hAnsi="Times New Roman"/>
          <w:sz w:val="18"/>
          <w:szCs w:val="18"/>
          <w:color w:val="auto"/>
        </w:rPr>
        <w:t>The Company intends to grow rapidly and significantly expand its operations within the next 12 to 24 months. This growth will place a significant strain on the Company’s management systems and resources. The Company will not be able to implement its business strategy in a rapidly evolving market, without</w:t>
      </w:r>
    </w:p>
    <w:p>
      <w:pPr>
        <w:spacing w:after="0" w:line="225" w:lineRule="auto"/>
        <w:rPr>
          <w:sz w:val="20"/>
          <w:szCs w:val="20"/>
          <w:color w:val="auto"/>
        </w:rPr>
      </w:pPr>
      <w:r>
        <w:rPr>
          <w:rFonts w:ascii="Times New Roman" w:cs="Times New Roman" w:eastAsia="Times New Roman" w:hAnsi="Times New Roman"/>
          <w:sz w:val="17"/>
          <w:szCs w:val="17"/>
          <w:color w:val="auto"/>
        </w:rPr>
        <w:t>an effective planning and management process. In particular, the Company may be required to manage multiple relationships with various strategic industry</w:t>
      </w:r>
    </w:p>
    <w:p>
      <w:pPr>
        <w:spacing w:after="0" w:line="217" w:lineRule="auto"/>
        <w:rPr>
          <w:sz w:val="20"/>
          <w:szCs w:val="20"/>
          <w:color w:val="auto"/>
        </w:rPr>
      </w:pPr>
      <w:r>
        <w:rPr>
          <w:rFonts w:ascii="Times New Roman" w:cs="Times New Roman" w:eastAsia="Times New Roman" w:hAnsi="Times New Roman"/>
          <w:sz w:val="17"/>
          <w:szCs w:val="17"/>
          <w:color w:val="auto"/>
        </w:rPr>
        <w:t>participants and other third parties, which relationships could be strained in the event of rapid growth. Similarly, a large increase in the number of third-party relationships the Company has, may lead to management of the Company being unable to manage growth effectively. The occurrence of such events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in the Company being unable to successfully identify, manage and exploit existing and potential market opportunities.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Products</w:t>
      </w:r>
    </w:p>
    <w:p>
      <w:pPr>
        <w:spacing w:after="0" w:line="16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43"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w:t>
      </w:r>
    </w:p>
    <w:p>
      <w:pPr>
        <w:spacing w:after="0" w:line="230" w:lineRule="auto"/>
        <w:rPr>
          <w:sz w:val="20"/>
          <w:szCs w:val="20"/>
          <w:color w:val="auto"/>
        </w:rPr>
      </w:pPr>
      <w:r>
        <w:rPr>
          <w:rFonts w:ascii="Times New Roman" w:cs="Times New Roman" w:eastAsia="Times New Roman" w:hAnsi="Times New Roman"/>
          <w:sz w:val="18"/>
          <w:szCs w:val="18"/>
          <w:color w:val="auto"/>
        </w:rPr>
        <w:t>declines or psychedelics fail to achieve substantially greater market acceptance than it currently enjoys, the Company will not be able to grow its revenues sufficiently for it to achieve consistent profitability.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products to be distributed by the Company conform to international safety and quality standards, sales could be adversely affected if consumers in</w:t>
      </w:r>
    </w:p>
    <w:p>
      <w:pPr>
        <w:spacing w:after="0" w:line="222" w:lineRule="auto"/>
        <w:rPr>
          <w:sz w:val="20"/>
          <w:szCs w:val="20"/>
          <w:color w:val="auto"/>
        </w:rPr>
      </w:pPr>
      <w:r>
        <w:rPr>
          <w:rFonts w:ascii="Times New Roman" w:cs="Times New Roman" w:eastAsia="Times New Roman" w:hAnsi="Times New Roman"/>
          <w:sz w:val="18"/>
          <w:szCs w:val="18"/>
          <w:color w:val="auto"/>
        </w:rPr>
        <w:t>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Marketing and Sales Capabilities</w:t>
      </w:r>
    </w:p>
    <w:p>
      <w:pPr>
        <w:spacing w:after="0" w:line="17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w:t>
      </w:r>
    </w:p>
    <w:p>
      <w:pPr>
        <w:spacing w:after="0" w:line="212" w:lineRule="auto"/>
        <w:rPr>
          <w:sz w:val="20"/>
          <w:szCs w:val="20"/>
          <w:color w:val="auto"/>
        </w:rPr>
      </w:pPr>
      <w:r>
        <w:rPr>
          <w:rFonts w:ascii="Times New Roman" w:cs="Times New Roman" w:eastAsia="Times New Roman" w:hAnsi="Times New Roman"/>
          <w:sz w:val="18"/>
          <w:szCs w:val="18"/>
          <w:color w:val="auto"/>
        </w:rPr>
        <w:t>Further, there can be no assurance that the Company, either on its own or through arrangements with other industry participants, will be able to develop or</w:t>
      </w:r>
    </w:p>
    <w:p>
      <w:pPr>
        <w:spacing w:after="0" w:line="217" w:lineRule="auto"/>
        <w:rPr>
          <w:sz w:val="20"/>
          <w:szCs w:val="20"/>
          <w:color w:val="auto"/>
        </w:rPr>
      </w:pPr>
      <w:r>
        <w:rPr>
          <w:rFonts w:ascii="Times New Roman" w:cs="Times New Roman" w:eastAsia="Times New Roman" w:hAnsi="Times New Roman"/>
          <w:sz w:val="17"/>
          <w:szCs w:val="17"/>
          <w:color w:val="auto"/>
        </w:rPr>
        <w:t>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the production, and marketing or sale, as applicable, of the Company’s products could have a material adverse effect on the Company’s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Assurance of Commercial Success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successful commercialization of the Company’s products will depend on many factors, including, the Company’s ability to establish and maintain</w:t>
      </w:r>
    </w:p>
    <w:p>
      <w:pPr>
        <w:spacing w:after="0" w:line="205" w:lineRule="auto"/>
        <w:rPr>
          <w:sz w:val="20"/>
          <w:szCs w:val="20"/>
          <w:color w:val="auto"/>
        </w:rPr>
      </w:pPr>
      <w:r>
        <w:rPr>
          <w:rFonts w:ascii="Times New Roman" w:cs="Times New Roman" w:eastAsia="Times New Roman" w:hAnsi="Times New Roman"/>
          <w:sz w:val="18"/>
          <w:szCs w:val="18"/>
          <w:color w:val="auto"/>
        </w:rPr>
        <w:t>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assurance that the Company or its industry partners will be successful in their respective efforts to develop and implement, or assist the Company in developing and implementing, a commercialization strategy for the Company’s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3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 Profits or Significant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history upon which to evaluate its performance and future prospects. The Company’s proposed operations are subject to all the</w:t>
      </w:r>
    </w:p>
    <w:p>
      <w:pPr>
        <w:ind w:right="20"/>
        <w:spacing w:after="0" w:line="205" w:lineRule="auto"/>
        <w:rPr>
          <w:sz w:val="20"/>
          <w:szCs w:val="20"/>
          <w:color w:val="auto"/>
        </w:rPr>
      </w:pPr>
      <w:r>
        <w:rPr>
          <w:rFonts w:ascii="Times New Roman" w:cs="Times New Roman" w:eastAsia="Times New Roman" w:hAnsi="Times New Roman"/>
          <w:sz w:val="18"/>
          <w:szCs w:val="18"/>
          <w:color w:val="auto"/>
        </w:rPr>
        <w:t>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w:t>
      </w:r>
    </w:p>
    <w:p>
      <w:pPr>
        <w:spacing w:after="0" w:line="213" w:lineRule="auto"/>
        <w:rPr>
          <w:sz w:val="20"/>
          <w:szCs w:val="20"/>
          <w:color w:val="auto"/>
        </w:rPr>
      </w:pPr>
      <w:r>
        <w:rPr>
          <w:rFonts w:ascii="Times New Roman" w:cs="Times New Roman" w:eastAsia="Times New Roman" w:hAnsi="Times New Roman"/>
          <w:sz w:val="18"/>
          <w:szCs w:val="18"/>
          <w:color w:val="auto"/>
        </w:rPr>
        <w:t>competitors into the market. The Company will only be able to pay dividends on any shares once its directors determine that it is financially able to do so.</w:t>
      </w:r>
    </w:p>
    <w:p>
      <w:pPr>
        <w:ind w:right="20"/>
        <w:spacing w:after="0" w:line="222" w:lineRule="auto"/>
        <w:rPr>
          <w:sz w:val="20"/>
          <w:szCs w:val="20"/>
          <w:color w:val="auto"/>
        </w:rPr>
      </w:pPr>
      <w:r>
        <w:rPr>
          <w:rFonts w:ascii="Times New Roman" w:cs="Times New Roman" w:eastAsia="Times New Roman" w:hAnsi="Times New Roman"/>
          <w:sz w:val="18"/>
          <w:szCs w:val="18"/>
          <w:color w:val="auto"/>
        </w:rPr>
        <w:t>The Company cannot make any assurance that it will be profitable in the next three years or generate sufficient revenues to pay dividends to the holders of the Common Shares.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Third Parties for Clinical Development Activities</w:t>
      </w:r>
    </w:p>
    <w:p>
      <w:pPr>
        <w:spacing w:after="0" w:line="176"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w:t>
      </w:r>
    </w:p>
    <w:p>
      <w:pPr>
        <w:spacing w:after="0" w:line="212" w:lineRule="auto"/>
        <w:rPr>
          <w:sz w:val="20"/>
          <w:szCs w:val="20"/>
          <w:color w:val="auto"/>
        </w:rPr>
      </w:pPr>
      <w:r>
        <w:rPr>
          <w:rFonts w:ascii="Times New Roman" w:cs="Times New Roman" w:eastAsia="Times New Roman" w:hAnsi="Times New Roman"/>
          <w:sz w:val="18"/>
          <w:szCs w:val="18"/>
          <w:color w:val="auto"/>
        </w:rPr>
        <w:t>management and analysis, safety monitoring and project management. If there is any dispute or disruption in its relationship with third parties, or if it is</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 or rendered ineffective.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Third Party Relationships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intends to enter into strategic alliances with third parties that the Company believes will complement or augment its proposed business or will</w:t>
      </w:r>
    </w:p>
    <w:p>
      <w:pPr>
        <w:spacing w:after="0" w:line="8"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18"/>
          <w:szCs w:val="18"/>
          <w:color w:val="auto"/>
        </w:rPr>
        <w:t>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w:t>
      </w:r>
    </w:p>
    <w:p>
      <w:pPr>
        <w:spacing w:after="0" w:line="213" w:lineRule="auto"/>
        <w:rPr>
          <w:sz w:val="20"/>
          <w:szCs w:val="20"/>
          <w:color w:val="auto"/>
        </w:rPr>
      </w:pPr>
      <w:r>
        <w:rPr>
          <w:rFonts w:ascii="Times New Roman" w:cs="Times New Roman" w:eastAsia="Times New Roman" w:hAnsi="Times New Roman"/>
          <w:sz w:val="18"/>
          <w:szCs w:val="18"/>
          <w:color w:val="auto"/>
        </w:rPr>
        <w:t>operations in order to pursue and complete such transactions or maintain such strategic alliances. Future strategic alliances could result in the incurrence of</w:t>
      </w:r>
    </w:p>
    <w:p>
      <w:pPr>
        <w:ind w:right="20"/>
        <w:spacing w:after="0" w:line="217" w:lineRule="auto"/>
        <w:rPr>
          <w:sz w:val="20"/>
          <w:szCs w:val="20"/>
          <w:color w:val="auto"/>
        </w:rPr>
      </w:pPr>
      <w:r>
        <w:rPr>
          <w:rFonts w:ascii="Times New Roman" w:cs="Times New Roman" w:eastAsia="Times New Roman" w:hAnsi="Times New Roman"/>
          <w:sz w:val="17"/>
          <w:szCs w:val="17"/>
          <w:color w:val="auto"/>
        </w:rPr>
        <w:t>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alliances on satisfactory terms, or at all. Any of the foregoing could have a material adverse effect on the Company’s business, financial condition and results of operations.</w:t>
      </w:r>
    </w:p>
    <w:p>
      <w:pPr>
        <w:spacing w:after="0" w:line="13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7"/>
          <w:szCs w:val="17"/>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w:t>
      </w:r>
    </w:p>
    <w:p>
      <w:pPr>
        <w:spacing w:after="0" w:line="213" w:lineRule="auto"/>
        <w:rPr>
          <w:sz w:val="20"/>
          <w:szCs w:val="20"/>
          <w:color w:val="auto"/>
        </w:rPr>
      </w:pPr>
      <w:r>
        <w:rPr>
          <w:rFonts w:ascii="Times New Roman" w:cs="Times New Roman" w:eastAsia="Times New Roman" w:hAnsi="Times New Roman"/>
          <w:sz w:val="18"/>
          <w:szCs w:val="18"/>
          <w:color w:val="auto"/>
        </w:rPr>
        <w:t>that potential partners will not compete with the Company by seeking or prioritizing alternate, competitor products. The termination or cancellation of any</w:t>
      </w:r>
    </w:p>
    <w:p>
      <w:pPr>
        <w:ind w:right="20"/>
        <w:spacing w:after="0" w:line="205" w:lineRule="auto"/>
        <w:rPr>
          <w:sz w:val="20"/>
          <w:szCs w:val="20"/>
          <w:color w:val="auto"/>
        </w:rPr>
      </w:pPr>
      <w:r>
        <w:rPr>
          <w:rFonts w:ascii="Times New Roman" w:cs="Times New Roman" w:eastAsia="Times New Roman" w:hAnsi="Times New Roman"/>
          <w:sz w:val="18"/>
          <w:szCs w:val="18"/>
          <w:color w:val="auto"/>
        </w:rPr>
        <w:t>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industry partners could lead to delays or time consuming and expensive legal proceedings, which could have a material adverse effect on the Company’s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Contract Manufacturers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limited manufacturing experience and relies on contract manufacturing organizations (“</w:t>
      </w:r>
      <w:r>
        <w:rPr>
          <w:rFonts w:ascii="Times New Roman" w:cs="Times New Roman" w:eastAsia="Times New Roman" w:hAnsi="Times New Roman"/>
          <w:sz w:val="18"/>
          <w:szCs w:val="18"/>
          <w:b w:val="1"/>
          <w:bCs w:val="1"/>
          <w:color w:val="auto"/>
        </w:rPr>
        <w:t>CMOs</w:t>
      </w:r>
      <w:r>
        <w:rPr>
          <w:rFonts w:ascii="Times New Roman" w:cs="Times New Roman" w:eastAsia="Times New Roman" w:hAnsi="Times New Roman"/>
          <w:sz w:val="18"/>
          <w:szCs w:val="18"/>
          <w:color w:val="auto"/>
        </w:rPr>
        <w:t>”) to manufacture its prescription drug</w:t>
      </w:r>
    </w:p>
    <w:p>
      <w:pPr>
        <w:ind w:right="20"/>
        <w:spacing w:after="0" w:line="205" w:lineRule="auto"/>
        <w:rPr>
          <w:sz w:val="20"/>
          <w:szCs w:val="20"/>
          <w:color w:val="auto"/>
        </w:rPr>
      </w:pPr>
      <w:r>
        <w:rPr>
          <w:rFonts w:ascii="Times New Roman" w:cs="Times New Roman" w:eastAsia="Times New Roman" w:hAnsi="Times New Roman"/>
          <w:sz w:val="18"/>
          <w:szCs w:val="18"/>
          <w:color w:val="auto"/>
        </w:rPr>
        <w:t>product candidates for preclinical studies and clinical trials. The Company relies on CMOs for manufacturing, filling, packaging, storing and shipping of drug product in compliance with cGMP regulations applicable to its products. Health Canada and the FDA, in Canada and the U.S., respectively, ensure the</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quality of food, drug products and dietary supplements by carefully monitoring drug manufacturers’ compliance with cGMP regulations. The cGMP regulations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60"/>
          </w:cols>
          <w:pgMar w:left="320" w:top="1434" w:right="319" w:bottom="1440" w:gutter="0" w:footer="0" w:header="0"/>
        </w:sectPr>
      </w:pPr>
    </w:p>
    <w:bookmarkStart w:id="61" w:name="page62"/>
    <w:bookmarkEnd w:id="61"/>
    <w:p>
      <w:pPr>
        <w:spacing w:after="0" w:line="237" w:lineRule="auto"/>
        <w:rPr>
          <w:sz w:val="20"/>
          <w:szCs w:val="20"/>
          <w:color w:val="auto"/>
        </w:rPr>
      </w:pPr>
      <w:r>
        <w:rPr>
          <w:rFonts w:ascii="Times New Roman" w:cs="Times New Roman" w:eastAsia="Times New Roman" w:hAnsi="Times New Roman"/>
          <w:sz w:val="17"/>
          <w:szCs w:val="17"/>
          <w:color w:val="auto"/>
        </w:rPr>
        <w:t>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w:t>
      </w:r>
    </w:p>
    <w:p>
      <w:pPr>
        <w:spacing w:after="0" w:line="205" w:lineRule="auto"/>
        <w:rPr>
          <w:sz w:val="20"/>
          <w:szCs w:val="20"/>
          <w:color w:val="auto"/>
        </w:rPr>
      </w:pPr>
      <w:r>
        <w:rPr>
          <w:rFonts w:ascii="Times New Roman" w:cs="Times New Roman" w:eastAsia="Times New Roman" w:hAnsi="Times New Roman"/>
          <w:sz w:val="18"/>
          <w:szCs w:val="18"/>
          <w:color w:val="auto"/>
        </w:rPr>
        <w:t>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w:t>
      </w:r>
    </w:p>
    <w:p>
      <w:pPr>
        <w:spacing w:after="0" w:line="213" w:lineRule="auto"/>
        <w:rPr>
          <w:sz w:val="20"/>
          <w:szCs w:val="20"/>
          <w:color w:val="auto"/>
        </w:rPr>
      </w:pPr>
      <w:r>
        <w:rPr>
          <w:rFonts w:ascii="Times New Roman" w:cs="Times New Roman" w:eastAsia="Times New Roman" w:hAnsi="Times New Roman"/>
          <w:sz w:val="18"/>
          <w:szCs w:val="18"/>
          <w:color w:val="auto"/>
        </w:rPr>
        <w:t>may be delayed in the development of its prescription drug product candidates. Further, CMOs must operate in compliance with cGMP and ensure that their</w:t>
      </w:r>
    </w:p>
    <w:p>
      <w:pPr>
        <w:spacing w:after="0" w:line="205" w:lineRule="auto"/>
        <w:rPr>
          <w:sz w:val="20"/>
          <w:szCs w:val="20"/>
          <w:color w:val="auto"/>
        </w:rPr>
      </w:pPr>
      <w:r>
        <w:rPr>
          <w:rFonts w:ascii="Times New Roman" w:cs="Times New Roman" w:eastAsia="Times New Roman" w:hAnsi="Times New Roman"/>
          <w:sz w:val="18"/>
          <w:szCs w:val="18"/>
          <w:color w:val="auto"/>
        </w:rPr>
        <w:t>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on a timely and competitive basis.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and Efficacy of Products</w:t>
      </w:r>
    </w:p>
    <w:p>
      <w:pPr>
        <w:spacing w:after="0" w:line="164"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w:t>
      </w:r>
    </w:p>
    <w:p>
      <w:pPr>
        <w:ind w:right="20"/>
        <w:spacing w:after="0" w:line="217" w:lineRule="auto"/>
        <w:rPr>
          <w:sz w:val="20"/>
          <w:szCs w:val="20"/>
          <w:color w:val="auto"/>
        </w:rPr>
      </w:pPr>
      <w:r>
        <w:rPr>
          <w:rFonts w:ascii="Times New Roman" w:cs="Times New Roman" w:eastAsia="Times New Roman" w:hAnsi="Times New Roman"/>
          <w:sz w:val="17"/>
          <w:szCs w:val="17"/>
          <w:color w:val="auto"/>
        </w:rPr>
        <w:t>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w:t>
      </w:r>
    </w:p>
    <w:p>
      <w:pPr>
        <w:spacing w:after="0" w:line="213" w:lineRule="auto"/>
        <w:rPr>
          <w:sz w:val="20"/>
          <w:szCs w:val="20"/>
          <w:color w:val="auto"/>
        </w:rPr>
      </w:pPr>
      <w:r>
        <w:rPr>
          <w:rFonts w:ascii="Times New Roman" w:cs="Times New Roman" w:eastAsia="Times New Roman" w:hAnsi="Times New Roman"/>
          <w:sz w:val="18"/>
          <w:szCs w:val="18"/>
          <w:color w:val="auto"/>
        </w:rPr>
        <w:t>final results. A number of companies in the pharmaceutical and biotechnology industries have suffered significant setbacks in advanced clinical trials due to</w:t>
      </w:r>
    </w:p>
    <w:p>
      <w:pPr>
        <w:ind w:right="20"/>
        <w:spacing w:after="0" w:line="205" w:lineRule="auto"/>
        <w:rPr>
          <w:sz w:val="20"/>
          <w:szCs w:val="20"/>
          <w:color w:val="auto"/>
        </w:rPr>
      </w:pPr>
      <w:r>
        <w:rPr>
          <w:rFonts w:ascii="Times New Roman" w:cs="Times New Roman" w:eastAsia="Times New Roman" w:hAnsi="Times New Roman"/>
          <w:sz w:val="18"/>
          <w:szCs w:val="18"/>
          <w:color w:val="auto"/>
        </w:rPr>
        <w:t>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w:t>
      </w:r>
    </w:p>
    <w:p>
      <w:pPr>
        <w:spacing w:after="0" w:line="1"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7"/>
          <w:szCs w:val="17"/>
          <w:color w:val="auto"/>
        </w:rPr>
        <w:t>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FDA or other regulatory authorities, resulting in the Company being unable to derive any commercial revenue from them after investing significant amounts of capital in their development.</w:t>
      </w:r>
    </w:p>
    <w:p>
      <w:pPr>
        <w:spacing w:after="0" w:line="13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w:t>
      </w:r>
    </w:p>
    <w:p>
      <w:pPr>
        <w:ind w:right="20"/>
        <w:spacing w:after="0" w:line="217" w:lineRule="auto"/>
        <w:rPr>
          <w:sz w:val="20"/>
          <w:szCs w:val="20"/>
          <w:color w:val="auto"/>
        </w:rPr>
      </w:pPr>
      <w:r>
        <w:rPr>
          <w:rFonts w:ascii="Times New Roman" w:cs="Times New Roman" w:eastAsia="Times New Roman" w:hAnsi="Times New Roman"/>
          <w:sz w:val="17"/>
          <w:szCs w:val="17"/>
          <w:color w:val="auto"/>
        </w:rPr>
        <w:t>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w:t>
      </w:r>
    </w:p>
    <w:p>
      <w:pPr>
        <w:spacing w:after="0" w:line="213" w:lineRule="auto"/>
        <w:rPr>
          <w:sz w:val="20"/>
          <w:szCs w:val="20"/>
          <w:color w:val="auto"/>
        </w:rPr>
      </w:pPr>
      <w:r>
        <w:rPr>
          <w:rFonts w:ascii="Times New Roman" w:cs="Times New Roman" w:eastAsia="Times New Roman" w:hAnsi="Times New Roman"/>
          <w:sz w:val="18"/>
          <w:szCs w:val="18"/>
          <w:color w:val="auto"/>
        </w:rPr>
        <w:t>longer duration, may a more complete safety profile be identified. Further, even larger clinical trials may not identify rare serious adverse effects, or the</w:t>
      </w:r>
    </w:p>
    <w:p>
      <w:pPr>
        <w:ind w:right="20"/>
        <w:spacing w:after="0" w:line="217" w:lineRule="auto"/>
        <w:rPr>
          <w:sz w:val="20"/>
          <w:szCs w:val="20"/>
          <w:color w:val="auto"/>
        </w:rPr>
      </w:pPr>
      <w:r>
        <w:rPr>
          <w:rFonts w:ascii="Times New Roman" w:cs="Times New Roman" w:eastAsia="Times New Roman" w:hAnsi="Times New Roman"/>
          <w:sz w:val="17"/>
          <w:szCs w:val="17"/>
          <w:color w:val="auto"/>
        </w:rPr>
        <w:t>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w:t>
      </w:r>
    </w:p>
    <w:p>
      <w:pPr>
        <w:spacing w:after="0" w:line="226" w:lineRule="auto"/>
        <w:rPr>
          <w:sz w:val="20"/>
          <w:szCs w:val="20"/>
          <w:color w:val="auto"/>
        </w:rPr>
      </w:pPr>
      <w:r>
        <w:rPr>
          <w:rFonts w:ascii="Times New Roman" w:cs="Times New Roman" w:eastAsia="Times New Roman" w:hAnsi="Times New Roman"/>
          <w:sz w:val="17"/>
          <w:szCs w:val="17"/>
          <w:color w:val="auto"/>
        </w:rPr>
        <w:t>products from the market, and the Company’s products may be subject to similar risks. The Company might have to withdraw or recall its products from the</w:t>
      </w:r>
    </w:p>
    <w:p>
      <w:pPr>
        <w:ind w:right="20"/>
        <w:spacing w:after="0" w:line="217" w:lineRule="auto"/>
        <w:rPr>
          <w:sz w:val="20"/>
          <w:szCs w:val="20"/>
          <w:color w:val="auto"/>
        </w:rPr>
      </w:pPr>
      <w:r>
        <w:rPr>
          <w:rFonts w:ascii="Times New Roman" w:cs="Times New Roman" w:eastAsia="Times New Roman" w:hAnsi="Times New Roman"/>
          <w:sz w:val="17"/>
          <w:szCs w:val="17"/>
          <w:color w:val="auto"/>
        </w:rPr>
        <w:t>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w:t>
      </w:r>
    </w:p>
    <w:p>
      <w:pPr>
        <w:spacing w:after="0" w:line="1" w:lineRule="exact"/>
        <w:rPr>
          <w:sz w:val="20"/>
          <w:szCs w:val="20"/>
          <w:color w:val="auto"/>
        </w:rPr>
      </w:pPr>
    </w:p>
    <w:p>
      <w:pPr>
        <w:ind w:right="280"/>
        <w:spacing w:after="0" w:line="420" w:lineRule="auto"/>
        <w:rPr>
          <w:sz w:val="20"/>
          <w:szCs w:val="20"/>
          <w:color w:val="auto"/>
        </w:rPr>
      </w:pPr>
      <w:r>
        <w:rPr>
          <w:rFonts w:ascii="Times New Roman" w:cs="Times New Roman" w:eastAsia="Times New Roman" w:hAnsi="Times New Roman"/>
          <w:sz w:val="18"/>
          <w:szCs w:val="18"/>
          <w:color w:val="auto"/>
        </w:rPr>
        <w:t xml:space="preserve">decrease or prevent any sales of the Company’s products, or substantially increase the costs and expenses of commercializing and marketing its products. </w:t>
      </w:r>
      <w:r>
        <w:rPr>
          <w:rFonts w:ascii="Times New Roman" w:cs="Times New Roman" w:eastAsia="Times New Roman" w:hAnsi="Times New Roman"/>
          <w:sz w:val="18"/>
          <w:szCs w:val="18"/>
          <w:b w:val="1"/>
          <w:bCs w:val="1"/>
          <w:color w:val="auto"/>
        </w:rPr>
        <w:t>Clinical Testing and Commercializing Products</w:t>
      </w:r>
    </w:p>
    <w:p>
      <w:pPr>
        <w:spacing w:after="0" w:line="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7"/>
          <w:szCs w:val="17"/>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w:t>
      </w:r>
    </w:p>
    <w:p>
      <w:pPr>
        <w:ind w:right="20"/>
        <w:spacing w:after="0" w:line="217" w:lineRule="auto"/>
        <w:rPr>
          <w:sz w:val="20"/>
          <w:szCs w:val="20"/>
          <w:color w:val="auto"/>
        </w:rPr>
      </w:pPr>
      <w:r>
        <w:rPr>
          <w:rFonts w:ascii="Times New Roman" w:cs="Times New Roman" w:eastAsia="Times New Roman" w:hAnsi="Times New Roman"/>
          <w:sz w:val="17"/>
          <w:szCs w:val="17"/>
          <w:color w:val="auto"/>
        </w:rPr>
        <w:t>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companies in the pharmaceutical and biotechnology industries have suffered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60"/>
          </w:cols>
          <w:pgMar w:left="320" w:top="1438" w:right="319" w:bottom="1440" w:gutter="0" w:footer="0" w:header="0"/>
        </w:sectPr>
      </w:pPr>
    </w:p>
    <w:bookmarkStart w:id="62" w:name="page63"/>
    <w:bookmarkEnd w:id="62"/>
    <w:p>
      <w:pPr>
        <w:ind w:right="20"/>
        <w:spacing w:after="0" w:line="224" w:lineRule="auto"/>
        <w:rPr>
          <w:sz w:val="20"/>
          <w:szCs w:val="20"/>
          <w:color w:val="auto"/>
        </w:rPr>
      </w:pPr>
      <w:r>
        <w:rPr>
          <w:rFonts w:ascii="Times New Roman" w:cs="Times New Roman" w:eastAsia="Times New Roman" w:hAnsi="Times New Roman"/>
          <w:sz w:val="18"/>
          <w:szCs w:val="18"/>
          <w:color w:val="auto"/>
        </w:rPr>
        <w:t>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w:t>
      </w:r>
    </w:p>
    <w:p>
      <w:pPr>
        <w:ind w:right="20"/>
        <w:spacing w:after="0" w:line="205" w:lineRule="auto"/>
        <w:rPr>
          <w:sz w:val="20"/>
          <w:szCs w:val="20"/>
          <w:color w:val="auto"/>
        </w:rPr>
      </w:pPr>
      <w:r>
        <w:rPr>
          <w:rFonts w:ascii="Times New Roman" w:cs="Times New Roman" w:eastAsia="Times New Roman" w:hAnsi="Times New Roman"/>
          <w:sz w:val="18"/>
          <w:szCs w:val="18"/>
          <w:color w:val="auto"/>
        </w:rPr>
        <w:t>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gain market approval from the FDA, or other regulatory authorities, resulting in the Company being unable to derive any commercial revenue from this business segment after investing significant amounts of capital in its development.</w:t>
      </w:r>
    </w:p>
    <w:p>
      <w:pPr>
        <w:spacing w:after="0" w:line="133"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w:t>
      </w:r>
    </w:p>
    <w:p>
      <w:pPr>
        <w:ind w:right="20"/>
        <w:spacing w:after="0" w:line="217" w:lineRule="auto"/>
        <w:rPr>
          <w:sz w:val="20"/>
          <w:szCs w:val="20"/>
          <w:color w:val="auto"/>
        </w:rPr>
      </w:pPr>
      <w:r>
        <w:rPr>
          <w:rFonts w:ascii="Times New Roman" w:cs="Times New Roman" w:eastAsia="Times New Roman" w:hAnsi="Times New Roman"/>
          <w:sz w:val="17"/>
          <w:szCs w:val="17"/>
          <w:color w:val="auto"/>
        </w:rPr>
        <w:t>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harm its financial condition, results of operations and prospects.</w:t>
      </w:r>
    </w:p>
    <w:p>
      <w:pPr>
        <w:spacing w:after="0" w:line="15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The commencement and completion of clinical trials for the Company’s prescription drug product candidates may be delayed for a number of reasons, including but not limited, to:</w:t>
      </w:r>
    </w:p>
    <w:p>
      <w:pPr>
        <w:spacing w:after="0" w:line="142" w:lineRule="exact"/>
        <w:rPr>
          <w:sz w:val="20"/>
          <w:szCs w:val="20"/>
          <w:color w:val="auto"/>
        </w:rPr>
      </w:pPr>
    </w:p>
    <w:p>
      <w:pPr>
        <w:ind w:left="1160" w:hanging="576"/>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regulatory authorities to grant permission to proceed or placing clinical trials on hold;</w:t>
      </w:r>
    </w:p>
    <w:p>
      <w:pPr>
        <w:ind w:left="1180" w:right="20" w:hanging="596"/>
        <w:spacing w:after="0" w:line="205" w:lineRule="auto"/>
        <w:tabs>
          <w:tab w:leader="none" w:pos="11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clinical trials by regulators for many reasons, including concerns about patient safety or failure of the Company’s CMOs to comply with cGMP requirements;</w:t>
      </w:r>
    </w:p>
    <w:p>
      <w:pPr>
        <w:ind w:left="1180" w:right="20" w:hanging="596"/>
        <w:spacing w:after="0" w:line="205" w:lineRule="auto"/>
        <w:tabs>
          <w:tab w:leader="none" w:pos="11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the Company’s manufacturing process that may be necessary or desired, delays or failure to obtain clinical supply from CMOs of the Company’s products necessary to conduct clinical trials;</w:t>
      </w:r>
    </w:p>
    <w:p>
      <w:pPr>
        <w:ind w:left="1180" w:right="20" w:hanging="596"/>
        <w:spacing w:after="0" w:line="205" w:lineRule="auto"/>
        <w:tabs>
          <w:tab w:leader="none" w:pos="11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prescription drug product candidates demonstrating a lack of safety or efficacy during clinical trials, reports of clinical testing on similar technologies and products raising safety or efficacy concerns;</w:t>
      </w:r>
    </w:p>
    <w:p>
      <w:pPr>
        <w:jc w:val="both"/>
        <w:ind w:left="1180" w:hanging="596"/>
        <w:spacing w:after="0" w:line="207" w:lineRule="auto"/>
        <w:tabs>
          <w:tab w:leader="none" w:pos="11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spacing w:after="0" w:line="2" w:lineRule="exact"/>
        <w:rPr>
          <w:rFonts w:ascii="Times New Roman" w:cs="Times New Roman" w:eastAsia="Times New Roman" w:hAnsi="Times New Roman"/>
          <w:sz w:val="18"/>
          <w:szCs w:val="18"/>
          <w:color w:val="auto"/>
        </w:rPr>
      </w:pPr>
    </w:p>
    <w:p>
      <w:pPr>
        <w:ind w:left="1160" w:hanging="576"/>
        <w:spacing w:after="0" w:line="212" w:lineRule="auto"/>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contract research organizations to satisfy their contractual duties or meet expected deadlines;</w:t>
      </w:r>
    </w:p>
    <w:p>
      <w:pPr>
        <w:ind w:left="1160" w:hanging="576"/>
        <w:spacing w:after="0" w:line="212" w:lineRule="auto"/>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clinical trial sites by regulatory authorities;</w:t>
      </w:r>
    </w:p>
    <w:p>
      <w:pPr>
        <w:ind w:left="1180" w:right="20" w:hanging="596"/>
        <w:spacing w:after="0" w:line="205" w:lineRule="auto"/>
        <w:tabs>
          <w:tab w:leader="none" w:pos="11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ind w:left="1180" w:right="20" w:hanging="596"/>
        <w:spacing w:after="0" w:line="205" w:lineRule="auto"/>
        <w:tabs>
          <w:tab w:leader="none" w:pos="11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ind w:left="1160" w:hanging="576"/>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reach agreement on acceptable terms with prospective clinical trial sites.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product development costs will increase if it experiences delays in testing or approval or if the Company needs to perform more or larger</w:t>
      </w:r>
    </w:p>
    <w:p>
      <w:pPr>
        <w:ind w:right="20"/>
        <w:spacing w:after="0" w:line="205" w:lineRule="auto"/>
        <w:rPr>
          <w:sz w:val="20"/>
          <w:szCs w:val="20"/>
          <w:color w:val="auto"/>
        </w:rPr>
      </w:pPr>
      <w:r>
        <w:rPr>
          <w:rFonts w:ascii="Times New Roman" w:cs="Times New Roman" w:eastAsia="Times New Roman" w:hAnsi="Times New Roman"/>
          <w:sz w:val="18"/>
          <w:szCs w:val="18"/>
          <w:color w:val="auto"/>
        </w:rPr>
        <w:t>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examination, which may impact the cost, timing or successful completion of that trial. Delays or increased product development costs may have a material adverse effect on the Company’s business, financial condition and prospects.</w:t>
      </w:r>
    </w:p>
    <w:p>
      <w:pPr>
        <w:spacing w:after="0" w:line="13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Prior to commencing clinical trials in Canada, the United States, the UK, or other jurisdictions, for any prescription drug product candidates developed by the Company, it may be required to have an allowed an IND (or equivalent) for each prescription drug product candidate and to file additional INDs prior to</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60"/>
          </w:cols>
          <w:pgMar w:left="320" w:top="1438" w:right="319" w:bottom="1440" w:gutter="0" w:footer="0" w:header="0"/>
        </w:sectPr>
      </w:pPr>
    </w:p>
    <w:bookmarkStart w:id="63" w:name="page64"/>
    <w:bookmarkEnd w:id="63"/>
    <w:p>
      <w:pPr>
        <w:spacing w:after="0" w:line="224" w:lineRule="auto"/>
        <w:rPr>
          <w:sz w:val="20"/>
          <w:szCs w:val="20"/>
          <w:color w:val="auto"/>
        </w:rPr>
      </w:pPr>
      <w:r>
        <w:rPr>
          <w:rFonts w:ascii="Times New Roman" w:cs="Times New Roman" w:eastAsia="Times New Roman" w:hAnsi="Times New Roman"/>
          <w:sz w:val="18"/>
          <w:szCs w:val="18"/>
          <w:color w:val="auto"/>
        </w:rPr>
        <w:t>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w:t>
      </w:r>
    </w:p>
    <w:p>
      <w:pPr>
        <w:ind w:right="20"/>
        <w:spacing w:after="0" w:line="222" w:lineRule="auto"/>
        <w:rPr>
          <w:sz w:val="20"/>
          <w:szCs w:val="20"/>
          <w:color w:val="auto"/>
        </w:rPr>
      </w:pPr>
      <w:r>
        <w:rPr>
          <w:rFonts w:ascii="Times New Roman" w:cs="Times New Roman" w:eastAsia="Times New Roman" w:hAnsi="Times New Roman"/>
          <w:sz w:val="18"/>
          <w:szCs w:val="18"/>
          <w:color w:val="auto"/>
        </w:rPr>
        <w:t>authorities) allowing further clinical trials to begin and, once begun, issues may arise that will require the Company to suspend or terminate such clinical trials.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even if relevant regulatory authorities agree with the design and implementation of the clinical trials set forth in an IND, these regulatory</w:t>
      </w:r>
    </w:p>
    <w:p>
      <w:pPr>
        <w:ind w:right="20"/>
        <w:spacing w:after="0" w:line="222" w:lineRule="auto"/>
        <w:rPr>
          <w:sz w:val="20"/>
          <w:szCs w:val="20"/>
          <w:color w:val="auto"/>
        </w:rPr>
      </w:pPr>
      <w:r>
        <w:rPr>
          <w:rFonts w:ascii="Times New Roman" w:cs="Times New Roman" w:eastAsia="Times New Roman" w:hAnsi="Times New Roman"/>
          <w:sz w:val="18"/>
          <w:szCs w:val="18"/>
          <w:color w:val="auto"/>
        </w:rPr>
        <w:t>authorities may change their requirements in the future. Failure to submit or have effective INDs (or equivalent) and commence or continue clinical programs will significantly limit its opportunity to generate revenue.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Clinical Trials</w:t>
      </w:r>
    </w:p>
    <w:p>
      <w:pPr>
        <w:spacing w:after="0" w:line="176"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w:t>
      </w:r>
    </w:p>
    <w:p>
      <w:pPr>
        <w:spacing w:after="0" w:line="213" w:lineRule="auto"/>
        <w:rPr>
          <w:sz w:val="20"/>
          <w:szCs w:val="20"/>
          <w:color w:val="auto"/>
        </w:rPr>
      </w:pPr>
      <w:r>
        <w:rPr>
          <w:rFonts w:ascii="Times New Roman" w:cs="Times New Roman" w:eastAsia="Times New Roman" w:hAnsi="Times New Roman"/>
          <w:sz w:val="18"/>
          <w:szCs w:val="18"/>
          <w:color w:val="auto"/>
        </w:rPr>
        <w:t>recruiting patients in clinical trials, and the Company may be unable to enroll the patients it needs to complete clinical trials on a timely basis or at all. The</w:t>
      </w:r>
    </w:p>
    <w:p>
      <w:pPr>
        <w:spacing w:after="0" w:line="1"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7"/>
          <w:szCs w:val="17"/>
          <w:color w:val="auto"/>
        </w:rPr>
        <w:t>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and benefits of the prescription drug product candidate, and the number, availability, location and accessibility of clinical trial sites.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Grade Product Manufacturing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prescription drug products will be manufactured in small quantities for pre-clinical studies and clinical trials by third party manufacturers.</w:t>
      </w:r>
    </w:p>
    <w:p>
      <w:pPr>
        <w:spacing w:after="0" w:line="217" w:lineRule="auto"/>
        <w:rPr>
          <w:sz w:val="20"/>
          <w:szCs w:val="20"/>
          <w:color w:val="auto"/>
        </w:rPr>
      </w:pPr>
      <w:r>
        <w:rPr>
          <w:rFonts w:ascii="Times New Roman" w:cs="Times New Roman" w:eastAsia="Times New Roman" w:hAnsi="Times New Roman"/>
          <w:sz w:val="17"/>
          <w:szCs w:val="17"/>
          <w:color w:val="auto"/>
        </w:rPr>
        <w:t>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w:t>
      </w:r>
    </w:p>
    <w:p>
      <w:pPr>
        <w:spacing w:after="0" w:line="226" w:lineRule="auto"/>
        <w:rPr>
          <w:sz w:val="20"/>
          <w:szCs w:val="20"/>
          <w:color w:val="auto"/>
        </w:rPr>
      </w:pPr>
      <w:r>
        <w:rPr>
          <w:rFonts w:ascii="Times New Roman" w:cs="Times New Roman" w:eastAsia="Times New Roman" w:hAnsi="Times New Roman"/>
          <w:sz w:val="17"/>
          <w:szCs w:val="17"/>
          <w:color w:val="auto"/>
        </w:rPr>
        <w:t>site, process controls and batch size. If the Company has not scaled up and validated the commercial production of its product prior to the commencement of</w:t>
      </w:r>
    </w:p>
    <w:p>
      <w:pPr>
        <w:ind w:right="20"/>
        <w:spacing w:after="0" w:line="205" w:lineRule="auto"/>
        <w:rPr>
          <w:sz w:val="20"/>
          <w:szCs w:val="20"/>
          <w:color w:val="auto"/>
        </w:rPr>
      </w:pPr>
      <w:r>
        <w:rPr>
          <w:rFonts w:ascii="Times New Roman" w:cs="Times New Roman" w:eastAsia="Times New Roman" w:hAnsi="Times New Roman"/>
          <w:sz w:val="18"/>
          <w:szCs w:val="18"/>
          <w:color w:val="auto"/>
        </w:rPr>
        <w:t>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w:t>
      </w:r>
    </w:p>
    <w:p>
      <w:pPr>
        <w:spacing w:after="0" w:line="213" w:lineRule="auto"/>
        <w:rPr>
          <w:sz w:val="20"/>
          <w:szCs w:val="20"/>
          <w:color w:val="auto"/>
        </w:rPr>
      </w:pPr>
      <w:r>
        <w:rPr>
          <w:rFonts w:ascii="Times New Roman" w:cs="Times New Roman" w:eastAsia="Times New Roman" w:hAnsi="Times New Roman"/>
          <w:sz w:val="18"/>
          <w:szCs w:val="18"/>
          <w:color w:val="auto"/>
        </w:rPr>
        <w:t>have long lead times, may be very expensive and requires significant efforts including, but not limited to, scale-up of production to anticipated commercial</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Regulatory Approvals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development and commercialization activities and prescription drug product candidates are significantly regulated by a number of</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governmental entities, including Health Canada and the FDA. Regulatory approvals are required prior to each clinical trial and the Company may fail to obtain the necessary approvals to commence or continue clinical testing. The Company must comply with regulations concerning the manufacture, testing,</w:t>
      </w:r>
    </w:p>
    <w:p>
      <w:pPr>
        <w:spacing w:after="0" w:line="213" w:lineRule="auto"/>
        <w:rPr>
          <w:sz w:val="20"/>
          <w:szCs w:val="20"/>
          <w:color w:val="auto"/>
        </w:rPr>
      </w:pPr>
      <w:r>
        <w:rPr>
          <w:rFonts w:ascii="Times New Roman" w:cs="Times New Roman" w:eastAsia="Times New Roman" w:hAnsi="Times New Roman"/>
          <w:sz w:val="18"/>
          <w:szCs w:val="18"/>
          <w:color w:val="auto"/>
        </w:rPr>
        <w:t>safety, effectiveness, labeling, documentation, advertising, and sale of products and prescription drug product candidates and ultimately must obtain</w:t>
      </w:r>
    </w:p>
    <w:p>
      <w:pPr>
        <w:ind w:right="20"/>
        <w:spacing w:after="0" w:line="205" w:lineRule="auto"/>
        <w:rPr>
          <w:sz w:val="20"/>
          <w:szCs w:val="20"/>
          <w:color w:val="auto"/>
        </w:rPr>
      </w:pPr>
      <w:r>
        <w:rPr>
          <w:rFonts w:ascii="Times New Roman" w:cs="Times New Roman" w:eastAsia="Times New Roman" w:hAnsi="Times New Roman"/>
          <w:sz w:val="18"/>
          <w:szCs w:val="18"/>
          <w:color w:val="auto"/>
        </w:rPr>
        <w:t>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w:t>
      </w:r>
    </w:p>
    <w:p>
      <w:pPr>
        <w:spacing w:after="0" w:line="213" w:lineRule="auto"/>
        <w:rPr>
          <w:sz w:val="20"/>
          <w:szCs w:val="20"/>
          <w:color w:val="auto"/>
        </w:rPr>
      </w:pPr>
      <w:r>
        <w:rPr>
          <w:rFonts w:ascii="Times New Roman" w:cs="Times New Roman" w:eastAsia="Times New Roman" w:hAnsi="Times New Roman"/>
          <w:sz w:val="18"/>
          <w:szCs w:val="18"/>
          <w:color w:val="auto"/>
        </w:rPr>
        <w:t>activities the Company performs is subject to confirmation and interpretation by regulatory authorities, which could delay, limit or prevent regulatory</w:t>
      </w:r>
    </w:p>
    <w:p>
      <w:pPr>
        <w:ind w:right="20"/>
        <w:spacing w:after="0" w:line="222" w:lineRule="auto"/>
        <w:rPr>
          <w:sz w:val="20"/>
          <w:szCs w:val="20"/>
          <w:color w:val="auto"/>
        </w:rPr>
      </w:pPr>
      <w:r>
        <w:rPr>
          <w:rFonts w:ascii="Times New Roman" w:cs="Times New Roman" w:eastAsia="Times New Roman" w:hAnsi="Times New Roman"/>
          <w:sz w:val="18"/>
          <w:szCs w:val="18"/>
          <w:color w:val="auto"/>
        </w:rPr>
        <w:t>approval. Even if the Company believes results from its sponsored clinical trials are favorable to support the marketing of its prescription drug product candidates, Health Canada, the FDA or other regulatory authorities may disagree. In addition, approval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60"/>
          </w:cols>
          <w:pgMar w:left="320" w:top="1438" w:right="319" w:bottom="1440" w:gutter="0" w:footer="0" w:header="0"/>
        </w:sectPr>
      </w:pPr>
    </w:p>
    <w:bookmarkStart w:id="64" w:name="page65"/>
    <w:bookmarkEnd w:id="64"/>
    <w:p>
      <w:pPr>
        <w:ind w:right="20"/>
        <w:spacing w:after="0" w:line="243" w:lineRule="auto"/>
        <w:rPr>
          <w:sz w:val="20"/>
          <w:szCs w:val="20"/>
          <w:color w:val="auto"/>
        </w:rPr>
      </w:pPr>
      <w:r>
        <w:rPr>
          <w:rFonts w:ascii="Times New Roman" w:cs="Times New Roman" w:eastAsia="Times New Roman" w:hAnsi="Times New Roman"/>
          <w:sz w:val="18"/>
          <w:szCs w:val="18"/>
          <w:color w:val="auto"/>
        </w:rPr>
        <w:t>regulations, or the type and amount of clinical data necessary to gain approval may change during the course of a prescription drug product candidate’s clinical development and may vary among jurisdictions.</w:t>
      </w:r>
    </w:p>
    <w:p>
      <w:pPr>
        <w:spacing w:after="0" w:line="143"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w:t>
      </w:r>
    </w:p>
    <w:p>
      <w:pPr>
        <w:spacing w:after="0" w:line="212" w:lineRule="auto"/>
        <w:rPr>
          <w:sz w:val="20"/>
          <w:szCs w:val="20"/>
          <w:color w:val="auto"/>
        </w:rPr>
      </w:pPr>
      <w:r>
        <w:rPr>
          <w:rFonts w:ascii="Times New Roman" w:cs="Times New Roman" w:eastAsia="Times New Roman" w:hAnsi="Times New Roman"/>
          <w:sz w:val="18"/>
          <w:szCs w:val="18"/>
          <w:color w:val="auto"/>
        </w:rPr>
        <w:t>approval for its prescription drug product candidates for many reasons, including, but not limited to failure to demonstrate that a prescription drug product</w:t>
      </w:r>
    </w:p>
    <w:p>
      <w:pPr>
        <w:ind w:right="20"/>
        <w:spacing w:after="0" w:line="205" w:lineRule="auto"/>
        <w:rPr>
          <w:sz w:val="20"/>
          <w:szCs w:val="20"/>
          <w:color w:val="auto"/>
        </w:rPr>
      </w:pPr>
      <w:r>
        <w:rPr>
          <w:rFonts w:ascii="Times New Roman" w:cs="Times New Roman" w:eastAsia="Times New Roman" w:hAnsi="Times New Roman"/>
          <w:sz w:val="18"/>
          <w:szCs w:val="18"/>
          <w:color w:val="auto"/>
        </w:rPr>
        <w:t>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failure of facilities of CMOs with whom the Company contracts for clinical and commercial supplies to pass a pre-approval inspection.</w:t>
      </w:r>
    </w:p>
    <w:p>
      <w:pPr>
        <w:spacing w:after="0" w:line="152"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w:t>
      </w:r>
    </w:p>
    <w:p>
      <w:pPr>
        <w:spacing w:after="0" w:line="212" w:lineRule="auto"/>
        <w:rPr>
          <w:sz w:val="20"/>
          <w:szCs w:val="20"/>
          <w:color w:val="auto"/>
        </w:rPr>
      </w:pPr>
      <w:r>
        <w:rPr>
          <w:rFonts w:ascii="Times New Roman" w:cs="Times New Roman" w:eastAsia="Times New Roman" w:hAnsi="Times New Roman"/>
          <w:sz w:val="18"/>
          <w:szCs w:val="18"/>
          <w:color w:val="auto"/>
        </w:rPr>
        <w:t>approval for its prescription drug product candidates for many reasons, including, but not limited to failure to demonstrate that a prescription drug product</w:t>
      </w:r>
    </w:p>
    <w:p>
      <w:pPr>
        <w:ind w:right="20"/>
        <w:spacing w:after="0" w:line="205" w:lineRule="auto"/>
        <w:rPr>
          <w:sz w:val="20"/>
          <w:szCs w:val="20"/>
          <w:color w:val="auto"/>
        </w:rPr>
      </w:pPr>
      <w:r>
        <w:rPr>
          <w:rFonts w:ascii="Times New Roman" w:cs="Times New Roman" w:eastAsia="Times New Roman" w:hAnsi="Times New Roman"/>
          <w:sz w:val="18"/>
          <w:szCs w:val="18"/>
          <w:color w:val="auto"/>
        </w:rPr>
        <w:t>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failure of facilities of CMOs with whom the Company contracts for clinical and commercial supplies to pass a pre-approval inspection.</w:t>
      </w:r>
    </w:p>
    <w:p>
      <w:pPr>
        <w:spacing w:after="0" w:line="152"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w:t>
      </w:r>
    </w:p>
    <w:p>
      <w:pPr>
        <w:ind w:right="20"/>
        <w:spacing w:after="0" w:line="205" w:lineRule="auto"/>
        <w:rPr>
          <w:sz w:val="20"/>
          <w:szCs w:val="20"/>
          <w:color w:val="auto"/>
        </w:rPr>
      </w:pPr>
      <w:r>
        <w:rPr>
          <w:rFonts w:ascii="Times New Roman" w:cs="Times New Roman" w:eastAsia="Times New Roman" w:hAnsi="Times New Roman"/>
          <w:sz w:val="18"/>
          <w:szCs w:val="18"/>
          <w:color w:val="auto"/>
        </w:rPr>
        <w:t>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w:t>
      </w:r>
    </w:p>
    <w:p>
      <w:pPr>
        <w:spacing w:after="0" w:line="225" w:lineRule="auto"/>
        <w:rPr>
          <w:sz w:val="20"/>
          <w:szCs w:val="20"/>
          <w:color w:val="auto"/>
        </w:rPr>
      </w:pPr>
      <w:r>
        <w:rPr>
          <w:rFonts w:ascii="Times New Roman" w:cs="Times New Roman" w:eastAsia="Times New Roman" w:hAnsi="Times New Roman"/>
          <w:sz w:val="17"/>
          <w:szCs w:val="17"/>
          <w:color w:val="auto"/>
        </w:rPr>
        <w:t>with a label that does not include the labeling claims necessary or desirable for the successful commercialization of that prescription drug product candidate.</w:t>
      </w:r>
    </w:p>
    <w:p>
      <w:pPr>
        <w:spacing w:after="0" w:line="1"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7"/>
          <w:szCs w:val="17"/>
          <w:color w:val="auto"/>
        </w:rPr>
        <w:t>Moreover, depending on any safety issues associated with the Company’s prescription drug product candidates that garner approval, Health Canada, the FDA or other regulatory authorities may impose a risk evaluation and mitigation strategy, thereby imposing certain restrictions on the sale and marketability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products.</w:t>
      </w:r>
    </w:p>
    <w:p>
      <w:pPr>
        <w:spacing w:after="0" w:line="152"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w:t>
      </w:r>
    </w:p>
    <w:p>
      <w:pPr>
        <w:spacing w:after="0" w:line="225" w:lineRule="auto"/>
        <w:rPr>
          <w:sz w:val="20"/>
          <w:szCs w:val="20"/>
          <w:color w:val="auto"/>
        </w:rPr>
      </w:pPr>
      <w:r>
        <w:rPr>
          <w:rFonts w:ascii="Times New Roman" w:cs="Times New Roman" w:eastAsia="Times New Roman" w:hAnsi="Times New Roman"/>
          <w:sz w:val="17"/>
          <w:szCs w:val="17"/>
          <w:color w:val="auto"/>
        </w:rPr>
        <w:t>fines on the Company, imposing restrictions on the Company’s products or its manufacture and requiring the Company to recall or remove its products from</w:t>
      </w:r>
    </w:p>
    <w:p>
      <w:pPr>
        <w:spacing w:after="0" w:line="205" w:lineRule="auto"/>
        <w:rPr>
          <w:sz w:val="20"/>
          <w:szCs w:val="20"/>
          <w:color w:val="auto"/>
        </w:rPr>
      </w:pPr>
      <w:r>
        <w:rPr>
          <w:rFonts w:ascii="Times New Roman" w:cs="Times New Roman" w:eastAsia="Times New Roman" w:hAnsi="Times New Roman"/>
          <w:sz w:val="18"/>
          <w:szCs w:val="18"/>
          <w:color w:val="auto"/>
        </w:rPr>
        <w:t>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may be impaired, and it may incur substantial additional expense to comply with regulatory requirements, which could materially adversely affect its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Unfavourable Publicity or Consumer Perception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the psychedelic pharmaceutical industry is highly dependent upon consumer perception regarding the safety, efficacy and quality of</w:t>
      </w:r>
    </w:p>
    <w:p>
      <w:pPr>
        <w:ind w:right="20"/>
        <w:spacing w:after="0" w:line="217" w:lineRule="auto"/>
        <w:rPr>
          <w:sz w:val="20"/>
          <w:szCs w:val="20"/>
          <w:color w:val="auto"/>
        </w:rPr>
      </w:pPr>
      <w:r>
        <w:rPr>
          <w:rFonts w:ascii="Times New Roman" w:cs="Times New Roman" w:eastAsia="Times New Roman" w:hAnsi="Times New Roman"/>
          <w:sz w:val="17"/>
          <w:szCs w:val="17"/>
          <w:color w:val="auto"/>
        </w:rPr>
        <w:t>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w:t>
      </w:r>
    </w:p>
    <w:p>
      <w:pPr>
        <w:spacing w:after="0" w:line="213" w:lineRule="auto"/>
        <w:rPr>
          <w:sz w:val="20"/>
          <w:szCs w:val="20"/>
          <w:color w:val="auto"/>
        </w:rPr>
      </w:pPr>
      <w:r>
        <w:rPr>
          <w:rFonts w:ascii="Times New Roman" w:cs="Times New Roman" w:eastAsia="Times New Roman" w:hAnsi="Times New Roman"/>
          <w:sz w:val="18"/>
          <w:szCs w:val="18"/>
          <w:color w:val="auto"/>
        </w:rPr>
        <w:t>be no assurance that future scientific research, findings, regulatory proceedings, litigation, media attention or other research findings or publicity will be</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findings or publicity could have a material adverse effect on the demand for the Company’s psychedelic products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60"/>
          </w:cols>
          <w:pgMar w:left="320" w:top="1438" w:right="319" w:bottom="1440" w:gutter="0" w:footer="0" w:header="0"/>
        </w:sectPr>
      </w:pPr>
    </w:p>
    <w:bookmarkStart w:id="65" w:name="page66"/>
    <w:bookmarkEnd w:id="65"/>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w:t>
      </w:r>
    </w:p>
    <w:p>
      <w:pPr>
        <w:ind w:right="20"/>
        <w:spacing w:after="0" w:line="217" w:lineRule="auto"/>
        <w:rPr>
          <w:sz w:val="20"/>
          <w:szCs w:val="20"/>
          <w:color w:val="auto"/>
        </w:rPr>
      </w:pPr>
      <w:r>
        <w:rPr>
          <w:rFonts w:ascii="Times New Roman" w:cs="Times New Roman" w:eastAsia="Times New Roman" w:hAnsi="Times New Roman"/>
          <w:sz w:val="17"/>
          <w:szCs w:val="17"/>
          <w:color w:val="auto"/>
        </w:rPr>
        <w:t>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w:t>
      </w:r>
    </w:p>
    <w:p>
      <w:pPr>
        <w:spacing w:after="0" w:line="213" w:lineRule="auto"/>
        <w:rPr>
          <w:sz w:val="20"/>
          <w:szCs w:val="20"/>
          <w:color w:val="auto"/>
        </w:rPr>
      </w:pPr>
      <w:r>
        <w:rPr>
          <w:rFonts w:ascii="Times New Roman" w:cs="Times New Roman" w:eastAsia="Times New Roman" w:hAnsi="Times New Roman"/>
          <w:sz w:val="18"/>
          <w:szCs w:val="18"/>
          <w:color w:val="auto"/>
        </w:rPr>
        <w:t>products in general, or the Company’s psychedelic products and services specifically or associating the consumption of psychedelics with illness or other</w:t>
      </w:r>
    </w:p>
    <w:p>
      <w:pPr>
        <w:ind w:right="20"/>
        <w:spacing w:after="0" w:line="222" w:lineRule="auto"/>
        <w:rPr>
          <w:sz w:val="20"/>
          <w:szCs w:val="20"/>
          <w:color w:val="auto"/>
        </w:rPr>
      </w:pPr>
      <w:r>
        <w:rPr>
          <w:rFonts w:ascii="Times New Roman" w:cs="Times New Roman" w:eastAsia="Times New Roman" w:hAnsi="Times New Roman"/>
          <w:sz w:val="18"/>
          <w:szCs w:val="18"/>
          <w:color w:val="auto"/>
        </w:rPr>
        <w:t>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psilocybin industry is highly dependent upon consumer perception regarding the medical benefits, safety, efficacy and quality of the psilocybin</w:t>
      </w:r>
    </w:p>
    <w:p>
      <w:pPr>
        <w:ind w:right="20"/>
        <w:spacing w:after="0" w:line="205" w:lineRule="auto"/>
        <w:rPr>
          <w:sz w:val="20"/>
          <w:szCs w:val="20"/>
          <w:color w:val="auto"/>
        </w:rPr>
      </w:pPr>
      <w:r>
        <w:rPr>
          <w:rFonts w:ascii="Times New Roman" w:cs="Times New Roman" w:eastAsia="Times New Roman" w:hAnsi="Times New Roman"/>
          <w:sz w:val="18"/>
          <w:szCs w:val="18"/>
          <w:color w:val="auto"/>
        </w:rPr>
        <w:t>distributed for medical purposes to such consumers. There can be no assurance that future scientific research or findings on the medical benefits, viability, safety, efficacy and dosing of psilocybin or isolated constituents, regulatory proceedings, litigation, media attention or other research findings or publicity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favourable to the industry or the Company or any particular product, or consistent with earlier publicity.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Media</w:t>
      </w:r>
    </w:p>
    <w:p>
      <w:pPr>
        <w:spacing w:after="0" w:line="164"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There has been a recent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w:t>
      </w:r>
    </w:p>
    <w:p>
      <w:pPr>
        <w:ind w:right="20"/>
        <w:spacing w:after="0" w:line="217" w:lineRule="auto"/>
        <w:rPr>
          <w:sz w:val="20"/>
          <w:szCs w:val="20"/>
          <w:color w:val="auto"/>
        </w:rPr>
      </w:pPr>
      <w:r>
        <w:rPr>
          <w:rFonts w:ascii="Times New Roman" w:cs="Times New Roman" w:eastAsia="Times New Roman" w:hAnsi="Times New Roman"/>
          <w:sz w:val="17"/>
          <w:szCs w:val="17"/>
          <w:color w:val="auto"/>
        </w:rPr>
        <w:t>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Biotechnology and Pharmaceutical Market Competition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The Company’s</w:t>
      </w:r>
    </w:p>
    <w:p>
      <w:pPr>
        <w:ind w:right="20"/>
        <w:spacing w:after="0" w:line="205" w:lineRule="auto"/>
        <w:rPr>
          <w:sz w:val="20"/>
          <w:szCs w:val="20"/>
          <w:color w:val="auto"/>
        </w:rPr>
      </w:pPr>
      <w:r>
        <w:rPr>
          <w:rFonts w:ascii="Times New Roman" w:cs="Times New Roman" w:eastAsia="Times New Roman" w:hAnsi="Times New Roman"/>
          <w:sz w:val="18"/>
          <w:szCs w:val="18"/>
          <w:color w:val="auto"/>
        </w:rPr>
        <w:t>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w:t>
      </w:r>
    </w:p>
    <w:p>
      <w:pPr>
        <w:spacing w:after="0" w:line="213" w:lineRule="auto"/>
        <w:rPr>
          <w:sz w:val="20"/>
          <w:szCs w:val="20"/>
          <w:color w:val="auto"/>
        </w:rPr>
      </w:pPr>
      <w:r>
        <w:rPr>
          <w:rFonts w:ascii="Times New Roman" w:cs="Times New Roman" w:eastAsia="Times New Roman" w:hAnsi="Times New Roman"/>
          <w:sz w:val="18"/>
          <w:szCs w:val="18"/>
          <w:color w:val="auto"/>
        </w:rPr>
        <w:t>commercializing therapies to treat the same diseases or indications for which the Company’s prescription drug product candidates may be useful. Although</w:t>
      </w:r>
    </w:p>
    <w:p>
      <w:pPr>
        <w:ind w:right="20"/>
        <w:spacing w:after="0" w:line="222" w:lineRule="auto"/>
        <w:rPr>
          <w:sz w:val="20"/>
          <w:szCs w:val="20"/>
          <w:color w:val="auto"/>
        </w:rPr>
      </w:pPr>
      <w:r>
        <w:rPr>
          <w:rFonts w:ascii="Times New Roman" w:cs="Times New Roman" w:eastAsia="Times New Roman" w:hAnsi="Times New Roman"/>
          <w:sz w:val="18"/>
          <w:szCs w:val="18"/>
          <w:color w:val="auto"/>
        </w:rPr>
        <w:t>there are no approved therapies that specifically target opioid addiction, some competitors use therapeutic approaches that may compete directly with the Company’s prescription drug product candidates.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the Company’s competitors have substantially greater financial, technical and human resources than the Company does and have significantly</w:t>
      </w:r>
    </w:p>
    <w:p>
      <w:pPr>
        <w:spacing w:after="0" w:line="205" w:lineRule="auto"/>
        <w:rPr>
          <w:sz w:val="20"/>
          <w:szCs w:val="20"/>
          <w:color w:val="auto"/>
        </w:rPr>
      </w:pPr>
      <w:r>
        <w:rPr>
          <w:rFonts w:ascii="Times New Roman" w:cs="Times New Roman" w:eastAsia="Times New Roman" w:hAnsi="Times New Roman"/>
          <w:sz w:val="18"/>
          <w:szCs w:val="18"/>
          <w:color w:val="auto"/>
        </w:rPr>
        <w:t>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rapidly than the Company does. The Company’s ability to compete successfully will largely depend on:</w:t>
      </w:r>
    </w:p>
    <w:p>
      <w:pPr>
        <w:spacing w:after="0" w:line="152" w:lineRule="exact"/>
        <w:rPr>
          <w:sz w:val="20"/>
          <w:szCs w:val="20"/>
          <w:color w:val="auto"/>
        </w:rPr>
      </w:pPr>
    </w:p>
    <w:p>
      <w:pPr>
        <w:ind w:left="1180" w:right="20" w:hanging="596"/>
        <w:spacing w:after="0" w:line="217" w:lineRule="auto"/>
        <w:tabs>
          <w:tab w:leader="none" w:pos="11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its prescription drug product candidates relative to marketed products and other prescription drug product candidates in development;</w:t>
      </w:r>
    </w:p>
    <w:p>
      <w:pPr>
        <w:ind w:left="1160" w:hanging="576"/>
        <w:spacing w:after="0" w:line="212" w:lineRule="auto"/>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develop and maintain a competitive position in the product categories and technologies on which it focuses;</w:t>
      </w:r>
    </w:p>
    <w:p>
      <w:pPr>
        <w:ind w:left="1160" w:hanging="576"/>
        <w:spacing w:after="0" w:line="198" w:lineRule="auto"/>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for the Company’s prescription drug product candidates to complete clinical development and receive marketing approval;</w:t>
      </w:r>
    </w:p>
    <w:p>
      <w:pPr>
        <w:ind w:left="1160" w:hanging="576"/>
        <w:spacing w:after="0" w:line="212" w:lineRule="auto"/>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required regulatory approvals;</w:t>
      </w:r>
    </w:p>
    <w:p>
      <w:pPr>
        <w:ind w:left="1160" w:hanging="576"/>
        <w:spacing w:after="0" w:line="212" w:lineRule="auto"/>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commercialize any of its prescription drug product candidates that receive regulatory approval;</w:t>
      </w:r>
    </w:p>
    <w:p>
      <w:pPr>
        <w:ind w:left="1160" w:hanging="576"/>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establish, maintain and protect intellectual property rights related to its prescription drug product candidates; and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60"/>
          </w:cols>
          <w:pgMar w:left="320" w:top="1438" w:right="319" w:bottom="1440" w:gutter="0" w:footer="0" w:header="0"/>
        </w:sectPr>
      </w:pPr>
    </w:p>
    <w:bookmarkStart w:id="66" w:name="page67"/>
    <w:bookmarkEnd w:id="66"/>
    <w:p>
      <w:pPr>
        <w:ind w:left="1180" w:hanging="596"/>
        <w:spacing w:after="0" w:line="243" w:lineRule="auto"/>
        <w:tabs>
          <w:tab w:leader="none" w:pos="116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any of the Company’s prescription drug product candidates that receive regulatory approval by physicians and other healthcare providers and payers.</w:t>
      </w:r>
    </w:p>
    <w:p>
      <w:pPr>
        <w:spacing w:after="0" w:line="143"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w:t>
      </w:r>
    </w:p>
    <w:p>
      <w:pPr>
        <w:spacing w:after="0" w:line="212" w:lineRule="auto"/>
        <w:rPr>
          <w:sz w:val="20"/>
          <w:szCs w:val="20"/>
          <w:color w:val="auto"/>
        </w:rPr>
      </w:pPr>
      <w:r>
        <w:rPr>
          <w:rFonts w:ascii="Times New Roman" w:cs="Times New Roman" w:eastAsia="Times New Roman" w:hAnsi="Times New Roman"/>
          <w:sz w:val="18"/>
          <w:szCs w:val="18"/>
          <w:color w:val="auto"/>
        </w:rPr>
        <w:t>accomplishing the desired therapeutic effect than the Company’s prescription drug product candidates and may be more effective or less costly than its</w:t>
      </w:r>
    </w:p>
    <w:p>
      <w:pPr>
        <w:ind w:right="20"/>
        <w:spacing w:after="0" w:line="205" w:lineRule="auto"/>
        <w:rPr>
          <w:sz w:val="20"/>
          <w:szCs w:val="20"/>
          <w:color w:val="auto"/>
        </w:rPr>
      </w:pPr>
      <w:r>
        <w:rPr>
          <w:rFonts w:ascii="Times New Roman" w:cs="Times New Roman" w:eastAsia="Times New Roman" w:hAnsi="Times New Roman"/>
          <w:sz w:val="18"/>
          <w:szCs w:val="18"/>
          <w:color w:val="auto"/>
        </w:rPr>
        <w:t>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prescription drug product candidates, including its ability to obtain the necessary regulatory approvals for the conduct of such clinical trials. This may further negatively impact the Company’s ability to generate future product development programs using psychedelic inspired compounds.</w:t>
      </w:r>
    </w:p>
    <w:p>
      <w:pPr>
        <w:spacing w:after="0" w:line="13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43"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w:t>
      </w:r>
    </w:p>
    <w:p>
      <w:pPr>
        <w:spacing w:after="0" w:line="213" w:lineRule="auto"/>
        <w:rPr>
          <w:sz w:val="20"/>
          <w:szCs w:val="20"/>
          <w:color w:val="auto"/>
        </w:rPr>
      </w:pPr>
      <w:r>
        <w:rPr>
          <w:rFonts w:ascii="Times New Roman" w:cs="Times New Roman" w:eastAsia="Times New Roman" w:hAnsi="Times New Roman"/>
          <w:sz w:val="18"/>
          <w:szCs w:val="18"/>
          <w:color w:val="auto"/>
        </w:rPr>
        <w:t>equally or more effective and/or economical as any products or strategies developed by the Company or which would otherwise render the Company’s</w:t>
      </w:r>
    </w:p>
    <w:p>
      <w:pPr>
        <w:spacing w:after="0" w:line="1"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Key Executives and Scientists</w:t>
      </w:r>
    </w:p>
    <w:p>
      <w:pPr>
        <w:spacing w:after="0" w:line="164"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w:t>
      </w:r>
    </w:p>
    <w:p>
      <w:pPr>
        <w:jc w:val="both"/>
        <w:ind w:right="20"/>
        <w:spacing w:after="0" w:line="217" w:lineRule="auto"/>
        <w:rPr>
          <w:sz w:val="20"/>
          <w:szCs w:val="20"/>
          <w:color w:val="auto"/>
        </w:rPr>
      </w:pPr>
      <w:r>
        <w:rPr>
          <w:rFonts w:ascii="Times New Roman" w:cs="Times New Roman" w:eastAsia="Times New Roman" w:hAnsi="Times New Roman"/>
          <w:sz w:val="17"/>
          <w:szCs w:val="17"/>
          <w:color w:val="auto"/>
        </w:rPr>
        <w:t>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w:t>
      </w:r>
    </w:p>
    <w:p>
      <w:pPr>
        <w:spacing w:after="0" w:line="213" w:lineRule="auto"/>
        <w:rPr>
          <w:sz w:val="20"/>
          <w:szCs w:val="20"/>
          <w:color w:val="auto"/>
        </w:rPr>
      </w:pPr>
      <w:r>
        <w:rPr>
          <w:rFonts w:ascii="Times New Roman" w:cs="Times New Roman" w:eastAsia="Times New Roman" w:hAnsi="Times New Roman"/>
          <w:sz w:val="18"/>
          <w:szCs w:val="18"/>
          <w:color w:val="auto"/>
        </w:rPr>
        <w:t>particularly as the Company expands its activities and seeks regulatory approvals for clinical trials. The Company enters into agreements with its scientific</w:t>
      </w:r>
    </w:p>
    <w:p>
      <w:pPr>
        <w:jc w:val="both"/>
        <w:spacing w:after="0" w:line="205" w:lineRule="auto"/>
        <w:rPr>
          <w:sz w:val="20"/>
          <w:szCs w:val="20"/>
          <w:color w:val="auto"/>
        </w:rPr>
      </w:pPr>
      <w:r>
        <w:rPr>
          <w:rFonts w:ascii="Times New Roman" w:cs="Times New Roman" w:eastAsia="Times New Roman" w:hAnsi="Times New Roman"/>
          <w:sz w:val="18"/>
          <w:szCs w:val="18"/>
          <w:color w:val="auto"/>
        </w:rPr>
        <w:t>and clinical collaborators and advisors, key opinion leaders and academic partners in the ordinary course of its business. The Company also enters into agreements with physicians and institutions who will recruit patients into the Company’s clinical trials on its behalf in the ordinary course of its business.</w:t>
      </w:r>
    </w:p>
    <w:p>
      <w:pPr>
        <w:spacing w:after="0" w:line="213" w:lineRule="auto"/>
        <w:rPr>
          <w:sz w:val="20"/>
          <w:szCs w:val="20"/>
          <w:color w:val="auto"/>
        </w:rPr>
      </w:pPr>
      <w:r>
        <w:rPr>
          <w:rFonts w:ascii="Times New Roman" w:cs="Times New Roman" w:eastAsia="Times New Roman" w:hAnsi="Times New Roman"/>
          <w:sz w:val="18"/>
          <w:szCs w:val="18"/>
          <w:color w:val="auto"/>
        </w:rPr>
        <w:t>Notwithstanding these arrangements, the Company faces significant competition for these types of personnel from other companies, research and academic</w:t>
      </w:r>
    </w:p>
    <w:p>
      <w:pPr>
        <w:ind w:right="20"/>
        <w:spacing w:after="0" w:line="205" w:lineRule="auto"/>
        <w:rPr>
          <w:sz w:val="20"/>
          <w:szCs w:val="20"/>
          <w:color w:val="auto"/>
        </w:rPr>
      </w:pPr>
      <w:r>
        <w:rPr>
          <w:rFonts w:ascii="Times New Roman" w:cs="Times New Roman" w:eastAsia="Times New Roman" w:hAnsi="Times New Roman"/>
          <w:sz w:val="18"/>
          <w:szCs w:val="18"/>
          <w:color w:val="auto"/>
        </w:rPr>
        <w:t>institutions, government entities and other organizations. The Company cannot predict its success in hiring or retaining the personnel it requires for continued growth. The loss of the services of any of the Company’s executive officers or other key personnel could potentially harm its business, operating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or financial condition.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Misconduct</w:t>
      </w:r>
    </w:p>
    <w:p>
      <w:pPr>
        <w:spacing w:after="0" w:line="16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7"/>
          <w:szCs w:val="17"/>
          <w:color w:val="auto"/>
        </w:rPr>
        <w:t>Notwithstanding having established an insider trading policy and code of ethics and business conduct, the Company is exposed to the risk of employee fraud or other misconduct. Misconduct by employees could include failures to comply with Health Canada and the FDA regulations, provide accurate information</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to Health Canada and the FDA, comply with manufacturing standards the Company has established, comply with federal and provincial healthcare fraud and abuse laws and regulations, report financial information or data accurately or disclose unauthorized activities to the Company. In particular, sales,</w:t>
      </w:r>
    </w:p>
    <w:p>
      <w:pPr>
        <w:spacing w:after="0" w:line="213" w:lineRule="auto"/>
        <w:rPr>
          <w:sz w:val="20"/>
          <w:szCs w:val="20"/>
          <w:color w:val="auto"/>
        </w:rPr>
      </w:pPr>
      <w:r>
        <w:rPr>
          <w:rFonts w:ascii="Times New Roman" w:cs="Times New Roman" w:eastAsia="Times New Roman" w:hAnsi="Times New Roman"/>
          <w:sz w:val="18"/>
          <w:szCs w:val="18"/>
          <w:color w:val="auto"/>
        </w:rPr>
        <w:t>marketing and business arrangements in the healthcare industry are subject to extensive laws and regulations intended to prevent fraud, kickbacks, self-</w:t>
      </w:r>
    </w:p>
    <w:p>
      <w:pPr>
        <w:spacing w:after="0" w:line="205" w:lineRule="auto"/>
        <w:rPr>
          <w:sz w:val="20"/>
          <w:szCs w:val="20"/>
          <w:color w:val="auto"/>
        </w:rPr>
      </w:pPr>
      <w:r>
        <w:rPr>
          <w:rFonts w:ascii="Times New Roman" w:cs="Times New Roman" w:eastAsia="Times New Roman" w:hAnsi="Times New Roman"/>
          <w:sz w:val="18"/>
          <w:szCs w:val="18"/>
          <w:color w:val="auto"/>
        </w:rPr>
        <w:t>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obtained in the course of clinical trials, which could result in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60"/>
          </w:cols>
          <w:pgMar w:left="320" w:top="1438" w:right="319" w:bottom="1440" w:gutter="0" w:footer="0" w:header="0"/>
        </w:sectPr>
      </w:pPr>
    </w:p>
    <w:bookmarkStart w:id="67" w:name="page68"/>
    <w:bookmarkEnd w:id="67"/>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Expansion and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in the future seek to expand its pipeline and capabilities by acquiring one or more companies or businesses, entering into collaborations,</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w:t>
      </w:r>
    </w:p>
    <w:p>
      <w:pPr>
        <w:spacing w:after="0" w:line="213" w:lineRule="auto"/>
        <w:rPr>
          <w:sz w:val="20"/>
          <w:szCs w:val="20"/>
          <w:color w:val="auto"/>
        </w:rPr>
      </w:pPr>
      <w:r>
        <w:rPr>
          <w:rFonts w:ascii="Times New Roman" w:cs="Times New Roman" w:eastAsia="Times New Roman" w:hAnsi="Times New Roman"/>
          <w:sz w:val="18"/>
          <w:szCs w:val="18"/>
          <w:color w:val="auto"/>
        </w:rPr>
        <w:t>liabilities, some of which may be difficult or impossible to identify at the time of acquisition, difficulties in assimilating the operations of the acquired</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companies, entering markets in which the Company has limited or no direct experience, and potential loss of the Company’s key employees or key employees of the acquired companies or businesses.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experience in making acquisitions, entering collaborations and in-licensing prescription drug product candidates; however, the Company</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w:t>
      </w:r>
    </w:p>
    <w:p>
      <w:pPr>
        <w:spacing w:after="0" w:line="213" w:lineRule="auto"/>
        <w:rPr>
          <w:sz w:val="20"/>
          <w:szCs w:val="20"/>
          <w:color w:val="auto"/>
        </w:rPr>
      </w:pPr>
      <w:r>
        <w:rPr>
          <w:rFonts w:ascii="Times New Roman" w:cs="Times New Roman" w:eastAsia="Times New Roman" w:hAnsi="Times New Roman"/>
          <w:sz w:val="18"/>
          <w:szCs w:val="18"/>
          <w:color w:val="auto"/>
        </w:rPr>
        <w:t>would depend in part on its ability to manage the rapid growth associated with some of these acquisitions, collaborations and in-licences. The Company</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by the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Negative Results of External Clinical Trials or Studies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studies or clinical trials on various aspects of biopharmaceutical products are conducted by academic researchers, competitors or others.</w:t>
      </w:r>
    </w:p>
    <w:p>
      <w:pPr>
        <w:jc w:val="both"/>
        <w:spacing w:after="0" w:line="205" w:lineRule="auto"/>
        <w:rPr>
          <w:sz w:val="20"/>
          <w:szCs w:val="20"/>
          <w:color w:val="auto"/>
        </w:rPr>
      </w:pPr>
      <w:r>
        <w:rPr>
          <w:rFonts w:ascii="Times New Roman" w:cs="Times New Roman" w:eastAsia="Times New Roman" w:hAnsi="Times New Roman"/>
          <w:sz w:val="18"/>
          <w:szCs w:val="18"/>
          <w:color w:val="auto"/>
        </w:rPr>
        <w:t>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prescription drug product candidates,</w:t>
      </w:r>
    </w:p>
    <w:p>
      <w:pPr>
        <w:spacing w:after="0" w:line="213" w:lineRule="auto"/>
        <w:rPr>
          <w:sz w:val="20"/>
          <w:szCs w:val="20"/>
          <w:color w:val="auto"/>
        </w:rPr>
      </w:pPr>
      <w:r>
        <w:rPr>
          <w:rFonts w:ascii="Times New Roman" w:cs="Times New Roman" w:eastAsia="Times New Roman" w:hAnsi="Times New Roman"/>
          <w:sz w:val="18"/>
          <w:szCs w:val="18"/>
          <w:color w:val="auto"/>
        </w:rPr>
        <w:t>or the therapeutic areas in which the Company’s prescription drug product candidates compete, could adversely affect its share price and the Company’s</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ability to finance future development of its prescription drug product candidates, and its business and financial results could be materially and adversely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w:t>
      </w:r>
    </w:p>
    <w:p>
      <w:pPr>
        <w:spacing w:after="0" w:line="176"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food products and</w:t>
      </w: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nutraceuticals.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133"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Claims or losses in excess of any product liability cover that may be obtained by the Company could have a material adverse effect on its business, financial conditional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Company’s agreements with third parties might require it to maintain product liability insurance. If the Company cannot obtain acceptable</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amounts of coverage on commercially reasonable terms in accordance with the terms set forth in these agreements, the corresponding agreements would be subject to termination, which could have a material adverse impact on its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60"/>
          </w:cols>
          <w:pgMar w:left="320" w:top="1438"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Enforcing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Due to the nature of the business of the Company and the fact that certain of its contracts involve psilocybin, the use of which is not legal under Canadian or</w:t>
      </w:r>
    </w:p>
    <w:p>
      <w:pPr>
        <w:spacing w:after="0" w:line="207" w:lineRule="auto"/>
        <w:rPr>
          <w:sz w:val="20"/>
          <w:szCs w:val="20"/>
          <w:color w:val="auto"/>
        </w:rPr>
      </w:pPr>
      <w:r>
        <w:rPr>
          <w:rFonts w:ascii="Times New Roman" w:cs="Times New Roman" w:eastAsia="Times New Roman" w:hAnsi="Times New Roman"/>
          <w:sz w:val="18"/>
          <w:szCs w:val="18"/>
          <w:color w:val="auto"/>
        </w:rPr>
        <w:t>U.S. federal law and in certain other jurisdictions, the Company may face difficulties in enforcing its contracts in Canadian or U.S. federal and state courts.</w:t>
      </w:r>
    </w:p>
    <w:p>
      <w:pPr>
        <w:spacing w:after="0"/>
        <w:rPr>
          <w:sz w:val="20"/>
          <w:szCs w:val="20"/>
          <w:color w:val="auto"/>
        </w:rPr>
      </w:pPr>
      <w:r>
        <w:rPr>
          <w:rFonts w:ascii="Times New Roman" w:cs="Times New Roman" w:eastAsia="Times New Roman" w:hAnsi="Times New Roman"/>
          <w:sz w:val="18"/>
          <w:szCs w:val="18"/>
          <w:color w:val="auto"/>
        </w:rPr>
        <w:t>The inability to enforce any of its contracts could have a material adverse effect on its business, operating results, financial condition or prospects.</w:t>
      </w:r>
    </w:p>
    <w:p>
      <w:pPr>
        <w:spacing w:after="0" w:line="15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In order to manage its contracts with contractors, the Company will ensure that such contractors are appropriately licensed. Were such contractors to operate outside the terms of these licenses, the Company may experience an adverse effect on its business, including the pace of development of its product.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Recalls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Manufacturers, producers and distributors of products are sometimes subject to the recall or return of their products for a variety of reasons, including</w:t>
      </w:r>
    </w:p>
    <w:p>
      <w:pPr>
        <w:spacing w:after="0" w:line="217" w:lineRule="auto"/>
        <w:rPr>
          <w:sz w:val="20"/>
          <w:szCs w:val="20"/>
          <w:color w:val="auto"/>
        </w:rPr>
      </w:pPr>
      <w:r>
        <w:rPr>
          <w:rFonts w:ascii="Times New Roman" w:cs="Times New Roman" w:eastAsia="Times New Roman" w:hAnsi="Times New Roman"/>
          <w:sz w:val="17"/>
          <w:szCs w:val="17"/>
          <w:color w:val="auto"/>
        </w:rPr>
        <w:t>product defects, such as contamination, unintended harmful side effects or interactions with other substances, packaging safety and inadequate or inaccurate labelling disclosure. If any of the Company’s products are recalled due to an alleged product defect or for any other reason, the Company could be required</w:t>
      </w:r>
    </w:p>
    <w:p>
      <w:pPr>
        <w:spacing w:after="0" w:line="213" w:lineRule="auto"/>
        <w:rPr>
          <w:sz w:val="20"/>
          <w:szCs w:val="20"/>
          <w:color w:val="auto"/>
        </w:rPr>
      </w:pPr>
      <w:r>
        <w:rPr>
          <w:rFonts w:ascii="Times New Roman" w:cs="Times New Roman" w:eastAsia="Times New Roman" w:hAnsi="Times New Roman"/>
          <w:sz w:val="18"/>
          <w:szCs w:val="18"/>
          <w:color w:val="auto"/>
        </w:rPr>
        <w:t>to incur the unexpected expense of the recall and any legal proceedings that might arise in connection with the recall. The Company may lose a significant</w:t>
      </w:r>
    </w:p>
    <w:p>
      <w:pPr>
        <w:spacing w:after="0" w:line="222" w:lineRule="auto"/>
        <w:rPr>
          <w:sz w:val="20"/>
          <w:szCs w:val="20"/>
          <w:color w:val="auto"/>
        </w:rPr>
      </w:pPr>
      <w:r>
        <w:rPr>
          <w:rFonts w:ascii="Times New Roman" w:cs="Times New Roman" w:eastAsia="Times New Roman" w:hAnsi="Times New Roman"/>
          <w:sz w:val="18"/>
          <w:szCs w:val="18"/>
          <w:color w:val="auto"/>
        </w:rPr>
        <w:t>amount of sales and may not be able to replace those sales at an acceptable margin or at all. In addition, a product recall may require significant management attention.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the Company’s suppliers have detailed procedures in place for testing its products, there can be no assurance that any quality, potency or</w:t>
      </w:r>
    </w:p>
    <w:p>
      <w:pPr>
        <w:spacing w:after="0" w:line="217" w:lineRule="auto"/>
        <w:rPr>
          <w:sz w:val="20"/>
          <w:szCs w:val="20"/>
          <w:color w:val="auto"/>
        </w:rPr>
      </w:pPr>
      <w:r>
        <w:rPr>
          <w:rFonts w:ascii="Times New Roman" w:cs="Times New Roman" w:eastAsia="Times New Roman" w:hAnsi="Times New Roman"/>
          <w:sz w:val="17"/>
          <w:szCs w:val="17"/>
          <w:color w:val="auto"/>
        </w:rPr>
        <w:t>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licenses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legal fees and other expenses.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Supply Chain Interruption</w:t>
      </w:r>
    </w:p>
    <w:p>
      <w:pPr>
        <w:spacing w:after="0" w:line="16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7"/>
          <w:szCs w:val="17"/>
          <w:color w:val="auto"/>
        </w:rPr>
        <w:t>The Company is susceptible to risks relating to distributor and supply chain interruptions. Distribution in Canada and other jurisdictions will be largely accomplished through independent contractors, therefore, an interruption (e.g., a labour strike) for any length of time affecting such independent contractors</w:t>
      </w:r>
    </w:p>
    <w:p>
      <w:pPr>
        <w:spacing w:after="0" w:line="217" w:lineRule="auto"/>
        <w:rPr>
          <w:sz w:val="20"/>
          <w:szCs w:val="20"/>
          <w:color w:val="auto"/>
        </w:rPr>
      </w:pPr>
      <w:r>
        <w:rPr>
          <w:rFonts w:ascii="Times New Roman" w:cs="Times New Roman" w:eastAsia="Times New Roman" w:hAnsi="Times New Roman"/>
          <w:sz w:val="17"/>
          <w:szCs w:val="17"/>
          <w:color w:val="auto"/>
        </w:rPr>
        <w:t>may have a significant impact on the Company’s ability to sell its products. Supply chain interruptions, including a production or inventory disruption, could impact product quality and availability. Inherent to producing products is a potential for shortages or surpluses in future years if demand and supply are</w:t>
      </w:r>
    </w:p>
    <w:p>
      <w:pPr>
        <w:spacing w:after="0" w:line="1" w:lineRule="exact"/>
        <w:rPr>
          <w:sz w:val="20"/>
          <w:szCs w:val="20"/>
          <w:color w:val="auto"/>
        </w:rPr>
      </w:pPr>
    </w:p>
    <w:p>
      <w:pPr>
        <w:ind w:right="1580"/>
        <w:spacing w:after="0" w:line="420" w:lineRule="auto"/>
        <w:rPr>
          <w:sz w:val="20"/>
          <w:szCs w:val="20"/>
          <w:color w:val="auto"/>
        </w:rPr>
      </w:pPr>
      <w:r>
        <w:rPr>
          <w:rFonts w:ascii="Times New Roman" w:cs="Times New Roman" w:eastAsia="Times New Roman" w:hAnsi="Times New Roman"/>
          <w:sz w:val="18"/>
          <w:szCs w:val="18"/>
          <w:color w:val="auto"/>
        </w:rPr>
        <w:t xml:space="preserve">materially different from long-term forecasts. The Company monitors category trends and regularly reviews maturing inventory levels. </w:t>
      </w:r>
      <w:r>
        <w:rPr>
          <w:rFonts w:ascii="Times New Roman" w:cs="Times New Roman" w:eastAsia="Times New Roman" w:hAnsi="Times New Roman"/>
          <w:sz w:val="18"/>
          <w:szCs w:val="18"/>
          <w:b w:val="1"/>
          <w:bCs w:val="1"/>
          <w:color w:val="auto"/>
        </w:rPr>
        <w:t>Difficulty to Forecast</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7"/>
          <w:szCs w:val="17"/>
          <w:color w:val="auto"/>
        </w:rPr>
        <w:t>The Company must rely largely on its own market research to forecast sales as detailed forecasts are not generally obtainable from other sources at this early stage of the psychedelic pharmaceutical and nutraceutical industry. A failure in the demand for the Company’s psychedelic pharmaceutical and nutraceutical</w:t>
      </w:r>
    </w:p>
    <w:p>
      <w:pPr>
        <w:spacing w:after="0" w:line="222" w:lineRule="auto"/>
        <w:rPr>
          <w:sz w:val="20"/>
          <w:szCs w:val="20"/>
          <w:color w:val="auto"/>
        </w:rPr>
      </w:pPr>
      <w:r>
        <w:rPr>
          <w:rFonts w:ascii="Times New Roman" w:cs="Times New Roman" w:eastAsia="Times New Roman" w:hAnsi="Times New Roman"/>
          <w:sz w:val="18"/>
          <w:szCs w:val="18"/>
          <w:color w:val="auto"/>
        </w:rPr>
        <w:t>industry products to materialize as a result of competition, technological change or other factors could have a material adverse effect on the business, results of operations and financial condition of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Promoting the Brand</w:t>
      </w:r>
    </w:p>
    <w:p>
      <w:pPr>
        <w:spacing w:after="0" w:line="176"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Promoting the Company’s brand will be critical to creating and expanding a customer base. Promoting the brand will depend largely on the Company’s ability to provide psychedelic pharmaceutical and nutraceutical products to the market. Further, the Company may, in the future, introduce new products or</w:t>
      </w:r>
    </w:p>
    <w:p>
      <w:pPr>
        <w:spacing w:after="0"/>
        <w:rPr>
          <w:sz w:val="20"/>
          <w:szCs w:val="20"/>
          <w:color w:val="auto"/>
        </w:rPr>
      </w:pPr>
      <w:r>
        <w:rPr>
          <w:rFonts w:ascii="Times New Roman" w:cs="Times New Roman" w:eastAsia="Times New Roman" w:hAnsi="Times New Roman"/>
          <w:sz w:val="18"/>
          <w:szCs w:val="18"/>
          <w:color w:val="auto"/>
        </w:rPr>
        <w:t>services that its customers do not like, which may negatively affect the brand and reputation.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34" w:right="339" w:bottom="1440" w:gutter="0" w:footer="0" w:header="0"/>
        </w:sectPr>
      </w:pPr>
    </w:p>
    <w:bookmarkStart w:id="69" w:name="page70"/>
    <w:bookmarkEnd w:id="69"/>
    <w:p>
      <w:pPr>
        <w:spacing w:after="0" w:line="243" w:lineRule="auto"/>
        <w:rPr>
          <w:sz w:val="20"/>
          <w:szCs w:val="20"/>
          <w:color w:val="auto"/>
        </w:rPr>
      </w:pPr>
      <w:r>
        <w:rPr>
          <w:rFonts w:ascii="Times New Roman" w:cs="Times New Roman" w:eastAsia="Times New Roman" w:hAnsi="Times New Roman"/>
          <w:sz w:val="18"/>
          <w:szCs w:val="18"/>
          <w:color w:val="auto"/>
        </w:rPr>
        <w:t>Company fails to successfully promote its brand or if it incurs excessive expenses in this effort, its business and financial results from operations could be materially adversely affected.</w:t>
      </w:r>
    </w:p>
    <w:p>
      <w:pPr>
        <w:spacing w:after="0" w:line="143"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w:t>
      </w:r>
    </w:p>
    <w:p>
      <w:pPr>
        <w:spacing w:after="0"/>
        <w:rPr>
          <w:sz w:val="20"/>
          <w:szCs w:val="20"/>
          <w:color w:val="auto"/>
        </w:rPr>
      </w:pPr>
      <w:r>
        <w:rPr>
          <w:rFonts w:ascii="Times New Roman" w:cs="Times New Roman" w:eastAsia="Times New Roman" w:hAnsi="Times New Roman"/>
          <w:sz w:val="18"/>
          <w:szCs w:val="18"/>
          <w:color w:val="auto"/>
        </w:rPr>
        <w:t>could materially adversely affect its business, financial condition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Viability</w:t>
      </w:r>
    </w:p>
    <w:p>
      <w:pPr>
        <w:spacing w:after="0" w:line="164"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If the Company’s psychedelic pharmaceutical and nutraceutical products are not perceived to have the effects intended by the end user, the Company’s business may suffer. In general, psychedelic pharmaceutical and nutraceutical products have minimal long-term data with respect to efficacy, unknown side</w:t>
      </w:r>
    </w:p>
    <w:p>
      <w:pPr>
        <w:spacing w:after="0" w:line="205" w:lineRule="auto"/>
        <w:rPr>
          <w:sz w:val="20"/>
          <w:szCs w:val="20"/>
          <w:color w:val="auto"/>
        </w:rPr>
      </w:pPr>
      <w:r>
        <w:rPr>
          <w:rFonts w:ascii="Times New Roman" w:cs="Times New Roman" w:eastAsia="Times New Roman" w:hAnsi="Times New Roman"/>
          <w:sz w:val="18"/>
          <w:szCs w:val="18"/>
          <w:color w:val="auto"/>
        </w:rPr>
        <w:t>effects and/or interaction with individual human biochemistry or other supplements or medications. As a result, the Company’s psychedelic pharmaceutical and nutraceutical products could have certain side effects if not used as directed or if taken by an end user that has certain known or unknown medical</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conditions. Further, the Company’s business involves the growing of an agricultural product and is subject to the risks inherent in the agricultural business, such as insects, plant diseases and similar agricultural risks.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 of Quality Control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quality and safety of the Company’s products are critical to the success of its business and operations. As such, it is imperative that the Company (and</w:t>
      </w:r>
    </w:p>
    <w:p>
      <w:pPr>
        <w:spacing w:after="0" w:line="205" w:lineRule="auto"/>
        <w:rPr>
          <w:sz w:val="20"/>
          <w:szCs w:val="20"/>
          <w:color w:val="auto"/>
        </w:rPr>
      </w:pPr>
      <w:r>
        <w:rPr>
          <w:rFonts w:ascii="Times New Roman" w:cs="Times New Roman" w:eastAsia="Times New Roman" w:hAnsi="Times New Roman"/>
          <w:sz w:val="18"/>
          <w:szCs w:val="18"/>
          <w:color w:val="auto"/>
        </w:rPr>
        <w:t>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quality control systems could have a material adverse effect on the Company’s business and operating results.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Key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business is expected to be dependent on a number of key inputs and their related costs including raw materials and supplies. Any significant</w:t>
      </w:r>
    </w:p>
    <w:p>
      <w:pPr>
        <w:spacing w:after="0" w:line="8"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interruption or negative change in the availability or economics of the supply chain for key inputs could materially impact the business, financial condition and operating results of the Company. Examples of potential risks include, but are not limited to, the risk that crops may become diseased or victim to</w:t>
      </w:r>
    </w:p>
    <w:p>
      <w:pPr>
        <w:spacing w:after="0" w:line="213" w:lineRule="auto"/>
        <w:rPr>
          <w:sz w:val="20"/>
          <w:szCs w:val="20"/>
          <w:color w:val="auto"/>
        </w:rPr>
      </w:pPr>
      <w:r>
        <w:rPr>
          <w:rFonts w:ascii="Times New Roman" w:cs="Times New Roman" w:eastAsia="Times New Roman" w:hAnsi="Times New Roman"/>
          <w:sz w:val="18"/>
          <w:szCs w:val="18"/>
          <w:color w:val="auto"/>
        </w:rPr>
        <w:t>insects or other pests and contamination, or subject to extreme weather conditions such as excess rainfall, freezing temperature, or drought, all of which</w:t>
      </w:r>
    </w:p>
    <w:p>
      <w:pPr>
        <w:spacing w:after="0" w:line="222" w:lineRule="auto"/>
        <w:rPr>
          <w:sz w:val="20"/>
          <w:szCs w:val="20"/>
          <w:color w:val="auto"/>
        </w:rPr>
      </w:pPr>
      <w:r>
        <w:rPr>
          <w:rFonts w:ascii="Times New Roman" w:cs="Times New Roman" w:eastAsia="Times New Roman" w:hAnsi="Times New Roman"/>
          <w:sz w:val="18"/>
          <w:szCs w:val="18"/>
          <w:color w:val="auto"/>
        </w:rPr>
        <w:t>could result in low crop yields, decreased availability of mushrooms, and higher acquisition prices. Any inability to secure required supplies and services or to do so on appropriate terms could have a materially adverse impact on the business, financial condition and operating results of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Arising from Fraudulent or Illegal Activity</w:t>
      </w:r>
    </w:p>
    <w:p>
      <w:pPr>
        <w:spacing w:after="0" w:line="176"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w:t>
      </w:r>
    </w:p>
    <w:p>
      <w:pPr>
        <w:spacing w:after="0" w:line="212" w:lineRule="auto"/>
        <w:rPr>
          <w:sz w:val="20"/>
          <w:szCs w:val="20"/>
          <w:color w:val="auto"/>
        </w:rPr>
      </w:pPr>
      <w:r>
        <w:rPr>
          <w:rFonts w:ascii="Times New Roman" w:cs="Times New Roman" w:eastAsia="Times New Roman" w:hAnsi="Times New Roman"/>
          <w:sz w:val="18"/>
          <w:szCs w:val="18"/>
          <w:color w:val="auto"/>
        </w:rPr>
        <w:t>authorized activities, in each case on the Company’s behalf or in its service that violate (i) various laws and regulations, including healthcare laws and</w:t>
      </w:r>
    </w:p>
    <w:p>
      <w:pPr>
        <w:spacing w:after="0" w:line="217" w:lineRule="auto"/>
        <w:rPr>
          <w:sz w:val="20"/>
          <w:szCs w:val="20"/>
          <w:color w:val="auto"/>
        </w:rPr>
      </w:pPr>
      <w:r>
        <w:rPr>
          <w:rFonts w:ascii="Times New Roman" w:cs="Times New Roman" w:eastAsia="Times New Roman" w:hAnsi="Times New Roman"/>
          <w:sz w:val="17"/>
          <w:szCs w:val="17"/>
          <w:color w:val="auto"/>
        </w:rPr>
        <w:t>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sanctions, and lost sales and revenue or reputational damage.</w:t>
      </w:r>
    </w:p>
    <w:p>
      <w:pPr>
        <w:spacing w:after="0" w:line="152"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w:t>
      </w:r>
    </w:p>
    <w:p>
      <w:pPr>
        <w:spacing w:after="0" w:line="230" w:lineRule="auto"/>
        <w:rPr>
          <w:sz w:val="20"/>
          <w:szCs w:val="20"/>
          <w:color w:val="auto"/>
        </w:rPr>
      </w:pPr>
      <w:r>
        <w:rPr>
          <w:rFonts w:ascii="Times New Roman" w:cs="Times New Roman" w:eastAsia="Times New Roman" w:hAnsi="Times New Roman"/>
          <w:sz w:val="18"/>
          <w:szCs w:val="18"/>
          <w:color w:val="auto"/>
        </w:rPr>
        <w:t>regulations. Such misconduct may result in legal action, significant fines or other sanctions and could result in loss of any regulatory license held by the Company at such time. The Company may be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38" w:right="339" w:bottom="1440" w:gutter="0" w:footer="0" w:header="0"/>
        </w:sectPr>
      </w:pPr>
    </w:p>
    <w:bookmarkStart w:id="70" w:name="page71"/>
    <w:bookmarkEnd w:id="70"/>
    <w:p>
      <w:pPr>
        <w:ind w:right="20"/>
        <w:spacing w:after="0" w:line="224" w:lineRule="auto"/>
        <w:rPr>
          <w:sz w:val="20"/>
          <w:szCs w:val="20"/>
          <w:color w:val="auto"/>
        </w:rPr>
      </w:pPr>
      <w:r>
        <w:rPr>
          <w:rFonts w:ascii="Times New Roman" w:cs="Times New Roman" w:eastAsia="Times New Roman" w:hAnsi="Times New Roman"/>
          <w:sz w:val="18"/>
          <w:szCs w:val="18"/>
          <w:color w:val="auto"/>
        </w:rPr>
        <w:t>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w:t>
      </w:r>
    </w:p>
    <w:p>
      <w:pPr>
        <w:ind w:right="20"/>
        <w:spacing w:after="0" w:line="205" w:lineRule="auto"/>
        <w:rPr>
          <w:sz w:val="20"/>
          <w:szCs w:val="20"/>
          <w:color w:val="auto"/>
        </w:rPr>
      </w:pPr>
      <w:r>
        <w:rPr>
          <w:rFonts w:ascii="Times New Roman" w:cs="Times New Roman" w:eastAsia="Times New Roman" w:hAnsi="Times New Roman"/>
          <w:sz w:val="18"/>
          <w:szCs w:val="18"/>
          <w:color w:val="auto"/>
        </w:rPr>
        <w:t>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w:t>
      </w:r>
    </w:p>
    <w:p>
      <w:pPr>
        <w:spacing w:after="0" w:line="213" w:lineRule="auto"/>
        <w:rPr>
          <w:sz w:val="20"/>
          <w:szCs w:val="20"/>
          <w:color w:val="auto"/>
        </w:rPr>
      </w:pPr>
      <w:r>
        <w:rPr>
          <w:rFonts w:ascii="Times New Roman" w:cs="Times New Roman" w:eastAsia="Times New Roman" w:hAnsi="Times New Roman"/>
          <w:sz w:val="18"/>
          <w:szCs w:val="18"/>
          <w:color w:val="auto"/>
        </w:rPr>
        <w:t>major incidents and/or catastrophic events such as fires, explosions, earthquakes or storms. As a result, there is a risk that the Company may not have the</w:t>
      </w:r>
    </w:p>
    <w:p>
      <w:pPr>
        <w:ind w:right="20"/>
        <w:spacing w:after="0" w:line="222" w:lineRule="auto"/>
        <w:rPr>
          <w:sz w:val="20"/>
          <w:szCs w:val="20"/>
          <w:color w:val="auto"/>
        </w:rPr>
      </w:pPr>
      <w:r>
        <w:rPr>
          <w:rFonts w:ascii="Times New Roman" w:cs="Times New Roman" w:eastAsia="Times New Roman" w:hAnsi="Times New Roman"/>
          <w:sz w:val="18"/>
          <w:szCs w:val="18"/>
          <w:color w:val="auto"/>
        </w:rPr>
        <w:t>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Risk and Insurance Coverage</w:t>
      </w:r>
    </w:p>
    <w:p>
      <w:pPr>
        <w:spacing w:after="0" w:line="176"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w:t>
      </w:r>
    </w:p>
    <w:p>
      <w:pPr>
        <w:spacing w:after="0" w:line="212" w:lineRule="auto"/>
        <w:rPr>
          <w:sz w:val="20"/>
          <w:szCs w:val="20"/>
          <w:color w:val="auto"/>
        </w:rPr>
      </w:pPr>
      <w:r>
        <w:rPr>
          <w:rFonts w:ascii="Times New Roman" w:cs="Times New Roman" w:eastAsia="Times New Roman" w:hAnsi="Times New Roman"/>
          <w:sz w:val="18"/>
          <w:szCs w:val="18"/>
          <w:color w:val="auto"/>
        </w:rPr>
        <w:t>that such insurance will be adequate to cover the Company’s liabilities or will be generally available in the future, or if available, that premiums will be</w:t>
      </w:r>
    </w:p>
    <w:p>
      <w:pPr>
        <w:ind w:right="20"/>
        <w:spacing w:after="0" w:line="217" w:lineRule="auto"/>
        <w:rPr>
          <w:sz w:val="20"/>
          <w:szCs w:val="20"/>
          <w:color w:val="auto"/>
        </w:rPr>
      </w:pPr>
      <w:r>
        <w:rPr>
          <w:rFonts w:ascii="Times New Roman" w:cs="Times New Roman" w:eastAsia="Times New Roman" w:hAnsi="Times New Roman"/>
          <w:sz w:val="17"/>
          <w:szCs w:val="17"/>
          <w:color w:val="auto"/>
        </w:rPr>
        <w:t>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could be materially adversely affected.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Operating as Public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public company, the Company will incur significant legal, accounting and other expenses. As a public company, the Company is subject to various</w:t>
      </w:r>
    </w:p>
    <w:p>
      <w:pPr>
        <w:spacing w:after="0" w:line="205" w:lineRule="auto"/>
        <w:rPr>
          <w:sz w:val="20"/>
          <w:szCs w:val="20"/>
          <w:color w:val="auto"/>
        </w:rPr>
      </w:pPr>
      <w:r>
        <w:rPr>
          <w:rFonts w:ascii="Times New Roman" w:cs="Times New Roman" w:eastAsia="Times New Roman" w:hAnsi="Times New Roman"/>
          <w:sz w:val="18"/>
          <w:szCs w:val="18"/>
          <w:color w:val="auto"/>
        </w:rPr>
        <w:t>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of time to these compliance initiatives. Moreover, these rules and regulations will increase the Company’s legal and financial compliance costs and make some activities more time-consuming and costly.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be subject to growth-related risks, including capacity constraints and pressure on its internal systems and controls. The ability of the</w:t>
      </w:r>
    </w:p>
    <w:p>
      <w:pPr>
        <w:ind w:right="20"/>
        <w:spacing w:after="0" w:line="205" w:lineRule="auto"/>
        <w:rPr>
          <w:sz w:val="20"/>
          <w:szCs w:val="20"/>
          <w:color w:val="auto"/>
        </w:rPr>
      </w:pPr>
      <w:r>
        <w:rPr>
          <w:rFonts w:ascii="Times New Roman" w:cs="Times New Roman" w:eastAsia="Times New Roman" w:hAnsi="Times New Roman"/>
          <w:sz w:val="18"/>
          <w:szCs w:val="18"/>
          <w:color w:val="auto"/>
        </w:rPr>
        <w:t>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results of operations and prospects.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4"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w:t>
      </w:r>
    </w:p>
    <w:p>
      <w:pPr>
        <w:ind w:right="20"/>
        <w:spacing w:after="0" w:line="205" w:lineRule="auto"/>
        <w:rPr>
          <w:sz w:val="20"/>
          <w:szCs w:val="20"/>
          <w:color w:val="auto"/>
        </w:rPr>
      </w:pPr>
      <w:r>
        <w:rPr>
          <w:rFonts w:ascii="Times New Roman" w:cs="Times New Roman" w:eastAsia="Times New Roman" w:hAnsi="Times New Roman"/>
          <w:sz w:val="18"/>
          <w:szCs w:val="18"/>
          <w:color w:val="auto"/>
        </w:rPr>
        <w:t>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adversely affect the Company’s operations. These outside business interests could require significant time and attention of the Company’s executive officers and directors.</w:t>
      </w:r>
    </w:p>
    <w:p>
      <w:pPr>
        <w:spacing w:after="0" w:line="133"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w:t>
      </w:r>
    </w:p>
    <w:p>
      <w:pPr>
        <w:ind w:right="20"/>
        <w:spacing w:after="0" w:line="222" w:lineRule="auto"/>
        <w:rPr>
          <w:sz w:val="20"/>
          <w:szCs w:val="20"/>
          <w:color w:val="auto"/>
        </w:rPr>
      </w:pPr>
      <w:r>
        <w:rPr>
          <w:rFonts w:ascii="Times New Roman" w:cs="Times New Roman" w:eastAsia="Times New Roman" w:hAnsi="Times New Roman"/>
          <w:sz w:val="18"/>
          <w:szCs w:val="18"/>
          <w:color w:val="auto"/>
        </w:rPr>
        <w:t>those desired by it. The interests of these persons could conflict with those of the Company, and from time to time, these persons may be competing with the Company for available investment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60"/>
          </w:cols>
          <w:pgMar w:left="320" w:top="1438" w:right="319" w:bottom="1440" w:gutter="0" w:footer="0" w:header="0"/>
        </w:sectPr>
      </w:pPr>
    </w:p>
    <w:bookmarkStart w:id="71" w:name="page72"/>
    <w:bookmarkEnd w:id="71"/>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participation or such terms. In accordance with applicable laws, the directors of the Company are required to act honestly, in good faith and in the best interests of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Operations</w:t>
      </w:r>
    </w:p>
    <w:p>
      <w:pPr>
        <w:spacing w:after="0" w:line="176"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In addition to operations carried out in Canada, the Company intends to carry out international operations through an office in Ireland. As a result, the Company may be subject to political, economic and other uncertainties, including, but not limited to, cancellation or modification of contract rights, foreign</w:t>
      </w: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exchange restrictions, currency fluctuations, export quotas, royalty and tax increases and other risks arising out of foreign governmental sovereignty over the areas in which the Company’s operations are conducted, as well as risks of loss due to civil strife, acts of war, guerrilla activities and insurrections.</w:t>
      </w:r>
    </w:p>
    <w:p>
      <w:pPr>
        <w:spacing w:after="0" w:line="133"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3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7"/>
          <w:szCs w:val="17"/>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and Privacy Risk</w:t>
      </w:r>
    </w:p>
    <w:p>
      <w:pPr>
        <w:spacing w:after="0" w:line="164"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w:t>
      </w:r>
    </w:p>
    <w:p>
      <w:pPr>
        <w:jc w:val="both"/>
        <w:ind w:right="20"/>
        <w:spacing w:after="0" w:line="217" w:lineRule="auto"/>
        <w:rPr>
          <w:sz w:val="20"/>
          <w:szCs w:val="20"/>
          <w:color w:val="auto"/>
        </w:rPr>
      </w:pPr>
      <w:r>
        <w:rPr>
          <w:rFonts w:ascii="Times New Roman" w:cs="Times New Roman" w:eastAsia="Times New Roman" w:hAnsi="Times New Roman"/>
          <w:sz w:val="17"/>
          <w:szCs w:val="17"/>
          <w:color w:val="auto"/>
        </w:rPr>
        <w:t>other types of risks, and may occur from inside or outside of the respective organizations. Cybersecurity risk is increasingly difficult to identify and quantify and cannot be fully mitigated because of the rapid evolving nature of the threats, targets and consequences. Additionally, unauthorized parties may attempt</w:t>
      </w:r>
    </w:p>
    <w:p>
      <w:pPr>
        <w:spacing w:after="0" w:line="213" w:lineRule="auto"/>
        <w:rPr>
          <w:sz w:val="20"/>
          <w:szCs w:val="20"/>
          <w:color w:val="auto"/>
        </w:rPr>
      </w:pPr>
      <w:r>
        <w:rPr>
          <w:rFonts w:ascii="Times New Roman" w:cs="Times New Roman" w:eastAsia="Times New Roman" w:hAnsi="Times New Roman"/>
          <w:sz w:val="18"/>
          <w:szCs w:val="18"/>
          <w:color w:val="auto"/>
        </w:rPr>
        <w:t>to gain access to these systems through fraud or other means of deceiving third-party service providers, employees or vendors. The Company’s operations</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w:t>
      </w:r>
    </w:p>
    <w:p>
      <w:pPr>
        <w:spacing w:after="0" w:line="213" w:lineRule="auto"/>
        <w:rPr>
          <w:sz w:val="20"/>
          <w:szCs w:val="20"/>
          <w:color w:val="auto"/>
        </w:rPr>
      </w:pPr>
      <w:r>
        <w:rPr>
          <w:rFonts w:ascii="Times New Roman" w:cs="Times New Roman" w:eastAsia="Times New Roman" w:hAnsi="Times New Roman"/>
          <w:sz w:val="18"/>
          <w:szCs w:val="18"/>
          <w:color w:val="auto"/>
        </w:rPr>
        <w:t>the risks of failures. However, if the Company is unable or delayed in maintaining, upgrading or replacing IT systems and software, the risk of a</w:t>
      </w:r>
    </w:p>
    <w:p>
      <w:pPr>
        <w:jc w:val="both"/>
        <w:ind w:right="20"/>
        <w:spacing w:after="0" w:line="217" w:lineRule="auto"/>
        <w:rPr>
          <w:sz w:val="20"/>
          <w:szCs w:val="20"/>
          <w:color w:val="auto"/>
        </w:rPr>
      </w:pPr>
      <w:r>
        <w:rPr>
          <w:rFonts w:ascii="Times New Roman" w:cs="Times New Roman" w:eastAsia="Times New Roman" w:hAnsi="Times New Roman"/>
          <w:sz w:val="17"/>
          <w:szCs w:val="17"/>
          <w:color w:val="auto"/>
        </w:rPr>
        <w:t>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reputation and results of operations.</w:t>
      </w:r>
    </w:p>
    <w:p>
      <w:pPr>
        <w:spacing w:after="0" w:line="152"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w:t>
      </w: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133"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 w:cs="Times New Roman" w:eastAsia="Times New Roman" w:hAnsi="Times New Roman"/>
          <w:sz w:val="18"/>
          <w:szCs w:val="18"/>
          <w:i w:val="1"/>
          <w:iCs w:val="1"/>
          <w:color w:val="auto"/>
        </w:rPr>
        <w:t>Personal Information Protection and Electronics Documents Act</w:t>
      </w:r>
      <w:r>
        <w:rPr>
          <w:rFonts w:ascii="Times New Roman" w:cs="Times New Roman" w:eastAsia="Times New Roman" w:hAnsi="Times New Roman"/>
          <w:sz w:val="18"/>
          <w:szCs w:val="18"/>
          <w:color w:val="auto"/>
        </w:rPr>
        <w:t xml:space="preserve"> (Canada) (“</w:t>
      </w:r>
      <w:r>
        <w:rPr>
          <w:rFonts w:ascii="Times New Roman" w:cs="Times New Roman" w:eastAsia="Times New Roman" w:hAnsi="Times New Roman"/>
          <w:sz w:val="18"/>
          <w:szCs w:val="18"/>
          <w:b w:val="1"/>
          <w:bCs w:val="1"/>
          <w:color w:val="auto"/>
        </w:rPr>
        <w:t>PIPEDA</w:t>
      </w:r>
      <w:r>
        <w:rPr>
          <w:rFonts w:ascii="Times New Roman" w:cs="Times New Roman" w:eastAsia="Times New Roman" w:hAnsi="Times New Roman"/>
          <w:sz w:val="18"/>
          <w:szCs w:val="18"/>
          <w:color w:val="auto"/>
        </w:rPr>
        <w:t>”) and where applicable, provincial legislation governing personal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60"/>
          </w:cols>
          <w:pgMar w:left="320" w:top="1438" w:right="319" w:bottom="1440" w:gutter="0" w:footer="0" w:header="0"/>
        </w:sectPr>
      </w:pPr>
    </w:p>
    <w:bookmarkStart w:id="72" w:name="page73"/>
    <w:bookmarkEnd w:id="72"/>
    <w:p>
      <w:pPr>
        <w:ind w:right="20"/>
        <w:spacing w:after="0" w:line="224" w:lineRule="auto"/>
        <w:rPr>
          <w:sz w:val="20"/>
          <w:szCs w:val="20"/>
          <w:color w:val="auto"/>
        </w:rPr>
      </w:pPr>
      <w:r>
        <w:rPr>
          <w:rFonts w:ascii="Times New Roman" w:cs="Times New Roman" w:eastAsia="Times New Roman" w:hAnsi="Times New Roman"/>
          <w:sz w:val="18"/>
          <w:szCs w:val="18"/>
          <w:color w:val="auto"/>
        </w:rPr>
        <w:t>information, protect medical records and other personal health information by limited their use and disclosure of health information to the minimum level reasonably necessary to accomplish the intended purpose. If the Company were found to be in violation of the privacy or security rules under PIPEDA or</w:t>
      </w:r>
    </w:p>
    <w:p>
      <w:pPr>
        <w:ind w:right="20"/>
        <w:spacing w:after="0" w:line="205" w:lineRule="auto"/>
        <w:rPr>
          <w:sz w:val="20"/>
          <w:szCs w:val="20"/>
          <w:color w:val="auto"/>
        </w:rPr>
      </w:pPr>
      <w:r>
        <w:rPr>
          <w:rFonts w:ascii="Times New Roman" w:cs="Times New Roman" w:eastAsia="Times New Roman" w:hAnsi="Times New Roman"/>
          <w:sz w:val="18"/>
          <w:szCs w:val="18"/>
          <w:color w:val="auto"/>
        </w:rPr>
        <w:t>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 and Risks</w:t>
      </w:r>
    </w:p>
    <w:p>
      <w:pPr>
        <w:spacing w:after="0" w:line="164"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w:t>
      </w:r>
    </w:p>
    <w:p>
      <w:pPr>
        <w:ind w:right="20"/>
        <w:spacing w:after="0" w:line="205" w:lineRule="auto"/>
        <w:rPr>
          <w:sz w:val="20"/>
          <w:szCs w:val="20"/>
          <w:color w:val="auto"/>
        </w:rPr>
      </w:pPr>
      <w:r>
        <w:rPr>
          <w:rFonts w:ascii="Times New Roman" w:cs="Times New Roman" w:eastAsia="Times New Roman" w:hAnsi="Times New Roman"/>
          <w:sz w:val="18"/>
          <w:szCs w:val="18"/>
          <w:color w:val="auto"/>
        </w:rPr>
        <w:t>legislation is evolving in a manner which could stricter standards and enforcement, increased fines and penalties for non-compliance, more stringent environmental assessments of proposed projects and a heightened degree of responsibility for companies and their officers, directors and employees. There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no assurance that future changes in environmental regulation, if any, will not adversely affect the Company’s operations.</w:t>
      </w:r>
    </w:p>
    <w:p>
      <w:pPr>
        <w:spacing w:after="0" w:line="152"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to current laws, regulations and permits governing the production of psychedelics and related products, or more stringent implementation</w:t>
      </w:r>
    </w:p>
    <w:p>
      <w:pPr>
        <w:ind w:right="20"/>
        <w:spacing w:after="0" w:line="222" w:lineRule="auto"/>
        <w:rPr>
          <w:sz w:val="20"/>
          <w:szCs w:val="20"/>
          <w:color w:val="auto"/>
        </w:rPr>
      </w:pPr>
      <w:r>
        <w:rPr>
          <w:rFonts w:ascii="Times New Roman" w:cs="Times New Roman" w:eastAsia="Times New Roman" w:hAnsi="Times New Roman"/>
          <w:sz w:val="18"/>
          <w:szCs w:val="18"/>
          <w:color w:val="auto"/>
        </w:rPr>
        <w:t>thereof, could have a material adverse impact on the Company and cause increases in expenses, capital expenditures or production costs or reduction in levels of production or require abandonment or delays in development.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Decriminalisation of Psychedelics</w:t>
      </w:r>
    </w:p>
    <w:p>
      <w:pPr>
        <w:spacing w:after="0" w:line="176"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w:t>
      </w:r>
    </w:p>
    <w:p>
      <w:pPr>
        <w:spacing w:after="0" w:line="212" w:lineRule="auto"/>
        <w:rPr>
          <w:sz w:val="20"/>
          <w:szCs w:val="20"/>
          <w:color w:val="auto"/>
        </w:rPr>
      </w:pPr>
      <w:r>
        <w:rPr>
          <w:rFonts w:ascii="Times New Roman" w:cs="Times New Roman" w:eastAsia="Times New Roman" w:hAnsi="Times New Roman"/>
          <w:sz w:val="18"/>
          <w:szCs w:val="18"/>
          <w:color w:val="auto"/>
        </w:rPr>
        <w:t>was voted to be decriminalised in May 2019 in Denver and in November 2020, voters in Oregon approved the legal medical use of “psilocybin products,”</w:t>
      </w:r>
    </w:p>
    <w:p>
      <w:pPr>
        <w:ind w:right="20"/>
        <w:spacing w:after="0" w:line="205" w:lineRule="auto"/>
        <w:rPr>
          <w:sz w:val="20"/>
          <w:szCs w:val="20"/>
          <w:color w:val="auto"/>
        </w:rPr>
      </w:pPr>
      <w:r>
        <w:rPr>
          <w:rFonts w:ascii="Times New Roman" w:cs="Times New Roman" w:eastAsia="Times New Roman" w:hAnsi="Times New Roman"/>
          <w:sz w:val="18"/>
          <w:szCs w:val="18"/>
          <w:color w:val="auto"/>
        </w:rPr>
        <w:t>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w:t>
      </w:r>
    </w:p>
    <w:p>
      <w:pPr>
        <w:spacing w:after="0" w:line="213" w:lineRule="auto"/>
        <w:rPr>
          <w:sz w:val="20"/>
          <w:szCs w:val="20"/>
          <w:color w:val="auto"/>
        </w:rPr>
      </w:pPr>
      <w:r>
        <w:rPr>
          <w:rFonts w:ascii="Times New Roman" w:cs="Times New Roman" w:eastAsia="Times New Roman" w:hAnsi="Times New Roman"/>
          <w:sz w:val="18"/>
          <w:szCs w:val="18"/>
          <w:color w:val="auto"/>
        </w:rPr>
        <w:t>infrastructure or adequate clinical research. The expansion of such an industry which could put patients at risk may bring reputational and regulatory risk to</w:t>
      </w:r>
    </w:p>
    <w:p>
      <w:pPr>
        <w:ind w:right="20"/>
        <w:spacing w:after="0" w:line="222" w:lineRule="auto"/>
        <w:rPr>
          <w:sz w:val="20"/>
          <w:szCs w:val="20"/>
          <w:color w:val="auto"/>
        </w:rPr>
      </w:pPr>
      <w:r>
        <w:rPr>
          <w:rFonts w:ascii="Times New Roman" w:cs="Times New Roman" w:eastAsia="Times New Roman" w:hAnsi="Times New Roman"/>
          <w:sz w:val="18"/>
          <w:szCs w:val="18"/>
          <w:color w:val="auto"/>
        </w:rPr>
        <w:t>the entire industry, leading to challenges for the Company to achieve regulatory approval. The legalization of psilocybin, and potentially other psychotropic compounds in the future may also impact commercial sales for the Company due to a reduced barrier to entry leading to a risk of increasing competition.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may prove to be inaccurate</w:t>
      </w:r>
    </w:p>
    <w:p>
      <w:pPr>
        <w:spacing w:after="0" w:line="176"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w:t>
      </w:r>
    </w:p>
    <w:p>
      <w:pPr>
        <w:ind w:right="1140"/>
        <w:spacing w:after="0" w:line="420" w:lineRule="auto"/>
        <w:rPr>
          <w:sz w:val="20"/>
          <w:szCs w:val="20"/>
          <w:color w:val="auto"/>
        </w:rPr>
      </w:pPr>
      <w:r>
        <w:rPr>
          <w:rFonts w:ascii="Times New Roman" w:cs="Times New Roman" w:eastAsia="Times New Roman" w:hAnsi="Times New Roman"/>
          <w:sz w:val="18"/>
          <w:szCs w:val="18"/>
          <w:color w:val="auto"/>
        </w:rPr>
        <w:t xml:space="preserve">the forward-looking statements or contribute to the possibility that predictions, forecasts or projections will prove to be materially inaccurate. </w:t>
      </w:r>
      <w:r>
        <w:rPr>
          <w:rFonts w:ascii="Times New Roman" w:cs="Times New Roman" w:eastAsia="Times New Roman" w:hAnsi="Times New Roman"/>
          <w:sz w:val="18"/>
          <w:szCs w:val="18"/>
          <w:b w:val="1"/>
          <w:bCs w:val="1"/>
          <w:color w:val="auto"/>
        </w:rPr>
        <w:t>Effects of Inflation</w:t>
      </w:r>
    </w:p>
    <w:p>
      <w:pPr>
        <w:spacing w:after="0" w:line="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Global markets have recently experienced increased rates of inflation. Inflation itself, as well as certain governmental efforts to combat inflation, may have significant negative effects on any economy which the Company does business. Past governmental efforts to curb inflation have involved certain drastic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60"/>
          </w:cols>
          <w:pgMar w:left="320" w:top="1438" w:right="319" w:bottom="1440" w:gutter="0" w:footer="0" w:header="0"/>
        </w:sectPr>
      </w:pPr>
    </w:p>
    <w:bookmarkStart w:id="73" w:name="page74"/>
    <w:bookmarkEnd w:id="73"/>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and Economic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Political and economic conditions directly affect the Company’s business and can result in a material adverse effect on the Company. Macroeconomic</w:t>
      </w:r>
    </w:p>
    <w:p>
      <w:pPr>
        <w:jc w:val="both"/>
        <w:spacing w:after="0" w:line="222" w:lineRule="auto"/>
        <w:rPr>
          <w:sz w:val="20"/>
          <w:szCs w:val="20"/>
          <w:color w:val="auto"/>
        </w:rPr>
      </w:pPr>
      <w:r>
        <w:rPr>
          <w:rFonts w:ascii="Times New Roman" w:cs="Times New Roman" w:eastAsia="Times New Roman" w:hAnsi="Times New Roman"/>
          <w:sz w:val="18"/>
          <w:szCs w:val="18"/>
          <w:color w:val="auto"/>
        </w:rPr>
        <w:t>policies imposed by foreign governments could have significant impact on the Company. As certain global markets experience increased inflation, certain government actions to control inflation may have significant impact on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cannot control or predict foreign government implementation of changes to existing policies that may impact the Company’s operations in</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143" w:lineRule="exact"/>
        <w:rPr>
          <w:sz w:val="20"/>
          <w:szCs w:val="20"/>
          <w:color w:val="auto"/>
        </w:rPr>
      </w:pPr>
    </w:p>
    <w:p>
      <w:pPr>
        <w:ind w:left="580" w:hanging="289"/>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w:t>
      </w:r>
    </w:p>
    <w:p>
      <w:pPr>
        <w:ind w:left="580" w:hanging="289"/>
        <w:spacing w:after="0" w:line="198"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w:t>
      </w:r>
    </w:p>
    <w:p>
      <w:pPr>
        <w:ind w:left="580" w:hanging="289"/>
        <w:spacing w:after="0" w:line="212"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 and restrictions on remittances abroad;</w:t>
      </w:r>
    </w:p>
    <w:p>
      <w:pPr>
        <w:ind w:left="580" w:hanging="289"/>
        <w:spacing w:after="0" w:line="212"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monetary policies;</w:t>
      </w:r>
    </w:p>
    <w:p>
      <w:pPr>
        <w:ind w:left="580" w:hanging="289"/>
        <w:spacing w:after="0" w:line="198"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controls;</w:t>
      </w:r>
    </w:p>
    <w:p>
      <w:pPr>
        <w:ind w:left="580" w:hanging="289"/>
        <w:spacing w:after="0" w:line="212"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of domestic capital, credit and financial markets;</w:t>
      </w:r>
    </w:p>
    <w:p>
      <w:pPr>
        <w:ind w:left="580" w:hanging="289"/>
        <w:spacing w:after="0" w:line="198"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or contraction of foreign economies, as measured by rates of growth in gross domestic product;</w:t>
      </w:r>
    </w:p>
    <w:p>
      <w:pPr>
        <w:ind w:left="580" w:hanging="289"/>
        <w:spacing w:after="0" w:line="212"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policies; and</w:t>
      </w:r>
    </w:p>
    <w:p>
      <w:pPr>
        <w:ind w:left="580" w:hanging="289"/>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political, social and economic developments in or affecting foreign markets.</w:t>
      </w:r>
    </w:p>
    <w:p>
      <w:pPr>
        <w:spacing w:after="0" w:line="152"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may involve actions such as price and salary controls, currency devaluations, capital limitations, limits on imports and other actions which could significantly impact the operations of the Company.</w:t>
      </w:r>
    </w:p>
    <w:p>
      <w:pPr>
        <w:spacing w:after="0" w:line="13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43"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w:t>
      </w:r>
    </w:p>
    <w:p>
      <w:pPr>
        <w:spacing w:after="0"/>
        <w:rPr>
          <w:sz w:val="20"/>
          <w:szCs w:val="20"/>
          <w:color w:val="auto"/>
        </w:rPr>
      </w:pPr>
      <w:r>
        <w:rPr>
          <w:rFonts w:ascii="Times New Roman" w:cs="Times New Roman" w:eastAsia="Times New Roman" w:hAnsi="Times New Roman"/>
          <w:sz w:val="18"/>
          <w:szCs w:val="18"/>
          <w:color w:val="auto"/>
        </w:rPr>
        <w:t>effects on the Company’s operations in the market and consequently on the results of its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and Interpretation of Tax Laws</w:t>
      </w:r>
    </w:p>
    <w:p>
      <w:pPr>
        <w:spacing w:after="0" w:line="164"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w:t>
      </w:r>
    </w:p>
    <w:p>
      <w:pPr>
        <w:spacing w:after="0" w:line="217" w:lineRule="auto"/>
        <w:rPr>
          <w:sz w:val="20"/>
          <w:szCs w:val="20"/>
          <w:color w:val="auto"/>
        </w:rPr>
      </w:pPr>
      <w:r>
        <w:rPr>
          <w:rFonts w:ascii="Times New Roman" w:cs="Times New Roman" w:eastAsia="Times New Roman" w:hAnsi="Times New Roman"/>
          <w:sz w:val="17"/>
          <w:szCs w:val="17"/>
          <w:color w:val="auto"/>
        </w:rPr>
        <w:t>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w:t>
      </w:r>
    </w:p>
    <w:p>
      <w:pPr>
        <w:spacing w:after="0" w:line="213" w:lineRule="auto"/>
        <w:rPr>
          <w:sz w:val="20"/>
          <w:szCs w:val="20"/>
          <w:color w:val="auto"/>
        </w:rPr>
      </w:pPr>
      <w:r>
        <w:rPr>
          <w:rFonts w:ascii="Times New Roman" w:cs="Times New Roman" w:eastAsia="Times New Roman" w:hAnsi="Times New Roman"/>
          <w:sz w:val="18"/>
          <w:szCs w:val="18"/>
          <w:color w:val="auto"/>
        </w:rPr>
        <w:t>different interpretation of the law and assess the Company, or the operations in which the Company has interests, with additional taxes. Further, the</w:t>
      </w:r>
    </w:p>
    <w:p>
      <w:pPr>
        <w:ind w:right="20"/>
        <w:spacing w:after="0" w:line="205" w:lineRule="auto"/>
        <w:rPr>
          <w:sz w:val="20"/>
          <w:szCs w:val="20"/>
          <w:color w:val="auto"/>
        </w:rPr>
      </w:pPr>
      <w:r>
        <w:rPr>
          <w:rFonts w:ascii="Times New Roman" w:cs="Times New Roman" w:eastAsia="Times New Roman" w:hAnsi="Times New Roman"/>
          <w:sz w:val="18"/>
          <w:szCs w:val="18"/>
          <w:color w:val="auto"/>
        </w:rPr>
        <w:t>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legislation, evolution of regulation and court rulings. The application of these tax laws and related regulations is subject to legal and factual interpretation, judgment and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60"/>
          </w:cols>
          <w:pgMar w:left="320" w:top="1438"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Company’s subsidiaries and assets are located outside of Canada. Accordingly, it may be difficult for investors to enforce within Canada any</w:t>
      </w:r>
    </w:p>
    <w:p>
      <w:pPr>
        <w:ind w:right="20"/>
        <w:spacing w:after="0" w:line="236" w:lineRule="auto"/>
        <w:rPr>
          <w:sz w:val="20"/>
          <w:szCs w:val="20"/>
          <w:color w:val="auto"/>
        </w:rPr>
      </w:pPr>
      <w:r>
        <w:rPr>
          <w:rFonts w:ascii="Times New Roman" w:cs="Times New Roman" w:eastAsia="Times New Roman" w:hAnsi="Times New Roman"/>
          <w:sz w:val="17"/>
          <w:szCs w:val="17"/>
          <w:color w:val="auto"/>
        </w:rPr>
        <w:t>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subsidiaries incorporated in the United States and Ireland. It may not be possible for shareholders to effect service of process outside of</w:t>
      </w:r>
    </w:p>
    <w:p>
      <w:pPr>
        <w:spacing w:after="0" w:line="205" w:lineRule="auto"/>
        <w:rPr>
          <w:sz w:val="20"/>
          <w:szCs w:val="20"/>
          <w:color w:val="auto"/>
        </w:rPr>
      </w:pPr>
      <w:r>
        <w:rPr>
          <w:rFonts w:ascii="Times New Roman" w:cs="Times New Roman" w:eastAsia="Times New Roman" w:hAnsi="Times New Roman"/>
          <w:sz w:val="18"/>
          <w:szCs w:val="18"/>
          <w:color w:val="auto"/>
        </w:rPr>
        <w:t>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w:t>
      </w:r>
    </w:p>
    <w:p>
      <w:pPr>
        <w:spacing w:after="0" w:line="225" w:lineRule="auto"/>
        <w:rPr>
          <w:sz w:val="20"/>
          <w:szCs w:val="20"/>
          <w:color w:val="auto"/>
        </w:rPr>
      </w:pPr>
      <w:r>
        <w:rPr>
          <w:rFonts w:ascii="Times New Roman" w:cs="Times New Roman" w:eastAsia="Times New Roman" w:hAnsi="Times New Roman"/>
          <w:sz w:val="17"/>
          <w:szCs w:val="17"/>
          <w:color w:val="auto"/>
        </w:rPr>
        <w:t>resident in Canada. Additionally, it may be difficult for an investor, or any other person or entity, to assert Canadian securities law or other claims in original</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7"/>
          <w:szCs w:val="17"/>
          <w:color w:val="auto"/>
        </w:rPr>
        <w:t>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Protection</w:t>
      </w:r>
    </w:p>
    <w:p>
      <w:pPr>
        <w:spacing w:after="0" w:line="17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Failure to register trademarks for the Company or its products could require the Company to rebrand its products resulting in a material adverse impact on its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Secrets</w:t>
      </w:r>
    </w:p>
    <w:p>
      <w:pPr>
        <w:spacing w:after="0" w:line="16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7"/>
          <w:szCs w:val="17"/>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w:t>
      </w:r>
    </w:p>
    <w:p>
      <w:pPr>
        <w:ind w:right="20"/>
        <w:spacing w:after="0" w:line="205" w:lineRule="auto"/>
        <w:rPr>
          <w:sz w:val="20"/>
          <w:szCs w:val="20"/>
          <w:color w:val="auto"/>
        </w:rPr>
      </w:pPr>
      <w:r>
        <w:rPr>
          <w:rFonts w:ascii="Times New Roman" w:cs="Times New Roman" w:eastAsia="Times New Roman" w:hAnsi="Times New Roman"/>
          <w:sz w:val="18"/>
          <w:szCs w:val="18"/>
          <w:color w:val="auto"/>
        </w:rPr>
        <w:t>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w:t>
      </w:r>
    </w:p>
    <w:p>
      <w:pPr>
        <w:spacing w:after="0" w:line="213" w:lineRule="auto"/>
        <w:rPr>
          <w:sz w:val="20"/>
          <w:szCs w:val="20"/>
          <w:color w:val="auto"/>
        </w:rPr>
      </w:pPr>
      <w:r>
        <w:rPr>
          <w:rFonts w:ascii="Times New Roman" w:cs="Times New Roman" w:eastAsia="Times New Roman" w:hAnsi="Times New Roman"/>
          <w:sz w:val="18"/>
          <w:szCs w:val="18"/>
          <w:color w:val="auto"/>
        </w:rPr>
        <w:t>relating to its trade secrets. Its academic and clinical collaborators typically have rights to publish data, provided that the Company is notified in advance</w:t>
      </w:r>
    </w:p>
    <w:p>
      <w:pPr>
        <w:ind w:right="20"/>
        <w:spacing w:after="0" w:line="205" w:lineRule="auto"/>
        <w:rPr>
          <w:sz w:val="20"/>
          <w:szCs w:val="20"/>
          <w:color w:val="auto"/>
        </w:rPr>
      </w:pPr>
      <w:r>
        <w:rPr>
          <w:rFonts w:ascii="Times New Roman" w:cs="Times New Roman" w:eastAsia="Times New Roman" w:hAnsi="Times New Roman"/>
          <w:sz w:val="18"/>
          <w:szCs w:val="18"/>
          <w:color w:val="auto"/>
        </w:rPr>
        <w:t>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w:t>
      </w:r>
    </w:p>
    <w:p>
      <w:pPr>
        <w:spacing w:after="0" w:line="213" w:lineRule="auto"/>
        <w:rPr>
          <w:sz w:val="20"/>
          <w:szCs w:val="20"/>
          <w:color w:val="auto"/>
        </w:rPr>
      </w:pPr>
      <w:r>
        <w:rPr>
          <w:rFonts w:ascii="Times New Roman" w:cs="Times New Roman" w:eastAsia="Times New Roman" w:hAnsi="Times New Roman"/>
          <w:sz w:val="18"/>
          <w:szCs w:val="18"/>
          <w:color w:val="auto"/>
        </w:rPr>
        <w:t>conduct joint research and development programs which may require it to share trade secrets under the terms of research and development collaboration or</w:t>
      </w:r>
    </w:p>
    <w:p>
      <w:pPr>
        <w:spacing w:after="0" w:line="217" w:lineRule="auto"/>
        <w:rPr>
          <w:sz w:val="20"/>
          <w:szCs w:val="20"/>
          <w:color w:val="auto"/>
        </w:rPr>
      </w:pPr>
      <w:r>
        <w:rPr>
          <w:rFonts w:ascii="Times New Roman" w:cs="Times New Roman" w:eastAsia="Times New Roman" w:hAnsi="Times New Roman"/>
          <w:sz w:val="17"/>
          <w:szCs w:val="17"/>
          <w:color w:val="auto"/>
        </w:rPr>
        <w:t>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competitive position and could have a material adverse effect on its business and financial condition.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Law Reform</w:t>
      </w:r>
    </w:p>
    <w:p>
      <w:pPr>
        <w:spacing w:after="0" w:line="164"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the Company’s success is heavily dependent on intellectual property rights, particularly patents. Obtaining and enforcing patents in the biopharmaceutical industry is a technologically and legally complex process, and obtaining and</w:t>
      </w:r>
    </w:p>
    <w:p>
      <w:pPr>
        <w:ind w:right="20"/>
        <w:spacing w:after="0" w:line="217" w:lineRule="auto"/>
        <w:rPr>
          <w:sz w:val="20"/>
          <w:szCs w:val="20"/>
          <w:color w:val="auto"/>
        </w:rPr>
      </w:pPr>
      <w:r>
        <w:rPr>
          <w:rFonts w:ascii="Times New Roman" w:cs="Times New Roman" w:eastAsia="Times New Roman" w:hAnsi="Times New Roman"/>
          <w:sz w:val="17"/>
          <w:szCs w:val="17"/>
          <w:color w:val="auto"/>
        </w:rPr>
        <w:t>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its licensors’ or collaborators’ issued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60"/>
          </w:cols>
          <w:pgMar w:left="320" w:top="1434"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Patent Litigation and Intellectual Property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As disclosed under </w:t>
      </w:r>
      <w:r>
        <w:rPr>
          <w:rFonts w:ascii="Times New Roman" w:cs="Times New Roman" w:eastAsia="Times New Roman" w:hAnsi="Times New Roman"/>
          <w:sz w:val="17"/>
          <w:szCs w:val="17"/>
          <w:i w:val="1"/>
          <w:iCs w:val="1"/>
          <w:color w:val="auto"/>
        </w:rPr>
        <w:t>Description of the Business - Intellectual Property</w:t>
      </w:r>
      <w:r>
        <w:rPr>
          <w:rFonts w:ascii="Times New Roman" w:cs="Times New Roman" w:eastAsia="Times New Roman" w:hAnsi="Times New Roman"/>
          <w:sz w:val="17"/>
          <w:szCs w:val="17"/>
          <w:color w:val="auto"/>
        </w:rPr>
        <w:t>, the Company has filed a number of provisional patent applications but even if regular</w:t>
      </w:r>
    </w:p>
    <w:p>
      <w:pPr>
        <w:spacing w:after="0" w:line="10"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18"/>
          <w:szCs w:val="18"/>
          <w:color w:val="auto"/>
        </w:rPr>
        <w:t>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w:t>
      </w:r>
    </w:p>
    <w:p>
      <w:pPr>
        <w:spacing w:after="0" w:line="213" w:lineRule="auto"/>
        <w:rPr>
          <w:sz w:val="20"/>
          <w:szCs w:val="20"/>
          <w:color w:val="auto"/>
        </w:rPr>
      </w:pPr>
      <w:r>
        <w:rPr>
          <w:rFonts w:ascii="Times New Roman" w:cs="Times New Roman" w:eastAsia="Times New Roman" w:hAnsi="Times New Roman"/>
          <w:sz w:val="18"/>
          <w:szCs w:val="18"/>
          <w:color w:val="auto"/>
        </w:rPr>
        <w:t>Company is challenged, any of the Company’s patents may be invalidated (although at this time the Company does not have any issued patents). The</w:t>
      </w:r>
    </w:p>
    <w:p>
      <w:pPr>
        <w:ind w:right="20"/>
        <w:spacing w:after="0" w:line="222" w:lineRule="auto"/>
        <w:rPr>
          <w:sz w:val="20"/>
          <w:szCs w:val="20"/>
          <w:color w:val="auto"/>
        </w:rPr>
      </w:pPr>
      <w:r>
        <w:rPr>
          <w:rFonts w:ascii="Times New Roman" w:cs="Times New Roman" w:eastAsia="Times New Roman" w:hAnsi="Times New Roman"/>
          <w:sz w:val="18"/>
          <w:szCs w:val="18"/>
          <w:color w:val="auto"/>
        </w:rPr>
        <w:t>Company could also become involved in interference or impeachment proceedings in connection with one or more of its patents or patent applications to determine priority of invention.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litigation is widespread in the pharmaceutical industry and the Company cannot predict how this will affect its efforts to form strategic alliances,</w:t>
      </w:r>
    </w:p>
    <w:p>
      <w:pPr>
        <w:ind w:right="20"/>
        <w:spacing w:after="0" w:line="217" w:lineRule="auto"/>
        <w:rPr>
          <w:sz w:val="20"/>
          <w:szCs w:val="20"/>
          <w:color w:val="auto"/>
        </w:rPr>
      </w:pPr>
      <w:r>
        <w:rPr>
          <w:rFonts w:ascii="Times New Roman" w:cs="Times New Roman" w:eastAsia="Times New Roman" w:hAnsi="Times New Roman"/>
          <w:sz w:val="17"/>
          <w:szCs w:val="17"/>
          <w:color w:val="auto"/>
        </w:rPr>
        <w:t>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w:t>
      </w:r>
    </w:p>
    <w:p>
      <w:pPr>
        <w:spacing w:after="0" w:line="213" w:lineRule="auto"/>
        <w:rPr>
          <w:sz w:val="20"/>
          <w:szCs w:val="20"/>
          <w:color w:val="auto"/>
        </w:rPr>
      </w:pPr>
      <w:r>
        <w:rPr>
          <w:rFonts w:ascii="Times New Roman" w:cs="Times New Roman" w:eastAsia="Times New Roman" w:hAnsi="Times New Roman"/>
          <w:sz w:val="18"/>
          <w:szCs w:val="18"/>
          <w:color w:val="auto"/>
        </w:rPr>
        <w:t>its technical and management personnel will be significantly diverted. The Company cannot make any assurances that it will have the financial or other</w:t>
      </w:r>
    </w:p>
    <w:p>
      <w:pPr>
        <w:ind w:right="20"/>
        <w:spacing w:after="0" w:line="205" w:lineRule="auto"/>
        <w:rPr>
          <w:sz w:val="20"/>
          <w:szCs w:val="20"/>
          <w:color w:val="auto"/>
        </w:rPr>
      </w:pPr>
      <w:r>
        <w:rPr>
          <w:rFonts w:ascii="Times New Roman" w:cs="Times New Roman" w:eastAsia="Times New Roman" w:hAnsi="Times New Roman"/>
          <w:sz w:val="18"/>
          <w:szCs w:val="18"/>
          <w:color w:val="auto"/>
        </w:rPr>
        <w:t>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w:t>
      </w:r>
    </w:p>
    <w:p>
      <w:pPr>
        <w:spacing w:after="0" w:line="213" w:lineRule="auto"/>
        <w:rPr>
          <w:sz w:val="20"/>
          <w:szCs w:val="20"/>
          <w:color w:val="auto"/>
        </w:rPr>
      </w:pPr>
      <w:r>
        <w:rPr>
          <w:rFonts w:ascii="Times New Roman" w:cs="Times New Roman" w:eastAsia="Times New Roman" w:hAnsi="Times New Roman"/>
          <w:sz w:val="18"/>
          <w:szCs w:val="18"/>
          <w:color w:val="auto"/>
        </w:rPr>
        <w:t>adverse effect on the business of the Company, its financial condition and results of operation. Patent litigation is less likely during development as many</w:t>
      </w:r>
    </w:p>
    <w:p>
      <w:pPr>
        <w:ind w:right="20"/>
        <w:spacing w:after="0" w:line="205" w:lineRule="auto"/>
        <w:rPr>
          <w:sz w:val="20"/>
          <w:szCs w:val="20"/>
          <w:color w:val="auto"/>
        </w:rPr>
      </w:pPr>
      <w:r>
        <w:rPr>
          <w:rFonts w:ascii="Times New Roman" w:cs="Times New Roman" w:eastAsia="Times New Roman" w:hAnsi="Times New Roman"/>
          <w:sz w:val="18"/>
          <w:szCs w:val="18"/>
          <w:color w:val="auto"/>
        </w:rPr>
        <w:t>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w:t>
      </w:r>
    </w:p>
    <w:p>
      <w:pPr>
        <w:spacing w:after="0" w:line="1"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18"/>
          <w:szCs w:val="18"/>
          <w:color w:val="auto"/>
        </w:rPr>
        <w:t>Company is unable to avoid infringing the patent rights of others, the Company may be required to seek a license, defend an infringement action or challenge the validity of the patents in court. Such results could have a material adverse effect on the Company. Regardless of the outcome, patent litigation</w:t>
      </w:r>
    </w:p>
    <w:p>
      <w:pPr>
        <w:spacing w:after="0" w:line="213" w:lineRule="auto"/>
        <w:rPr>
          <w:sz w:val="20"/>
          <w:szCs w:val="20"/>
          <w:color w:val="auto"/>
        </w:rPr>
      </w:pPr>
      <w:r>
        <w:rPr>
          <w:rFonts w:ascii="Times New Roman" w:cs="Times New Roman" w:eastAsia="Times New Roman" w:hAnsi="Times New Roman"/>
          <w:sz w:val="18"/>
          <w:szCs w:val="18"/>
          <w:color w:val="auto"/>
        </w:rPr>
        <w:t>is costly and time consuming. In some cases, the Company may not have sufficient resources to bring these actions to a successful conclusion, and, even if</w:t>
      </w:r>
    </w:p>
    <w:p>
      <w:pPr>
        <w:ind w:right="20"/>
        <w:spacing w:after="0" w:line="222" w:lineRule="auto"/>
        <w:rPr>
          <w:sz w:val="20"/>
          <w:szCs w:val="20"/>
          <w:color w:val="auto"/>
        </w:rPr>
      </w:pPr>
      <w:r>
        <w:rPr>
          <w:rFonts w:ascii="Times New Roman" w:cs="Times New Roman" w:eastAsia="Times New Roman" w:hAnsi="Times New Roman"/>
          <w:sz w:val="18"/>
          <w:szCs w:val="18"/>
          <w:color w:val="auto"/>
        </w:rPr>
        <w:t>the Company is successful in these proceedings, it may incur substantial costs and divert management time and attention in pursuing these proceedings, which could have a material adverse effect on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infringement or misappropriation of the Company’s intellectual property could damage its value and limit its ability to compete. In addition, the</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w:t>
      </w:r>
    </w:p>
    <w:p>
      <w:pPr>
        <w:spacing w:after="0" w:line="213" w:lineRule="auto"/>
        <w:rPr>
          <w:sz w:val="20"/>
          <w:szCs w:val="20"/>
          <w:color w:val="auto"/>
        </w:rPr>
      </w:pPr>
      <w:r>
        <w:rPr>
          <w:rFonts w:ascii="Times New Roman" w:cs="Times New Roman" w:eastAsia="Times New Roman" w:hAnsi="Times New Roman"/>
          <w:sz w:val="18"/>
          <w:szCs w:val="18"/>
          <w:color w:val="auto"/>
        </w:rPr>
        <w:t>Competitors may also harm the Company’s sales by designing products that mirror the capabilities of its products or technology without infringing on its</w:t>
      </w:r>
    </w:p>
    <w:p>
      <w:pPr>
        <w:ind w:right="20"/>
        <w:spacing w:after="0" w:line="205" w:lineRule="auto"/>
        <w:rPr>
          <w:sz w:val="20"/>
          <w:szCs w:val="20"/>
          <w:color w:val="auto"/>
        </w:rPr>
      </w:pPr>
      <w:r>
        <w:rPr>
          <w:rFonts w:ascii="Times New Roman" w:cs="Times New Roman" w:eastAsia="Times New Roman" w:hAnsi="Times New Roman"/>
          <w:sz w:val="18"/>
          <w:szCs w:val="18"/>
          <w:color w:val="auto"/>
        </w:rPr>
        <w:t>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w:t>
      </w:r>
    </w:p>
    <w:p>
      <w:pPr>
        <w:spacing w:after="0" w:line="213" w:lineRule="auto"/>
        <w:rPr>
          <w:sz w:val="20"/>
          <w:szCs w:val="20"/>
          <w:color w:val="auto"/>
        </w:rPr>
      </w:pPr>
      <w:r>
        <w:rPr>
          <w:rFonts w:ascii="Times New Roman" w:cs="Times New Roman" w:eastAsia="Times New Roman" w:hAnsi="Times New Roman"/>
          <w:sz w:val="18"/>
          <w:szCs w:val="18"/>
          <w:color w:val="auto"/>
        </w:rPr>
        <w:t>necessary to bring infringement or other actions against third parties to seek to protect its intellectual property rights. Litigation of this nature, even if</w:t>
      </w:r>
    </w:p>
    <w:p>
      <w:pPr>
        <w:ind w:right="20"/>
        <w:spacing w:after="0" w:line="222" w:lineRule="auto"/>
        <w:rPr>
          <w:sz w:val="20"/>
          <w:szCs w:val="20"/>
          <w:color w:val="auto"/>
        </w:rPr>
      </w:pPr>
      <w:r>
        <w:rPr>
          <w:rFonts w:ascii="Times New Roman" w:cs="Times New Roman" w:eastAsia="Times New Roman" w:hAnsi="Times New Roman"/>
          <w:sz w:val="18"/>
          <w:szCs w:val="18"/>
          <w:color w:val="auto"/>
        </w:rPr>
        <w:t>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aware of any infringement by it of any person’s or entity’s intellectual property rights. In the event that products sold by the Company</w:t>
      </w:r>
    </w:p>
    <w:p>
      <w:pPr>
        <w:ind w:right="20"/>
        <w:spacing w:after="0" w:line="205" w:lineRule="auto"/>
        <w:rPr>
          <w:sz w:val="20"/>
          <w:szCs w:val="20"/>
          <w:color w:val="auto"/>
        </w:rPr>
      </w:pPr>
      <w:r>
        <w:rPr>
          <w:rFonts w:ascii="Times New Roman" w:cs="Times New Roman" w:eastAsia="Times New Roman" w:hAnsi="Times New Roman"/>
          <w:sz w:val="18"/>
          <w:szCs w:val="18"/>
          <w:color w:val="auto"/>
        </w:rPr>
        <w:t>are deemed to infringe upon the patents or proprietary rights of others, the Company could be required to modify its products or obtain a license for the manufacture and/or sale of such products or cease selling such products. In such event, there can be no assurance that the Company would be able to do so</w:t>
      </w:r>
    </w:p>
    <w:p>
      <w:pPr>
        <w:spacing w:after="0" w:line="213" w:lineRule="auto"/>
        <w:rPr>
          <w:sz w:val="20"/>
          <w:szCs w:val="20"/>
          <w:color w:val="auto"/>
        </w:rPr>
      </w:pPr>
      <w:r>
        <w:rPr>
          <w:rFonts w:ascii="Times New Roman" w:cs="Times New Roman" w:eastAsia="Times New Roman" w:hAnsi="Times New Roman"/>
          <w:sz w:val="18"/>
          <w:szCs w:val="18"/>
          <w:color w:val="auto"/>
        </w:rPr>
        <w:t>in a timely manner, upon acceptable terms and conditions, or at all, and the failure to do any of the foregoing could have a material adverse effect upon the</w:t>
      </w:r>
    </w:p>
    <w:p>
      <w:pPr>
        <w:spacing w:after="0" w:line="205" w:lineRule="auto"/>
        <w:rPr>
          <w:sz w:val="20"/>
          <w:szCs w:val="20"/>
          <w:color w:val="auto"/>
        </w:rPr>
      </w:pPr>
      <w:r>
        <w:rPr>
          <w:rFonts w:ascii="Times New Roman" w:cs="Times New Roman" w:eastAsia="Times New Roman" w:hAnsi="Times New Roman"/>
          <w:sz w:val="18"/>
          <w:szCs w:val="18"/>
          <w:color w:val="auto"/>
        </w:rPr>
        <w:t>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 on the Company’s business and its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60"/>
          </w:cols>
          <w:pgMar w:left="320" w:top="1434"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Protection of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be able to protect its intellectual property from unauthorized use by third parties only to the extent that the Company’s proprietary</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Licenses</w:t>
      </w:r>
    </w:p>
    <w:p>
      <w:pPr>
        <w:spacing w:after="0" w:line="176"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licenses from the holders of these</w:t>
      </w:r>
    </w:p>
    <w:p>
      <w:pPr>
        <w:spacing w:after="0" w:line="212" w:lineRule="auto"/>
        <w:rPr>
          <w:sz w:val="20"/>
          <w:szCs w:val="20"/>
          <w:color w:val="auto"/>
        </w:rPr>
      </w:pPr>
      <w:r>
        <w:rPr>
          <w:rFonts w:ascii="Times New Roman" w:cs="Times New Roman" w:eastAsia="Times New Roman" w:hAnsi="Times New Roman"/>
          <w:sz w:val="18"/>
          <w:szCs w:val="18"/>
          <w:color w:val="auto"/>
        </w:rPr>
        <w:t>patents in order to manufacture, use or sell these products and services and payments under them would reduce the Company’s profits from these products</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and services. The Company is currently unable to predict the extent to which it may wish or be required to acquire rights under such patents, the availability and cost of acquiring such rights and whether a license to such patents will be available on acceptable terms or at all. There may be patents in the U.S. or in</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foreign countries or patents issued in the future that are unavailable to license on acceptable terms. The Company’s inability to obtain such licenses may hinder or eliminate its ability to manufacture and market its products.</w:t>
      </w:r>
    </w:p>
    <w:p>
      <w:pPr>
        <w:spacing w:after="0" w:line="133"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Further, if the Company obtains third-party licenses but fails to pay annual maintenance fees, development and sales milestones, or it is determined that the Company does not use commercially reasonable efforts to commercialize licensed products, the Company could lose its license which could have a material adverse effect on its business and financial condition.</w:t>
      </w:r>
    </w:p>
    <w:p>
      <w:pPr>
        <w:spacing w:after="0" w:line="1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FINANCIAL AND ACCOUNTING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Number of Authorized but Unissued Common Shares</w:t>
      </w:r>
    </w:p>
    <w:p>
      <w:pPr>
        <w:spacing w:after="0" w:line="164"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The Company has an unlimited number of Common Shares that may be issued by the Company board without further action or approval of the Shareholders. While the Company board will be required to fulfill its fiduciary obligations in connection with the issuance of such Common Shares, the</w:t>
      </w: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Common Shares may be issued in transactions with which not all of the shareholders of the Company agree, and the issuance of such Common Shares will cause dilution to the ownership interests of the shareholders of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6"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w:t>
      </w:r>
    </w:p>
    <w:p>
      <w:pPr>
        <w:spacing w:after="0" w:line="225" w:lineRule="auto"/>
        <w:rPr>
          <w:sz w:val="20"/>
          <w:szCs w:val="20"/>
          <w:color w:val="auto"/>
        </w:rPr>
      </w:pPr>
      <w:r>
        <w:rPr>
          <w:rFonts w:ascii="Times New Roman" w:cs="Times New Roman" w:eastAsia="Times New Roman" w:hAnsi="Times New Roman"/>
          <w:sz w:val="17"/>
          <w:szCs w:val="17"/>
          <w:color w:val="auto"/>
        </w:rPr>
        <w:t>issuances of Common Shares or the effect that future issuances and sales of Common Shares will have on the market price of the Common Shares. Issuances</w:t>
      </w:r>
    </w:p>
    <w:p>
      <w:pPr>
        <w:jc w:val="both"/>
        <w:ind w:right="20"/>
        <w:spacing w:after="0" w:line="217" w:lineRule="auto"/>
        <w:rPr>
          <w:sz w:val="20"/>
          <w:szCs w:val="20"/>
          <w:color w:val="auto"/>
        </w:rPr>
      </w:pPr>
      <w:r>
        <w:rPr>
          <w:rFonts w:ascii="Times New Roman" w:cs="Times New Roman" w:eastAsia="Times New Roman" w:hAnsi="Times New Roman"/>
          <w:sz w:val="17"/>
          <w:szCs w:val="17"/>
          <w:color w:val="auto"/>
        </w:rPr>
        <w:t>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dilution in its earnings per share.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Negative Cash Flow from Operating Activities and Going Concern</w:t>
      </w:r>
    </w:p>
    <w:p>
      <w:pPr>
        <w:spacing w:after="0" w:line="16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w:t>
      </w:r>
    </w:p>
    <w:p>
      <w:pPr>
        <w:jc w:val="both"/>
        <w:ind w:right="20"/>
        <w:spacing w:after="0" w:line="217" w:lineRule="auto"/>
        <w:rPr>
          <w:sz w:val="20"/>
          <w:szCs w:val="20"/>
          <w:color w:val="auto"/>
        </w:rPr>
      </w:pPr>
      <w:r>
        <w:rPr>
          <w:rFonts w:ascii="Times New Roman" w:cs="Times New Roman" w:eastAsia="Times New Roman" w:hAnsi="Times New Roman"/>
          <w:sz w:val="17"/>
          <w:szCs w:val="17"/>
          <w:color w:val="auto"/>
        </w:rPr>
        <w:t>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its principal programs. The Company cannot predict when it will become profitable, if at all. Accordingly, the Company may be required to obtain additional financing in order to meet its future cash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60"/>
          </w:cols>
          <w:pgMar w:left="320" w:top="1434" w:right="319" w:bottom="1440" w:gutter="0" w:footer="0" w:header="0"/>
        </w:sectPr>
      </w:pPr>
    </w:p>
    <w:bookmarkStart w:id="77" w:name="page78"/>
    <w:bookmarkEnd w:id="77"/>
    <w:p>
      <w:pPr>
        <w:spacing w:after="0" w:line="21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7"/>
          <w:szCs w:val="17"/>
          <w:color w:val="auto"/>
        </w:rPr>
        <w:t>The threat of the Company’s ability to continue as a going concern will be removed only when, in the opinion of the Company’s auditor, the Company’s revenues have reached a level that is able to sustain its business operations. If the Company is unable to obtain additional financing from outside sources and</w:t>
      </w:r>
    </w:p>
    <w:p>
      <w:pPr>
        <w:ind w:right="20"/>
        <w:spacing w:after="0" w:line="205" w:lineRule="auto"/>
        <w:rPr>
          <w:sz w:val="20"/>
          <w:szCs w:val="20"/>
          <w:color w:val="auto"/>
        </w:rPr>
      </w:pPr>
      <w:r>
        <w:rPr>
          <w:rFonts w:ascii="Times New Roman" w:cs="Times New Roman" w:eastAsia="Times New Roman" w:hAnsi="Times New Roman"/>
          <w:sz w:val="18"/>
          <w:szCs w:val="18"/>
          <w:color w:val="auto"/>
        </w:rPr>
        <w:t>eventually generate enough revenues, the Company may be forced to sell a portion or all of the Company’s assets, or curtail or discontinue the Company’s operations. If any of these events happen, shareholders could lose all or part of their investment. The Company’s financial statements do not include any</w:t>
      </w:r>
    </w:p>
    <w:p>
      <w:pPr>
        <w:spacing w:after="0" w:line="1" w:lineRule="exact"/>
        <w:rPr>
          <w:sz w:val="20"/>
          <w:szCs w:val="20"/>
          <w:color w:val="auto"/>
        </w:rPr>
      </w:pPr>
    </w:p>
    <w:p>
      <w:pPr>
        <w:ind w:right="700"/>
        <w:spacing w:after="0" w:line="420" w:lineRule="auto"/>
        <w:rPr>
          <w:sz w:val="20"/>
          <w:szCs w:val="20"/>
          <w:color w:val="auto"/>
        </w:rPr>
      </w:pPr>
      <w:r>
        <w:rPr>
          <w:rFonts w:ascii="Times New Roman" w:cs="Times New Roman" w:eastAsia="Times New Roman" w:hAnsi="Times New Roman"/>
          <w:sz w:val="18"/>
          <w:szCs w:val="18"/>
          <w:color w:val="auto"/>
        </w:rPr>
        <w:t xml:space="preserve">adjustments to the Company’s recorded assets or liabilities that might be necessary if the Company becomes unable to continue as a going concern. </w:t>
      </w:r>
      <w:r>
        <w:rPr>
          <w:rFonts w:ascii="Times New Roman" w:cs="Times New Roman" w:eastAsia="Times New Roman" w:hAnsi="Times New Roman"/>
          <w:sz w:val="18"/>
          <w:szCs w:val="18"/>
          <w:b w:val="1"/>
          <w:bCs w:val="1"/>
          <w:color w:val="auto"/>
        </w:rPr>
        <w:t>Additional Capital Requirements</w:t>
      </w:r>
    </w:p>
    <w:p>
      <w:pPr>
        <w:spacing w:after="0" w:line="1"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w:t>
      </w:r>
    </w:p>
    <w:p>
      <w:pPr>
        <w:ind w:right="20"/>
        <w:spacing w:after="0" w:line="217" w:lineRule="auto"/>
        <w:rPr>
          <w:sz w:val="20"/>
          <w:szCs w:val="20"/>
          <w:color w:val="auto"/>
        </w:rPr>
      </w:pPr>
      <w:r>
        <w:rPr>
          <w:rFonts w:ascii="Times New Roman" w:cs="Times New Roman" w:eastAsia="Times New Roman" w:hAnsi="Times New Roman"/>
          <w:sz w:val="17"/>
          <w:szCs w:val="17"/>
          <w:color w:val="auto"/>
        </w:rPr>
        <w:t>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w:t>
      </w:r>
    </w:p>
    <w:p>
      <w:pPr>
        <w:spacing w:after="0" w:line="213" w:lineRule="auto"/>
        <w:rPr>
          <w:sz w:val="20"/>
          <w:szCs w:val="20"/>
          <w:color w:val="auto"/>
        </w:rPr>
      </w:pPr>
      <w:r>
        <w:rPr>
          <w:rFonts w:ascii="Times New Roman" w:cs="Times New Roman" w:eastAsia="Times New Roman" w:hAnsi="Times New Roman"/>
          <w:sz w:val="18"/>
          <w:szCs w:val="18"/>
          <w:color w:val="auto"/>
        </w:rPr>
        <w:t>and debt financing, if available, may involve restrictions on financing and operating activities. There is no assurance that additional financing will be</w:t>
      </w:r>
    </w:p>
    <w:p>
      <w:pPr>
        <w:spacing w:after="0" w:line="205" w:lineRule="auto"/>
        <w:rPr>
          <w:sz w:val="20"/>
          <w:szCs w:val="20"/>
          <w:color w:val="auto"/>
        </w:rPr>
      </w:pPr>
      <w:r>
        <w:rPr>
          <w:rFonts w:ascii="Times New Roman" w:cs="Times New Roman" w:eastAsia="Times New Roman" w:hAnsi="Times New Roman"/>
          <w:sz w:val="18"/>
          <w:szCs w:val="18"/>
          <w:color w:val="auto"/>
        </w:rPr>
        <w:t>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outside of its control, such as a shift in consumer attitudes towards certain therapeutic methods or a downturn in the economy.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Lack of Significant Product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the Company has generated little product revenue and cannot predict when and if it will generate significant product revenue. The Company’s</w:t>
      </w:r>
    </w:p>
    <w:p>
      <w:pPr>
        <w:ind w:right="20"/>
        <w:spacing w:after="0" w:line="205" w:lineRule="auto"/>
        <w:rPr>
          <w:sz w:val="20"/>
          <w:szCs w:val="20"/>
          <w:color w:val="auto"/>
        </w:rPr>
      </w:pPr>
      <w:r>
        <w:rPr>
          <w:rFonts w:ascii="Times New Roman" w:cs="Times New Roman" w:eastAsia="Times New Roman" w:hAnsi="Times New Roman"/>
          <w:sz w:val="18"/>
          <w:szCs w:val="18"/>
          <w:color w:val="auto"/>
        </w:rPr>
        <w:t>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w:t>
      </w:r>
    </w:p>
    <w:p>
      <w:pPr>
        <w:spacing w:after="0" w:line="225" w:lineRule="auto"/>
        <w:rPr>
          <w:sz w:val="20"/>
          <w:szCs w:val="20"/>
          <w:color w:val="auto"/>
        </w:rPr>
      </w:pPr>
      <w:r>
        <w:rPr>
          <w:rFonts w:ascii="Times New Roman" w:cs="Times New Roman" w:eastAsia="Times New Roman" w:hAnsi="Times New Roman"/>
          <w:sz w:val="17"/>
          <w:szCs w:val="17"/>
          <w:color w:val="auto"/>
        </w:rPr>
        <w:t>candidates or other prescription drug product candidates that it may develop, in-license or acquire in the future. The Company does not anticipate generating</w:t>
      </w:r>
    </w:p>
    <w:p>
      <w:pPr>
        <w:spacing w:after="0" w:line="1"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or Judgments Relating to Critical Accounting Policies</w:t>
      </w:r>
    </w:p>
    <w:p>
      <w:pPr>
        <w:spacing w:after="0" w:line="176"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w:t>
      </w:r>
    </w:p>
    <w:p>
      <w:pPr>
        <w:spacing w:after="0" w:line="212" w:lineRule="auto"/>
        <w:rPr>
          <w:sz w:val="20"/>
          <w:szCs w:val="20"/>
          <w:color w:val="auto"/>
        </w:rPr>
      </w:pPr>
      <w:r>
        <w:rPr>
          <w:rFonts w:ascii="Times New Roman" w:cs="Times New Roman" w:eastAsia="Times New Roman" w:hAnsi="Times New Roman"/>
          <w:sz w:val="18"/>
          <w:szCs w:val="18"/>
          <w:color w:val="auto"/>
        </w:rPr>
        <w:t>and on various other assumptions that it believes to be reasonable under the circumstances, as provided in the notes to the financial statements of the</w:t>
      </w:r>
    </w:p>
    <w:p>
      <w:pPr>
        <w:ind w:right="20"/>
        <w:spacing w:after="0" w:line="205" w:lineRule="auto"/>
        <w:rPr>
          <w:sz w:val="20"/>
          <w:szCs w:val="20"/>
          <w:color w:val="auto"/>
        </w:rPr>
      </w:pPr>
      <w:r>
        <w:rPr>
          <w:rFonts w:ascii="Times New Roman" w:cs="Times New Roman" w:eastAsia="Times New Roman" w:hAnsi="Times New Roman"/>
          <w:sz w:val="18"/>
          <w:szCs w:val="18"/>
          <w:color w:val="auto"/>
        </w:rPr>
        <w:t>Company,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w:t>
      </w:r>
    </w:p>
    <w:p>
      <w:pPr>
        <w:spacing w:after="0" w:line="213" w:lineRule="auto"/>
        <w:rPr>
          <w:sz w:val="20"/>
          <w:szCs w:val="20"/>
          <w:color w:val="auto"/>
        </w:rPr>
      </w:pPr>
      <w:r>
        <w:rPr>
          <w:rFonts w:ascii="Times New Roman" w:cs="Times New Roman" w:eastAsia="Times New Roman" w:hAnsi="Times New Roman"/>
          <w:sz w:val="18"/>
          <w:szCs w:val="18"/>
          <w:color w:val="auto"/>
        </w:rPr>
        <w:t>from those in the assumptions, which could cause its operating results to fall below the expectations of securities analysts and investors, resulting in a</w:t>
      </w:r>
    </w:p>
    <w:p>
      <w:pPr>
        <w:ind w:right="20"/>
        <w:spacing w:after="0" w:line="222" w:lineRule="auto"/>
        <w:rPr>
          <w:sz w:val="20"/>
          <w:szCs w:val="20"/>
          <w:color w:val="auto"/>
        </w:rPr>
      </w:pPr>
      <w:r>
        <w:rPr>
          <w:rFonts w:ascii="Times New Roman" w:cs="Times New Roman" w:eastAsia="Times New Roman" w:hAnsi="Times New Roman"/>
          <w:sz w:val="18"/>
          <w:szCs w:val="18"/>
          <w:color w:val="auto"/>
        </w:rPr>
        <w:t>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Inadequate Internal Controls</w:t>
      </w:r>
    </w:p>
    <w:p>
      <w:pPr>
        <w:spacing w:after="0" w:line="176"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w:t>
      </w:r>
    </w:p>
    <w:p>
      <w:pPr>
        <w:spacing w:after="0"/>
        <w:rPr>
          <w:sz w:val="20"/>
          <w:szCs w:val="20"/>
          <w:color w:val="auto"/>
        </w:rPr>
      </w:pPr>
      <w:r>
        <w:rPr>
          <w:rFonts w:ascii="Times New Roman" w:cs="Times New Roman" w:eastAsia="Times New Roman" w:hAnsi="Times New Roman"/>
          <w:sz w:val="18"/>
          <w:szCs w:val="18"/>
          <w:color w:val="auto"/>
        </w:rPr>
        <w:t>negatively impact the value of its shares. While the Company believes that it has sufficient personnel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60"/>
          </w:cols>
          <w:pgMar w:left="320" w:top="1440" w:right="319" w:bottom="1440" w:gutter="0" w:footer="0" w:header="0"/>
        </w:sectPr>
      </w:pPr>
    </w:p>
    <w:bookmarkStart w:id="78" w:name="page79"/>
    <w:bookmarkEnd w:id="78"/>
    <w:p>
      <w:pPr>
        <w:ind w:left="2" w:right="20"/>
        <w:spacing w:after="0" w:line="243" w:lineRule="auto"/>
        <w:rPr>
          <w:sz w:val="20"/>
          <w:szCs w:val="20"/>
          <w:color w:val="auto"/>
        </w:rPr>
      </w:pPr>
      <w:r>
        <w:rPr>
          <w:rFonts w:ascii="Times New Roman" w:cs="Times New Roman" w:eastAsia="Times New Roman" w:hAnsi="Times New Roman"/>
          <w:sz w:val="18"/>
          <w:szCs w:val="18"/>
          <w:color w:val="auto"/>
        </w:rPr>
        <w:t>review procedures to allow it to maintain an effective system of internal controls, there can be no assurance that the Company will always successfully detect misstatements or implement necessary improvements in a timely fashion.</w:t>
      </w:r>
    </w:p>
    <w:p>
      <w:pPr>
        <w:spacing w:after="0" w:line="13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RISKS RELATED TO THE COMMON SHARES</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Market for the Common Shares</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There can be no assurance that an active trading market for the Common Shares will develop or, if developed, that any market will be sustained. The</w:t>
      </w:r>
    </w:p>
    <w:p>
      <w:pPr>
        <w:jc w:val="both"/>
        <w:ind w:left="2" w:right="20"/>
        <w:spacing w:after="0" w:line="205" w:lineRule="auto"/>
        <w:rPr>
          <w:sz w:val="20"/>
          <w:szCs w:val="20"/>
          <w:color w:val="auto"/>
        </w:rPr>
      </w:pPr>
      <w:r>
        <w:rPr>
          <w:rFonts w:ascii="Times New Roman" w:cs="Times New Roman" w:eastAsia="Times New Roman" w:hAnsi="Times New Roman"/>
          <w:sz w:val="18"/>
          <w:szCs w:val="18"/>
          <w:color w:val="auto"/>
        </w:rPr>
        <w:t>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w:t>
      </w:r>
    </w:p>
    <w:p>
      <w:pPr>
        <w:ind w:left="2"/>
        <w:spacing w:after="0" w:line="213" w:lineRule="auto"/>
        <w:rPr>
          <w:sz w:val="20"/>
          <w:szCs w:val="20"/>
          <w:color w:val="auto"/>
        </w:rPr>
      </w:pPr>
      <w:r>
        <w:rPr>
          <w:rFonts w:ascii="Times New Roman" w:cs="Times New Roman" w:eastAsia="Times New Roman" w:hAnsi="Times New Roman"/>
          <w:sz w:val="18"/>
          <w:szCs w:val="18"/>
          <w:color w:val="auto"/>
        </w:rPr>
        <w:t>announcements of new offerings, products, services or technologies; commercial relationships, acquisitions or other events by the Company or its</w:t>
      </w:r>
    </w:p>
    <w:p>
      <w:pPr>
        <w:ind w:left="2"/>
        <w:spacing w:after="0" w:line="205" w:lineRule="auto"/>
        <w:rPr>
          <w:sz w:val="20"/>
          <w:szCs w:val="20"/>
          <w:color w:val="auto"/>
        </w:rPr>
      </w:pPr>
      <w:r>
        <w:rPr>
          <w:rFonts w:ascii="Times New Roman" w:cs="Times New Roman" w:eastAsia="Times New Roman" w:hAnsi="Times New Roman"/>
          <w:sz w:val="18"/>
          <w:szCs w:val="18"/>
          <w:color w:val="auto"/>
        </w:rPr>
        <w:t>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w:t>
      </w:r>
    </w:p>
    <w:p>
      <w:pPr>
        <w:spacing w:after="0" w:line="1" w:lineRule="exact"/>
        <w:rPr>
          <w:sz w:val="20"/>
          <w:szCs w:val="20"/>
          <w:color w:val="auto"/>
        </w:rPr>
      </w:pPr>
    </w:p>
    <w:p>
      <w:pPr>
        <w:jc w:val="both"/>
        <w:ind w:left="2" w:right="20"/>
        <w:spacing w:after="0" w:line="205" w:lineRule="auto"/>
        <w:rPr>
          <w:sz w:val="20"/>
          <w:szCs w:val="20"/>
          <w:color w:val="auto"/>
        </w:rPr>
      </w:pPr>
      <w:r>
        <w:rPr>
          <w:rFonts w:ascii="Times New Roman" w:cs="Times New Roman" w:eastAsia="Times New Roman" w:hAnsi="Times New Roman"/>
          <w:sz w:val="18"/>
          <w:szCs w:val="18"/>
          <w:color w:val="auto"/>
        </w:rPr>
        <w:t>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w:t>
      </w:r>
    </w:p>
    <w:p>
      <w:pPr>
        <w:spacing w:after="0" w:line="1" w:lineRule="exact"/>
        <w:rPr>
          <w:sz w:val="20"/>
          <w:szCs w:val="20"/>
          <w:color w:val="auto"/>
        </w:rPr>
      </w:pPr>
    </w:p>
    <w:p>
      <w:pPr>
        <w:jc w:val="both"/>
        <w:ind w:left="2" w:right="20" w:hanging="2"/>
        <w:spacing w:after="0" w:line="212" w:lineRule="auto"/>
        <w:tabs>
          <w:tab w:leader="none" w:pos="4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the Company, its industry, or both; (ix) regulatory developments; (x) general economic conditions and trends; (xi) major catastrophic events; (xii) escrow releases, sales of large blocks of the Common Shares; (xiii) departures of key employees or members of management; or</w:t>
      </w:r>
    </w:p>
    <w:p>
      <w:pPr>
        <w:ind w:left="402" w:hanging="402"/>
        <w:spacing w:after="0"/>
        <w:tabs>
          <w:tab w:leader="none" w:pos="40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impact on the Company from any of the other risks cited herein.</w:t>
      </w:r>
    </w:p>
    <w:p>
      <w:pPr>
        <w:spacing w:after="0" w:line="13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Significant Sales of Common Shares</w:t>
      </w:r>
    </w:p>
    <w:p>
      <w:pPr>
        <w:spacing w:after="0" w:line="176" w:lineRule="exact"/>
        <w:rPr>
          <w:sz w:val="20"/>
          <w:szCs w:val="20"/>
          <w:color w:val="auto"/>
        </w:rPr>
      </w:pPr>
    </w:p>
    <w:p>
      <w:pPr>
        <w:ind w:left="2" w:right="20"/>
        <w:spacing w:after="0" w:line="229" w:lineRule="auto"/>
        <w:rPr>
          <w:sz w:val="20"/>
          <w:szCs w:val="20"/>
          <w:color w:val="auto"/>
        </w:rPr>
      </w:pPr>
      <w:r>
        <w:rPr>
          <w:rFonts w:ascii="Times New Roman" w:cs="Times New Roman" w:eastAsia="Times New Roman" w:hAnsi="Times New Roman"/>
          <w:sz w:val="17"/>
          <w:szCs w:val="17"/>
          <w:color w:val="auto"/>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w:t>
      </w:r>
    </w:p>
    <w:p>
      <w:pPr>
        <w:ind w:left="2"/>
        <w:spacing w:after="0" w:line="213" w:lineRule="auto"/>
        <w:rPr>
          <w:sz w:val="20"/>
          <w:szCs w:val="20"/>
          <w:color w:val="auto"/>
        </w:rPr>
      </w:pPr>
      <w:r>
        <w:rPr>
          <w:rFonts w:ascii="Times New Roman" w:cs="Times New Roman" w:eastAsia="Times New Roman" w:hAnsi="Times New Roman"/>
          <w:sz w:val="18"/>
          <w:szCs w:val="18"/>
          <w:color w:val="auto"/>
        </w:rPr>
        <w:t>may also be subject to escrow restrictions pursuant to the policies of the Exchange. Sales of a substantial number of the Common Shares in the public</w:t>
      </w:r>
    </w:p>
    <w:p>
      <w:pPr>
        <w:spacing w:after="0" w:line="1" w:lineRule="exact"/>
        <w:rPr>
          <w:sz w:val="20"/>
          <w:szCs w:val="20"/>
          <w:color w:val="auto"/>
        </w:rPr>
      </w:pPr>
    </w:p>
    <w:p>
      <w:pPr>
        <w:ind w:left="2" w:right="20"/>
        <w:spacing w:after="0" w:line="222" w:lineRule="auto"/>
        <w:rPr>
          <w:sz w:val="20"/>
          <w:szCs w:val="20"/>
          <w:color w:val="auto"/>
        </w:rPr>
      </w:pPr>
      <w:r>
        <w:rPr>
          <w:rFonts w:ascii="Times New Roman" w:cs="Times New Roman" w:eastAsia="Times New Roman" w:hAnsi="Times New Roman"/>
          <w:sz w:val="18"/>
          <w:szCs w:val="18"/>
          <w:color w:val="auto"/>
        </w:rPr>
        <w:t>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4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Volatile Market Price for the Common Shares</w:t>
      </w:r>
    </w:p>
    <w:p>
      <w:pPr>
        <w:spacing w:after="0" w:line="176" w:lineRule="exact"/>
        <w:rPr>
          <w:sz w:val="20"/>
          <w:szCs w:val="20"/>
          <w:color w:val="auto"/>
        </w:rPr>
      </w:pPr>
    </w:p>
    <w:p>
      <w:pPr>
        <w:ind w:left="2" w:right="20"/>
        <w:spacing w:after="0" w:line="217" w:lineRule="auto"/>
        <w:rPr>
          <w:sz w:val="20"/>
          <w:szCs w:val="20"/>
          <w:color w:val="auto"/>
        </w:rPr>
      </w:pPr>
      <w:r>
        <w:rPr>
          <w:rFonts w:ascii="Times New Roman" w:cs="Times New Roman" w:eastAsia="Times New Roman" w:hAnsi="Times New Roman"/>
          <w:sz w:val="18"/>
          <w:szCs w:val="18"/>
          <w:color w:val="auto"/>
        </w:rPr>
        <w:t>The securities market in Canada has experienced a high level of price and volume volatility, and the market prices of securities of many companies have experienced wide fluctuations in price which have not necessarily been related to the operating performance, underlying asset values or prospects of such</w:t>
      </w:r>
    </w:p>
    <w:p>
      <w:pPr>
        <w:ind w:left="2"/>
        <w:spacing w:after="0" w:line="212" w:lineRule="auto"/>
        <w:rPr>
          <w:sz w:val="20"/>
          <w:szCs w:val="20"/>
          <w:color w:val="auto"/>
        </w:rPr>
      </w:pPr>
      <w:r>
        <w:rPr>
          <w:rFonts w:ascii="Times New Roman" w:cs="Times New Roman" w:eastAsia="Times New Roman" w:hAnsi="Times New Roman"/>
          <w:sz w:val="18"/>
          <w:szCs w:val="18"/>
          <w:color w:val="auto"/>
        </w:rPr>
        <w:t>companies. There can be no assurance that continual fluctuations in price will not occur. It may be anticipated that any market for the Common Shares will</w:t>
      </w:r>
    </w:p>
    <w:p>
      <w:pPr>
        <w:ind w:left="2" w:right="20"/>
        <w:spacing w:after="0" w:line="222" w:lineRule="auto"/>
        <w:rPr>
          <w:sz w:val="20"/>
          <w:szCs w:val="20"/>
          <w:color w:val="auto"/>
        </w:rPr>
      </w:pPr>
      <w:r>
        <w:rPr>
          <w:rFonts w:ascii="Times New Roman" w:cs="Times New Roman" w:eastAsia="Times New Roman" w:hAnsi="Times New Roman"/>
          <w:sz w:val="18"/>
          <w:szCs w:val="18"/>
          <w:color w:val="auto"/>
        </w:rPr>
        <w:t>be subject to market trends generally, notwithstanding any potential success of the Company. The value of the Common Shares distributed hereunder will be affected by such volatility.</w:t>
      </w:r>
    </w:p>
    <w:p>
      <w:pPr>
        <w:spacing w:after="0" w:line="14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volatility of the Common Shares may affect the ability of holders to sell the Common Shares at an advantageous price or at all. Market price</w:t>
      </w:r>
    </w:p>
    <w:p>
      <w:pPr>
        <w:ind w:left="2" w:right="20"/>
        <w:spacing w:after="0" w:line="205" w:lineRule="auto"/>
        <w:rPr>
          <w:sz w:val="20"/>
          <w:szCs w:val="20"/>
          <w:color w:val="auto"/>
        </w:rPr>
      </w:pPr>
      <w:r>
        <w:rPr>
          <w:rFonts w:ascii="Times New Roman" w:cs="Times New Roman" w:eastAsia="Times New Roman" w:hAnsi="Times New Roman"/>
          <w:sz w:val="18"/>
          <w:szCs w:val="18"/>
          <w:color w:val="auto"/>
        </w:rPr>
        <w:t>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w:t>
      </w:r>
    </w:p>
    <w:p>
      <w:pPr>
        <w:ind w:left="2"/>
        <w:spacing w:after="0" w:line="225" w:lineRule="auto"/>
        <w:rPr>
          <w:sz w:val="20"/>
          <w:szCs w:val="20"/>
          <w:color w:val="auto"/>
        </w:rPr>
      </w:pPr>
      <w:r>
        <w:rPr>
          <w:rFonts w:ascii="Times New Roman" w:cs="Times New Roman" w:eastAsia="Times New Roman" w:hAnsi="Times New Roman"/>
          <w:sz w:val="17"/>
          <w:szCs w:val="17"/>
          <w:color w:val="auto"/>
        </w:rPr>
        <w:t>securities analysis’ estimates in connection therewith, sales of additional Common Shares, governmental regulatory action, adverse change in general market</w:t>
      </w:r>
    </w:p>
    <w:p>
      <w:pPr>
        <w:spacing w:after="0" w:line="1" w:lineRule="exact"/>
        <w:rPr>
          <w:sz w:val="20"/>
          <w:szCs w:val="20"/>
          <w:color w:val="auto"/>
        </w:rPr>
      </w:pPr>
    </w:p>
    <w:p>
      <w:pPr>
        <w:jc w:val="both"/>
        <w:ind w:left="2" w:right="20"/>
        <w:spacing w:after="0" w:line="205" w:lineRule="auto"/>
        <w:rPr>
          <w:sz w:val="20"/>
          <w:szCs w:val="20"/>
          <w:color w:val="auto"/>
        </w:rPr>
      </w:pPr>
      <w:r>
        <w:rPr>
          <w:rFonts w:ascii="Times New Roman" w:cs="Times New Roman" w:eastAsia="Times New Roman" w:hAnsi="Times New Roman"/>
          <w:sz w:val="18"/>
          <w:szCs w:val="18"/>
          <w:color w:val="auto"/>
        </w:rPr>
        <w:t>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w:t>
      </w:r>
    </w:p>
    <w:p>
      <w:pPr>
        <w:ind w:left="2"/>
        <w:spacing w:after="0" w:line="213" w:lineRule="auto"/>
        <w:rPr>
          <w:sz w:val="20"/>
          <w:szCs w:val="20"/>
          <w:color w:val="auto"/>
        </w:rPr>
      </w:pPr>
      <w:r>
        <w:rPr>
          <w:rFonts w:ascii="Times New Roman" w:cs="Times New Roman" w:eastAsia="Times New Roman" w:hAnsi="Times New Roman"/>
          <w:sz w:val="18"/>
          <w:szCs w:val="18"/>
          <w:color w:val="auto"/>
        </w:rPr>
        <w:t>the market price for securities on stock markets, including the Exchange is subject to significant price and trading fluctuations. These fluctuations have</w:t>
      </w:r>
    </w:p>
    <w:p>
      <w:pPr>
        <w:ind w:left="2" w:right="20"/>
        <w:spacing w:after="0" w:line="222" w:lineRule="auto"/>
        <w:rPr>
          <w:sz w:val="20"/>
          <w:szCs w:val="20"/>
          <w:color w:val="auto"/>
        </w:rPr>
      </w:pPr>
      <w:r>
        <w:rPr>
          <w:rFonts w:ascii="Times New Roman" w:cs="Times New Roman" w:eastAsia="Times New Roman" w:hAnsi="Times New Roman"/>
          <w:sz w:val="18"/>
          <w:szCs w:val="18"/>
          <w:color w:val="auto"/>
        </w:rPr>
        <w:t>resulted in volatility in the market prices of securities that often has been unrelated or disproportionate to changes in operating performance. These broad market fluctuations may materially adversely affect the market price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62"/>
          </w:cols>
          <w:pgMar w:left="318" w:top="1438" w:right="319" w:bottom="1440" w:gutter="0" w:footer="0" w:header="0"/>
        </w:sectPr>
      </w:pPr>
    </w:p>
    <w:bookmarkStart w:id="79" w:name="page80"/>
    <w:bookmarkEnd w:id="79"/>
    <w:p>
      <w:pPr>
        <w:ind w:right="20"/>
        <w:spacing w:after="0" w:line="237" w:lineRule="auto"/>
        <w:rPr>
          <w:sz w:val="20"/>
          <w:szCs w:val="20"/>
          <w:color w:val="auto"/>
        </w:rPr>
      </w:pPr>
      <w:r>
        <w:rPr>
          <w:rFonts w:ascii="Times New Roman" w:cs="Times New Roman" w:eastAsia="Times New Roman" w:hAnsi="Times New Roman"/>
          <w:sz w:val="17"/>
          <w:szCs w:val="17"/>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w:t>
      </w:r>
    </w:p>
    <w:p>
      <w:pPr>
        <w:ind w:right="20"/>
        <w:spacing w:after="0" w:line="222" w:lineRule="auto"/>
        <w:rPr>
          <w:sz w:val="20"/>
          <w:szCs w:val="20"/>
          <w:color w:val="auto"/>
        </w:rPr>
      </w:pPr>
      <w:r>
        <w:rPr>
          <w:rFonts w:ascii="Times New Roman" w:cs="Times New Roman" w:eastAsia="Times New Roman" w:hAnsi="Times New Roman"/>
          <w:sz w:val="18"/>
          <w:szCs w:val="18"/>
          <w:color w:val="auto"/>
        </w:rPr>
        <w:t>that the market price of the Common Shares will not experience significant fluctuations in the future, including fluctuations that are unrelated to the Company’s performance.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Issues</w:t>
      </w:r>
    </w:p>
    <w:p>
      <w:pPr>
        <w:spacing w:after="0" w:line="17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There may be income tax consequences in relation to the Common Shares, which will vary according to circumstances. Independent advice from tax and legal advisers should be obtained.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Dividends</w:t>
      </w:r>
    </w:p>
    <w:p>
      <w:pPr>
        <w:spacing w:after="0" w:line="17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AND DISTRIBUTIONS</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Company does not currently intend to declare any dividends payable to the holders of the Common Shares. The Company has no restrictions on paying</w:t>
      </w:r>
    </w:p>
    <w:p>
      <w:pPr>
        <w:ind w:right="20"/>
        <w:spacing w:after="0" w:line="222" w:lineRule="auto"/>
        <w:rPr>
          <w:sz w:val="20"/>
          <w:szCs w:val="20"/>
          <w:color w:val="auto"/>
        </w:rPr>
      </w:pPr>
      <w:r>
        <w:rPr>
          <w:rFonts w:ascii="Times New Roman" w:cs="Times New Roman" w:eastAsia="Times New Roman" w:hAnsi="Times New Roman"/>
          <w:sz w:val="18"/>
          <w:szCs w:val="18"/>
          <w:color w:val="auto"/>
        </w:rPr>
        <w:t>dividends, but if the Company generates earnings in the foreseeable future, it expects that they will be retained to finance growth. The Board will determine if and when dividends should be declared and paid in the future based upon the Company’s financial position at the relevant time.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STRUCTURE</w:t>
      </w:r>
    </w:p>
    <w:p>
      <w:pPr>
        <w:spacing w:after="0" w:line="16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As of the date of this AIF, the authorized share capital of the Company consists of an unlimited number of Common Shares of which 166,020,533 are issued and outstanding, and an unlimited number of preferred shares, issuable in series, none of which are issued and outstanding.</w:t>
      </w:r>
    </w:p>
    <w:p>
      <w:pPr>
        <w:spacing w:after="0" w:line="143"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In addition, the Company has agreed to issue Common Shares in connection with the Adelia Transaction. The Common Shares are issuable upon exchange of Class B Shares in the capital of Cybin U.S. on the basis of 10 Common Shares for 1 Class B Share, subject to customary adjustments. The Adelia</w:t>
      </w:r>
    </w:p>
    <w:p>
      <w:pPr>
        <w:spacing w:after="0" w:line="225" w:lineRule="auto"/>
        <w:rPr>
          <w:sz w:val="20"/>
          <w:szCs w:val="20"/>
          <w:color w:val="auto"/>
        </w:rPr>
      </w:pPr>
      <w:r>
        <w:rPr>
          <w:rFonts w:ascii="Times New Roman" w:cs="Times New Roman" w:eastAsia="Times New Roman" w:hAnsi="Times New Roman"/>
          <w:sz w:val="17"/>
          <w:szCs w:val="17"/>
          <w:color w:val="auto"/>
        </w:rPr>
        <w:t>Shareholders are also entitled to Class B Shares upon the occurrence of certain milestones. No Class B Shares are exchangeable prior to the first anniversary</w:t>
      </w:r>
    </w:p>
    <w:p>
      <w:pPr>
        <w:ind w:right="20"/>
        <w:spacing w:after="0" w:line="217" w:lineRule="auto"/>
        <w:rPr>
          <w:sz w:val="20"/>
          <w:szCs w:val="20"/>
          <w:color w:val="auto"/>
        </w:rPr>
      </w:pPr>
      <w:r>
        <w:rPr>
          <w:rFonts w:ascii="Times New Roman" w:cs="Times New Roman" w:eastAsia="Times New Roman" w:hAnsi="Times New Roman"/>
          <w:sz w:val="17"/>
          <w:szCs w:val="17"/>
          <w:color w:val="auto"/>
        </w:rPr>
        <w:t>of closing of the Adelia Transaction, and not more than: (i) 33 1/3% of the Class B Shares will be exchangeable prior to the second anniversary of the Adelia Transaction; and (ii) 66 2/3% of the Class B Shares will be exchangeable prior to the third anniversary of the Adelia Transaction. Thereafter, 100% of the</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Class B Shares will be exchangeable. For further information see “</w:t>
      </w:r>
      <w:r>
        <w:rPr>
          <w:rFonts w:ascii="Times New Roman" w:cs="Times New Roman" w:eastAsia="Times New Roman" w:hAnsi="Times New Roman"/>
          <w:sz w:val="18"/>
          <w:szCs w:val="18"/>
          <w:i w:val="1"/>
          <w:iCs w:val="1"/>
          <w:color w:val="auto"/>
        </w:rPr>
        <w:t>General Development of the Business – History of the 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“Prior Sales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Exchangeable Securities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Holders of Common Shares are entitled to one vote for each Common Share held at all meetings of shareholders of the Company, to receive dividends if, as and when declared by the Board, and to participate ratably in any distribution of property or assets upon the liquidation, winding-up or other dissolution of</w:t>
      </w:r>
    </w:p>
    <w:p>
      <w:pPr>
        <w:ind w:right="20"/>
        <w:spacing w:after="0" w:line="205" w:lineRule="auto"/>
        <w:rPr>
          <w:sz w:val="20"/>
          <w:szCs w:val="20"/>
          <w:color w:val="auto"/>
        </w:rPr>
      </w:pPr>
      <w:r>
        <w:rPr>
          <w:rFonts w:ascii="Times New Roman" w:cs="Times New Roman" w:eastAsia="Times New Roman" w:hAnsi="Times New Roman"/>
          <w:sz w:val="18"/>
          <w:szCs w:val="18"/>
          <w:color w:val="auto"/>
        </w:rPr>
        <w:t>the Company. The Common Shares carry no pre-emptive rights, conversion or exchange rights, or redemption, retraction, repurchase, sinking fund or purchase fund provisions. There are no provisions requiring a holder of Common Shares to contribute additional capital, and no restrictions on the issuance</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of additional securities by the Company. There are no restrictions on the repurchase or redemption of Common Shares by the Company except to the extent that any such repurchase or redemption would render the Company insolvent.</w:t>
      </w:r>
    </w:p>
    <w:p>
      <w:pPr>
        <w:spacing w:after="0" w:line="13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aim of the Equity Incentive Plan is to attract and retain employees, directors and consultants, and to ensure that interests of key persons are aligned with the success of the Company and its affiliates.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60"/>
          </w:cols>
          <w:pgMar w:left="320" w:top="1438" w:right="319" w:bottom="1440" w:gutter="0" w:footer="0" w:header="0"/>
        </w:sectPr>
      </w:pPr>
    </w:p>
    <w:bookmarkStart w:id="80" w:name="page81"/>
    <w:bookmarkEnd w:id="80"/>
    <w:p>
      <w:pPr>
        <w:spacing w:after="0" w:line="224" w:lineRule="auto"/>
        <w:rPr>
          <w:sz w:val="20"/>
          <w:szCs w:val="20"/>
          <w:color w:val="auto"/>
        </w:rPr>
      </w:pPr>
      <w:r>
        <w:rPr>
          <w:rFonts w:ascii="Times New Roman" w:cs="Times New Roman" w:eastAsia="Times New Roman" w:hAnsi="Times New Roman"/>
          <w:sz w:val="18"/>
          <w:szCs w:val="18"/>
          <w:color w:val="auto"/>
        </w:rPr>
        <w:t>maximum number of options to purchase Common Shares reserved for issuance under the Equity Incentive Plan pursuant to options not intended as ISOs shall be 20% of the issued and outstanding Common Shares from time to time, on a non-diluted basis. The maximum number of Common Shares reserved</w:t>
      </w:r>
    </w:p>
    <w:p>
      <w:pPr>
        <w:jc w:val="both"/>
        <w:spacing w:after="0" w:line="205" w:lineRule="auto"/>
        <w:rPr>
          <w:sz w:val="20"/>
          <w:szCs w:val="20"/>
          <w:color w:val="auto"/>
        </w:rPr>
      </w:pPr>
      <w:r>
        <w:rPr>
          <w:rFonts w:ascii="Times New Roman" w:cs="Times New Roman" w:eastAsia="Times New Roman" w:hAnsi="Times New Roman"/>
          <w:sz w:val="18"/>
          <w:szCs w:val="18"/>
          <w:color w:val="auto"/>
        </w:rPr>
        <w:t>for issuance under the Equity Incentive Plan pursuant to ISOs is 22,266,002, representing 10% of the issued and outstanding Common Shares as the date of adoption of the Equity Incentive Plan. For the avoidance of doubt, long-term incentive options are excluded from the Equity Incentive Plan maximum.</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Common Shares in respect of Options that have been exercised, cancelled, surrendered, or terminated or that expire without being exercised shall again be available for issuance under the Equity Incentive Plan.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Trading Price and Volume</w:t>
      </w:r>
    </w:p>
    <w:p>
      <w:pPr>
        <w:spacing w:after="0" w:line="17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Prior to the closing of the Transaction on November 5, 2020, the Common Shares were listed for trading on the TSXV. Trading on the TSXV was halted on June 29, 2020 in connection with the announcement of the Transaction. The Common Shares commenced trading on the Exchange following the completion</w:t>
      </w:r>
    </w:p>
    <w:p>
      <w:pPr>
        <w:spacing w:after="0" w:line="213" w:lineRule="auto"/>
        <w:rPr>
          <w:sz w:val="20"/>
          <w:szCs w:val="20"/>
          <w:color w:val="auto"/>
        </w:rPr>
      </w:pPr>
      <w:r>
        <w:rPr>
          <w:rFonts w:ascii="Times New Roman" w:cs="Times New Roman" w:eastAsia="Times New Roman" w:hAnsi="Times New Roman"/>
          <w:sz w:val="18"/>
          <w:szCs w:val="18"/>
          <w:color w:val="auto"/>
        </w:rPr>
        <w:t>of the Transaction on a post-Consolidation basis under the stock symbol “CYBN” on November 10, 2020 and were voluntarily de-listed from the TSXV.</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reported high and low prices and the trading volume of the Common Shares on the Exchange and the NYSE American: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9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Exchange Price Range</w:t>
            </w:r>
          </w:p>
        </w:tc>
        <w:tc>
          <w:tcPr>
            <w:tcW w:w="2460" w:type="dxa"/>
            <w:vAlign w:val="bottom"/>
          </w:tcPr>
          <w:p>
            <w:pPr>
              <w:spacing w:after="0"/>
              <w:rPr>
                <w:sz w:val="18"/>
                <w:szCs w:val="18"/>
                <w:color w:val="auto"/>
              </w:rPr>
            </w:pPr>
          </w:p>
        </w:tc>
      </w:tr>
      <w:tr>
        <w:trPr>
          <w:trHeight w:val="226"/>
        </w:trPr>
        <w:tc>
          <w:tcPr>
            <w:tcW w:w="2900" w:type="dxa"/>
            <w:vAlign w:val="bottom"/>
            <w:tcBorders>
              <w:bottom w:val="single" w:sz="8" w:color="auto"/>
            </w:tcBorders>
          </w:tcPr>
          <w:p>
            <w:pPr>
              <w:ind w:left="1160"/>
              <w:spacing w:after="0" w:line="226" w:lineRule="exact"/>
              <w:rPr>
                <w:sz w:val="20"/>
                <w:szCs w:val="20"/>
                <w:color w:val="auto"/>
              </w:rPr>
            </w:pPr>
            <w:r>
              <w:rPr>
                <w:rFonts w:ascii="Times New Roman" w:cs="Times New Roman" w:eastAsia="Times New Roman" w:hAnsi="Times New Roman"/>
                <w:sz w:val="16"/>
                <w:szCs w:val="16"/>
                <w:b w:val="1"/>
                <w:bCs w:val="1"/>
                <w:color w:val="auto"/>
              </w:rPr>
              <w:t>Month</w:t>
            </w:r>
            <w:r>
              <w:rPr>
                <w:rFonts w:ascii="Times New Roman" w:cs="Times New Roman" w:eastAsia="Times New Roman" w:hAnsi="Times New Roman"/>
                <w:sz w:val="21"/>
                <w:szCs w:val="21"/>
                <w:b w:val="1"/>
                <w:bCs w:val="1"/>
                <w:color w:val="auto"/>
                <w:vertAlign w:val="superscript"/>
              </w:rPr>
              <w:t>(1)</w:t>
            </w:r>
          </w:p>
        </w:tc>
        <w:tc>
          <w:tcPr>
            <w:tcW w:w="400" w:type="dxa"/>
            <w:vAlign w:val="bottom"/>
          </w:tcPr>
          <w:p>
            <w:pPr>
              <w:spacing w:after="0"/>
              <w:rPr>
                <w:sz w:val="19"/>
                <w:szCs w:val="19"/>
                <w:color w:val="auto"/>
              </w:rPr>
            </w:pPr>
          </w:p>
        </w:tc>
        <w:tc>
          <w:tcPr>
            <w:tcW w:w="1500" w:type="dxa"/>
            <w:vAlign w:val="bottom"/>
            <w:tcBorders>
              <w:bottom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 xml:space="preserve">High </w:t>
            </w: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Low </w:t>
            </w: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24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b w:val="1"/>
                <w:bCs w:val="1"/>
                <w:color w:val="auto"/>
              </w:rPr>
              <w:t>Volume</w:t>
            </w:r>
          </w:p>
        </w:tc>
      </w:tr>
      <w:tr>
        <w:trPr>
          <w:trHeight w:val="40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April 2021</w:t>
            </w:r>
          </w:p>
        </w:tc>
        <w:tc>
          <w:tcPr>
            <w:tcW w:w="15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2.28</w:t>
            </w:r>
          </w:p>
        </w:tc>
        <w:tc>
          <w:tcPr>
            <w:tcW w:w="356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auto"/>
                <w:w w:val="99"/>
              </w:rPr>
              <w:t>1.30</w:t>
            </w:r>
          </w:p>
        </w:tc>
        <w:tc>
          <w:tcPr>
            <w:tcW w:w="4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20,492,801</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2021</w:t>
            </w:r>
          </w:p>
        </w:tc>
        <w:tc>
          <w:tcPr>
            <w:tcW w:w="15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2.23</w:t>
            </w:r>
          </w:p>
        </w:tc>
        <w:tc>
          <w:tcPr>
            <w:tcW w:w="356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auto"/>
                <w:w w:val="99"/>
              </w:rPr>
              <w:t>1.62</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7,135,221</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2021</w:t>
            </w:r>
          </w:p>
        </w:tc>
        <w:tc>
          <w:tcPr>
            <w:tcW w:w="15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3.18</w:t>
            </w:r>
          </w:p>
        </w:tc>
        <w:tc>
          <w:tcPr>
            <w:tcW w:w="356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auto"/>
                <w:w w:val="99"/>
              </w:rPr>
              <w:t>1.61</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10,889,313</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2021</w:t>
            </w:r>
          </w:p>
        </w:tc>
        <w:tc>
          <w:tcPr>
            <w:tcW w:w="15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4.00</w:t>
            </w:r>
          </w:p>
        </w:tc>
        <w:tc>
          <w:tcPr>
            <w:tcW w:w="356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auto"/>
                <w:w w:val="99"/>
              </w:rPr>
              <w:t>2.57</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16,326,247</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2021</w:t>
            </w:r>
          </w:p>
        </w:tc>
        <w:tc>
          <w:tcPr>
            <w:tcW w:w="15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3.99</w:t>
            </w:r>
          </w:p>
        </w:tc>
        <w:tc>
          <w:tcPr>
            <w:tcW w:w="356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auto"/>
                <w:w w:val="99"/>
              </w:rPr>
              <w:t>2.15</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11,652,282</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2021</w:t>
            </w:r>
          </w:p>
        </w:tc>
        <w:tc>
          <w:tcPr>
            <w:tcW w:w="15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3.55</w:t>
            </w:r>
          </w:p>
        </w:tc>
        <w:tc>
          <w:tcPr>
            <w:tcW w:w="356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auto"/>
                <w:w w:val="99"/>
              </w:rPr>
              <w:t>2.54</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9,933,259</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October 2021</w:t>
            </w:r>
          </w:p>
        </w:tc>
        <w:tc>
          <w:tcPr>
            <w:tcW w:w="15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2.79</w:t>
            </w:r>
          </w:p>
        </w:tc>
        <w:tc>
          <w:tcPr>
            <w:tcW w:w="356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auto"/>
                <w:w w:val="99"/>
              </w:rPr>
              <w:t>2.24</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5,973,696</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2021</w:t>
            </w:r>
          </w:p>
        </w:tc>
        <w:tc>
          <w:tcPr>
            <w:tcW w:w="15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3.00</w:t>
            </w:r>
          </w:p>
        </w:tc>
        <w:tc>
          <w:tcPr>
            <w:tcW w:w="356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auto"/>
                <w:w w:val="99"/>
              </w:rPr>
              <w:t>1.65</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14,160,868</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202</w:t>
            </w:r>
          </w:p>
        </w:tc>
        <w:tc>
          <w:tcPr>
            <w:tcW w:w="15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1.94</w:t>
            </w:r>
          </w:p>
        </w:tc>
        <w:tc>
          <w:tcPr>
            <w:tcW w:w="356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auto"/>
                <w:w w:val="99"/>
              </w:rPr>
              <w:t>1.35</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6,191,101</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January 2022</w:t>
            </w:r>
          </w:p>
        </w:tc>
        <w:tc>
          <w:tcPr>
            <w:tcW w:w="15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1.54</w:t>
            </w:r>
          </w:p>
        </w:tc>
        <w:tc>
          <w:tcPr>
            <w:tcW w:w="356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auto"/>
                <w:w w:val="99"/>
              </w:rPr>
              <w:t>1.07</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3,636,976</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2022</w:t>
            </w:r>
          </w:p>
        </w:tc>
        <w:tc>
          <w:tcPr>
            <w:tcW w:w="15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1.46</w:t>
            </w:r>
          </w:p>
        </w:tc>
        <w:tc>
          <w:tcPr>
            <w:tcW w:w="356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auto"/>
                <w:w w:val="99"/>
              </w:rPr>
              <w:t>1.11</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2,935,312</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2022</w:t>
            </w:r>
          </w:p>
        </w:tc>
        <w:tc>
          <w:tcPr>
            <w:tcW w:w="150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rPr>
              <w:t>1.20</w:t>
            </w:r>
          </w:p>
        </w:tc>
        <w:tc>
          <w:tcPr>
            <w:tcW w:w="3560" w:type="dxa"/>
            <w:vAlign w:val="bottom"/>
            <w:gridSpan w:val="3"/>
          </w:tcPr>
          <w:p>
            <w:pPr>
              <w:jc w:val="center"/>
              <w:ind w:left="1159"/>
              <w:spacing w:after="0"/>
              <w:rPr>
                <w:sz w:val="20"/>
                <w:szCs w:val="20"/>
                <w:color w:val="auto"/>
              </w:rPr>
            </w:pPr>
            <w:r>
              <w:rPr>
                <w:rFonts w:ascii="Times New Roman" w:cs="Times New Roman" w:eastAsia="Times New Roman" w:hAnsi="Times New Roman"/>
                <w:sz w:val="16"/>
                <w:szCs w:val="16"/>
                <w:color w:val="auto"/>
                <w:w w:val="99"/>
              </w:rPr>
              <w:t>0.95</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3,883,026</w:t>
            </w:r>
          </w:p>
        </w:tc>
      </w:tr>
    </w:tbl>
    <w:p>
      <w:pPr>
        <w:spacing w:after="0" w:line="1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color w:val="auto"/>
        </w:rPr>
        <w:t>Note</w:t>
      </w:r>
      <w:r>
        <w:rPr>
          <w:rFonts w:ascii="Times New Roman" w:cs="Times New Roman" w:eastAsia="Times New Roman" w:hAnsi="Times New Roman"/>
          <w:sz w:val="13"/>
          <w:szCs w:val="13"/>
          <w:color w:val="auto"/>
        </w:rPr>
        <w:t>:</w:t>
      </w:r>
    </w:p>
    <w:p>
      <w:pPr>
        <w:spacing w:after="0" w:line="24"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3"/>
          <w:szCs w:val="13"/>
          <w:color w:val="auto"/>
        </w:rPr>
        <w:t>(1)</w:t>
        <w:tab/>
        <w:t>Source: TMX Money as of the date of this AIF.</w:t>
      </w:r>
    </w:p>
    <w:p>
      <w:pPr>
        <w:spacing w:after="0" w:line="204"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18"/>
          <w:szCs w:val="18"/>
          <w:color w:val="auto"/>
        </w:rPr>
        <w:t>As of the close of business on June 17, 2022, the last trading day prior to the date of this AIF, the price of the Common Shares as quoted by the Exchange was $0.75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38" w:right="339" w:bottom="1440" w:gutter="0" w:footer="0" w:header="0"/>
        </w:sectPr>
      </w:pPr>
    </w:p>
    <w:bookmarkStart w:id="81" w:name="page82"/>
    <w:bookmarkEnd w:id="81"/>
    <w:p>
      <w:pPr>
        <w:spacing w:after="0" w:line="50"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2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40" w:type="dxa"/>
            <w:vAlign w:val="bottom"/>
            <w:gridSpan w:val="3"/>
          </w:tcPr>
          <w:p>
            <w:pPr>
              <w:ind w:left="1300"/>
              <w:spacing w:after="0"/>
              <w:rPr>
                <w:sz w:val="20"/>
                <w:szCs w:val="20"/>
                <w:color w:val="auto"/>
              </w:rPr>
            </w:pPr>
            <w:r>
              <w:rPr>
                <w:rFonts w:ascii="Times New Roman" w:cs="Times New Roman" w:eastAsia="Times New Roman" w:hAnsi="Times New Roman"/>
                <w:sz w:val="16"/>
                <w:szCs w:val="16"/>
                <w:b w:val="1"/>
                <w:bCs w:val="1"/>
                <w:color w:val="auto"/>
              </w:rPr>
              <w:t>NYSE American Price Range</w:t>
            </w: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6"/>
        </w:trPr>
        <w:tc>
          <w:tcPr>
            <w:tcW w:w="2900" w:type="dxa"/>
            <w:vAlign w:val="bottom"/>
            <w:tcBorders>
              <w:bottom w:val="single" w:sz="8" w:color="auto"/>
            </w:tcBorders>
          </w:tcPr>
          <w:p>
            <w:pPr>
              <w:ind w:left="1160"/>
              <w:spacing w:after="0" w:line="226" w:lineRule="exact"/>
              <w:rPr>
                <w:sz w:val="20"/>
                <w:szCs w:val="20"/>
                <w:color w:val="auto"/>
              </w:rPr>
            </w:pPr>
            <w:r>
              <w:rPr>
                <w:rFonts w:ascii="Times New Roman" w:cs="Times New Roman" w:eastAsia="Times New Roman" w:hAnsi="Times New Roman"/>
                <w:sz w:val="16"/>
                <w:szCs w:val="16"/>
                <w:b w:val="1"/>
                <w:bCs w:val="1"/>
                <w:color w:val="auto"/>
              </w:rPr>
              <w:t>Month</w:t>
            </w:r>
            <w:r>
              <w:rPr>
                <w:rFonts w:ascii="Times New Roman" w:cs="Times New Roman" w:eastAsia="Times New Roman" w:hAnsi="Times New Roman"/>
                <w:sz w:val="21"/>
                <w:szCs w:val="21"/>
                <w:b w:val="1"/>
                <w:bCs w:val="1"/>
                <w:color w:val="auto"/>
                <w:vertAlign w:val="superscript"/>
              </w:rPr>
              <w:t>(1)</w:t>
            </w:r>
          </w:p>
        </w:tc>
        <w:tc>
          <w:tcPr>
            <w:tcW w:w="400" w:type="dxa"/>
            <w:vAlign w:val="bottom"/>
          </w:tcPr>
          <w:p>
            <w:pPr>
              <w:spacing w:after="0"/>
              <w:rPr>
                <w:sz w:val="19"/>
                <w:szCs w:val="19"/>
                <w:color w:val="auto"/>
              </w:rPr>
            </w:pPr>
          </w:p>
        </w:tc>
        <w:tc>
          <w:tcPr>
            <w:tcW w:w="23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 xml:space="preserve">High </w:t>
            </w:r>
            <w:r>
              <w:rPr>
                <w:rFonts w:ascii="Times New Roman" w:cs="Times New Roman" w:eastAsia="Times New Roman" w:hAnsi="Times New Roman"/>
                <w:sz w:val="16"/>
                <w:szCs w:val="16"/>
                <w:color w:val="auto"/>
              </w:rPr>
              <w:t>(US$)</w:t>
            </w:r>
          </w:p>
        </w:tc>
        <w:tc>
          <w:tcPr>
            <w:tcW w:w="4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Low </w:t>
            </w:r>
            <w:r>
              <w:rPr>
                <w:rFonts w:ascii="Times New Roman" w:cs="Times New Roman" w:eastAsia="Times New Roman" w:hAnsi="Times New Roman"/>
                <w:sz w:val="16"/>
                <w:szCs w:val="16"/>
                <w:color w:val="auto"/>
              </w:rPr>
              <w:t>(US$)</w:t>
            </w:r>
          </w:p>
        </w:tc>
        <w:tc>
          <w:tcPr>
            <w:tcW w:w="420" w:type="dxa"/>
            <w:vAlign w:val="bottom"/>
          </w:tcPr>
          <w:p>
            <w:pPr>
              <w:spacing w:after="0"/>
              <w:rPr>
                <w:sz w:val="19"/>
                <w:szCs w:val="19"/>
                <w:color w:val="auto"/>
              </w:rPr>
            </w:pPr>
          </w:p>
        </w:tc>
        <w:tc>
          <w:tcPr>
            <w:tcW w:w="24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b w:val="1"/>
                <w:bCs w:val="1"/>
                <w:color w:val="auto"/>
              </w:rPr>
              <w:t>Volume</w:t>
            </w:r>
          </w:p>
        </w:tc>
      </w:tr>
      <w:tr>
        <w:trPr>
          <w:trHeight w:val="40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April 2021</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1.85</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jc w:val="center"/>
              <w:ind w:right="619"/>
              <w:spacing w:after="0"/>
              <w:rPr>
                <w:sz w:val="20"/>
                <w:szCs w:val="20"/>
                <w:color w:val="auto"/>
              </w:rPr>
            </w:pPr>
            <w:r>
              <w:rPr>
                <w:rFonts w:ascii="Times New Roman" w:cs="Times New Roman" w:eastAsia="Times New Roman" w:hAnsi="Times New Roman"/>
                <w:sz w:val="16"/>
                <w:szCs w:val="16"/>
                <w:color w:val="auto"/>
                <w:w w:val="99"/>
              </w:rPr>
              <w:t>1.035</w:t>
            </w:r>
          </w:p>
        </w:tc>
        <w:tc>
          <w:tcPr>
            <w:tcW w:w="4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10,379,793</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2021</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1.82</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center"/>
              <w:ind w:right="619"/>
              <w:spacing w:after="0"/>
              <w:rPr>
                <w:sz w:val="20"/>
                <w:szCs w:val="20"/>
                <w:color w:val="auto"/>
              </w:rPr>
            </w:pPr>
            <w:r>
              <w:rPr>
                <w:rFonts w:ascii="Times New Roman" w:cs="Times New Roman" w:eastAsia="Times New Roman" w:hAnsi="Times New Roman"/>
                <w:sz w:val="16"/>
                <w:szCs w:val="16"/>
                <w:color w:val="auto"/>
                <w:w w:val="99"/>
              </w:rPr>
              <w:t>1.347</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6,451,974</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2021</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2.5892</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center"/>
              <w:ind w:right="619"/>
              <w:spacing w:after="0"/>
              <w:rPr>
                <w:sz w:val="20"/>
                <w:szCs w:val="20"/>
                <w:color w:val="auto"/>
              </w:rPr>
            </w:pPr>
            <w:r>
              <w:rPr>
                <w:rFonts w:ascii="Times New Roman" w:cs="Times New Roman" w:eastAsia="Times New Roman" w:hAnsi="Times New Roman"/>
                <w:sz w:val="16"/>
                <w:szCs w:val="16"/>
                <w:color w:val="auto"/>
                <w:w w:val="99"/>
              </w:rPr>
              <w:t>1.3429</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12,286,086</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2021</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3.22</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center"/>
              <w:ind w:right="619"/>
              <w:spacing w:after="0"/>
              <w:rPr>
                <w:sz w:val="20"/>
                <w:szCs w:val="20"/>
                <w:color w:val="auto"/>
              </w:rPr>
            </w:pPr>
            <w:r>
              <w:rPr>
                <w:rFonts w:ascii="Times New Roman" w:cs="Times New Roman" w:eastAsia="Times New Roman" w:hAnsi="Times New Roman"/>
                <w:sz w:val="16"/>
                <w:szCs w:val="16"/>
                <w:color w:val="auto"/>
                <w:w w:val="99"/>
              </w:rPr>
              <w:t>2.0898</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20,689,107</w:t>
            </w:r>
          </w:p>
        </w:tc>
      </w:tr>
      <w:tr>
        <w:trPr>
          <w:trHeight w:val="229"/>
        </w:trPr>
        <w:tc>
          <w:tcPr>
            <w:tcW w:w="330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6"/>
                <w:szCs w:val="16"/>
                <w:color w:val="auto"/>
              </w:rPr>
              <w:t>August 2021</w:t>
            </w:r>
            <w:r>
              <w:rPr>
                <w:rFonts w:ascii="Times New Roman" w:cs="Times New Roman" w:eastAsia="Times New Roman" w:hAnsi="Times New Roman"/>
                <w:sz w:val="21"/>
                <w:szCs w:val="21"/>
                <w:color w:val="auto"/>
                <w:vertAlign w:val="superscript"/>
              </w:rPr>
              <w:t>(2)</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3.38</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center"/>
              <w:ind w:right="619"/>
              <w:spacing w:after="0"/>
              <w:rPr>
                <w:sz w:val="20"/>
                <w:szCs w:val="20"/>
                <w:color w:val="auto"/>
              </w:rPr>
            </w:pPr>
            <w:r>
              <w:rPr>
                <w:rFonts w:ascii="Times New Roman" w:cs="Times New Roman" w:eastAsia="Times New Roman" w:hAnsi="Times New Roman"/>
                <w:sz w:val="16"/>
                <w:szCs w:val="16"/>
                <w:color w:val="auto"/>
                <w:w w:val="99"/>
              </w:rPr>
              <w:t>1.68</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27,050,719</w:t>
            </w:r>
          </w:p>
        </w:tc>
      </w:tr>
      <w:tr>
        <w:trPr>
          <w:trHeight w:val="21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2021</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2.86</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jc w:val="center"/>
              <w:ind w:right="619"/>
              <w:spacing w:after="0"/>
              <w:rPr>
                <w:sz w:val="20"/>
                <w:szCs w:val="20"/>
                <w:color w:val="auto"/>
              </w:rPr>
            </w:pPr>
            <w:r>
              <w:rPr>
                <w:rFonts w:ascii="Times New Roman" w:cs="Times New Roman" w:eastAsia="Times New Roman" w:hAnsi="Times New Roman"/>
                <w:sz w:val="16"/>
                <w:szCs w:val="16"/>
                <w:color w:val="auto"/>
                <w:w w:val="99"/>
              </w:rPr>
              <w:t>1.98</w:t>
            </w:r>
          </w:p>
        </w:tc>
        <w:tc>
          <w:tcPr>
            <w:tcW w:w="4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23,267,531</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October 2021</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2.29</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center"/>
              <w:ind w:right="619"/>
              <w:spacing w:after="0"/>
              <w:rPr>
                <w:sz w:val="20"/>
                <w:szCs w:val="20"/>
                <w:color w:val="auto"/>
              </w:rPr>
            </w:pPr>
            <w:r>
              <w:rPr>
                <w:rFonts w:ascii="Times New Roman" w:cs="Times New Roman" w:eastAsia="Times New Roman" w:hAnsi="Times New Roman"/>
                <w:sz w:val="16"/>
                <w:szCs w:val="16"/>
                <w:color w:val="auto"/>
                <w:w w:val="99"/>
              </w:rPr>
              <w:t>1.81</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26,186,831</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2021</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2.355</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center"/>
              <w:ind w:right="619"/>
              <w:spacing w:after="0"/>
              <w:rPr>
                <w:sz w:val="20"/>
                <w:szCs w:val="20"/>
                <w:color w:val="auto"/>
              </w:rPr>
            </w:pPr>
            <w:r>
              <w:rPr>
                <w:rFonts w:ascii="Times New Roman" w:cs="Times New Roman" w:eastAsia="Times New Roman" w:hAnsi="Times New Roman"/>
                <w:sz w:val="16"/>
                <w:szCs w:val="16"/>
                <w:color w:val="auto"/>
                <w:w w:val="99"/>
              </w:rPr>
              <w:t>1.29</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57,337,568</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202</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1.54</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center"/>
              <w:ind w:right="619"/>
              <w:spacing w:after="0"/>
              <w:rPr>
                <w:sz w:val="20"/>
                <w:szCs w:val="20"/>
                <w:color w:val="auto"/>
              </w:rPr>
            </w:pPr>
            <w:r>
              <w:rPr>
                <w:rFonts w:ascii="Times New Roman" w:cs="Times New Roman" w:eastAsia="Times New Roman" w:hAnsi="Times New Roman"/>
                <w:sz w:val="16"/>
                <w:szCs w:val="16"/>
                <w:color w:val="auto"/>
                <w:w w:val="99"/>
              </w:rPr>
              <w:t>1.05</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32,155,939</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January 2022</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1.22</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center"/>
              <w:ind w:right="619"/>
              <w:spacing w:after="0"/>
              <w:rPr>
                <w:sz w:val="20"/>
                <w:szCs w:val="20"/>
                <w:color w:val="auto"/>
              </w:rPr>
            </w:pPr>
            <w:r>
              <w:rPr>
                <w:rFonts w:ascii="Times New Roman" w:cs="Times New Roman" w:eastAsia="Times New Roman" w:hAnsi="Times New Roman"/>
                <w:sz w:val="16"/>
                <w:szCs w:val="16"/>
                <w:color w:val="auto"/>
                <w:w w:val="99"/>
              </w:rPr>
              <w:t>0.82</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19,882,525</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2022</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1.16</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center"/>
              <w:ind w:right="619"/>
              <w:spacing w:after="0"/>
              <w:rPr>
                <w:sz w:val="20"/>
                <w:szCs w:val="20"/>
                <w:color w:val="auto"/>
              </w:rPr>
            </w:pPr>
            <w:r>
              <w:rPr>
                <w:rFonts w:ascii="Times New Roman" w:cs="Times New Roman" w:eastAsia="Times New Roman" w:hAnsi="Times New Roman"/>
                <w:sz w:val="16"/>
                <w:szCs w:val="16"/>
                <w:color w:val="auto"/>
                <w:w w:val="99"/>
              </w:rPr>
              <w:t>0.862</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13,843,580</w:t>
            </w:r>
          </w:p>
        </w:tc>
      </w:tr>
      <w:tr>
        <w:trPr>
          <w:trHeight w:val="22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March 2022</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0.95</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center"/>
              <w:ind w:right="619"/>
              <w:spacing w:after="0"/>
              <w:rPr>
                <w:sz w:val="20"/>
                <w:szCs w:val="20"/>
                <w:color w:val="auto"/>
              </w:rPr>
            </w:pPr>
            <w:r>
              <w:rPr>
                <w:rFonts w:ascii="Times New Roman" w:cs="Times New Roman" w:eastAsia="Times New Roman" w:hAnsi="Times New Roman"/>
                <w:sz w:val="16"/>
                <w:szCs w:val="16"/>
                <w:color w:val="auto"/>
                <w:w w:val="99"/>
              </w:rPr>
              <w:t>0.70</w:t>
            </w:r>
          </w:p>
        </w:tc>
        <w:tc>
          <w:tcPr>
            <w:tcW w:w="42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14,441,487</w:t>
            </w:r>
          </w:p>
        </w:tc>
      </w:tr>
    </w:tbl>
    <w:p>
      <w:pPr>
        <w:spacing w:after="0" w:line="162" w:lineRule="exact"/>
        <w:rPr>
          <w:sz w:val="20"/>
          <w:szCs w:val="20"/>
          <w:color w:val="auto"/>
        </w:rPr>
      </w:pPr>
    </w:p>
    <w:p>
      <w:pPr>
        <w:ind w:left="222"/>
        <w:spacing w:after="0"/>
        <w:rPr>
          <w:sz w:val="20"/>
          <w:szCs w:val="20"/>
          <w:color w:val="auto"/>
        </w:rPr>
      </w:pPr>
      <w:r>
        <w:rPr>
          <w:rFonts w:ascii="Times New Roman" w:cs="Times New Roman" w:eastAsia="Times New Roman" w:hAnsi="Times New Roman"/>
          <w:sz w:val="13"/>
          <w:szCs w:val="13"/>
          <w:b w:val="1"/>
          <w:bCs w:val="1"/>
          <w:color w:val="auto"/>
        </w:rPr>
        <w:t>Notes</w:t>
      </w:r>
      <w:r>
        <w:rPr>
          <w:rFonts w:ascii="Times New Roman" w:cs="Times New Roman" w:eastAsia="Times New Roman" w:hAnsi="Times New Roman"/>
          <w:sz w:val="13"/>
          <w:szCs w:val="13"/>
          <w:color w:val="auto"/>
        </w:rPr>
        <w:t>:</w:t>
      </w:r>
    </w:p>
    <w:p>
      <w:pPr>
        <w:spacing w:after="0" w:line="22" w:lineRule="exact"/>
        <w:rPr>
          <w:sz w:val="20"/>
          <w:szCs w:val="20"/>
          <w:color w:val="auto"/>
        </w:rPr>
      </w:pPr>
    </w:p>
    <w:p>
      <w:pPr>
        <w:ind w:left="622" w:hanging="276"/>
        <w:spacing w:after="0"/>
        <w:tabs>
          <w:tab w:leader="none" w:pos="622"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Source: NYSE as of the date of this AIF.</w:t>
      </w:r>
    </w:p>
    <w:p>
      <w:pPr>
        <w:ind w:left="622" w:hanging="276"/>
        <w:spacing w:after="0"/>
        <w:tabs>
          <w:tab w:leader="none" w:pos="622"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August 5, 2021, the Common Shares traded on the OTCQB. The OTCQB listing was transferred to the NYSE on August 5, 2021.</w:t>
      </w:r>
    </w:p>
    <w:p>
      <w:pPr>
        <w:spacing w:after="0" w:line="190" w:lineRule="exact"/>
        <w:rPr>
          <w:sz w:val="20"/>
          <w:szCs w:val="20"/>
          <w:color w:val="auto"/>
        </w:rPr>
      </w:pPr>
    </w:p>
    <w:p>
      <w:pPr>
        <w:ind w:left="2" w:right="500"/>
        <w:spacing w:after="0" w:line="243" w:lineRule="auto"/>
        <w:rPr>
          <w:sz w:val="20"/>
          <w:szCs w:val="20"/>
          <w:color w:val="auto"/>
        </w:rPr>
      </w:pPr>
      <w:r>
        <w:rPr>
          <w:rFonts w:ascii="Times New Roman" w:cs="Times New Roman" w:eastAsia="Times New Roman" w:hAnsi="Times New Roman"/>
          <w:sz w:val="18"/>
          <w:szCs w:val="18"/>
          <w:color w:val="auto"/>
        </w:rPr>
        <w:t>As of the close of business on June 17, 2022, the last trading day prior to the date of this AIF, the price of the Common Shares as quoted by the NYSE American was US$0.5705 per Common Share.</w:t>
      </w:r>
    </w:p>
    <w:p>
      <w:pPr>
        <w:spacing w:after="0" w:line="15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u w:val="single" w:color="auto"/>
          <w:color w:val="auto"/>
        </w:rPr>
        <w:t>Prior Sales</w:t>
      </w:r>
    </w:p>
    <w:p>
      <w:pPr>
        <w:spacing w:after="0" w:line="176" w:lineRule="exact"/>
        <w:rPr>
          <w:sz w:val="20"/>
          <w:szCs w:val="20"/>
          <w:color w:val="auto"/>
        </w:rPr>
      </w:pPr>
    </w:p>
    <w:p>
      <w:pPr>
        <w:ind w:left="2" w:right="20"/>
        <w:spacing w:after="0" w:line="243" w:lineRule="auto"/>
        <w:rPr>
          <w:sz w:val="20"/>
          <w:szCs w:val="20"/>
          <w:color w:val="auto"/>
        </w:rPr>
      </w:pPr>
      <w:r>
        <w:rPr>
          <w:rFonts w:ascii="Times New Roman" w:cs="Times New Roman" w:eastAsia="Times New Roman" w:hAnsi="Times New Roman"/>
          <w:sz w:val="18"/>
          <w:szCs w:val="18"/>
          <w:color w:val="auto"/>
        </w:rPr>
        <w:t>The following tables summarize details of the following securities that are not listed or quoted on a market place issued by the Company during the most recently completed financial year end:</w:t>
      </w:r>
    </w:p>
    <w:p>
      <w:pPr>
        <w:spacing w:after="0" w:line="1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11" w:lineRule="exact"/>
        <w:rPr>
          <w:sz w:val="20"/>
          <w:szCs w:val="20"/>
          <w:color w:val="auto"/>
        </w:rPr>
      </w:pPr>
    </w:p>
    <w:tbl>
      <w:tblPr>
        <w:tblLayout w:type="fixed"/>
        <w:tblInd w:w="12" w:type="dxa"/>
        <w:tblCellMar>
          <w:top w:w="0" w:type="dxa"/>
          <w:left w:w="0" w:type="dxa"/>
          <w:bottom w:w="0" w:type="dxa"/>
          <w:right w:w="0" w:type="dxa"/>
        </w:tblCellMar>
      </w:tblPr>
      <w:tr>
        <w:trPr>
          <w:trHeight w:val="220"/>
        </w:trPr>
        <w:tc>
          <w:tcPr>
            <w:tcW w:w="288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Date Granted</w:t>
            </w:r>
          </w:p>
        </w:tc>
        <w:tc>
          <w:tcPr>
            <w:tcW w:w="2740" w:type="dxa"/>
            <w:vAlign w:val="bottom"/>
            <w:tcBorders>
              <w:top w:val="single" w:sz="8" w:color="auto"/>
              <w:bottom w:val="single" w:sz="8" w:color="auto"/>
              <w:right w:val="single" w:sz="8" w:color="auto"/>
            </w:tcBorders>
            <w:shd w:val="clear" w:color="auto" w:fill="BFBFBF"/>
          </w:tcPr>
          <w:p>
            <w:pPr>
              <w:ind w:left="70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256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 ($)</w:t>
            </w:r>
          </w:p>
        </w:tc>
        <w:tc>
          <w:tcPr>
            <w:tcW w:w="30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Expiry Date</w:t>
            </w:r>
          </w:p>
        </w:tc>
      </w:tr>
      <w:tr>
        <w:trPr>
          <w:trHeight w:val="200"/>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28, 2021</w:t>
            </w:r>
          </w:p>
        </w:tc>
        <w:tc>
          <w:tcPr>
            <w:tcW w:w="274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3"/>
                <w:szCs w:val="23"/>
                <w:color w:val="auto"/>
                <w:vertAlign w:val="subscript"/>
              </w:rPr>
              <w:t>3,834,000</w:t>
            </w:r>
            <w:r>
              <w:rPr>
                <w:rFonts w:ascii="Times New Roman" w:cs="Times New Roman" w:eastAsia="Times New Roman" w:hAnsi="Times New Roman"/>
                <w:sz w:val="9"/>
                <w:szCs w:val="9"/>
                <w:color w:val="auto"/>
              </w:rPr>
              <w:t>(1)(2)(3)</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$2.90</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28, 2026</w:t>
            </w:r>
          </w:p>
        </w:tc>
      </w:tr>
      <w:tr>
        <w:trPr>
          <w:trHeight w:val="200"/>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August 16, 2021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215,000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$2.48</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August 16, 2026</w:t>
            </w:r>
          </w:p>
        </w:tc>
      </w:tr>
      <w:tr>
        <w:trPr>
          <w:trHeight w:val="200"/>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August 18, 2021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300,000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$2.48</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August 18, 2026</w:t>
            </w:r>
          </w:p>
        </w:tc>
      </w:tr>
      <w:tr>
        <w:trPr>
          <w:trHeight w:val="200"/>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September 27, 2021</w:t>
            </w:r>
          </w:p>
        </w:tc>
        <w:tc>
          <w:tcPr>
            <w:tcW w:w="274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6"/>
              </w:rPr>
              <w:t>585,000</w:t>
            </w:r>
            <w:r>
              <w:rPr>
                <w:rFonts w:ascii="Times New Roman" w:cs="Times New Roman" w:eastAsia="Times New Roman" w:hAnsi="Times New Roman"/>
                <w:sz w:val="21"/>
                <w:szCs w:val="21"/>
                <w:color w:val="auto"/>
                <w:w w:val="96"/>
                <w:vertAlign w:val="superscript"/>
              </w:rPr>
              <w:t>(4)</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$3.15</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September 27, 2026</w:t>
            </w:r>
          </w:p>
        </w:tc>
      </w:tr>
      <w:tr>
        <w:trPr>
          <w:trHeight w:val="200"/>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September 27, 2021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195,000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$2.87</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September 27, 2026</w:t>
            </w:r>
          </w:p>
        </w:tc>
      </w:tr>
      <w:tr>
        <w:trPr>
          <w:trHeight w:val="200"/>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September 30, 2021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450,000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$3.15</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September 30, 2026</w:t>
            </w:r>
          </w:p>
        </w:tc>
      </w:tr>
      <w:tr>
        <w:trPr>
          <w:trHeight w:val="200"/>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September 30, 2021</w:t>
            </w:r>
          </w:p>
        </w:tc>
        <w:tc>
          <w:tcPr>
            <w:tcW w:w="274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6"/>
              </w:rPr>
              <w:t>40,000</w:t>
            </w:r>
            <w:r>
              <w:rPr>
                <w:rFonts w:ascii="Times New Roman" w:cs="Times New Roman" w:eastAsia="Times New Roman" w:hAnsi="Times New Roman"/>
                <w:sz w:val="21"/>
                <w:szCs w:val="21"/>
                <w:color w:val="auto"/>
                <w:w w:val="96"/>
                <w:vertAlign w:val="superscript"/>
              </w:rPr>
              <w:t>(5)</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$2.78</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2023</w:t>
            </w:r>
          </w:p>
        </w:tc>
      </w:tr>
      <w:tr>
        <w:trPr>
          <w:trHeight w:val="200"/>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September 30, 2021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700,000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$2.78</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September 30, 2026</w:t>
            </w:r>
          </w:p>
        </w:tc>
      </w:tr>
      <w:tr>
        <w:trPr>
          <w:trHeight w:val="200"/>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31, 2021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$3.15</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r>
      <w:tr>
        <w:trPr>
          <w:trHeight w:val="200"/>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31, 2021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1,250,000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r>
      <w:tr>
        <w:trPr>
          <w:trHeight w:val="200"/>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4, 2022</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1,075,600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$1.13</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4, 2027</w:t>
            </w:r>
          </w:p>
        </w:tc>
      </w:tr>
      <w:tr>
        <w:trPr>
          <w:trHeight w:val="200"/>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4, 2022</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60,000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$3.15</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4, 2027</w:t>
            </w:r>
          </w:p>
        </w:tc>
      </w:tr>
      <w:tr>
        <w:trPr>
          <w:trHeight w:val="200"/>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8, 2022</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400,000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8, 2027</w:t>
            </w:r>
          </w:p>
        </w:tc>
      </w:tr>
    </w:tbl>
    <w:p>
      <w:pPr>
        <w:spacing w:after="0" w:line="14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u w:val="single" w:color="auto"/>
          <w:color w:val="auto"/>
        </w:rPr>
        <w:t>Notes</w:t>
      </w:r>
      <w:r>
        <w:rPr>
          <w:rFonts w:ascii="Times New Roman" w:cs="Times New Roman" w:eastAsia="Times New Roman" w:hAnsi="Times New Roman"/>
          <w:sz w:val="13"/>
          <w:szCs w:val="13"/>
          <w:b w:val="1"/>
          <w:bCs w:val="1"/>
          <w:color w:val="auto"/>
        </w:rPr>
        <w:t>:</w:t>
      </w:r>
    </w:p>
    <w:p>
      <w:pPr>
        <w:spacing w:after="0" w:line="24" w:lineRule="exact"/>
        <w:rPr>
          <w:sz w:val="20"/>
          <w:szCs w:val="20"/>
          <w:color w:val="auto"/>
        </w:rPr>
      </w:pPr>
    </w:p>
    <w:p>
      <w:pPr>
        <w:ind w:left="322" w:hanging="322"/>
        <w:spacing w:after="0"/>
        <w:tabs>
          <w:tab w:leader="none" w:pos="322"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August 13, 2021, 43,750 options were terminated as a result of the optionee no longer being eligible under the Equity Incentive Plan.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62"/>
          </w:cols>
          <w:pgMar w:left="318" w:top="1440" w:right="319" w:bottom="1440" w:gutter="0" w:footer="0" w:header="0"/>
        </w:sectPr>
      </w:pPr>
    </w:p>
    <w:bookmarkStart w:id="82" w:name="page83"/>
    <w:bookmarkEnd w:id="82"/>
    <w:p>
      <w:pPr>
        <w:ind w:left="282" w:hanging="282"/>
        <w:spacing w:after="0"/>
        <w:tabs>
          <w:tab w:leader="none" w:pos="282"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February 9, 2022, 22,500 options were terminated as a result of the optionee no longer being eligible under the Equity Incentive Plan.</w:t>
      </w:r>
    </w:p>
    <w:p>
      <w:pPr>
        <w:ind w:left="282" w:hanging="282"/>
        <w:spacing w:after="0" w:line="215" w:lineRule="auto"/>
        <w:tabs>
          <w:tab w:leader="none" w:pos="282"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March 31, 2022, 62,500 options were terminated as a result of the optionee no longer being eligible under the Equity Incentive Plan.</w:t>
      </w:r>
    </w:p>
    <w:p>
      <w:pPr>
        <w:ind w:left="282" w:hanging="282"/>
        <w:spacing w:after="0" w:line="196" w:lineRule="auto"/>
        <w:tabs>
          <w:tab w:leader="none" w:pos="282"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the result of the termination of an employee of the Company, 20,000 options expired on October 21, 2021.</w:t>
      </w:r>
    </w:p>
    <w:p>
      <w:pPr>
        <w:ind w:left="282" w:hanging="282"/>
        <w:spacing w:after="0"/>
        <w:tabs>
          <w:tab w:leader="none" w:pos="282"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March 4, 2022, 20,000 options were cancelled pursuant to an acknowledgement agreement.</w:t>
      </w:r>
    </w:p>
    <w:p>
      <w:pPr>
        <w:spacing w:after="0" w:line="28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11" w:lineRule="exact"/>
        <w:rPr>
          <w:sz w:val="20"/>
          <w:szCs w:val="20"/>
          <w:color w:val="auto"/>
        </w:rPr>
      </w:pPr>
    </w:p>
    <w:tbl>
      <w:tblPr>
        <w:tblLayout w:type="fixed"/>
        <w:tblInd w:w="12" w:type="dxa"/>
        <w:tblCellMar>
          <w:top w:w="0" w:type="dxa"/>
          <w:left w:w="0" w:type="dxa"/>
          <w:bottom w:w="0" w:type="dxa"/>
          <w:right w:w="0" w:type="dxa"/>
        </w:tblCellMar>
      </w:tblPr>
      <w:tr>
        <w:trPr>
          <w:trHeight w:val="220"/>
        </w:trPr>
        <w:tc>
          <w:tcPr>
            <w:tcW w:w="288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Date Issued</w:t>
            </w:r>
          </w:p>
        </w:tc>
        <w:tc>
          <w:tcPr>
            <w:tcW w:w="2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Warrants</w:t>
            </w:r>
          </w:p>
        </w:tc>
        <w:tc>
          <w:tcPr>
            <w:tcW w:w="256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 ($)</w:t>
            </w:r>
          </w:p>
        </w:tc>
        <w:tc>
          <w:tcPr>
            <w:tcW w:w="30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Expiry Date</w:t>
            </w:r>
          </w:p>
        </w:tc>
      </w:tr>
      <w:tr>
        <w:trPr>
          <w:trHeight w:val="200"/>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August 3, 2021</w:t>
            </w:r>
          </w:p>
        </w:tc>
        <w:tc>
          <w:tcPr>
            <w:tcW w:w="2740" w:type="dxa"/>
            <w:vAlign w:val="bottom"/>
            <w:tcBorders>
              <w:bottom w:val="single" w:sz="8" w:color="auto"/>
              <w:right w:val="single" w:sz="8" w:color="auto"/>
            </w:tcBorders>
          </w:tcPr>
          <w:p>
            <w:pPr>
              <w:jc w:val="center"/>
              <w:ind w:right="939"/>
              <w:spacing w:after="0" w:line="200" w:lineRule="exact"/>
              <w:rPr>
                <w:sz w:val="20"/>
                <w:szCs w:val="20"/>
                <w:color w:val="auto"/>
              </w:rPr>
            </w:pPr>
            <w:r>
              <w:rPr>
                <w:rFonts w:ascii="Times New Roman" w:cs="Times New Roman" w:eastAsia="Times New Roman" w:hAnsi="Times New Roman"/>
                <w:sz w:val="16"/>
                <w:szCs w:val="16"/>
                <w:color w:val="auto"/>
              </w:rPr>
              <w:t>658,860</w:t>
            </w:r>
            <w:r>
              <w:rPr>
                <w:rFonts w:ascii="Times New Roman" w:cs="Times New Roman" w:eastAsia="Times New Roman" w:hAnsi="Times New Roman"/>
                <w:sz w:val="21"/>
                <w:szCs w:val="21"/>
                <w:color w:val="auto"/>
                <w:vertAlign w:val="superscript"/>
              </w:rPr>
              <w:t>(1)</w:t>
            </w:r>
          </w:p>
        </w:tc>
        <w:tc>
          <w:tcPr>
            <w:tcW w:w="2560" w:type="dxa"/>
            <w:vAlign w:val="bottom"/>
            <w:tcBorders>
              <w:bottom w:val="single" w:sz="8" w:color="auto"/>
              <w:right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rPr>
              <w:t>$3.40</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August 3, 2023</w:t>
            </w:r>
          </w:p>
        </w:tc>
      </w:tr>
    </w:tbl>
    <w:p>
      <w:pPr>
        <w:spacing w:after="0" w:line="13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u w:val="single" w:color="auto"/>
          <w:color w:val="auto"/>
        </w:rPr>
        <w:t>Notes</w:t>
      </w:r>
      <w:r>
        <w:rPr>
          <w:rFonts w:ascii="Times New Roman" w:cs="Times New Roman" w:eastAsia="Times New Roman" w:hAnsi="Times New Roman"/>
          <w:sz w:val="13"/>
          <w:szCs w:val="13"/>
          <w:color w:val="auto"/>
        </w:rPr>
        <w:t>:</w:t>
      </w:r>
    </w:p>
    <w:p>
      <w:pPr>
        <w:spacing w:after="0" w:line="36" w:lineRule="exact"/>
        <w:rPr>
          <w:sz w:val="20"/>
          <w:szCs w:val="20"/>
          <w:color w:val="auto"/>
        </w:rPr>
      </w:pPr>
    </w:p>
    <w:p>
      <w:pPr>
        <w:ind w:left="2"/>
        <w:spacing w:after="0"/>
        <w:tabs>
          <w:tab w:leader="none" w:pos="262"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658,860 Compensation Warrants were issued in connection with the Public Offering.</w:t>
      </w:r>
    </w:p>
    <w:p>
      <w:pPr>
        <w:spacing w:after="0" w:line="30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During the 12-month period before the date of this AIF, Cybin also issued 127,600 Broker Warrants with an exercise price of $0.75.</w:t>
      </w:r>
    </w:p>
    <w:p>
      <w:pPr>
        <w:spacing w:after="0" w:line="1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Exchangeable Securities:</w:t>
      </w:r>
    </w:p>
    <w:p>
      <w:pPr>
        <w:spacing w:after="0" w:line="236" w:lineRule="exact"/>
        <w:rPr>
          <w:sz w:val="20"/>
          <w:szCs w:val="20"/>
          <w:color w:val="auto"/>
        </w:rPr>
      </w:pPr>
    </w:p>
    <w:tbl>
      <w:tblPr>
        <w:tblLayout w:type="fixed"/>
        <w:tblInd w:w="12" w:type="dxa"/>
        <w:tblCellMar>
          <w:top w:w="0" w:type="dxa"/>
          <w:left w:w="0" w:type="dxa"/>
          <w:bottom w:w="0" w:type="dxa"/>
          <w:right w:w="0" w:type="dxa"/>
        </w:tblCellMar>
      </w:tblPr>
      <w:tr>
        <w:trPr>
          <w:trHeight w:val="220"/>
        </w:trPr>
        <w:tc>
          <w:tcPr>
            <w:tcW w:w="598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Date Issued</w:t>
            </w:r>
          </w:p>
        </w:tc>
        <w:tc>
          <w:tcPr>
            <w:tcW w:w="2740" w:type="dxa"/>
            <w:vAlign w:val="bottom"/>
            <w:tcBorders>
              <w:top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2560" w:type="dxa"/>
            <w:vAlign w:val="bottom"/>
            <w:tcBorders>
              <w:top w:val="single" w:sz="8" w:color="auto"/>
              <w:bottom w:val="single" w:sz="8" w:color="auto"/>
              <w:right w:val="single" w:sz="8" w:color="auto"/>
            </w:tcBorders>
            <w:shd w:val="clear" w:color="auto" w:fill="BFBFBF"/>
          </w:tcPr>
          <w:p>
            <w:pPr>
              <w:ind w:left="600"/>
              <w:spacing w:after="0"/>
              <w:rPr>
                <w:sz w:val="20"/>
                <w:szCs w:val="20"/>
                <w:color w:val="auto"/>
              </w:rPr>
            </w:pPr>
            <w:r>
              <w:rPr>
                <w:rFonts w:ascii="Times New Roman" w:cs="Times New Roman" w:eastAsia="Times New Roman" w:hAnsi="Times New Roman"/>
                <w:sz w:val="16"/>
                <w:szCs w:val="16"/>
                <w:b w:val="1"/>
                <w:bCs w:val="1"/>
                <w:color w:val="auto"/>
              </w:rPr>
              <w:t>Price Per Share ($)</w:t>
            </w:r>
          </w:p>
        </w:tc>
      </w:tr>
      <w:tr>
        <w:trPr>
          <w:trHeight w:val="200"/>
        </w:trPr>
        <w:tc>
          <w:tcPr>
            <w:tcW w:w="598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8"/>
              </w:rPr>
              <w:t>June 28, 2021</w:t>
            </w:r>
            <w:r>
              <w:rPr>
                <w:rFonts w:ascii="Times New Roman" w:cs="Times New Roman" w:eastAsia="Times New Roman" w:hAnsi="Times New Roman"/>
                <w:sz w:val="21"/>
                <w:szCs w:val="21"/>
                <w:color w:val="auto"/>
                <w:w w:val="98"/>
                <w:vertAlign w:val="superscript"/>
              </w:rPr>
              <w:t>(1)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15,777.1</w:t>
            </w:r>
          </w:p>
        </w:tc>
        <w:tc>
          <w:tcPr>
            <w:tcW w:w="256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2"/>
              </w:rPr>
              <w:t>$29.00</w:t>
            </w:r>
            <w:r>
              <w:rPr>
                <w:rFonts w:ascii="Times New Roman" w:cs="Times New Roman" w:eastAsia="Times New Roman" w:hAnsi="Times New Roman"/>
                <w:sz w:val="21"/>
                <w:szCs w:val="21"/>
                <w:color w:val="auto"/>
                <w:w w:val="92"/>
                <w:vertAlign w:val="superscript"/>
              </w:rPr>
              <w:t>(2)</w:t>
            </w:r>
          </w:p>
        </w:tc>
      </w:tr>
      <w:tr>
        <w:trPr>
          <w:trHeight w:val="200"/>
        </w:trPr>
        <w:tc>
          <w:tcPr>
            <w:tcW w:w="598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7"/>
              </w:rPr>
              <w:t>August 17, 2021</w:t>
            </w:r>
            <w:r>
              <w:rPr>
                <w:rFonts w:ascii="Times New Roman" w:cs="Times New Roman" w:eastAsia="Times New Roman" w:hAnsi="Times New Roman"/>
                <w:sz w:val="21"/>
                <w:szCs w:val="21"/>
                <w:color w:val="auto"/>
                <w:w w:val="97"/>
                <w:vertAlign w:val="superscript"/>
              </w:rPr>
              <w:t>(1)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18,788.5</w:t>
            </w:r>
          </w:p>
        </w:tc>
        <w:tc>
          <w:tcPr>
            <w:tcW w:w="256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2"/>
              </w:rPr>
              <w:t>$33.70</w:t>
            </w:r>
            <w:r>
              <w:rPr>
                <w:rFonts w:ascii="Times New Roman" w:cs="Times New Roman" w:eastAsia="Times New Roman" w:hAnsi="Times New Roman"/>
                <w:sz w:val="21"/>
                <w:szCs w:val="21"/>
                <w:color w:val="auto"/>
                <w:w w:val="92"/>
                <w:vertAlign w:val="superscript"/>
              </w:rPr>
              <w:t>(3)</w:t>
            </w:r>
          </w:p>
        </w:tc>
      </w:tr>
      <w:tr>
        <w:trPr>
          <w:trHeight w:val="200"/>
        </w:trPr>
        <w:tc>
          <w:tcPr>
            <w:tcW w:w="598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7"/>
              </w:rPr>
              <w:t>August 31, 2021</w:t>
            </w:r>
            <w:r>
              <w:rPr>
                <w:rFonts w:ascii="Times New Roman" w:cs="Times New Roman" w:eastAsia="Times New Roman" w:hAnsi="Times New Roman"/>
                <w:sz w:val="21"/>
                <w:szCs w:val="21"/>
                <w:color w:val="auto"/>
                <w:w w:val="97"/>
                <w:vertAlign w:val="superscript"/>
              </w:rPr>
              <w:t>(1)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9,392.6</w:t>
            </w:r>
          </w:p>
        </w:tc>
        <w:tc>
          <w:tcPr>
            <w:tcW w:w="256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2"/>
              </w:rPr>
              <w:t>$33.80</w:t>
            </w:r>
            <w:r>
              <w:rPr>
                <w:rFonts w:ascii="Times New Roman" w:cs="Times New Roman" w:eastAsia="Times New Roman" w:hAnsi="Times New Roman"/>
                <w:sz w:val="21"/>
                <w:szCs w:val="21"/>
                <w:color w:val="auto"/>
                <w:w w:val="92"/>
                <w:vertAlign w:val="superscript"/>
              </w:rPr>
              <w:t>(4)</w:t>
            </w:r>
          </w:p>
        </w:tc>
      </w:tr>
      <w:tr>
        <w:trPr>
          <w:trHeight w:val="200"/>
        </w:trPr>
        <w:tc>
          <w:tcPr>
            <w:tcW w:w="598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8"/>
              </w:rPr>
              <w:t>November 18, 2021</w:t>
            </w:r>
            <w:r>
              <w:rPr>
                <w:rFonts w:ascii="Times New Roman" w:cs="Times New Roman" w:eastAsia="Times New Roman" w:hAnsi="Times New Roman"/>
                <w:sz w:val="21"/>
                <w:szCs w:val="21"/>
                <w:color w:val="auto"/>
                <w:w w:val="98"/>
                <w:vertAlign w:val="superscript"/>
              </w:rPr>
              <w:t>(1)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28,903</w:t>
            </w:r>
          </w:p>
        </w:tc>
        <w:tc>
          <w:tcPr>
            <w:tcW w:w="256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2"/>
              </w:rPr>
              <w:t>$24.45</w:t>
            </w:r>
            <w:r>
              <w:rPr>
                <w:rFonts w:ascii="Times New Roman" w:cs="Times New Roman" w:eastAsia="Times New Roman" w:hAnsi="Times New Roman"/>
                <w:sz w:val="21"/>
                <w:szCs w:val="21"/>
                <w:color w:val="auto"/>
                <w:w w:val="92"/>
                <w:vertAlign w:val="superscript"/>
              </w:rPr>
              <w:t>(5)</w:t>
            </w:r>
          </w:p>
        </w:tc>
      </w:tr>
      <w:tr>
        <w:trPr>
          <w:trHeight w:val="200"/>
        </w:trPr>
        <w:tc>
          <w:tcPr>
            <w:tcW w:w="598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8"/>
              </w:rPr>
              <w:t>November 29, 2021</w:t>
            </w:r>
            <w:r>
              <w:rPr>
                <w:rFonts w:ascii="Times New Roman" w:cs="Times New Roman" w:eastAsia="Times New Roman" w:hAnsi="Times New Roman"/>
                <w:sz w:val="21"/>
                <w:szCs w:val="21"/>
                <w:color w:val="auto"/>
                <w:w w:val="98"/>
                <w:vertAlign w:val="superscript"/>
              </w:rPr>
              <w:t>(1)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31,721.5</w:t>
            </w:r>
          </w:p>
        </w:tc>
        <w:tc>
          <w:tcPr>
            <w:tcW w:w="256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2"/>
              </w:rPr>
              <w:t>$19.83</w:t>
            </w:r>
            <w:r>
              <w:rPr>
                <w:rFonts w:ascii="Times New Roman" w:cs="Times New Roman" w:eastAsia="Times New Roman" w:hAnsi="Times New Roman"/>
                <w:sz w:val="21"/>
                <w:szCs w:val="21"/>
                <w:color w:val="auto"/>
                <w:w w:val="92"/>
                <w:vertAlign w:val="superscript"/>
              </w:rPr>
              <w:t>(6)</w:t>
            </w:r>
          </w:p>
        </w:tc>
      </w:tr>
      <w:tr>
        <w:trPr>
          <w:trHeight w:val="200"/>
        </w:trPr>
        <w:tc>
          <w:tcPr>
            <w:tcW w:w="598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8"/>
              </w:rPr>
              <w:t>January 6, 2022</w:t>
            </w:r>
            <w:r>
              <w:rPr>
                <w:rFonts w:ascii="Times New Roman" w:cs="Times New Roman" w:eastAsia="Times New Roman" w:hAnsi="Times New Roman"/>
                <w:sz w:val="21"/>
                <w:szCs w:val="21"/>
                <w:color w:val="auto"/>
                <w:w w:val="98"/>
                <w:vertAlign w:val="superscript"/>
              </w:rPr>
              <w:t>(1)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15,611.4</w:t>
            </w:r>
          </w:p>
        </w:tc>
        <w:tc>
          <w:tcPr>
            <w:tcW w:w="256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2"/>
              </w:rPr>
              <w:t>$15.09</w:t>
            </w:r>
            <w:r>
              <w:rPr>
                <w:rFonts w:ascii="Times New Roman" w:cs="Times New Roman" w:eastAsia="Times New Roman" w:hAnsi="Times New Roman"/>
                <w:sz w:val="21"/>
                <w:szCs w:val="21"/>
                <w:color w:val="auto"/>
                <w:w w:val="92"/>
                <w:vertAlign w:val="superscript"/>
              </w:rPr>
              <w:t>(7)</w:t>
            </w:r>
          </w:p>
        </w:tc>
      </w:tr>
      <w:tr>
        <w:trPr>
          <w:trHeight w:val="200"/>
        </w:trPr>
        <w:tc>
          <w:tcPr>
            <w:tcW w:w="598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8"/>
              </w:rPr>
              <w:t>February 14, 2022</w:t>
            </w:r>
            <w:r>
              <w:rPr>
                <w:rFonts w:ascii="Times New Roman" w:cs="Times New Roman" w:eastAsia="Times New Roman" w:hAnsi="Times New Roman"/>
                <w:sz w:val="21"/>
                <w:szCs w:val="21"/>
                <w:color w:val="auto"/>
                <w:w w:val="98"/>
                <w:vertAlign w:val="superscript"/>
              </w:rPr>
              <w:t>(1)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41,028.2</w:t>
            </w:r>
          </w:p>
        </w:tc>
        <w:tc>
          <w:tcPr>
            <w:tcW w:w="256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2"/>
              </w:rPr>
              <w:t>$13.43</w:t>
            </w:r>
            <w:r>
              <w:rPr>
                <w:rFonts w:ascii="Times New Roman" w:cs="Times New Roman" w:eastAsia="Times New Roman" w:hAnsi="Times New Roman"/>
                <w:sz w:val="21"/>
                <w:szCs w:val="21"/>
                <w:color w:val="auto"/>
                <w:w w:val="92"/>
                <w:vertAlign w:val="superscript"/>
              </w:rPr>
              <w:t>(8)</w:t>
            </w:r>
          </w:p>
        </w:tc>
      </w:tr>
      <w:tr>
        <w:trPr>
          <w:trHeight w:val="200"/>
        </w:trPr>
        <w:tc>
          <w:tcPr>
            <w:tcW w:w="598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8"/>
              </w:rPr>
              <w:t>February 18, 2022</w:t>
            </w:r>
            <w:r>
              <w:rPr>
                <w:rFonts w:ascii="Times New Roman" w:cs="Times New Roman" w:eastAsia="Times New Roman" w:hAnsi="Times New Roman"/>
                <w:sz w:val="21"/>
                <w:szCs w:val="21"/>
                <w:color w:val="auto"/>
                <w:w w:val="98"/>
                <w:vertAlign w:val="superscript"/>
              </w:rPr>
              <w:t>(1)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17,239.5</w:t>
            </w:r>
          </w:p>
        </w:tc>
        <w:tc>
          <w:tcPr>
            <w:tcW w:w="256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2"/>
              </w:rPr>
              <w:t>$13.54</w:t>
            </w:r>
            <w:r>
              <w:rPr>
                <w:rFonts w:ascii="Times New Roman" w:cs="Times New Roman" w:eastAsia="Times New Roman" w:hAnsi="Times New Roman"/>
                <w:sz w:val="21"/>
                <w:szCs w:val="21"/>
                <w:color w:val="auto"/>
                <w:w w:val="92"/>
                <w:vertAlign w:val="superscript"/>
              </w:rPr>
              <w:t>(9)</w:t>
            </w:r>
          </w:p>
        </w:tc>
      </w:tr>
      <w:tr>
        <w:trPr>
          <w:trHeight w:val="200"/>
        </w:trPr>
        <w:tc>
          <w:tcPr>
            <w:tcW w:w="598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8"/>
              </w:rPr>
              <w:t>March 25, 2022</w:t>
            </w:r>
            <w:r>
              <w:rPr>
                <w:rFonts w:ascii="Times New Roman" w:cs="Times New Roman" w:eastAsia="Times New Roman" w:hAnsi="Times New Roman"/>
                <w:sz w:val="21"/>
                <w:szCs w:val="21"/>
                <w:color w:val="auto"/>
                <w:w w:val="98"/>
                <w:vertAlign w:val="superscript"/>
              </w:rPr>
              <w:t>(1)</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90,546.0</w:t>
            </w:r>
          </w:p>
        </w:tc>
        <w:tc>
          <w:tcPr>
            <w:tcW w:w="2560" w:type="dxa"/>
            <w:vAlign w:val="bottom"/>
            <w:tcBorders>
              <w:bottom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16"/>
                <w:szCs w:val="16"/>
                <w:color w:val="auto"/>
                <w:w w:val="94"/>
              </w:rPr>
              <w:t>$9.994</w:t>
            </w:r>
            <w:r>
              <w:rPr>
                <w:rFonts w:ascii="Times New Roman" w:cs="Times New Roman" w:eastAsia="Times New Roman" w:hAnsi="Times New Roman"/>
                <w:sz w:val="21"/>
                <w:szCs w:val="21"/>
                <w:color w:val="auto"/>
                <w:w w:val="94"/>
                <w:vertAlign w:val="superscript"/>
              </w:rPr>
              <w:t>(10)</w:t>
            </w:r>
          </w:p>
        </w:tc>
      </w:tr>
    </w:tbl>
    <w:p>
      <w:pPr>
        <w:spacing w:after="0" w:line="200" w:lineRule="exact"/>
        <w:rPr>
          <w:sz w:val="20"/>
          <w:szCs w:val="20"/>
          <w:color w:val="auto"/>
        </w:rPr>
      </w:pP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u w:val="single" w:color="auto"/>
          <w:color w:val="auto"/>
        </w:rPr>
        <w:t>Notes</w:t>
      </w:r>
      <w:r>
        <w:rPr>
          <w:rFonts w:ascii="Times New Roman" w:cs="Times New Roman" w:eastAsia="Times New Roman" w:hAnsi="Times New Roman"/>
          <w:sz w:val="13"/>
          <w:szCs w:val="13"/>
          <w:color w:val="auto"/>
        </w:rPr>
        <w:t>:</w:t>
      </w:r>
    </w:p>
    <w:p>
      <w:pPr>
        <w:ind w:left="582" w:right="20" w:hanging="582"/>
        <w:spacing w:after="0" w:line="209" w:lineRule="auto"/>
        <w:tabs>
          <w:tab w:leader="none" w:pos="361"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non-voting Class B Shares in the capital of Cybin U.S. issued in connection with the Adelia Transaction to Adelia shareholders. The Class B Shares are exchangeable at the holder’s option for Common Shares on the basis of 10 Common Shares for 1 Class B Share, subject to customary adjustments. For further information on the Adelia Transaction, see “</w:t>
      </w:r>
      <w:r>
        <w:rPr>
          <w:rFonts w:ascii="Times New Roman" w:cs="Times New Roman" w:eastAsia="Times New Roman" w:hAnsi="Times New Roman"/>
          <w:sz w:val="13"/>
          <w:szCs w:val="13"/>
          <w:i w:val="1"/>
          <w:iCs w:val="1"/>
          <w:color w:val="auto"/>
        </w:rPr>
        <w:t>General Development of the Business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History of the Company</w:t>
      </w:r>
      <w:r>
        <w:rPr>
          <w:rFonts w:ascii="Times New Roman" w:cs="Times New Roman" w:eastAsia="Times New Roman" w:hAnsi="Times New Roman"/>
          <w:sz w:val="13"/>
          <w:szCs w:val="13"/>
          <w:color w:val="auto"/>
        </w:rPr>
        <w:t>”.</w:t>
      </w:r>
    </w:p>
    <w:p>
      <w:pPr>
        <w:ind w:left="282" w:hanging="282"/>
        <w:spacing w:after="0" w:line="215" w:lineRule="auto"/>
        <w:tabs>
          <w:tab w:leader="none" w:pos="282"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per Class B Share of Cybin U.S., which are exchangeable for 157,771 Common Shares, resulting in an effective issue price of $2.90 per Common Share.</w:t>
      </w:r>
    </w:p>
    <w:p>
      <w:pPr>
        <w:ind w:left="282" w:hanging="282"/>
        <w:spacing w:after="0" w:line="196" w:lineRule="auto"/>
        <w:tabs>
          <w:tab w:leader="none" w:pos="282"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per Class B Share of Cybin U.S., which are exchangeable for 187,886 Common Shares, resulting in an effective issue price of $3.37 per Common Share.</w:t>
      </w:r>
    </w:p>
    <w:p>
      <w:pPr>
        <w:ind w:left="282" w:hanging="282"/>
        <w:spacing w:after="0" w:line="215" w:lineRule="auto"/>
        <w:tabs>
          <w:tab w:leader="none" w:pos="282"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per Class B Share of Cybin U.S., which are exchangeable for 93,926 Common Shares, resulting in an effective issue price of $3.38 per Common Share.</w:t>
      </w:r>
    </w:p>
    <w:p>
      <w:pPr>
        <w:ind w:left="282" w:hanging="282"/>
        <w:spacing w:after="0" w:line="215" w:lineRule="auto"/>
        <w:tabs>
          <w:tab w:leader="none" w:pos="282"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per Class B Share of Cybin U.S., which are exchangeable for 289,030 Common Shares, resulting in an effective issue price of $2.44 per Common Share.</w:t>
      </w:r>
    </w:p>
    <w:p>
      <w:pPr>
        <w:ind w:left="282" w:hanging="282"/>
        <w:spacing w:after="0" w:line="196" w:lineRule="auto"/>
        <w:tabs>
          <w:tab w:leader="none" w:pos="282"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per Class B Share of Cybin U.S., which are exchangeable for 317,215 Common Shares, resulting in an effective issue price of $1.98 per Common Share.</w:t>
      </w:r>
    </w:p>
    <w:p>
      <w:pPr>
        <w:ind w:left="282" w:hanging="282"/>
        <w:spacing w:after="0" w:line="215" w:lineRule="auto"/>
        <w:tabs>
          <w:tab w:leader="none" w:pos="282"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per Class B Share of Cybin U.S., which are exchangeable for 156,114 Common Shares, resulting in an effective issue price of $1.51 per Common Share.</w:t>
      </w:r>
    </w:p>
    <w:p>
      <w:pPr>
        <w:ind w:left="282" w:hanging="282"/>
        <w:spacing w:after="0" w:line="215" w:lineRule="auto"/>
        <w:tabs>
          <w:tab w:leader="none" w:pos="282"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per Class B Share of Cybin U.S., which are exchangeable for 410,282 Common Shares, resulting in an effective issue price of $1.34 per Common Share.</w:t>
      </w:r>
    </w:p>
    <w:p>
      <w:pPr>
        <w:ind w:left="282" w:hanging="282"/>
        <w:spacing w:after="0" w:line="196" w:lineRule="auto"/>
        <w:tabs>
          <w:tab w:leader="none" w:pos="282"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per Class B Share of Cybin U.S., which are exchangeable for 172,395 Common Shares, resulting in an effective issue price of $1.35 per Common Share.</w:t>
      </w:r>
    </w:p>
    <w:p>
      <w:pPr>
        <w:ind w:left="342" w:hanging="342"/>
        <w:spacing w:after="0"/>
        <w:tabs>
          <w:tab w:leader="none" w:pos="342"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per Class B Share of Cybin U.S., which are exchangeable for 905,460 Common Shares, resulting in an effective issue price of $1.00 per Common Share.</w:t>
      </w:r>
    </w:p>
    <w:p>
      <w:pPr>
        <w:spacing w:after="0" w:line="200" w:lineRule="exact"/>
        <w:rPr>
          <w:sz w:val="20"/>
          <w:szCs w:val="20"/>
          <w:color w:val="auto"/>
        </w:rPr>
      </w:pPr>
    </w:p>
    <w:p>
      <w:pPr>
        <w:spacing w:after="0" w:line="25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ESCROWED SECURITIES AND SECURITIES SUBJECT TO CONTRACTUAL RESTRICTION ON TRANSFER</w:t>
      </w:r>
    </w:p>
    <w:p>
      <w:pPr>
        <w:spacing w:after="0" w:line="200" w:lineRule="exact"/>
        <w:rPr>
          <w:sz w:val="20"/>
          <w:szCs w:val="20"/>
          <w:color w:val="auto"/>
        </w:rPr>
      </w:pPr>
    </w:p>
    <w:p>
      <w:pPr>
        <w:ind w:left="2" w:right="20"/>
        <w:spacing w:after="0" w:line="243" w:lineRule="auto"/>
        <w:rPr>
          <w:sz w:val="20"/>
          <w:szCs w:val="20"/>
          <w:color w:val="auto"/>
        </w:rPr>
      </w:pPr>
      <w:r>
        <w:rPr>
          <w:rFonts w:ascii="Times New Roman" w:cs="Times New Roman" w:eastAsia="Times New Roman" w:hAnsi="Times New Roman"/>
          <w:sz w:val="18"/>
          <w:szCs w:val="18"/>
          <w:color w:val="auto"/>
        </w:rPr>
        <w:t>The following tables detail the number of Common Shares that were, to the Company’s knowledge, held in escrow on transfer, as at March 31, 2022 (the “</w:t>
      </w:r>
      <w:r>
        <w:rPr>
          <w:rFonts w:ascii="Times New Roman" w:cs="Times New Roman" w:eastAsia="Times New Roman" w:hAnsi="Times New Roman"/>
          <w:sz w:val="18"/>
          <w:szCs w:val="18"/>
          <w:b w:val="1"/>
          <w:bCs w:val="1"/>
          <w:color w:val="auto"/>
        </w:rPr>
        <w:t>Escrowed Securities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62"/>
          </w:cols>
          <w:pgMar w:left="318" w:top="1438" w:right="319" w:bottom="1440" w:gutter="0" w:footer="0" w:header="0"/>
        </w:sectPr>
      </w:pPr>
    </w:p>
    <w:bookmarkStart w:id="83" w:name="page84"/>
    <w:bookmarkEnd w:id="83"/>
    <w:p>
      <w:pPr>
        <w:spacing w:after="0" w:line="36" w:lineRule="exact"/>
        <w:rPr>
          <w:sz w:val="20"/>
          <w:szCs w:val="20"/>
          <w:color w:val="auto"/>
        </w:rPr>
      </w:pPr>
    </w:p>
    <w:tbl>
      <w:tblPr>
        <w:tblLayout w:type="fixed"/>
        <w:tblInd w:w="12" w:type="dxa"/>
        <w:tblCellMar>
          <w:top w:w="0" w:type="dxa"/>
          <w:left w:w="0" w:type="dxa"/>
          <w:bottom w:w="0" w:type="dxa"/>
          <w:right w:w="0" w:type="dxa"/>
        </w:tblCellMar>
      </w:tblPr>
      <w:tr>
        <w:trPr>
          <w:trHeight w:val="177"/>
        </w:trPr>
        <w:tc>
          <w:tcPr>
            <w:tcW w:w="39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Designation of Class</w:t>
            </w:r>
          </w:p>
        </w:tc>
        <w:tc>
          <w:tcPr>
            <w:tcW w:w="3760" w:type="dxa"/>
            <w:vAlign w:val="bottom"/>
            <w:tcBorders>
              <w:top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rPr>
              <w:t>Number of Securities held in</w:t>
            </w:r>
          </w:p>
        </w:tc>
        <w:tc>
          <w:tcPr>
            <w:tcW w:w="35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 Class</w:t>
            </w:r>
          </w:p>
        </w:tc>
        <w:tc>
          <w:tcPr>
            <w:tcW w:w="0" w:type="dxa"/>
            <w:vAlign w:val="bottom"/>
          </w:tcPr>
          <w:p>
            <w:pPr>
              <w:spacing w:after="0"/>
              <w:rPr>
                <w:sz w:val="1"/>
                <w:szCs w:val="1"/>
                <w:color w:val="auto"/>
              </w:rPr>
            </w:pPr>
          </w:p>
        </w:tc>
      </w:tr>
      <w:tr>
        <w:trPr>
          <w:trHeight w:val="128"/>
        </w:trPr>
        <w:tc>
          <w:tcPr>
            <w:tcW w:w="3960" w:type="dxa"/>
            <w:vAlign w:val="bottom"/>
            <w:tcBorders>
              <w:left w:val="single" w:sz="8" w:color="auto"/>
              <w:right w:val="single" w:sz="8" w:color="auto"/>
            </w:tcBorders>
            <w:vMerge w:val="continue"/>
          </w:tcPr>
          <w:p>
            <w:pPr>
              <w:spacing w:after="0"/>
              <w:rPr>
                <w:sz w:val="11"/>
                <w:szCs w:val="11"/>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Escrow</w:t>
            </w:r>
          </w:p>
        </w:tc>
        <w:tc>
          <w:tcPr>
            <w:tcW w:w="3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3960" w:type="dxa"/>
            <w:vAlign w:val="bottom"/>
            <w:tcBorders>
              <w:left w:val="single" w:sz="8" w:color="auto"/>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vMerge w:val="continue"/>
          </w:tcPr>
          <w:p>
            <w:pPr>
              <w:spacing w:after="0"/>
              <w:rPr>
                <w:sz w:val="7"/>
                <w:szCs w:val="7"/>
                <w:color w:val="auto"/>
              </w:rPr>
            </w:pPr>
          </w:p>
        </w:tc>
        <w:tc>
          <w:tcPr>
            <w:tcW w:w="3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Shares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12,545,767</w:t>
            </w:r>
            <w:r>
              <w:rPr>
                <w:rFonts w:ascii="Times New Roman" w:cs="Times New Roman" w:eastAsia="Times New Roman" w:hAnsi="Times New Roman"/>
                <w:sz w:val="21"/>
                <w:szCs w:val="21"/>
                <w:color w:val="auto"/>
                <w:w w:val="97"/>
                <w:vertAlign w:val="superscript"/>
              </w:rPr>
              <w:t>(1)</w:t>
            </w:r>
          </w:p>
        </w:tc>
        <w:tc>
          <w:tcPr>
            <w:tcW w:w="3540" w:type="dxa"/>
            <w:vAlign w:val="bottom"/>
            <w:tcBorders>
              <w:bottom w:val="single" w:sz="8" w:color="auto"/>
              <w:right w:val="single" w:sz="8" w:color="auto"/>
            </w:tcBorders>
          </w:tcPr>
          <w:p>
            <w:pPr>
              <w:jc w:val="center"/>
              <w:ind w:right="1399"/>
              <w:spacing w:after="0"/>
              <w:rPr>
                <w:sz w:val="20"/>
                <w:szCs w:val="20"/>
                <w:color w:val="auto"/>
              </w:rPr>
            </w:pPr>
            <w:r>
              <w:rPr>
                <w:rFonts w:ascii="Times New Roman" w:cs="Times New Roman" w:eastAsia="Times New Roman" w:hAnsi="Times New Roman"/>
                <w:sz w:val="16"/>
                <w:szCs w:val="16"/>
                <w:color w:val="auto"/>
              </w:rPr>
              <w:t>7.56%</w:t>
            </w:r>
            <w:r>
              <w:rPr>
                <w:rFonts w:ascii="Times New Roman" w:cs="Times New Roman" w:eastAsia="Times New Roman" w:hAnsi="Times New Roman"/>
                <w:sz w:val="21"/>
                <w:szCs w:val="21"/>
                <w:color w:val="auto"/>
                <w:vertAlign w:val="superscript"/>
              </w:rPr>
              <w:t>(2)</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u w:val="single" w:color="auto"/>
          <w:color w:val="auto"/>
        </w:rPr>
        <w:t>Notes</w:t>
      </w:r>
      <w:r>
        <w:rPr>
          <w:rFonts w:ascii="Times New Roman" w:cs="Times New Roman" w:eastAsia="Times New Roman" w:hAnsi="Times New Roman"/>
          <w:sz w:val="13"/>
          <w:szCs w:val="13"/>
          <w:color w:val="auto"/>
        </w:rPr>
        <w:t>:</w:t>
      </w:r>
    </w:p>
    <w:p>
      <w:pPr>
        <w:spacing w:after="0" w:line="36" w:lineRule="exact"/>
        <w:rPr>
          <w:sz w:val="20"/>
          <w:szCs w:val="20"/>
          <w:color w:val="auto"/>
        </w:rPr>
      </w:pPr>
    </w:p>
    <w:p>
      <w:pPr>
        <w:ind w:left="582" w:right="120" w:hanging="582"/>
        <w:spacing w:after="0" w:line="232" w:lineRule="auto"/>
        <w:tabs>
          <w:tab w:leader="none" w:pos="308"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classified as an “established Company” by the Exchange as defined in NP 46-201, and therefore these Escrowed Securities are subject to an eighteen month escrow under NP 46-201 pursuant to an escrow agreement among the Company, the holders of the Escrowed Securities and Odyssey Trust Company.</w:t>
      </w:r>
    </w:p>
    <w:p>
      <w:pPr>
        <w:spacing w:after="0" w:line="16" w:lineRule="exact"/>
        <w:rPr>
          <w:rFonts w:ascii="Times New Roman" w:cs="Times New Roman" w:eastAsia="Times New Roman" w:hAnsi="Times New Roman"/>
          <w:sz w:val="13"/>
          <w:szCs w:val="13"/>
          <w:color w:val="auto"/>
        </w:rPr>
      </w:pPr>
    </w:p>
    <w:p>
      <w:pPr>
        <w:ind w:left="282" w:hanging="282"/>
        <w:spacing w:after="0"/>
        <w:tabs>
          <w:tab w:leader="none" w:pos="282"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based on 166,020,533 Common Shares issued and outstanding as at the date hereof, on an undiluted basis.</w:t>
      </w:r>
    </w:p>
    <w:p>
      <w:pPr>
        <w:spacing w:after="0" w:line="30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Escrowed Securities will be released from escrow on the following schedule:</w:t>
      </w:r>
    </w:p>
    <w:p>
      <w:pPr>
        <w:spacing w:after="0" w:line="197" w:lineRule="exact"/>
        <w:rPr>
          <w:sz w:val="20"/>
          <w:szCs w:val="20"/>
          <w:color w:val="auto"/>
        </w:rPr>
      </w:pPr>
    </w:p>
    <w:tbl>
      <w:tblPr>
        <w:tblLayout w:type="fixed"/>
        <w:tblInd w:w="52" w:type="dxa"/>
        <w:tblCellMar>
          <w:top w:w="0" w:type="dxa"/>
          <w:left w:w="0" w:type="dxa"/>
          <w:bottom w:w="0" w:type="dxa"/>
          <w:right w:w="0" w:type="dxa"/>
        </w:tblCellMar>
      </w:tblPr>
      <w:tr>
        <w:trPr>
          <w:trHeight w:val="220"/>
        </w:trPr>
        <w:tc>
          <w:tcPr>
            <w:tcW w:w="674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Release Date</w:t>
            </w:r>
          </w:p>
        </w:tc>
        <w:tc>
          <w:tcPr>
            <w:tcW w:w="44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Escrowed Securities Released</w:t>
            </w:r>
          </w:p>
        </w:tc>
      </w:tr>
      <w:tr>
        <w:trPr>
          <w:trHeight w:val="200"/>
        </w:trPr>
        <w:tc>
          <w:tcPr>
            <w:tcW w:w="6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Listing Date</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 of the Escrowed Securities</w:t>
            </w:r>
          </w:p>
        </w:tc>
      </w:tr>
      <w:tr>
        <w:trPr>
          <w:trHeight w:val="200"/>
        </w:trPr>
        <w:tc>
          <w:tcPr>
            <w:tcW w:w="6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 months after the Listing Date</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 of remaining Escrowed Securities</w:t>
            </w:r>
          </w:p>
        </w:tc>
      </w:tr>
      <w:tr>
        <w:trPr>
          <w:trHeight w:val="200"/>
        </w:trPr>
        <w:tc>
          <w:tcPr>
            <w:tcW w:w="6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 months after the Listing Date</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 of remaining Escrowed Securities</w:t>
            </w:r>
          </w:p>
        </w:tc>
      </w:tr>
      <w:tr>
        <w:trPr>
          <w:trHeight w:val="200"/>
        </w:trPr>
        <w:tc>
          <w:tcPr>
            <w:tcW w:w="6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 months after the Listing Date</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remaining Escrowed Securities</w:t>
            </w:r>
          </w:p>
        </w:tc>
      </w:tr>
    </w:tbl>
    <w:p>
      <w:pPr>
        <w:spacing w:after="0" w:line="26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In addition to the foregoing escrow arrangements the holders of approximately 45,033,066 Common Shares have entered into contractual lock-up</w:t>
      </w:r>
    </w:p>
    <w:p>
      <w:pPr>
        <w:jc w:val="both"/>
        <w:ind w:left="2" w:right="20"/>
        <w:spacing w:after="0" w:line="222" w:lineRule="auto"/>
        <w:rPr>
          <w:sz w:val="20"/>
          <w:szCs w:val="20"/>
          <w:color w:val="auto"/>
        </w:rPr>
      </w:pPr>
      <w:r>
        <w:rPr>
          <w:rFonts w:ascii="Times New Roman" w:cs="Times New Roman" w:eastAsia="Times New Roman" w:hAnsi="Times New Roman"/>
          <w:sz w:val="18"/>
          <w:szCs w:val="18"/>
          <w:color w:val="auto"/>
        </w:rPr>
        <w:t>agreements with the Company with respect to the Escrowed Securities, which provides for a staggered release from such restrictions on the Listing Date, and the 6, 12 and 18 month anniversary of the Listing Date.</w:t>
      </w:r>
    </w:p>
    <w:p>
      <w:pPr>
        <w:spacing w:after="0" w:line="14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u w:val="single" w:color="auto"/>
          <w:color w:val="auto"/>
        </w:rPr>
        <w:t>Release Schedule</w:t>
      </w:r>
    </w:p>
    <w:p>
      <w:pPr>
        <w:spacing w:after="0" w:line="176" w:lineRule="exact"/>
        <w:rPr>
          <w:sz w:val="20"/>
          <w:szCs w:val="20"/>
          <w:color w:val="auto"/>
        </w:rPr>
      </w:pPr>
    </w:p>
    <w:p>
      <w:pPr>
        <w:jc w:val="both"/>
        <w:ind w:left="2"/>
        <w:spacing w:after="0" w:line="234" w:lineRule="auto"/>
        <w:rPr>
          <w:sz w:val="20"/>
          <w:szCs w:val="20"/>
          <w:color w:val="auto"/>
        </w:rPr>
      </w:pPr>
      <w:r>
        <w:rPr>
          <w:rFonts w:ascii="Times New Roman" w:cs="Times New Roman" w:eastAsia="Times New Roman" w:hAnsi="Times New Roman"/>
          <w:sz w:val="18"/>
          <w:szCs w:val="18"/>
          <w:color w:val="auto"/>
        </w:rPr>
        <w:t>The table below sets out the total number of each class of securities that are still currently held in escrow or subject to a contractual restriction on transfer and which will be released from restrictions on transfer on the date that 18 months from the Listing Date:</w:t>
      </w:r>
    </w:p>
    <w:p>
      <w:pPr>
        <w:spacing w:after="0" w:line="208" w:lineRule="exact"/>
        <w:rPr>
          <w:sz w:val="20"/>
          <w:szCs w:val="20"/>
          <w:color w:val="auto"/>
        </w:rPr>
      </w:pPr>
    </w:p>
    <w:tbl>
      <w:tblPr>
        <w:tblLayout w:type="fixed"/>
        <w:tblInd w:w="12" w:type="dxa"/>
        <w:tblCellMar>
          <w:top w:w="0" w:type="dxa"/>
          <w:left w:w="0" w:type="dxa"/>
          <w:bottom w:w="0" w:type="dxa"/>
          <w:right w:w="0" w:type="dxa"/>
        </w:tblCellMar>
      </w:tblPr>
      <w:tr>
        <w:trPr>
          <w:trHeight w:val="171"/>
        </w:trPr>
        <w:tc>
          <w:tcPr>
            <w:tcW w:w="3820" w:type="dxa"/>
            <w:vAlign w:val="bottom"/>
            <w:tcBorders>
              <w:top w:val="single" w:sz="8" w:color="auto"/>
              <w:left w:val="single" w:sz="8" w:color="auto"/>
              <w:right w:val="single" w:sz="8" w:color="auto"/>
            </w:tcBorders>
            <w:vMerge w:val="restart"/>
            <w:shd w:val="clear" w:color="auto" w:fill="D9D9D9"/>
          </w:tcPr>
          <w:p>
            <w:pPr>
              <w:ind w:left="1460"/>
              <w:spacing w:after="0"/>
              <w:rPr>
                <w:sz w:val="20"/>
                <w:szCs w:val="20"/>
                <w:color w:val="auto"/>
              </w:rPr>
            </w:pPr>
            <w:r>
              <w:rPr>
                <w:rFonts w:ascii="Times New Roman" w:cs="Times New Roman" w:eastAsia="Times New Roman" w:hAnsi="Times New Roman"/>
                <w:sz w:val="16"/>
                <w:szCs w:val="16"/>
                <w:b w:val="1"/>
                <w:bCs w:val="1"/>
                <w:color w:val="auto"/>
              </w:rPr>
              <w:t>Release Date</w:t>
            </w:r>
          </w:p>
        </w:tc>
        <w:tc>
          <w:tcPr>
            <w:tcW w:w="2500" w:type="dxa"/>
            <w:vAlign w:val="bottom"/>
            <w:tcBorders>
              <w:top w:val="single" w:sz="8" w:color="auto"/>
              <w:right w:val="single" w:sz="8" w:color="auto"/>
            </w:tcBorders>
            <w:vMerge w:val="restart"/>
            <w:shd w:val="clear" w:color="auto" w:fill="D9D9D9"/>
          </w:tcPr>
          <w:p>
            <w:pPr>
              <w:ind w:left="660"/>
              <w:spacing w:after="0"/>
              <w:rPr>
                <w:sz w:val="20"/>
                <w:szCs w:val="20"/>
                <w:color w:val="auto"/>
              </w:rPr>
            </w:pPr>
            <w:r>
              <w:rPr>
                <w:rFonts w:ascii="Times New Roman" w:cs="Times New Roman" w:eastAsia="Times New Roman" w:hAnsi="Times New Roman"/>
                <w:sz w:val="16"/>
                <w:szCs w:val="16"/>
                <w:b w:val="1"/>
                <w:bCs w:val="1"/>
                <w:color w:val="auto"/>
              </w:rPr>
              <w:t>Class of Security</w:t>
            </w:r>
          </w:p>
        </w:tc>
        <w:tc>
          <w:tcPr>
            <w:tcW w:w="3080" w:type="dxa"/>
            <w:vAlign w:val="bottom"/>
            <w:tcBorders>
              <w:top w:val="single" w:sz="8" w:color="auto"/>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Number of Securities to be release from</w:t>
            </w:r>
          </w:p>
        </w:tc>
        <w:tc>
          <w:tcPr>
            <w:tcW w:w="1880" w:type="dxa"/>
            <w:vAlign w:val="bottom"/>
            <w:tcBorders>
              <w:top w:val="single" w:sz="8" w:color="auto"/>
              <w:right w:val="single" w:sz="8" w:color="auto"/>
            </w:tcBorders>
            <w:vMerge w:val="restart"/>
            <w:shd w:val="clear" w:color="auto" w:fill="D9D9D9"/>
          </w:tcPr>
          <w:p>
            <w:pPr>
              <w:ind w:left="240"/>
              <w:spacing w:after="0"/>
              <w:rPr>
                <w:sz w:val="20"/>
                <w:szCs w:val="20"/>
                <w:color w:val="auto"/>
              </w:rPr>
            </w:pPr>
            <w:r>
              <w:rPr>
                <w:rFonts w:ascii="Times New Roman" w:cs="Times New Roman" w:eastAsia="Times New Roman" w:hAnsi="Times New Roman"/>
                <w:sz w:val="16"/>
                <w:szCs w:val="16"/>
                <w:b w:val="1"/>
                <w:bCs w:val="1"/>
                <w:color w:val="auto"/>
              </w:rPr>
              <w:t>Percentage of Class</w:t>
            </w:r>
          </w:p>
        </w:tc>
        <w:tc>
          <w:tcPr>
            <w:tcW w:w="0" w:type="dxa"/>
            <w:vAlign w:val="bottom"/>
          </w:tcPr>
          <w:p>
            <w:pPr>
              <w:spacing w:after="0"/>
              <w:rPr>
                <w:sz w:val="1"/>
                <w:szCs w:val="1"/>
                <w:color w:val="auto"/>
              </w:rPr>
            </w:pPr>
          </w:p>
        </w:tc>
      </w:tr>
      <w:tr>
        <w:trPr>
          <w:trHeight w:val="134"/>
        </w:trPr>
        <w:tc>
          <w:tcPr>
            <w:tcW w:w="382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500" w:type="dxa"/>
            <w:vAlign w:val="bottom"/>
            <w:tcBorders>
              <w:right w:val="single" w:sz="8" w:color="auto"/>
            </w:tcBorders>
            <w:vMerge w:val="continue"/>
            <w:shd w:val="clear" w:color="auto" w:fill="D9D9D9"/>
          </w:tcPr>
          <w:p>
            <w:pPr>
              <w:spacing w:after="0"/>
              <w:rPr>
                <w:sz w:val="11"/>
                <w:szCs w:val="11"/>
                <w:color w:val="auto"/>
              </w:rPr>
            </w:pPr>
          </w:p>
        </w:tc>
        <w:tc>
          <w:tcPr>
            <w:tcW w:w="30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restriction or escrow</w:t>
            </w:r>
          </w:p>
        </w:tc>
        <w:tc>
          <w:tcPr>
            <w:tcW w:w="1880" w:type="dxa"/>
            <w:vAlign w:val="bottom"/>
            <w:tcBorders>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82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2500" w:type="dxa"/>
            <w:vAlign w:val="bottom"/>
            <w:tcBorders>
              <w:bottom w:val="single" w:sz="8" w:color="auto"/>
              <w:right w:val="single" w:sz="8" w:color="auto"/>
            </w:tcBorders>
            <w:shd w:val="clear" w:color="auto" w:fill="D9D9D9"/>
          </w:tcPr>
          <w:p>
            <w:pPr>
              <w:spacing w:after="0"/>
              <w:rPr>
                <w:sz w:val="7"/>
                <w:szCs w:val="7"/>
                <w:color w:val="auto"/>
              </w:rPr>
            </w:pPr>
          </w:p>
        </w:tc>
        <w:tc>
          <w:tcPr>
            <w:tcW w:w="3080" w:type="dxa"/>
            <w:vAlign w:val="bottom"/>
            <w:tcBorders>
              <w:bottom w:val="single" w:sz="8" w:color="auto"/>
              <w:right w:val="single" w:sz="8" w:color="auto"/>
            </w:tcBorders>
            <w:vMerge w:val="continue"/>
            <w:shd w:val="clear" w:color="auto" w:fill="D9D9D9"/>
          </w:tcPr>
          <w:p>
            <w:pPr>
              <w:spacing w:after="0"/>
              <w:rPr>
                <w:sz w:val="7"/>
                <w:szCs w:val="7"/>
                <w:color w:val="auto"/>
              </w:rPr>
            </w:pPr>
          </w:p>
        </w:tc>
        <w:tc>
          <w:tcPr>
            <w:tcW w:w="188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82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18 months from the Listing Date</w:t>
            </w:r>
          </w:p>
        </w:tc>
        <w:tc>
          <w:tcPr>
            <w:tcW w:w="25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Common Shares</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12,545,767</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8.45%</w:t>
            </w:r>
          </w:p>
        </w:tc>
        <w:tc>
          <w:tcPr>
            <w:tcW w:w="0" w:type="dxa"/>
            <w:vAlign w:val="bottom"/>
          </w:tcPr>
          <w:p>
            <w:pPr>
              <w:spacing w:after="0"/>
              <w:rPr>
                <w:sz w:val="1"/>
                <w:szCs w:val="1"/>
                <w:color w:val="auto"/>
              </w:rPr>
            </w:pPr>
          </w:p>
        </w:tc>
      </w:tr>
      <w:tr>
        <w:trPr>
          <w:trHeight w:val="212"/>
        </w:trPr>
        <w:tc>
          <w:tcPr>
            <w:tcW w:w="3820" w:type="dxa"/>
            <w:vAlign w:val="bottom"/>
            <w:tcBorders>
              <w:left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3,200,000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14.74%</w:t>
            </w:r>
          </w:p>
        </w:tc>
        <w:tc>
          <w:tcPr>
            <w:tcW w:w="0" w:type="dxa"/>
            <w:vAlign w:val="bottom"/>
          </w:tcPr>
          <w:p>
            <w:pPr>
              <w:spacing w:after="0"/>
              <w:rPr>
                <w:sz w:val="1"/>
                <w:szCs w:val="1"/>
                <w:color w:val="auto"/>
              </w:rPr>
            </w:pPr>
          </w:p>
        </w:tc>
      </w:tr>
      <w:tr>
        <w:trPr>
          <w:trHeight w:val="212"/>
        </w:trPr>
        <w:tc>
          <w:tcPr>
            <w:tcW w:w="3820" w:type="dxa"/>
            <w:vAlign w:val="bottom"/>
            <w:tcBorders>
              <w:left w:val="single" w:sz="8" w:color="auto"/>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Warrants</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3,125,032</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60"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The following table lists the names, municipalities of residence of the directors and officers of the Company, their positions and offices to be held with the</w:t>
      </w:r>
    </w:p>
    <w:p>
      <w:pPr>
        <w:jc w:val="both"/>
        <w:ind w:left="2" w:right="20"/>
        <w:spacing w:after="0" w:line="205" w:lineRule="auto"/>
        <w:rPr>
          <w:sz w:val="20"/>
          <w:szCs w:val="20"/>
          <w:color w:val="auto"/>
        </w:rPr>
      </w:pPr>
      <w:r>
        <w:rPr>
          <w:rFonts w:ascii="Times New Roman" w:cs="Times New Roman" w:eastAsia="Times New Roman" w:hAnsi="Times New Roman"/>
          <w:sz w:val="18"/>
          <w:szCs w:val="18"/>
          <w:color w:val="auto"/>
        </w:rPr>
        <w:t>Company, and their principal occupations during the past five years and the number of securities of the Company that are beneficially owned, directly or indirectly, or over which control or direction will be exercised by each. Each of the directors is elected to hold office until the next annual meeting of the</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shareholders of the Company or until a successor is duly elected or appointed.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62"/>
          </w:cols>
          <w:pgMar w:left="318" w:top="1440" w:right="319" w:bottom="1440" w:gutter="0" w:footer="0" w:header="0"/>
        </w:sectPr>
      </w:pPr>
    </w:p>
    <w:bookmarkStart w:id="84" w:name="page85"/>
    <w:bookmarkEnd w:id="84"/>
    <w:p>
      <w:pPr>
        <w:spacing w:after="0" w:line="36"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2260" w:type="dxa"/>
            <w:vAlign w:val="bottom"/>
            <w:tcBorders>
              <w:top w:val="single" w:sz="8" w:color="auto"/>
              <w:left w:val="single" w:sz="8" w:color="auto"/>
              <w:right w:val="single" w:sz="8" w:color="auto"/>
            </w:tcBorders>
            <w:vMerge w:val="restart"/>
            <w:shd w:val="clear" w:color="auto" w:fill="D9D9D9"/>
          </w:tcPr>
          <w:p>
            <w:pPr>
              <w:ind w:left="340"/>
              <w:spacing w:after="0"/>
              <w:rPr>
                <w:sz w:val="20"/>
                <w:szCs w:val="20"/>
                <w:color w:val="auto"/>
              </w:rPr>
            </w:pPr>
            <w:r>
              <w:rPr>
                <w:rFonts w:ascii="Times New Roman" w:cs="Times New Roman" w:eastAsia="Times New Roman" w:hAnsi="Times New Roman"/>
                <w:sz w:val="16"/>
                <w:szCs w:val="16"/>
                <w:b w:val="1"/>
                <w:bCs w:val="1"/>
                <w:color w:val="auto"/>
              </w:rPr>
              <w:t>Name, Municipality of</w:t>
            </w:r>
          </w:p>
        </w:tc>
        <w:tc>
          <w:tcPr>
            <w:tcW w:w="4480" w:type="dxa"/>
            <w:vAlign w:val="bottom"/>
            <w:tcBorders>
              <w:top w:val="single" w:sz="8" w:color="auto"/>
              <w:right w:val="single" w:sz="8" w:color="auto"/>
            </w:tcBorders>
            <w:vMerge w:val="restart"/>
            <w:shd w:val="clear" w:color="auto" w:fill="D9D9D9"/>
          </w:tcPr>
          <w:p>
            <w:pPr>
              <w:ind w:left="680"/>
              <w:spacing w:after="0"/>
              <w:rPr>
                <w:sz w:val="20"/>
                <w:szCs w:val="20"/>
                <w:color w:val="auto"/>
              </w:rPr>
            </w:pPr>
            <w:r>
              <w:rPr>
                <w:rFonts w:ascii="Times New Roman" w:cs="Times New Roman" w:eastAsia="Times New Roman" w:hAnsi="Times New Roman"/>
                <w:sz w:val="16"/>
                <w:szCs w:val="16"/>
                <w:b w:val="1"/>
                <w:bCs w:val="1"/>
                <w:color w:val="auto"/>
              </w:rPr>
              <w:t>Principal Occupation for the Past Five Years</w:t>
            </w:r>
          </w:p>
        </w:tc>
        <w:tc>
          <w:tcPr>
            <w:tcW w:w="22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Appointed as of</w:t>
            </w:r>
          </w:p>
        </w:tc>
        <w:tc>
          <w:tcPr>
            <w:tcW w:w="2280" w:type="dxa"/>
            <w:vAlign w:val="bottom"/>
            <w:tcBorders>
              <w:top w:val="single" w:sz="8" w:color="auto"/>
              <w:right w:val="single" w:sz="8" w:color="auto"/>
            </w:tcBorders>
            <w:shd w:val="clear" w:color="auto" w:fill="D9D9D9"/>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rPr>
              <w:t>Number and Percentage of</w:t>
            </w:r>
          </w:p>
        </w:tc>
        <w:tc>
          <w:tcPr>
            <w:tcW w:w="0" w:type="dxa"/>
            <w:vAlign w:val="bottom"/>
          </w:tcPr>
          <w:p>
            <w:pPr>
              <w:spacing w:after="0"/>
              <w:rPr>
                <w:sz w:val="1"/>
                <w:szCs w:val="1"/>
                <w:color w:val="auto"/>
              </w:rPr>
            </w:pPr>
          </w:p>
        </w:tc>
      </w:tr>
      <w:tr>
        <w:trPr>
          <w:trHeight w:val="73"/>
        </w:trPr>
        <w:tc>
          <w:tcPr>
            <w:tcW w:w="2260" w:type="dxa"/>
            <w:vAlign w:val="bottom"/>
            <w:tcBorders>
              <w:left w:val="single" w:sz="8" w:color="auto"/>
              <w:right w:val="single" w:sz="8" w:color="auto"/>
            </w:tcBorders>
            <w:vMerge w:val="continue"/>
            <w:shd w:val="clear" w:color="auto" w:fill="D9D9D9"/>
          </w:tcPr>
          <w:p>
            <w:pPr>
              <w:spacing w:after="0"/>
              <w:rPr>
                <w:sz w:val="6"/>
                <w:szCs w:val="6"/>
                <w:color w:val="auto"/>
              </w:rPr>
            </w:pPr>
          </w:p>
        </w:tc>
        <w:tc>
          <w:tcPr>
            <w:tcW w:w="4480" w:type="dxa"/>
            <w:vAlign w:val="bottom"/>
            <w:tcBorders>
              <w:right w:val="single" w:sz="8" w:color="auto"/>
            </w:tcBorders>
            <w:vMerge w:val="continue"/>
            <w:shd w:val="clear" w:color="auto" w:fill="D9D9D9"/>
          </w:tcPr>
          <w:p>
            <w:pPr>
              <w:spacing w:after="0"/>
              <w:rPr>
                <w:sz w:val="6"/>
                <w:szCs w:val="6"/>
                <w:color w:val="auto"/>
              </w:rPr>
            </w:pPr>
          </w:p>
        </w:tc>
        <w:tc>
          <w:tcPr>
            <w:tcW w:w="2260" w:type="dxa"/>
            <w:vAlign w:val="bottom"/>
            <w:tcBorders>
              <w:right w:val="single" w:sz="8" w:color="auto"/>
            </w:tcBorders>
            <w:vMerge w:val="continue"/>
            <w:shd w:val="clear" w:color="auto" w:fill="D9D9D9"/>
          </w:tcPr>
          <w:p>
            <w:pPr>
              <w:spacing w:after="0"/>
              <w:rPr>
                <w:sz w:val="6"/>
                <w:szCs w:val="6"/>
                <w:color w:val="auto"/>
              </w:rPr>
            </w:pPr>
          </w:p>
        </w:tc>
        <w:tc>
          <w:tcPr>
            <w:tcW w:w="2280" w:type="dxa"/>
            <w:vAlign w:val="bottom"/>
            <w:tcBorders>
              <w:right w:val="single" w:sz="8" w:color="auto"/>
            </w:tcBorders>
            <w:vMerge w:val="restart"/>
            <w:shd w:val="clear" w:color="auto" w:fill="D9D9D9"/>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Securities Beneficially Owned</w:t>
            </w:r>
          </w:p>
        </w:tc>
        <w:tc>
          <w:tcPr>
            <w:tcW w:w="0" w:type="dxa"/>
            <w:vAlign w:val="bottom"/>
          </w:tcPr>
          <w:p>
            <w:pPr>
              <w:spacing w:after="0"/>
              <w:rPr>
                <w:sz w:val="1"/>
                <w:szCs w:val="1"/>
                <w:color w:val="auto"/>
              </w:rPr>
            </w:pPr>
          </w:p>
        </w:tc>
      </w:tr>
      <w:tr>
        <w:trPr>
          <w:trHeight w:val="92"/>
        </w:trPr>
        <w:tc>
          <w:tcPr>
            <w:tcW w:w="2260" w:type="dxa"/>
            <w:vAlign w:val="bottom"/>
            <w:tcBorders>
              <w:left w:val="single" w:sz="8" w:color="auto"/>
              <w:right w:val="single" w:sz="8" w:color="auto"/>
            </w:tcBorders>
            <w:vMerge w:val="restart"/>
            <w:shd w:val="clear" w:color="auto" w:fill="D9D9D9"/>
          </w:tcPr>
          <w:p>
            <w:pPr>
              <w:ind w:left="140"/>
              <w:spacing w:after="0"/>
              <w:rPr>
                <w:sz w:val="20"/>
                <w:szCs w:val="20"/>
                <w:color w:val="auto"/>
              </w:rPr>
            </w:pPr>
            <w:r>
              <w:rPr>
                <w:rFonts w:ascii="Times New Roman" w:cs="Times New Roman" w:eastAsia="Times New Roman" w:hAnsi="Times New Roman"/>
                <w:sz w:val="16"/>
                <w:szCs w:val="16"/>
                <w:b w:val="1"/>
                <w:bCs w:val="1"/>
                <w:color w:val="auto"/>
              </w:rPr>
              <w:t>Residence and Position Held</w:t>
            </w:r>
          </w:p>
        </w:tc>
        <w:tc>
          <w:tcPr>
            <w:tcW w:w="4480" w:type="dxa"/>
            <w:vAlign w:val="bottom"/>
            <w:tcBorders>
              <w:right w:val="single" w:sz="8" w:color="auto"/>
            </w:tcBorders>
            <w:vMerge w:val="continue"/>
            <w:shd w:val="clear" w:color="auto" w:fill="D9D9D9"/>
          </w:tcPr>
          <w:p>
            <w:pPr>
              <w:spacing w:after="0"/>
              <w:rPr>
                <w:sz w:val="7"/>
                <w:szCs w:val="7"/>
                <w:color w:val="auto"/>
              </w:rPr>
            </w:pPr>
          </w:p>
        </w:tc>
        <w:tc>
          <w:tcPr>
            <w:tcW w:w="2260" w:type="dxa"/>
            <w:vAlign w:val="bottom"/>
            <w:tcBorders>
              <w:right w:val="single" w:sz="8" w:color="auto"/>
            </w:tcBorders>
            <w:vMerge w:val="continue"/>
            <w:shd w:val="clear" w:color="auto" w:fill="D9D9D9"/>
          </w:tcPr>
          <w:p>
            <w:pPr>
              <w:spacing w:after="0"/>
              <w:rPr>
                <w:sz w:val="7"/>
                <w:szCs w:val="7"/>
                <w:color w:val="auto"/>
              </w:rPr>
            </w:pPr>
          </w:p>
        </w:tc>
        <w:tc>
          <w:tcPr>
            <w:tcW w:w="2280" w:type="dxa"/>
            <w:vAlign w:val="bottom"/>
            <w:tcBorders>
              <w:right w:val="single" w:sz="8" w:color="auto"/>
            </w:tcBorders>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26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4480" w:type="dxa"/>
            <w:vAlign w:val="bottom"/>
            <w:tcBorders>
              <w:right w:val="single" w:sz="8" w:color="auto"/>
            </w:tcBorders>
            <w:shd w:val="clear" w:color="auto" w:fill="D9D9D9"/>
          </w:tcPr>
          <w:p>
            <w:pPr>
              <w:spacing w:after="0"/>
              <w:rPr>
                <w:sz w:val="10"/>
                <w:szCs w:val="10"/>
                <w:color w:val="auto"/>
              </w:rPr>
            </w:pPr>
          </w:p>
        </w:tc>
        <w:tc>
          <w:tcPr>
            <w:tcW w:w="2260" w:type="dxa"/>
            <w:vAlign w:val="bottom"/>
            <w:tcBorders>
              <w:right w:val="single" w:sz="8" w:color="auto"/>
            </w:tcBorders>
            <w:shd w:val="clear" w:color="auto" w:fill="D9D9D9"/>
          </w:tcPr>
          <w:p>
            <w:pPr>
              <w:spacing w:after="0"/>
              <w:rPr>
                <w:sz w:val="10"/>
                <w:szCs w:val="10"/>
                <w:color w:val="auto"/>
              </w:rPr>
            </w:pPr>
          </w:p>
        </w:tc>
        <w:tc>
          <w:tcPr>
            <w:tcW w:w="22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or Controlled</w:t>
            </w:r>
          </w:p>
        </w:tc>
        <w:tc>
          <w:tcPr>
            <w:tcW w:w="0" w:type="dxa"/>
            <w:vAlign w:val="bottom"/>
          </w:tcPr>
          <w:p>
            <w:pPr>
              <w:spacing w:after="0"/>
              <w:rPr>
                <w:sz w:val="1"/>
                <w:szCs w:val="1"/>
                <w:color w:val="auto"/>
              </w:rPr>
            </w:pPr>
          </w:p>
        </w:tc>
      </w:tr>
      <w:tr>
        <w:trPr>
          <w:trHeight w:val="86"/>
        </w:trPr>
        <w:tc>
          <w:tcPr>
            <w:tcW w:w="226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4480" w:type="dxa"/>
            <w:vAlign w:val="bottom"/>
            <w:tcBorders>
              <w:bottom w:val="single" w:sz="8" w:color="auto"/>
              <w:right w:val="single" w:sz="8" w:color="auto"/>
            </w:tcBorders>
            <w:shd w:val="clear" w:color="auto" w:fill="D9D9D9"/>
          </w:tcPr>
          <w:p>
            <w:pPr>
              <w:spacing w:after="0"/>
              <w:rPr>
                <w:sz w:val="7"/>
                <w:szCs w:val="7"/>
                <w:color w:val="auto"/>
              </w:rPr>
            </w:pPr>
          </w:p>
        </w:tc>
        <w:tc>
          <w:tcPr>
            <w:tcW w:w="2260" w:type="dxa"/>
            <w:vAlign w:val="bottom"/>
            <w:tcBorders>
              <w:bottom w:val="single" w:sz="8" w:color="auto"/>
              <w:right w:val="single" w:sz="8" w:color="auto"/>
            </w:tcBorders>
            <w:shd w:val="clear" w:color="auto" w:fill="D9D9D9"/>
          </w:tcPr>
          <w:p>
            <w:pPr>
              <w:spacing w:after="0"/>
              <w:rPr>
                <w:sz w:val="7"/>
                <w:szCs w:val="7"/>
                <w:color w:val="auto"/>
              </w:rPr>
            </w:pPr>
          </w:p>
        </w:tc>
        <w:tc>
          <w:tcPr>
            <w:tcW w:w="2280" w:type="dxa"/>
            <w:vAlign w:val="bottom"/>
            <w:tcBorders>
              <w:bottom w:val="single" w:sz="8" w:color="auto"/>
              <w:right w:val="single" w:sz="8" w:color="auto"/>
            </w:tcBorders>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Douglas Drysdale, Falmouth,</w:t>
            </w:r>
          </w:p>
        </w:tc>
        <w:tc>
          <w:tcPr>
            <w:tcW w:w="44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Chief Executive Officer, Cybin</w:t>
            </w:r>
          </w:p>
        </w:tc>
        <w:tc>
          <w:tcPr>
            <w:tcW w:w="22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November 2020</w:t>
            </w:r>
          </w:p>
        </w:tc>
        <w:tc>
          <w:tcPr>
            <w:tcW w:w="22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38,000</w:t>
            </w:r>
            <w:r>
              <w:rPr>
                <w:rFonts w:ascii="Times New Roman" w:cs="Times New Roman" w:eastAsia="Times New Roman" w:hAnsi="Times New Roman"/>
                <w:sz w:val="18"/>
                <w:szCs w:val="18"/>
                <w:b w:val="1"/>
                <w:bCs w:val="1"/>
                <w:color w:val="auto"/>
                <w:vertAlign w:val="superscript"/>
              </w:rPr>
              <w:t>(5)</w:t>
            </w:r>
          </w:p>
        </w:tc>
        <w:tc>
          <w:tcPr>
            <w:tcW w:w="0" w:type="dxa"/>
            <w:vAlign w:val="bottom"/>
          </w:tcPr>
          <w:p>
            <w:pPr>
              <w:spacing w:after="0"/>
              <w:rPr>
                <w:sz w:val="1"/>
                <w:szCs w:val="1"/>
                <w:color w:val="auto"/>
              </w:rPr>
            </w:pPr>
          </w:p>
        </w:tc>
      </w:tr>
      <w:tr>
        <w:trPr>
          <w:trHeight w:val="211"/>
        </w:trPr>
        <w:tc>
          <w:tcPr>
            <w:tcW w:w="22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Massachusetts, United States</w:t>
            </w:r>
          </w:p>
        </w:tc>
        <w:tc>
          <w:tcPr>
            <w:tcW w:w="44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20"/>
        </w:trPr>
        <w:tc>
          <w:tcPr>
            <w:tcW w:w="22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c>
          <w:tcPr>
            <w:tcW w:w="4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 Tedor Pharma Inc.</w:t>
            </w:r>
          </w:p>
        </w:tc>
        <w:tc>
          <w:tcPr>
            <w:tcW w:w="226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448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22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Greg Cavers,</w:t>
            </w:r>
          </w:p>
        </w:tc>
        <w:tc>
          <w:tcPr>
            <w:tcW w:w="44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Chief Financial Officer, Cybin</w:t>
            </w:r>
          </w:p>
        </w:tc>
        <w:tc>
          <w:tcPr>
            <w:tcW w:w="22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November 2020</w:t>
            </w:r>
          </w:p>
        </w:tc>
        <w:tc>
          <w:tcPr>
            <w:tcW w:w="22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20,000</w:t>
            </w:r>
            <w:r>
              <w:rPr>
                <w:rFonts w:ascii="Times New Roman" w:cs="Times New Roman" w:eastAsia="Times New Roman" w:hAnsi="Times New Roman"/>
                <w:sz w:val="18"/>
                <w:szCs w:val="18"/>
                <w:b w:val="1"/>
                <w:bCs w:val="1"/>
                <w:color w:val="auto"/>
                <w:vertAlign w:val="superscript"/>
              </w:rPr>
              <w:t>(6)</w:t>
            </w:r>
          </w:p>
        </w:tc>
        <w:tc>
          <w:tcPr>
            <w:tcW w:w="0" w:type="dxa"/>
            <w:vAlign w:val="bottom"/>
          </w:tcPr>
          <w:p>
            <w:pPr>
              <w:spacing w:after="0"/>
              <w:rPr>
                <w:sz w:val="1"/>
                <w:szCs w:val="1"/>
                <w:color w:val="auto"/>
              </w:rPr>
            </w:pPr>
          </w:p>
        </w:tc>
      </w:tr>
      <w:tr>
        <w:trPr>
          <w:trHeight w:val="211"/>
        </w:trPr>
        <w:tc>
          <w:tcPr>
            <w:tcW w:w="22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Toronto, Ontario, Canada</w:t>
            </w:r>
          </w:p>
        </w:tc>
        <w:tc>
          <w:tcPr>
            <w:tcW w:w="44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20"/>
        </w:trPr>
        <w:tc>
          <w:tcPr>
            <w:tcW w:w="22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4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Interim Chief Financial Officer, LottoGopher Holdings Inc.</w:t>
            </w:r>
          </w:p>
        </w:tc>
        <w:tc>
          <w:tcPr>
            <w:tcW w:w="226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vMerge w:val="continue"/>
          </w:tcPr>
          <w:p>
            <w:pPr>
              <w:spacing w:after="0"/>
              <w:rPr>
                <w:sz w:val="13"/>
                <w:szCs w:val="13"/>
                <w:color w:val="auto"/>
              </w:rPr>
            </w:pPr>
          </w:p>
        </w:tc>
        <w:tc>
          <w:tcPr>
            <w:tcW w:w="448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Director of Finance, Ontario Securities Commission</w:t>
            </w:r>
          </w:p>
        </w:tc>
        <w:tc>
          <w:tcPr>
            <w:tcW w:w="22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Gabriel Fahel, Ottawa, Ontario,</w:t>
            </w:r>
          </w:p>
        </w:tc>
        <w:tc>
          <w:tcPr>
            <w:tcW w:w="44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Chief Legal Officer, Cybin</w:t>
            </w:r>
          </w:p>
        </w:tc>
        <w:tc>
          <w:tcPr>
            <w:tcW w:w="22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November 2020</w:t>
            </w:r>
          </w:p>
        </w:tc>
        <w:tc>
          <w:tcPr>
            <w:tcW w:w="22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287,000</w:t>
            </w:r>
            <w:r>
              <w:rPr>
                <w:rFonts w:ascii="Times New Roman" w:cs="Times New Roman" w:eastAsia="Times New Roman" w:hAnsi="Times New Roman"/>
                <w:sz w:val="18"/>
                <w:szCs w:val="18"/>
                <w:b w:val="1"/>
                <w:bCs w:val="1"/>
                <w:color w:val="auto"/>
                <w:vertAlign w:val="superscript"/>
              </w:rPr>
              <w:t>(7)</w:t>
            </w:r>
          </w:p>
        </w:tc>
        <w:tc>
          <w:tcPr>
            <w:tcW w:w="0" w:type="dxa"/>
            <w:vAlign w:val="bottom"/>
          </w:tcPr>
          <w:p>
            <w:pPr>
              <w:spacing w:after="0"/>
              <w:rPr>
                <w:sz w:val="1"/>
                <w:szCs w:val="1"/>
                <w:color w:val="auto"/>
              </w:rPr>
            </w:pPr>
          </w:p>
        </w:tc>
      </w:tr>
      <w:tr>
        <w:trPr>
          <w:trHeight w:val="211"/>
        </w:trPr>
        <w:tc>
          <w:tcPr>
            <w:tcW w:w="22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44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20"/>
        </w:trPr>
        <w:tc>
          <w:tcPr>
            <w:tcW w:w="22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Chief Legal Officer</w:t>
            </w:r>
          </w:p>
        </w:tc>
        <w:tc>
          <w:tcPr>
            <w:tcW w:w="4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Legal Counsel, Government of Canada</w:t>
            </w:r>
          </w:p>
        </w:tc>
        <w:tc>
          <w:tcPr>
            <w:tcW w:w="226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vMerge w:val="continue"/>
          </w:tcPr>
          <w:p>
            <w:pPr>
              <w:spacing w:after="0"/>
              <w:rPr>
                <w:sz w:val="13"/>
                <w:szCs w:val="13"/>
                <w:color w:val="auto"/>
              </w:rPr>
            </w:pPr>
          </w:p>
        </w:tc>
        <w:tc>
          <w:tcPr>
            <w:tcW w:w="448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General Counsel, Mundo Media Ltd.</w:t>
            </w:r>
          </w:p>
        </w:tc>
        <w:tc>
          <w:tcPr>
            <w:tcW w:w="22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Paul Glavine, Toronto, Ontario,</w:t>
            </w:r>
          </w:p>
        </w:tc>
        <w:tc>
          <w:tcPr>
            <w:tcW w:w="44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Former Chief Operating Officer and Chief Executive Officer, Cybin</w:t>
            </w:r>
          </w:p>
        </w:tc>
        <w:tc>
          <w:tcPr>
            <w:tcW w:w="22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November 2020</w:t>
            </w:r>
          </w:p>
        </w:tc>
        <w:tc>
          <w:tcPr>
            <w:tcW w:w="22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11,242,407</w:t>
            </w:r>
            <w:r>
              <w:rPr>
                <w:rFonts w:ascii="Times New Roman" w:cs="Times New Roman" w:eastAsia="Times New Roman" w:hAnsi="Times New Roman"/>
                <w:sz w:val="18"/>
                <w:szCs w:val="18"/>
                <w:b w:val="1"/>
                <w:bCs w:val="1"/>
                <w:color w:val="auto"/>
                <w:vertAlign w:val="superscript"/>
              </w:rPr>
              <w:t>(6)</w:t>
            </w:r>
          </w:p>
        </w:tc>
        <w:tc>
          <w:tcPr>
            <w:tcW w:w="0" w:type="dxa"/>
            <w:vAlign w:val="bottom"/>
          </w:tcPr>
          <w:p>
            <w:pPr>
              <w:spacing w:after="0"/>
              <w:rPr>
                <w:sz w:val="1"/>
                <w:szCs w:val="1"/>
                <w:color w:val="auto"/>
              </w:rPr>
            </w:pPr>
          </w:p>
        </w:tc>
      </w:tr>
      <w:tr>
        <w:trPr>
          <w:trHeight w:val="211"/>
        </w:trPr>
        <w:tc>
          <w:tcPr>
            <w:tcW w:w="22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44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220"/>
        </w:trPr>
        <w:tc>
          <w:tcPr>
            <w:tcW w:w="22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Director and Chief Growth</w:t>
            </w:r>
          </w:p>
        </w:tc>
        <w:tc>
          <w:tcPr>
            <w:tcW w:w="4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Managing director, Global Canna Labs Limited and Truverra</w:t>
            </w:r>
          </w:p>
        </w:tc>
        <w:tc>
          <w:tcPr>
            <w:tcW w:w="226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2260" w:type="dxa"/>
            <w:vAlign w:val="bottom"/>
            <w:tcBorders>
              <w:left w:val="single" w:sz="8" w:color="auto"/>
              <w:right w:val="single" w:sz="8" w:color="auto"/>
            </w:tcBorders>
            <w:vMerge w:val="continue"/>
          </w:tcPr>
          <w:p>
            <w:pPr>
              <w:spacing w:after="0"/>
              <w:rPr>
                <w:sz w:val="9"/>
                <w:szCs w:val="9"/>
                <w:color w:val="auto"/>
              </w:rPr>
            </w:pPr>
          </w:p>
        </w:tc>
        <w:tc>
          <w:tcPr>
            <w:tcW w:w="448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448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Brett Greene,</w:t>
            </w:r>
          </w:p>
        </w:tc>
        <w:tc>
          <w:tcPr>
            <w:tcW w:w="44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Chief Innovations Officer, Cybin</w:t>
            </w:r>
          </w:p>
        </w:tc>
        <w:tc>
          <w:tcPr>
            <w:tcW w:w="22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December 2020</w:t>
            </w:r>
          </w:p>
        </w:tc>
        <w:tc>
          <w:tcPr>
            <w:tcW w:w="22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8"/>
                <w:szCs w:val="18"/>
                <w:color w:val="auto"/>
                <w:vertAlign w:val="subscript"/>
              </w:rPr>
              <w:t>Nil</w:t>
            </w:r>
            <w:r>
              <w:rPr>
                <w:rFonts w:ascii="Times New Roman" w:cs="Times New Roman" w:eastAsia="Times New Roman" w:hAnsi="Times New Roman"/>
                <w:sz w:val="8"/>
                <w:szCs w:val="8"/>
                <w:b w:val="1"/>
                <w:bCs w:val="1"/>
                <w:color w:val="auto"/>
              </w:rPr>
              <w:t>(13)</w:t>
            </w:r>
          </w:p>
        </w:tc>
        <w:tc>
          <w:tcPr>
            <w:tcW w:w="0" w:type="dxa"/>
            <w:vAlign w:val="bottom"/>
          </w:tcPr>
          <w:p>
            <w:pPr>
              <w:spacing w:after="0"/>
              <w:rPr>
                <w:sz w:val="1"/>
                <w:szCs w:val="1"/>
                <w:color w:val="auto"/>
              </w:rPr>
            </w:pPr>
          </w:p>
        </w:tc>
      </w:tr>
      <w:tr>
        <w:trPr>
          <w:trHeight w:val="163"/>
        </w:trPr>
        <w:tc>
          <w:tcPr>
            <w:tcW w:w="2260" w:type="dxa"/>
            <w:vAlign w:val="bottom"/>
            <w:tcBorders>
              <w:left w:val="single" w:sz="8" w:color="auto"/>
              <w:right w:val="single" w:sz="8" w:color="auto"/>
            </w:tcBorders>
          </w:tcPr>
          <w:p>
            <w:pPr>
              <w:ind w:left="20"/>
              <w:spacing w:after="0" w:line="163" w:lineRule="exact"/>
              <w:rPr>
                <w:sz w:val="20"/>
                <w:szCs w:val="20"/>
                <w:color w:val="auto"/>
              </w:rPr>
            </w:pPr>
            <w:r>
              <w:rPr>
                <w:rFonts w:ascii="Times New Roman" w:cs="Times New Roman" w:eastAsia="Times New Roman" w:hAnsi="Times New Roman"/>
                <w:sz w:val="16"/>
                <w:szCs w:val="16"/>
                <w:color w:val="auto"/>
              </w:rPr>
              <w:t>Fitchburg, Massachusetts,</w:t>
            </w:r>
          </w:p>
        </w:tc>
        <w:tc>
          <w:tcPr>
            <w:tcW w:w="448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2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2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4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President, Founder &amp; Chief Strategy Officer</w:t>
            </w:r>
          </w:p>
        </w:tc>
        <w:tc>
          <w:tcPr>
            <w:tcW w:w="226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Chief Innovations Officer</w:t>
            </w:r>
          </w:p>
        </w:tc>
        <w:tc>
          <w:tcPr>
            <w:tcW w:w="4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Adelia Therapeutics</w:t>
            </w: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260" w:type="dxa"/>
            <w:vAlign w:val="bottom"/>
            <w:tcBorders>
              <w:left w:val="single" w:sz="8" w:color="auto"/>
              <w:right w:val="single" w:sz="8" w:color="auto"/>
            </w:tcBorders>
            <w:vMerge w:val="continue"/>
          </w:tcPr>
          <w:p>
            <w:pPr>
              <w:spacing w:after="0"/>
              <w:rPr>
                <w:sz w:val="13"/>
                <w:szCs w:val="13"/>
                <w:color w:val="auto"/>
              </w:rPr>
            </w:pPr>
          </w:p>
        </w:tc>
        <w:tc>
          <w:tcPr>
            <w:tcW w:w="448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tcPr>
          <w:p>
            <w:pPr>
              <w:spacing w:after="0"/>
              <w:rPr>
                <w:sz w:val="15"/>
                <w:szCs w:val="15"/>
                <w:color w:val="auto"/>
              </w:rPr>
            </w:pPr>
          </w:p>
        </w:tc>
        <w:tc>
          <w:tcPr>
            <w:tcW w:w="448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Research Administrator, Center for Drug Discovery, Northeastern</w:t>
            </w:r>
          </w:p>
        </w:tc>
        <w:tc>
          <w:tcPr>
            <w:tcW w:w="2260" w:type="dxa"/>
            <w:vAlign w:val="bottom"/>
            <w:tcBorders>
              <w:right w:val="single" w:sz="8" w:color="auto"/>
            </w:tcBorders>
          </w:tcPr>
          <w:p>
            <w:pPr>
              <w:spacing w:after="0"/>
              <w:rPr>
                <w:sz w:val="15"/>
                <w:szCs w:val="15"/>
                <w:color w:val="auto"/>
              </w:rPr>
            </w:pPr>
          </w:p>
        </w:tc>
        <w:tc>
          <w:tcPr>
            <w:tcW w:w="2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260" w:type="dxa"/>
            <w:vAlign w:val="bottom"/>
            <w:tcBorders>
              <w:left w:val="single" w:sz="8" w:color="auto"/>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University</w:t>
            </w:r>
          </w:p>
        </w:tc>
        <w:tc>
          <w:tcPr>
            <w:tcW w:w="226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Alex Nivorozhkin, West</w:t>
            </w:r>
          </w:p>
        </w:tc>
        <w:tc>
          <w:tcPr>
            <w:tcW w:w="44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Chief Executive Officer, Adelia Therapeutics Inc.</w:t>
            </w:r>
          </w:p>
        </w:tc>
        <w:tc>
          <w:tcPr>
            <w:tcW w:w="22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December 2020</w:t>
            </w:r>
          </w:p>
        </w:tc>
        <w:tc>
          <w:tcPr>
            <w:tcW w:w="22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1,254,360</w:t>
            </w:r>
            <w:r>
              <w:rPr>
                <w:rFonts w:ascii="Times New Roman" w:cs="Times New Roman" w:eastAsia="Times New Roman" w:hAnsi="Times New Roman"/>
                <w:sz w:val="18"/>
                <w:szCs w:val="18"/>
                <w:b w:val="1"/>
                <w:bCs w:val="1"/>
                <w:color w:val="auto"/>
                <w:vertAlign w:val="superscript"/>
              </w:rPr>
              <w:t>(11)</w:t>
            </w:r>
          </w:p>
        </w:tc>
        <w:tc>
          <w:tcPr>
            <w:tcW w:w="0" w:type="dxa"/>
            <w:vAlign w:val="bottom"/>
          </w:tcPr>
          <w:p>
            <w:pPr>
              <w:spacing w:after="0"/>
              <w:rPr>
                <w:sz w:val="1"/>
                <w:szCs w:val="1"/>
                <w:color w:val="auto"/>
              </w:rPr>
            </w:pPr>
          </w:p>
        </w:tc>
      </w:tr>
      <w:tr>
        <w:trPr>
          <w:trHeight w:val="163"/>
        </w:trPr>
        <w:tc>
          <w:tcPr>
            <w:tcW w:w="2260" w:type="dxa"/>
            <w:vAlign w:val="bottom"/>
            <w:tcBorders>
              <w:left w:val="single" w:sz="8" w:color="auto"/>
              <w:right w:val="single" w:sz="8" w:color="auto"/>
            </w:tcBorders>
          </w:tcPr>
          <w:p>
            <w:pPr>
              <w:ind w:left="20"/>
              <w:spacing w:after="0" w:line="163" w:lineRule="exact"/>
              <w:rPr>
                <w:sz w:val="20"/>
                <w:szCs w:val="20"/>
                <w:color w:val="auto"/>
              </w:rPr>
            </w:pPr>
            <w:r>
              <w:rPr>
                <w:rFonts w:ascii="Times New Roman" w:cs="Times New Roman" w:eastAsia="Times New Roman" w:hAnsi="Times New Roman"/>
                <w:sz w:val="16"/>
                <w:szCs w:val="16"/>
                <w:color w:val="auto"/>
              </w:rPr>
              <w:t>Roxbury, Massachusetts, United</w:t>
            </w:r>
          </w:p>
        </w:tc>
        <w:tc>
          <w:tcPr>
            <w:tcW w:w="4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Chief Operating Officer, Amorsa Therapeutics Inc.</w:t>
            </w:r>
          </w:p>
        </w:tc>
        <w:tc>
          <w:tcPr>
            <w:tcW w:w="2260" w:type="dxa"/>
            <w:vAlign w:val="bottom"/>
            <w:tcBorders>
              <w:right w:val="single" w:sz="8" w:color="auto"/>
            </w:tcBorders>
          </w:tcPr>
          <w:p>
            <w:pPr>
              <w:spacing w:after="0"/>
              <w:rPr>
                <w:sz w:val="14"/>
                <w:szCs w:val="14"/>
                <w:color w:val="auto"/>
              </w:rPr>
            </w:pPr>
          </w:p>
        </w:tc>
        <w:tc>
          <w:tcPr>
            <w:tcW w:w="228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6"/>
                <w:szCs w:val="16"/>
                <w:color w:val="auto"/>
              </w:rPr>
              <w:t>(0.76%)</w:t>
            </w:r>
          </w:p>
        </w:tc>
        <w:tc>
          <w:tcPr>
            <w:tcW w:w="0" w:type="dxa"/>
            <w:vAlign w:val="bottom"/>
          </w:tcPr>
          <w:p>
            <w:pPr>
              <w:spacing w:after="0"/>
              <w:rPr>
                <w:sz w:val="1"/>
                <w:szCs w:val="1"/>
                <w:color w:val="auto"/>
              </w:rPr>
            </w:pPr>
          </w:p>
        </w:tc>
      </w:tr>
      <w:tr>
        <w:trPr>
          <w:trHeight w:val="211"/>
        </w:trPr>
        <w:tc>
          <w:tcPr>
            <w:tcW w:w="22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States</w:t>
            </w:r>
          </w:p>
        </w:tc>
        <w:tc>
          <w:tcPr>
            <w:tcW w:w="4480" w:type="dxa"/>
            <w:vAlign w:val="bottom"/>
            <w:tcBorders>
              <w:right w:val="single" w:sz="8" w:color="auto"/>
            </w:tcBorders>
            <w:vMerge w:val="continue"/>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22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Chief Scientific Officer</w:t>
            </w:r>
          </w:p>
        </w:tc>
        <w:tc>
          <w:tcPr>
            <w:tcW w:w="4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Chief Operating Officer, Neo-Advent Technologies Inc.</w:t>
            </w:r>
          </w:p>
        </w:tc>
        <w:tc>
          <w:tcPr>
            <w:tcW w:w="226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2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Michael G. Palfreyman,</w:t>
            </w:r>
          </w:p>
        </w:tc>
        <w:tc>
          <w:tcPr>
            <w:tcW w:w="44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Chairman and Chief Operating Officer, Adelia</w:t>
            </w:r>
          </w:p>
        </w:tc>
        <w:tc>
          <w:tcPr>
            <w:tcW w:w="22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December 2020</w:t>
            </w:r>
          </w:p>
        </w:tc>
        <w:tc>
          <w:tcPr>
            <w:tcW w:w="22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380,230</w:t>
            </w:r>
            <w:r>
              <w:rPr>
                <w:rFonts w:ascii="Times New Roman" w:cs="Times New Roman" w:eastAsia="Times New Roman" w:hAnsi="Times New Roman"/>
                <w:sz w:val="18"/>
                <w:szCs w:val="18"/>
                <w:b w:val="1"/>
                <w:bCs w:val="1"/>
                <w:color w:val="auto"/>
                <w:vertAlign w:val="superscript"/>
              </w:rPr>
              <w:t>(12)</w:t>
            </w:r>
          </w:p>
        </w:tc>
        <w:tc>
          <w:tcPr>
            <w:tcW w:w="0" w:type="dxa"/>
            <w:vAlign w:val="bottom"/>
          </w:tcPr>
          <w:p>
            <w:pPr>
              <w:spacing w:after="0"/>
              <w:rPr>
                <w:sz w:val="1"/>
                <w:szCs w:val="1"/>
                <w:color w:val="auto"/>
              </w:rPr>
            </w:pPr>
          </w:p>
        </w:tc>
      </w:tr>
      <w:tr>
        <w:trPr>
          <w:trHeight w:val="163"/>
        </w:trPr>
        <w:tc>
          <w:tcPr>
            <w:tcW w:w="2260" w:type="dxa"/>
            <w:vAlign w:val="bottom"/>
            <w:tcBorders>
              <w:left w:val="single" w:sz="8" w:color="auto"/>
              <w:right w:val="single" w:sz="8" w:color="auto"/>
            </w:tcBorders>
          </w:tcPr>
          <w:p>
            <w:pPr>
              <w:ind w:left="20"/>
              <w:spacing w:after="0" w:line="163" w:lineRule="exact"/>
              <w:rPr>
                <w:sz w:val="20"/>
                <w:szCs w:val="20"/>
                <w:color w:val="auto"/>
              </w:rPr>
            </w:pPr>
            <w:r>
              <w:rPr>
                <w:rFonts w:ascii="Times New Roman" w:cs="Times New Roman" w:eastAsia="Times New Roman" w:hAnsi="Times New Roman"/>
                <w:sz w:val="16"/>
                <w:szCs w:val="16"/>
                <w:color w:val="auto"/>
              </w:rPr>
              <w:t>St. Petersburg, Florida, United</w:t>
            </w:r>
          </w:p>
        </w:tc>
        <w:tc>
          <w:tcPr>
            <w:tcW w:w="448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228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11"/>
        </w:trPr>
        <w:tc>
          <w:tcPr>
            <w:tcW w:w="22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States</w:t>
            </w:r>
          </w:p>
        </w:tc>
        <w:tc>
          <w:tcPr>
            <w:tcW w:w="4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Chief Scientific Officer, Amorsa, Therapeutics Inc.</w:t>
            </w: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260" w:type="dxa"/>
            <w:vAlign w:val="bottom"/>
            <w:tcBorders>
              <w:left w:val="single" w:sz="8" w:color="auto"/>
              <w:right w:val="single" w:sz="8" w:color="auto"/>
            </w:tcBorders>
          </w:tcPr>
          <w:p>
            <w:pPr>
              <w:spacing w:after="0"/>
              <w:rPr>
                <w:sz w:val="4"/>
                <w:szCs w:val="4"/>
                <w:color w:val="auto"/>
              </w:rPr>
            </w:pPr>
          </w:p>
        </w:tc>
        <w:tc>
          <w:tcPr>
            <w:tcW w:w="4480" w:type="dxa"/>
            <w:vAlign w:val="bottom"/>
            <w:tcBorders>
              <w:right w:val="single" w:sz="8" w:color="auto"/>
            </w:tcBorders>
            <w:vMerge w:val="continue"/>
          </w:tcPr>
          <w:p>
            <w:pPr>
              <w:spacing w:after="0"/>
              <w:rPr>
                <w:sz w:val="4"/>
                <w:szCs w:val="4"/>
                <w:color w:val="auto"/>
              </w:rPr>
            </w:pPr>
          </w:p>
        </w:tc>
        <w:tc>
          <w:tcPr>
            <w:tcW w:w="2260" w:type="dxa"/>
            <w:vAlign w:val="bottom"/>
            <w:tcBorders>
              <w:right w:val="single" w:sz="8" w:color="auto"/>
            </w:tcBorders>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22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Chief Research and</w:t>
            </w:r>
          </w:p>
        </w:tc>
        <w:tc>
          <w:tcPr>
            <w:tcW w:w="448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Development Officer</w:t>
            </w:r>
          </w:p>
        </w:tc>
        <w:tc>
          <w:tcPr>
            <w:tcW w:w="448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Eric So</w:t>
            </w:r>
            <w:r>
              <w:rPr>
                <w:rFonts w:ascii="Times New Roman" w:cs="Times New Roman" w:eastAsia="Times New Roman" w:hAnsi="Times New Roman"/>
                <w:sz w:val="18"/>
                <w:szCs w:val="18"/>
                <w:b w:val="1"/>
                <w:bCs w:val="1"/>
                <w:color w:val="auto"/>
                <w:vertAlign w:val="superscript"/>
              </w:rPr>
              <w:t>(2)(3)</w:t>
            </w:r>
            <w:r>
              <w:rPr>
                <w:rFonts w:ascii="Times New Roman" w:cs="Times New Roman" w:eastAsia="Times New Roman" w:hAnsi="Times New Roman"/>
                <w:sz w:val="14"/>
                <w:szCs w:val="14"/>
                <w:color w:val="auto"/>
              </w:rPr>
              <w:t>,</w:t>
            </w:r>
          </w:p>
        </w:tc>
        <w:tc>
          <w:tcPr>
            <w:tcW w:w="44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President of Cybin</w:t>
            </w:r>
          </w:p>
        </w:tc>
        <w:tc>
          <w:tcPr>
            <w:tcW w:w="22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November 2020</w:t>
            </w:r>
          </w:p>
        </w:tc>
        <w:tc>
          <w:tcPr>
            <w:tcW w:w="22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11,572,411</w:t>
            </w:r>
            <w:r>
              <w:rPr>
                <w:rFonts w:ascii="Times New Roman" w:cs="Times New Roman" w:eastAsia="Times New Roman" w:hAnsi="Times New Roman"/>
                <w:sz w:val="18"/>
                <w:szCs w:val="18"/>
                <w:b w:val="1"/>
                <w:bCs w:val="1"/>
                <w:color w:val="auto"/>
                <w:vertAlign w:val="superscript"/>
              </w:rPr>
              <w:t>(7)</w:t>
            </w:r>
          </w:p>
        </w:tc>
        <w:tc>
          <w:tcPr>
            <w:tcW w:w="0" w:type="dxa"/>
            <w:vAlign w:val="bottom"/>
          </w:tcPr>
          <w:p>
            <w:pPr>
              <w:spacing w:after="0"/>
              <w:rPr>
                <w:sz w:val="1"/>
                <w:szCs w:val="1"/>
                <w:color w:val="auto"/>
              </w:rPr>
            </w:pPr>
          </w:p>
        </w:tc>
      </w:tr>
      <w:tr>
        <w:trPr>
          <w:trHeight w:val="211"/>
        </w:trPr>
        <w:tc>
          <w:tcPr>
            <w:tcW w:w="22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Toronto, Ontario, Canada</w:t>
            </w:r>
          </w:p>
        </w:tc>
        <w:tc>
          <w:tcPr>
            <w:tcW w:w="44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220"/>
        </w:trPr>
        <w:tc>
          <w:tcPr>
            <w:tcW w:w="22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Director and President</w:t>
            </w:r>
          </w:p>
        </w:tc>
        <w:tc>
          <w:tcPr>
            <w:tcW w:w="4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Managing Director, Trinity Venture Partners</w:t>
            </w:r>
          </w:p>
        </w:tc>
        <w:tc>
          <w:tcPr>
            <w:tcW w:w="226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vMerge w:val="continue"/>
          </w:tcPr>
          <w:p>
            <w:pPr>
              <w:spacing w:after="0"/>
              <w:rPr>
                <w:sz w:val="13"/>
                <w:szCs w:val="13"/>
                <w:color w:val="auto"/>
              </w:rPr>
            </w:pPr>
          </w:p>
        </w:tc>
        <w:tc>
          <w:tcPr>
            <w:tcW w:w="448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60" w:type="dxa"/>
            <w:vAlign w:val="bottom"/>
            <w:tcBorders>
              <w:left w:val="single" w:sz="8" w:color="auto"/>
              <w:right w:val="single" w:sz="8" w:color="auto"/>
            </w:tcBorders>
          </w:tcPr>
          <w:p>
            <w:pPr>
              <w:spacing w:after="0"/>
              <w:rPr>
                <w:sz w:val="14"/>
                <w:szCs w:val="14"/>
                <w:color w:val="auto"/>
              </w:rPr>
            </w:pPr>
          </w:p>
        </w:tc>
        <w:tc>
          <w:tcPr>
            <w:tcW w:w="4480" w:type="dxa"/>
            <w:vAlign w:val="bottom"/>
            <w:tcBorders>
              <w:right w:val="single" w:sz="8" w:color="auto"/>
            </w:tcBorders>
          </w:tcPr>
          <w:p>
            <w:pPr>
              <w:ind w:left="20"/>
              <w:spacing w:after="0" w:line="172" w:lineRule="exact"/>
              <w:rPr>
                <w:sz w:val="20"/>
                <w:szCs w:val="20"/>
                <w:color w:val="auto"/>
              </w:rPr>
            </w:pPr>
            <w:r>
              <w:rPr>
                <w:rFonts w:ascii="Times New Roman" w:cs="Times New Roman" w:eastAsia="Times New Roman" w:hAnsi="Times New Roman"/>
                <w:sz w:val="16"/>
                <w:szCs w:val="16"/>
                <w:color w:val="auto"/>
              </w:rPr>
              <w:t>President, Growpacker, Special Advisor and General Counsel,</w:t>
            </w:r>
          </w:p>
        </w:tc>
        <w:tc>
          <w:tcPr>
            <w:tcW w:w="2260" w:type="dxa"/>
            <w:vAlign w:val="bottom"/>
            <w:tcBorders>
              <w:right w:val="single" w:sz="8" w:color="auto"/>
            </w:tcBorders>
          </w:tcPr>
          <w:p>
            <w:pPr>
              <w:spacing w:after="0"/>
              <w:rPr>
                <w:sz w:val="14"/>
                <w:szCs w:val="14"/>
                <w:color w:val="auto"/>
              </w:rPr>
            </w:pPr>
          </w:p>
        </w:tc>
        <w:tc>
          <w:tcPr>
            <w:tcW w:w="2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260" w:type="dxa"/>
            <w:vAlign w:val="bottom"/>
            <w:tcBorders>
              <w:left w:val="single" w:sz="8" w:color="auto"/>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Mundo Inc.</w:t>
            </w:r>
          </w:p>
        </w:tc>
        <w:tc>
          <w:tcPr>
            <w:tcW w:w="226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60"/>
          </w:cols>
          <w:pgMar w:left="320" w:top="1440" w:right="319" w:bottom="1440" w:gutter="0" w:footer="0" w:header="0"/>
        </w:sectPr>
      </w:pPr>
    </w:p>
    <w:bookmarkStart w:id="85" w:name="page86"/>
    <w:bookmarkEnd w:id="85"/>
    <w:p>
      <w:pPr>
        <w:spacing w:after="0" w:line="36" w:lineRule="exact"/>
        <w:rPr>
          <w:sz w:val="20"/>
          <w:szCs w:val="20"/>
          <w:color w:val="auto"/>
        </w:rPr>
      </w:pPr>
    </w:p>
    <w:tbl>
      <w:tblPr>
        <w:tblLayout w:type="fixed"/>
        <w:tblInd w:w="12" w:type="dxa"/>
        <w:tblCellMar>
          <w:top w:w="0" w:type="dxa"/>
          <w:left w:w="0" w:type="dxa"/>
          <w:bottom w:w="0" w:type="dxa"/>
          <w:right w:w="0" w:type="dxa"/>
        </w:tblCellMar>
      </w:tblPr>
      <w:tr>
        <w:trPr>
          <w:trHeight w:val="179"/>
        </w:trPr>
        <w:tc>
          <w:tcPr>
            <w:tcW w:w="2260" w:type="dxa"/>
            <w:vAlign w:val="bottom"/>
            <w:tcBorders>
              <w:top w:val="single" w:sz="8" w:color="auto"/>
              <w:left w:val="single" w:sz="8" w:color="auto"/>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6"/>
                <w:szCs w:val="16"/>
                <w:color w:val="auto"/>
              </w:rPr>
              <w:t>Theresa Firestone</w:t>
            </w:r>
            <w:r>
              <w:rPr>
                <w:rFonts w:ascii="Times New Roman" w:cs="Times New Roman" w:eastAsia="Times New Roman" w:hAnsi="Times New Roman"/>
                <w:sz w:val="20"/>
                <w:szCs w:val="20"/>
                <w:b w:val="1"/>
                <w:bCs w:val="1"/>
                <w:color w:val="auto"/>
                <w:vertAlign w:val="superscript"/>
              </w:rPr>
              <w:t>(1)(3)(4)</w:t>
            </w:r>
          </w:p>
        </w:tc>
        <w:tc>
          <w:tcPr>
            <w:tcW w:w="4480" w:type="dxa"/>
            <w:vAlign w:val="bottom"/>
            <w:tcBorders>
              <w:top w:val="single" w:sz="8" w:color="auto"/>
              <w:right w:val="single" w:sz="8" w:color="auto"/>
            </w:tcBorders>
          </w:tcPr>
          <w:p>
            <w:pPr>
              <w:ind w:left="20"/>
              <w:spacing w:after="0" w:line="179" w:lineRule="exact"/>
              <w:rPr>
                <w:sz w:val="20"/>
                <w:szCs w:val="20"/>
                <w:color w:val="auto"/>
              </w:rPr>
            </w:pPr>
            <w:r>
              <w:rPr>
                <w:rFonts w:ascii="Times New Roman" w:cs="Times New Roman" w:eastAsia="Times New Roman" w:hAnsi="Times New Roman"/>
                <w:sz w:val="16"/>
                <w:szCs w:val="16"/>
                <w:color w:val="auto"/>
              </w:rPr>
              <w:t>Senior Vice President, Shoppers Drug Mart</w:t>
            </w:r>
          </w:p>
        </w:tc>
        <w:tc>
          <w:tcPr>
            <w:tcW w:w="2260" w:type="dxa"/>
            <w:vAlign w:val="bottom"/>
            <w:tcBorders>
              <w:top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August 2021</w:t>
            </w:r>
          </w:p>
        </w:tc>
        <w:tc>
          <w:tcPr>
            <w:tcW w:w="2280" w:type="dxa"/>
            <w:vAlign w:val="bottom"/>
            <w:tcBorders>
              <w:top w:val="single" w:sz="8" w:color="auto"/>
              <w:right w:val="single" w:sz="8" w:color="auto"/>
            </w:tcBorders>
          </w:tcPr>
          <w:p>
            <w:pPr>
              <w:ind w:left="940"/>
              <w:spacing w:after="0" w:line="179" w:lineRule="exact"/>
              <w:rPr>
                <w:sz w:val="20"/>
                <w:szCs w:val="20"/>
                <w:color w:val="auto"/>
              </w:rPr>
            </w:pPr>
            <w:r>
              <w:rPr>
                <w:rFonts w:ascii="Times New Roman" w:cs="Times New Roman" w:eastAsia="Times New Roman" w:hAnsi="Times New Roman"/>
                <w:sz w:val="20"/>
                <w:szCs w:val="20"/>
                <w:color w:val="auto"/>
                <w:vertAlign w:val="subscript"/>
              </w:rPr>
              <w:t>Nil</w:t>
            </w:r>
            <w:r>
              <w:rPr>
                <w:rFonts w:ascii="Times New Roman" w:cs="Times New Roman" w:eastAsia="Times New Roman" w:hAnsi="Times New Roman"/>
                <w:sz w:val="8"/>
                <w:szCs w:val="8"/>
                <w:b w:val="1"/>
                <w:bCs w:val="1"/>
                <w:color w:val="auto"/>
              </w:rPr>
              <w:t>(17)</w:t>
            </w:r>
          </w:p>
        </w:tc>
        <w:tc>
          <w:tcPr>
            <w:tcW w:w="0" w:type="dxa"/>
            <w:vAlign w:val="bottom"/>
          </w:tcPr>
          <w:p>
            <w:pPr>
              <w:spacing w:after="0"/>
              <w:rPr>
                <w:sz w:val="1"/>
                <w:szCs w:val="1"/>
                <w:color w:val="auto"/>
              </w:rPr>
            </w:pPr>
          </w:p>
        </w:tc>
      </w:tr>
      <w:tr>
        <w:trPr>
          <w:trHeight w:val="211"/>
        </w:trPr>
        <w:tc>
          <w:tcPr>
            <w:tcW w:w="22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Toronto, Ontario, Canada</w:t>
            </w:r>
          </w:p>
        </w:tc>
        <w:tc>
          <w:tcPr>
            <w:tcW w:w="44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44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Grant Froese</w:t>
            </w:r>
            <w:r>
              <w:rPr>
                <w:rFonts w:ascii="Times New Roman" w:cs="Times New Roman" w:eastAsia="Times New Roman" w:hAnsi="Times New Roman"/>
                <w:sz w:val="18"/>
                <w:szCs w:val="18"/>
                <w:b w:val="1"/>
                <w:bCs w:val="1"/>
                <w:color w:val="auto"/>
                <w:vertAlign w:val="superscript"/>
              </w:rPr>
              <w:t>(1)(2)</w:t>
            </w:r>
            <w:r>
              <w:rPr>
                <w:rFonts w:ascii="Times New Roman" w:cs="Times New Roman" w:eastAsia="Times New Roman" w:hAnsi="Times New Roman"/>
                <w:sz w:val="14"/>
                <w:szCs w:val="14"/>
                <w:color w:val="auto"/>
              </w:rPr>
              <w:t>, Toronto,</w:t>
            </w:r>
          </w:p>
        </w:tc>
        <w:tc>
          <w:tcPr>
            <w:tcW w:w="44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Director and Chief Executive Officer, Harvest One Cannabis Inc.</w:t>
            </w:r>
          </w:p>
        </w:tc>
        <w:tc>
          <w:tcPr>
            <w:tcW w:w="22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November 2020</w:t>
            </w:r>
          </w:p>
        </w:tc>
        <w:tc>
          <w:tcPr>
            <w:tcW w:w="2280" w:type="dxa"/>
            <w:vAlign w:val="bottom"/>
            <w:tcBorders>
              <w:right w:val="single" w:sz="8" w:color="auto"/>
            </w:tcBorders>
          </w:tcPr>
          <w:p>
            <w:pPr>
              <w:ind w:left="940"/>
              <w:spacing w:after="0" w:line="159" w:lineRule="exact"/>
              <w:rPr>
                <w:sz w:val="20"/>
                <w:szCs w:val="20"/>
                <w:color w:val="auto"/>
              </w:rPr>
            </w:pPr>
            <w:r>
              <w:rPr>
                <w:rFonts w:ascii="Times New Roman" w:cs="Times New Roman" w:eastAsia="Times New Roman" w:hAnsi="Times New Roman"/>
                <w:sz w:val="18"/>
                <w:szCs w:val="18"/>
                <w:color w:val="auto"/>
                <w:vertAlign w:val="subscript"/>
              </w:rPr>
              <w:t>Nil</w:t>
            </w:r>
            <w:r>
              <w:rPr>
                <w:rFonts w:ascii="Times New Roman" w:cs="Times New Roman" w:eastAsia="Times New Roman" w:hAnsi="Times New Roman"/>
                <w:sz w:val="8"/>
                <w:szCs w:val="8"/>
                <w:b w:val="1"/>
                <w:bCs w:val="1"/>
                <w:color w:val="auto"/>
              </w:rPr>
              <w:t>(15)</w:t>
            </w:r>
          </w:p>
        </w:tc>
        <w:tc>
          <w:tcPr>
            <w:tcW w:w="0" w:type="dxa"/>
            <w:vAlign w:val="bottom"/>
          </w:tcPr>
          <w:p>
            <w:pPr>
              <w:spacing w:after="0"/>
              <w:rPr>
                <w:sz w:val="1"/>
                <w:szCs w:val="1"/>
                <w:color w:val="auto"/>
              </w:rPr>
            </w:pPr>
          </w:p>
        </w:tc>
      </w:tr>
      <w:tr>
        <w:trPr>
          <w:trHeight w:val="211"/>
        </w:trPr>
        <w:tc>
          <w:tcPr>
            <w:tcW w:w="22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Ontario, Canada</w:t>
            </w:r>
          </w:p>
        </w:tc>
        <w:tc>
          <w:tcPr>
            <w:tcW w:w="4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Chief Executive Officer, Marquee Health Inc.</w:t>
            </w: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tcPr>
          <w:p>
            <w:pPr>
              <w:spacing w:after="0"/>
              <w:rPr>
                <w:sz w:val="13"/>
                <w:szCs w:val="13"/>
                <w:color w:val="auto"/>
              </w:rPr>
            </w:pPr>
          </w:p>
        </w:tc>
        <w:tc>
          <w:tcPr>
            <w:tcW w:w="4480" w:type="dxa"/>
            <w:vAlign w:val="bottom"/>
            <w:tcBorders>
              <w:right w:val="single" w:sz="8" w:color="auto"/>
            </w:tcBorders>
            <w:vMerge w:val="continue"/>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2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4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Chief Operating Officer, Loblaw Companies Ltd.</w:t>
            </w:r>
          </w:p>
        </w:tc>
        <w:tc>
          <w:tcPr>
            <w:tcW w:w="226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260" w:type="dxa"/>
            <w:vAlign w:val="bottom"/>
            <w:tcBorders>
              <w:left w:val="single" w:sz="8" w:color="auto"/>
              <w:bottom w:val="single" w:sz="8" w:color="auto"/>
              <w:right w:val="single" w:sz="8" w:color="auto"/>
            </w:tcBorders>
          </w:tcPr>
          <w:p>
            <w:pPr>
              <w:spacing w:after="0"/>
              <w:rPr>
                <w:sz w:val="8"/>
                <w:szCs w:val="8"/>
                <w:color w:val="auto"/>
              </w:rPr>
            </w:pPr>
          </w:p>
        </w:tc>
        <w:tc>
          <w:tcPr>
            <w:tcW w:w="4480" w:type="dxa"/>
            <w:vAlign w:val="bottom"/>
            <w:tcBorders>
              <w:bottom w:val="single" w:sz="8" w:color="auto"/>
              <w:right w:val="single" w:sz="8" w:color="auto"/>
            </w:tcBorders>
            <w:vMerge w:val="continue"/>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Eric Hoskins</w:t>
            </w:r>
            <w:r>
              <w:rPr>
                <w:rFonts w:ascii="Times New Roman" w:cs="Times New Roman" w:eastAsia="Times New Roman" w:hAnsi="Times New Roman"/>
                <w:sz w:val="18"/>
                <w:szCs w:val="18"/>
                <w:b w:val="1"/>
                <w:bCs w:val="1"/>
                <w:color w:val="auto"/>
                <w:vertAlign w:val="superscript"/>
              </w:rPr>
              <w:t>(1)(3)</w:t>
            </w:r>
            <w:r>
              <w:rPr>
                <w:rFonts w:ascii="Times New Roman" w:cs="Times New Roman" w:eastAsia="Times New Roman" w:hAnsi="Times New Roman"/>
                <w:sz w:val="14"/>
                <w:szCs w:val="14"/>
                <w:color w:val="auto"/>
              </w:rPr>
              <w:t>, Toronto,</w:t>
            </w:r>
          </w:p>
        </w:tc>
        <w:tc>
          <w:tcPr>
            <w:tcW w:w="44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Partner, Maverix Private Equity</w:t>
            </w:r>
          </w:p>
        </w:tc>
        <w:tc>
          <w:tcPr>
            <w:tcW w:w="22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November 2020</w:t>
            </w:r>
          </w:p>
        </w:tc>
        <w:tc>
          <w:tcPr>
            <w:tcW w:w="2280" w:type="dxa"/>
            <w:vAlign w:val="bottom"/>
            <w:tcBorders>
              <w:right w:val="single" w:sz="8" w:color="auto"/>
            </w:tcBorders>
          </w:tcPr>
          <w:p>
            <w:pPr>
              <w:ind w:left="940"/>
              <w:spacing w:after="0" w:line="159" w:lineRule="exact"/>
              <w:rPr>
                <w:sz w:val="20"/>
                <w:szCs w:val="20"/>
                <w:color w:val="auto"/>
              </w:rPr>
            </w:pPr>
            <w:r>
              <w:rPr>
                <w:rFonts w:ascii="Times New Roman" w:cs="Times New Roman" w:eastAsia="Times New Roman" w:hAnsi="Times New Roman"/>
                <w:sz w:val="18"/>
                <w:szCs w:val="18"/>
                <w:color w:val="auto"/>
                <w:vertAlign w:val="subscript"/>
              </w:rPr>
              <w:t>Nil</w:t>
            </w:r>
            <w:r>
              <w:rPr>
                <w:rFonts w:ascii="Times New Roman" w:cs="Times New Roman" w:eastAsia="Times New Roman" w:hAnsi="Times New Roman"/>
                <w:sz w:val="8"/>
                <w:szCs w:val="8"/>
                <w:b w:val="1"/>
                <w:bCs w:val="1"/>
                <w:color w:val="auto"/>
              </w:rPr>
              <w:t>(14)</w:t>
            </w:r>
          </w:p>
        </w:tc>
        <w:tc>
          <w:tcPr>
            <w:tcW w:w="0" w:type="dxa"/>
            <w:vAlign w:val="bottom"/>
          </w:tcPr>
          <w:p>
            <w:pPr>
              <w:spacing w:after="0"/>
              <w:rPr>
                <w:sz w:val="1"/>
                <w:szCs w:val="1"/>
                <w:color w:val="auto"/>
              </w:rPr>
            </w:pPr>
          </w:p>
        </w:tc>
      </w:tr>
      <w:tr>
        <w:trPr>
          <w:trHeight w:val="211"/>
        </w:trPr>
        <w:tc>
          <w:tcPr>
            <w:tcW w:w="22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Ontario, Canada</w:t>
            </w:r>
          </w:p>
        </w:tc>
        <w:tc>
          <w:tcPr>
            <w:tcW w:w="4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Health Consultant</w:t>
            </w: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tcPr>
          <w:p>
            <w:pPr>
              <w:spacing w:after="0"/>
              <w:rPr>
                <w:sz w:val="13"/>
                <w:szCs w:val="13"/>
                <w:color w:val="auto"/>
              </w:rPr>
            </w:pPr>
          </w:p>
        </w:tc>
        <w:tc>
          <w:tcPr>
            <w:tcW w:w="4480" w:type="dxa"/>
            <w:vAlign w:val="bottom"/>
            <w:tcBorders>
              <w:right w:val="single" w:sz="8" w:color="auto"/>
            </w:tcBorders>
            <w:vMerge w:val="continue"/>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2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4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Chair, Federal Advisory Council on Pharmacare, Health Canada</w:t>
            </w:r>
          </w:p>
        </w:tc>
        <w:tc>
          <w:tcPr>
            <w:tcW w:w="226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260" w:type="dxa"/>
            <w:vAlign w:val="bottom"/>
            <w:tcBorders>
              <w:left w:val="single" w:sz="8" w:color="auto"/>
              <w:bottom w:val="single" w:sz="8" w:color="auto"/>
              <w:right w:val="single" w:sz="8" w:color="auto"/>
            </w:tcBorders>
          </w:tcPr>
          <w:p>
            <w:pPr>
              <w:spacing w:after="0"/>
              <w:rPr>
                <w:sz w:val="8"/>
                <w:szCs w:val="8"/>
                <w:color w:val="auto"/>
              </w:rPr>
            </w:pPr>
          </w:p>
        </w:tc>
        <w:tc>
          <w:tcPr>
            <w:tcW w:w="4480" w:type="dxa"/>
            <w:vAlign w:val="bottom"/>
            <w:tcBorders>
              <w:bottom w:val="single" w:sz="8" w:color="auto"/>
              <w:right w:val="single" w:sz="8" w:color="auto"/>
            </w:tcBorders>
            <w:vMerge w:val="continue"/>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Mark Lawson</w:t>
            </w:r>
            <w:r>
              <w:rPr>
                <w:rFonts w:ascii="Times New Roman" w:cs="Times New Roman" w:eastAsia="Times New Roman" w:hAnsi="Times New Roman"/>
                <w:sz w:val="18"/>
                <w:szCs w:val="18"/>
                <w:b w:val="1"/>
                <w:bCs w:val="1"/>
                <w:color w:val="auto"/>
                <w:vertAlign w:val="superscript"/>
              </w:rPr>
              <w:t>(1)(2)(3)</w:t>
            </w:r>
            <w:r>
              <w:rPr>
                <w:rFonts w:ascii="Times New Roman" w:cs="Times New Roman" w:eastAsia="Times New Roman" w:hAnsi="Times New Roman"/>
                <w:sz w:val="14"/>
                <w:szCs w:val="14"/>
                <w:color w:val="auto"/>
              </w:rPr>
              <w:t>, Toronto,</w:t>
            </w:r>
          </w:p>
        </w:tc>
        <w:tc>
          <w:tcPr>
            <w:tcW w:w="44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Managing Partner, Clermont Capital Partners Inc.</w:t>
            </w:r>
          </w:p>
        </w:tc>
        <w:tc>
          <w:tcPr>
            <w:tcW w:w="22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November 2020</w:t>
            </w:r>
          </w:p>
        </w:tc>
        <w:tc>
          <w:tcPr>
            <w:tcW w:w="2280" w:type="dxa"/>
            <w:vAlign w:val="bottom"/>
            <w:tcBorders>
              <w:right w:val="single" w:sz="8" w:color="auto"/>
            </w:tcBorders>
          </w:tcPr>
          <w:p>
            <w:pPr>
              <w:jc w:val="center"/>
              <w:ind w:right="725"/>
              <w:spacing w:after="0" w:line="159" w:lineRule="exact"/>
              <w:rPr>
                <w:sz w:val="20"/>
                <w:szCs w:val="20"/>
                <w:color w:val="auto"/>
              </w:rPr>
            </w:pPr>
            <w:r>
              <w:rPr>
                <w:rFonts w:ascii="Times New Roman" w:cs="Times New Roman" w:eastAsia="Times New Roman" w:hAnsi="Times New Roman"/>
                <w:sz w:val="14"/>
                <w:szCs w:val="14"/>
                <w:color w:val="auto"/>
              </w:rPr>
              <w:t>114,996</w:t>
            </w:r>
            <w:r>
              <w:rPr>
                <w:rFonts w:ascii="Times New Roman" w:cs="Times New Roman" w:eastAsia="Times New Roman" w:hAnsi="Times New Roman"/>
                <w:sz w:val="18"/>
                <w:szCs w:val="18"/>
                <w:b w:val="1"/>
                <w:bCs w:val="1"/>
                <w:color w:val="auto"/>
                <w:vertAlign w:val="superscript"/>
              </w:rPr>
              <w:t>(16)</w:t>
            </w:r>
          </w:p>
        </w:tc>
        <w:tc>
          <w:tcPr>
            <w:tcW w:w="0" w:type="dxa"/>
            <w:vAlign w:val="bottom"/>
          </w:tcPr>
          <w:p>
            <w:pPr>
              <w:spacing w:after="0"/>
              <w:rPr>
                <w:sz w:val="1"/>
                <w:szCs w:val="1"/>
                <w:color w:val="auto"/>
              </w:rPr>
            </w:pPr>
          </w:p>
        </w:tc>
      </w:tr>
      <w:tr>
        <w:trPr>
          <w:trHeight w:val="211"/>
        </w:trPr>
        <w:tc>
          <w:tcPr>
            <w:tcW w:w="22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Ontario, Canada</w:t>
            </w:r>
          </w:p>
        </w:tc>
        <w:tc>
          <w:tcPr>
            <w:tcW w:w="44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right"/>
              <w:ind w:right="825"/>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379"/>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44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u w:val="single" w:color="auto"/>
          <w:color w:val="auto"/>
        </w:rPr>
        <w:t>Notes:</w:t>
      </w:r>
    </w:p>
    <w:p>
      <w:pPr>
        <w:spacing w:after="0" w:line="22" w:lineRule="exact"/>
        <w:rPr>
          <w:sz w:val="20"/>
          <w:szCs w:val="20"/>
          <w:color w:val="auto"/>
        </w:rPr>
      </w:pPr>
    </w:p>
    <w:p>
      <w:pPr>
        <w:ind w:left="322" w:hanging="322"/>
        <w:spacing w:after="0"/>
        <w:tabs>
          <w:tab w:leader="none" w:pos="322"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Member of the Audit Committee.</w:t>
      </w:r>
    </w:p>
    <w:p>
      <w:pPr>
        <w:ind w:left="282" w:hanging="282"/>
        <w:spacing w:after="0" w:line="215" w:lineRule="auto"/>
        <w:tabs>
          <w:tab w:leader="none" w:pos="282"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Member of the Compensation Committee.</w:t>
      </w:r>
    </w:p>
    <w:p>
      <w:pPr>
        <w:ind w:left="282" w:hanging="282"/>
        <w:spacing w:after="0" w:line="215" w:lineRule="auto"/>
        <w:tabs>
          <w:tab w:leader="none" w:pos="282"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Member of Governance and Nominating Committee.</w:t>
      </w:r>
    </w:p>
    <w:p>
      <w:pPr>
        <w:ind w:left="282" w:hanging="282"/>
        <w:spacing w:after="0" w:line="196" w:lineRule="auto"/>
        <w:tabs>
          <w:tab w:leader="none" w:pos="282"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Lead independent director</w:t>
      </w:r>
    </w:p>
    <w:p>
      <w:pPr>
        <w:ind w:left="282" w:hanging="282"/>
        <w:spacing w:after="0" w:line="215" w:lineRule="auto"/>
        <w:tabs>
          <w:tab w:leader="none" w:pos="282"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3,969,000 Options to acquire 3,969,000 Common Shares.</w:t>
      </w:r>
    </w:p>
    <w:p>
      <w:pPr>
        <w:ind w:left="582" w:right="20" w:hanging="582"/>
        <w:spacing w:after="0" w:line="205" w:lineRule="auto"/>
        <w:tabs>
          <w:tab w:leader="none" w:pos="286"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Glavine holds 1,716,666 Common Shares directly as well as 8,775,741 Common Shares indirectly through PLG Family Trust, and controls 750,000 Common Shares indirectly through his spouse. Excludes 4,000,000 Warrants to acquire 4,000,000 Common Shares and 1,844,000 Options to acquire 1,844,000 Common Shares.</w:t>
      </w:r>
    </w:p>
    <w:p>
      <w:pPr>
        <w:spacing w:after="0" w:line="1" w:lineRule="exact"/>
        <w:rPr>
          <w:rFonts w:ascii="Times New Roman" w:cs="Times New Roman" w:eastAsia="Times New Roman" w:hAnsi="Times New Roman"/>
          <w:sz w:val="13"/>
          <w:szCs w:val="13"/>
          <w:color w:val="auto"/>
        </w:rPr>
      </w:pPr>
    </w:p>
    <w:p>
      <w:pPr>
        <w:ind w:left="582" w:right="20" w:hanging="582"/>
        <w:spacing w:after="0" w:line="215" w:lineRule="auto"/>
        <w:tabs>
          <w:tab w:leader="none" w:pos="336"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So holds 1,716,667 Common Shares directly as well as 7,855,744 Common Shares indirectly through So Family Trust – 2017, and controls 2,000,000 Common Shares indirectly through his spouse. Excludes 4,000,000 Warrants to acquire 4,000,000 Common Shares and 1,844,000 Options to acquire 1,844,000 Common Shares.</w:t>
      </w:r>
    </w:p>
    <w:p>
      <w:pPr>
        <w:ind w:left="282" w:hanging="282"/>
        <w:spacing w:after="0" w:line="196" w:lineRule="auto"/>
        <w:tabs>
          <w:tab w:leader="none" w:pos="282"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4,000,000 Warrants to acquire 4,000,000 Common Shares and 1,700,000 Options to acquire 1,700,000 Common Shares.</w:t>
      </w:r>
    </w:p>
    <w:p>
      <w:pPr>
        <w:ind w:left="282" w:hanging="282"/>
        <w:spacing w:after="0" w:line="215" w:lineRule="auto"/>
        <w:tabs>
          <w:tab w:leader="none" w:pos="282"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575,000 Options to acquire 575,000 Common Shares.</w:t>
      </w:r>
    </w:p>
    <w:p>
      <w:pPr>
        <w:ind w:left="582" w:right="20" w:hanging="582"/>
        <w:spacing w:after="0" w:line="205" w:lineRule="auto"/>
        <w:tabs>
          <w:tab w:leader="none" w:pos="37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Fahel holds 124,000 Common Shares directly as well as 50,000 Common Shares indirectly through Imeix Inc., and holds or controls 113,700 Common Shares through registered family accounts. Excludes 905,000 Options to acquire 905,000 Common Shares.</w:t>
      </w:r>
    </w:p>
    <w:p>
      <w:pPr>
        <w:spacing w:after="0" w:line="1" w:lineRule="exact"/>
        <w:rPr>
          <w:rFonts w:ascii="Times New Roman" w:cs="Times New Roman" w:eastAsia="Times New Roman" w:hAnsi="Times New Roman"/>
          <w:sz w:val="13"/>
          <w:szCs w:val="13"/>
          <w:color w:val="auto"/>
        </w:rPr>
      </w:pPr>
    </w:p>
    <w:p>
      <w:pPr>
        <w:ind w:left="342" w:hanging="342"/>
        <w:spacing w:after="0" w:line="215" w:lineRule="auto"/>
        <w:tabs>
          <w:tab w:leader="none" w:pos="342"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709,800 Options to acquire 709,800 Common Shares and 28,813.9 Class B Shares exchangeable into 288,139 Common Shares on the achievement of certain Adelia Milestones.</w:t>
      </w:r>
    </w:p>
    <w:p>
      <w:pPr>
        <w:ind w:left="582" w:right="20" w:hanging="582"/>
        <w:spacing w:after="0" w:line="205" w:lineRule="auto"/>
        <w:tabs>
          <w:tab w:leader="none" w:pos="35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809,800 Options to acquire 809,800 Common Shares, 65,000 Warrants to acquire 65,000 Common Shares and 7,604.1 Class B Shares exchangeable into 76,041 Common Shares on the achievement of certain Adelia Milestones.</w:t>
      </w:r>
    </w:p>
    <w:p>
      <w:pPr>
        <w:spacing w:after="0" w:line="1" w:lineRule="exact"/>
        <w:rPr>
          <w:rFonts w:ascii="Times New Roman" w:cs="Times New Roman" w:eastAsia="Times New Roman" w:hAnsi="Times New Roman"/>
          <w:sz w:val="13"/>
          <w:szCs w:val="13"/>
          <w:color w:val="auto"/>
        </w:rPr>
      </w:pPr>
    </w:p>
    <w:p>
      <w:pPr>
        <w:ind w:left="582" w:right="20" w:hanging="582"/>
        <w:spacing w:after="0" w:line="205" w:lineRule="auto"/>
        <w:tabs>
          <w:tab w:leader="none" w:pos="377"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616,300 Options to acquire 616,400 Common Shares, 35,000 Warrants to acquire 65,000 Common Shares and 34,112.1 exchangeable into 341,121 Common Shares on the achievement of certain Adelia Milestones.</w:t>
      </w:r>
    </w:p>
    <w:p>
      <w:pPr>
        <w:spacing w:after="0" w:line="1" w:lineRule="exact"/>
        <w:rPr>
          <w:rFonts w:ascii="Times New Roman" w:cs="Times New Roman" w:eastAsia="Times New Roman" w:hAnsi="Times New Roman"/>
          <w:sz w:val="13"/>
          <w:szCs w:val="13"/>
          <w:color w:val="auto"/>
        </w:rPr>
      </w:pPr>
    </w:p>
    <w:p>
      <w:pPr>
        <w:ind w:left="342" w:hanging="342"/>
        <w:spacing w:after="0" w:line="215" w:lineRule="auto"/>
        <w:tabs>
          <w:tab w:leader="none" w:pos="342"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195,000 Options to acquire 195,000 Common Shares and 1,150,000 Warrants to acquire 1,150,000 Common Shares.</w:t>
      </w:r>
    </w:p>
    <w:p>
      <w:pPr>
        <w:ind w:left="342" w:hanging="342"/>
        <w:spacing w:after="0" w:line="215" w:lineRule="auto"/>
        <w:tabs>
          <w:tab w:leader="none" w:pos="342"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195,000 Options to acquire 195,000 Common Shares and 750,000 Warrants to acquire 750,000 Common Shares.</w:t>
      </w:r>
    </w:p>
    <w:p>
      <w:pPr>
        <w:ind w:left="342" w:hanging="342"/>
        <w:spacing w:after="0" w:line="196" w:lineRule="auto"/>
        <w:tabs>
          <w:tab w:leader="none" w:pos="342"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279,952 Options to acquire 279,952 Common Shares.</w:t>
      </w:r>
    </w:p>
    <w:p>
      <w:pPr>
        <w:ind w:left="342" w:hanging="342"/>
        <w:spacing w:after="0"/>
        <w:tabs>
          <w:tab w:leader="none" w:pos="342"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195,000 Options to acquire 195,000 Common Shares.</w:t>
      </w:r>
    </w:p>
    <w:p>
      <w:pPr>
        <w:spacing w:after="0" w:line="239" w:lineRule="exact"/>
        <w:rPr>
          <w:sz w:val="20"/>
          <w:szCs w:val="20"/>
          <w:color w:val="auto"/>
        </w:rPr>
      </w:pPr>
    </w:p>
    <w:p>
      <w:pPr>
        <w:ind w:left="2" w:right="20"/>
        <w:spacing w:after="0" w:line="243" w:lineRule="auto"/>
        <w:rPr>
          <w:sz w:val="20"/>
          <w:szCs w:val="20"/>
          <w:color w:val="auto"/>
        </w:rPr>
      </w:pPr>
      <w:r>
        <w:rPr>
          <w:rFonts w:ascii="Times New Roman" w:cs="Times New Roman" w:eastAsia="Times New Roman" w:hAnsi="Times New Roman"/>
          <w:sz w:val="18"/>
          <w:szCs w:val="18"/>
          <w:color w:val="auto"/>
        </w:rPr>
        <w:t>As of the date of this AIF, all promoters, directors, officers and insiders, as a group, beneficially own, directly or indirectly, an aggregate of 24,909,404 Common Shares on a non-diluted basis, representing 15.00% of the Company’s capitalization on a fully diluted basis.</w:t>
      </w:r>
    </w:p>
    <w:p>
      <w:pPr>
        <w:spacing w:after="0" w:line="1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&amp; Management</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Douglas Drysdale</w:t>
      </w:r>
      <w:r>
        <w:rPr>
          <w:rFonts w:ascii="Times New Roman" w:cs="Times New Roman" w:eastAsia="Times New Roman" w:hAnsi="Times New Roman"/>
          <w:sz w:val="18"/>
          <w:szCs w:val="18"/>
          <w:color w:val="auto"/>
        </w:rPr>
        <w:t>, Chief Executive Officer, Age 52</w:t>
      </w:r>
    </w:p>
    <w:p>
      <w:pPr>
        <w:spacing w:after="0" w:line="176" w:lineRule="exact"/>
        <w:rPr>
          <w:sz w:val="20"/>
          <w:szCs w:val="20"/>
          <w:color w:val="auto"/>
        </w:rPr>
      </w:pPr>
    </w:p>
    <w:p>
      <w:pPr>
        <w:ind w:left="2" w:right="20"/>
        <w:spacing w:after="0" w:line="217" w:lineRule="auto"/>
        <w:rPr>
          <w:sz w:val="20"/>
          <w:szCs w:val="20"/>
          <w:color w:val="auto"/>
        </w:rPr>
      </w:pPr>
      <w:r>
        <w:rPr>
          <w:rFonts w:ascii="Times New Roman" w:cs="Times New Roman" w:eastAsia="Times New Roman" w:hAnsi="Times New Roman"/>
          <w:sz w:val="18"/>
          <w:szCs w:val="18"/>
          <w:color w:val="auto"/>
        </w:rPr>
        <w:t>Douglas Drysdale is the Chief Executive Officer of the Company. Mr. Drysdale has more than 30 years of experience in the health care sector. As a skillful corporate director, in early 2014, Mr. Drysdale led the recapitalization of a NASDAQ-listed pharmaceutical company, Pernix Therapeutics Inc., raising $65</w:t>
      </w:r>
    </w:p>
    <w:p>
      <w:pPr>
        <w:ind w:left="2"/>
        <w:spacing w:after="0"/>
        <w:rPr>
          <w:sz w:val="20"/>
          <w:szCs w:val="20"/>
          <w:color w:val="auto"/>
        </w:rPr>
      </w:pPr>
      <w:r>
        <w:rPr>
          <w:rFonts w:ascii="Times New Roman" w:cs="Times New Roman" w:eastAsia="Times New Roman" w:hAnsi="Times New Roman"/>
          <w:sz w:val="18"/>
          <w:szCs w:val="18"/>
          <w:color w:val="auto"/>
        </w:rPr>
        <w:t>million. Within the first year of taking the helm as Chairman and CEO, Mr. Drysdale rebuilt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62"/>
          </w:cols>
          <w:pgMar w:left="318" w:top="1440" w:right="319" w:bottom="1440" w:gutter="0" w:footer="0" w:header="0"/>
        </w:sectPr>
      </w:pPr>
    </w:p>
    <w:bookmarkStart w:id="86" w:name="page87"/>
    <w:bookmarkEnd w:id="86"/>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management team and board of directors, and built a 220-person sales team, complete with supporting functions (marketing, sales training, sales operations, and analytics). Mr. Drysdale’s efforts grew the company’s enterprise value exponentially from $80 million to around $800 million. Under Mr. Drysdale’s leadership, the pharmaceutical company raised $465 million of capital.</w:t>
      </w:r>
    </w:p>
    <w:p>
      <w:pPr>
        <w:spacing w:after="0" w:line="135"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Earlier in his career, Mr. Drysdale served as Head of M&amp;A at Actavis Group, leading 15 corporate acquisitions across three continents, between 2004 and 2008, including a high-profile public hostile takeover attempt in Central Eastern Europe. Over this period, Mr. Drysdale raised approximately $3 billion of capital and managed lending syndicates, including over 25 banks, to fund its growth. Actavis was sold to Watson Pharmaceuticals in 2012 for €4.25 billion.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 Cavers</w:t>
      </w:r>
      <w:r>
        <w:rPr>
          <w:rFonts w:ascii="Times New Roman" w:cs="Times New Roman" w:eastAsia="Times New Roman" w:hAnsi="Times New Roman"/>
          <w:sz w:val="18"/>
          <w:szCs w:val="18"/>
          <w:color w:val="auto"/>
        </w:rPr>
        <w:t>, Chief Financial Officer, Age 52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Greg Cavers has over 20 years’ experience specializing in transforming and revitalizing corporate finance departments. Mr. Cavers has experience in service</w:t>
      </w:r>
    </w:p>
    <w:p>
      <w:pPr>
        <w:spacing w:after="0" w:line="8"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operations in varying stages of growth; leading business unit start-ups, restructuring, system implementations and merger integrations while increasing profitability, minimizing risk and dedicated to meeting financial reporting, IFRS; as well as regulatory reporting OSFI, MFDA requirements.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Gabriel Fahel</w:t>
      </w:r>
      <w:r>
        <w:rPr>
          <w:rFonts w:ascii="Times New Roman" w:cs="Times New Roman" w:eastAsia="Times New Roman" w:hAnsi="Times New Roman"/>
          <w:sz w:val="18"/>
          <w:szCs w:val="18"/>
          <w:color w:val="auto"/>
        </w:rPr>
        <w:t>, Chief Legal Officer and Corporate Secretary, Age 47</w:t>
      </w:r>
    </w:p>
    <w:p>
      <w:pPr>
        <w:spacing w:after="0" w:line="176"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Gabe Fahel brings extensive experience in corporate commercial matters and government relations with more than 20 years as counsel with law firms, private and public companies, government and non-profit organizations. Mr. Fahel has a broad range of experience managing multijurisdictional and</w:t>
      </w: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multidisciplinary teams in fast-paced and politically charged environments. He has been engaged in complex and intractable areas of international law and advanced novel legal issues of law before every level of court in Canada, including the Supreme Court of Canada.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Fahel was previously legal counsel with the Canadian government, General Counsel at Mundo Media Ltd. and Growpacker Inc., and served as legal</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advisor with Adam Smith International and the United Nations Development Programme. Prior to these positions, Mr. Fahel was a lawyer at Bay Street law firms engaged in commercial litigation and public interest class actions. He is a founding board member of Psychedelics Canada. He earned a Bachelor of</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Arts from York University (1997), a Bachelor of Laws from the University of Windsor, Faculty of Law (2000), and a Master of Laws from New York University School of Law (2002).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Paul Glavine</w:t>
      </w:r>
      <w:r>
        <w:rPr>
          <w:rFonts w:ascii="Times New Roman" w:cs="Times New Roman" w:eastAsia="Times New Roman" w:hAnsi="Times New Roman"/>
          <w:sz w:val="18"/>
          <w:szCs w:val="18"/>
          <w:color w:val="auto"/>
        </w:rPr>
        <w:t>, Director and Chief Growth Officer, Age 33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Glavine is a Co-founder and the Chief Operating Officer of the Company. He is a serial entrepreneur and investor with vast experience in the biotech ,</w:t>
      </w:r>
    </w:p>
    <w:p>
      <w:pPr>
        <w:jc w:val="both"/>
        <w:spacing w:after="0" w:line="217" w:lineRule="auto"/>
        <w:rPr>
          <w:sz w:val="20"/>
          <w:szCs w:val="20"/>
          <w:color w:val="auto"/>
        </w:rPr>
      </w:pPr>
      <w:r>
        <w:rPr>
          <w:rFonts w:ascii="Times New Roman" w:cs="Times New Roman" w:eastAsia="Times New Roman" w:hAnsi="Times New Roman"/>
          <w:sz w:val="17"/>
          <w:szCs w:val="17"/>
          <w:color w:val="auto"/>
        </w:rPr>
        <w:t>mining , tech and life science sectors. Mr. Glavine is the Co-founder of TruVerra, which was acquired by Supreme Cannabis Company, and later acquired by Canopy Growth. His previous background is in the parking technology industry and he has advised on M&amp;A and other financings in accesses of 180M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past 5 years.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Brett Greene</w:t>
      </w:r>
      <w:r>
        <w:rPr>
          <w:rFonts w:ascii="Times New Roman" w:cs="Times New Roman" w:eastAsia="Times New Roman" w:hAnsi="Times New Roman"/>
          <w:sz w:val="18"/>
          <w:szCs w:val="18"/>
          <w:color w:val="auto"/>
        </w:rPr>
        <w:t>, Chief Innovation Officer, Age 39</w:t>
      </w:r>
    </w:p>
    <w:p>
      <w:pPr>
        <w:spacing w:after="0" w:line="164"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Brett Greene has been an advocate for psychedelic research and education for over 20 years. He was the Research Administrator for the Center for Drug Discovery (CDD) at Northeastern University, one of the world’s top cannabinoid research facilities, a position he held for over 12 years.. There, he co-</w:t>
      </w:r>
    </w:p>
    <w:p>
      <w:pPr>
        <w:jc w:val="both"/>
        <w:spacing w:after="0" w:line="205" w:lineRule="auto"/>
        <w:rPr>
          <w:sz w:val="20"/>
          <w:szCs w:val="20"/>
          <w:color w:val="auto"/>
        </w:rPr>
      </w:pPr>
      <w:r>
        <w:rPr>
          <w:rFonts w:ascii="Times New Roman" w:cs="Times New Roman" w:eastAsia="Times New Roman" w:hAnsi="Times New Roman"/>
          <w:sz w:val="18"/>
          <w:szCs w:val="18"/>
          <w:color w:val="auto"/>
        </w:rPr>
        <w:t>managed over $80m in grant funding to support cannabinoid and serotonin research and managed the NIDA-supported Chemistry &amp; Pharmacology of Drug Abuse (CPDA) Conference. He co-founded Psymposia in 2014, a prominent media and events company globally recognized for its social, political,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scientific coverage of the psychedelic movement, as well as having held numerous conferences and events around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60"/>
          </w:cols>
          <w:pgMar w:left="320" w:top="1438"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the globe. Mr. Greene has advised leading companies in the cannabis, hemp and cannabinoid biotech spaces.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Alex Nivorozhkin</w:t>
      </w:r>
      <w:r>
        <w:rPr>
          <w:rFonts w:ascii="Times New Roman" w:cs="Times New Roman" w:eastAsia="Times New Roman" w:hAnsi="Times New Roman"/>
          <w:sz w:val="18"/>
          <w:szCs w:val="18"/>
          <w:color w:val="auto"/>
        </w:rPr>
        <w:t>, Chief Scientific Officer, Age 62</w:t>
      </w:r>
    </w:p>
    <w:p>
      <w:pPr>
        <w:spacing w:after="0" w:line="176"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Alex Nivorozhkin is an entrepreneur and a team builder in the life sciences’ arena with a vast experience and track record in early tech transfer and development. He was a co-founding member of Boston BioCom LLC, a biopharma company funded by and partnered with Pfizer; a co-founding member of</w:t>
      </w:r>
    </w:p>
    <w:p>
      <w:pPr>
        <w:spacing w:after="0" w:line="226" w:lineRule="auto"/>
        <w:rPr>
          <w:sz w:val="20"/>
          <w:szCs w:val="20"/>
          <w:color w:val="auto"/>
        </w:rPr>
      </w:pPr>
      <w:r>
        <w:rPr>
          <w:rFonts w:ascii="Times New Roman" w:cs="Times New Roman" w:eastAsia="Times New Roman" w:hAnsi="Times New Roman"/>
          <w:sz w:val="17"/>
          <w:szCs w:val="17"/>
          <w:color w:val="auto"/>
        </w:rPr>
        <w:t>Neo-Advent Technologies LLC, a company involved in novel drug delivery and drug formulation platforms; a co-founding member of Amorsa Therapeutics</w:t>
      </w:r>
    </w:p>
    <w:p>
      <w:pPr>
        <w:ind w:right="20"/>
        <w:spacing w:after="0" w:line="222" w:lineRule="auto"/>
        <w:rPr>
          <w:sz w:val="20"/>
          <w:szCs w:val="20"/>
          <w:color w:val="auto"/>
        </w:rPr>
      </w:pPr>
      <w:r>
        <w:rPr>
          <w:rFonts w:ascii="Times New Roman" w:cs="Times New Roman" w:eastAsia="Times New Roman" w:hAnsi="Times New Roman"/>
          <w:sz w:val="18"/>
          <w:szCs w:val="18"/>
          <w:color w:val="auto"/>
        </w:rPr>
        <w:t>Inc., a CNS company supported by J&amp;J, which has developed new ketamine-based medications; and a co-founding member of Adelia Therapeutics Inc., focused on novel psychedelic drugs, and other ventures.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Nivorozhkin gained substantial experience in the commercial aspects of drug discovery and development at Epix Medical and Inotek Pharmaceuticals</w:t>
      </w:r>
    </w:p>
    <w:p>
      <w:pPr>
        <w:ind w:right="20"/>
        <w:spacing w:after="0" w:line="205" w:lineRule="auto"/>
        <w:rPr>
          <w:sz w:val="20"/>
          <w:szCs w:val="20"/>
          <w:color w:val="auto"/>
        </w:rPr>
      </w:pPr>
      <w:r>
        <w:rPr>
          <w:rFonts w:ascii="Times New Roman" w:cs="Times New Roman" w:eastAsia="Times New Roman" w:hAnsi="Times New Roman"/>
          <w:sz w:val="18"/>
          <w:szCs w:val="18"/>
          <w:color w:val="auto"/>
        </w:rPr>
        <w:t>where he served as the Head of Medicinal Chemistry. He was a Senior Program Manager at the Center of Integration of Medicine and Innovative Technologies (CIMIT) at Massachusetts General Hospital, and a Scientific Programs Officer at Adelson Medical Research Foundation. He is a co-inventor</w:t>
      </w:r>
    </w:p>
    <w:p>
      <w:pPr>
        <w:spacing w:after="0" w:line="225" w:lineRule="auto"/>
        <w:rPr>
          <w:sz w:val="20"/>
          <w:szCs w:val="20"/>
          <w:color w:val="auto"/>
        </w:rPr>
      </w:pPr>
      <w:r>
        <w:rPr>
          <w:rFonts w:ascii="Times New Roman" w:cs="Times New Roman" w:eastAsia="Times New Roman" w:hAnsi="Times New Roman"/>
          <w:sz w:val="17"/>
          <w:szCs w:val="17"/>
          <w:color w:val="auto"/>
        </w:rPr>
        <w:t>of several drug candidates that have advanced to clinical trials and late pre-clinical studies in the United States, a co-author of over 60 scientific publications</w:t>
      </w:r>
    </w:p>
    <w:p>
      <w:pPr>
        <w:spacing w:after="0" w:line="1"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in different areas of chemistry, chemical biology, and material sciences, and an inventor on more than 20 patents. Alex is a member of the International Cannabinoid Research Society and Adjunct Professor in Cannabinoids Research at the Center for Drug Discovery, Northeastern University, Boston.</w:t>
      </w:r>
    </w:p>
    <w:p>
      <w:pPr>
        <w:spacing w:after="0" w:line="14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He received a Ph.D. in Physical Organic Chemistry from Rostov University and conducted his postdoctoral research at the University Paris-Sud, France, and the Department of Chemistry and Chemical Biology, Harvard University.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G. Palfreyman</w:t>
      </w:r>
      <w:r>
        <w:rPr>
          <w:rFonts w:ascii="Times New Roman" w:cs="Times New Roman" w:eastAsia="Times New Roman" w:hAnsi="Times New Roman"/>
          <w:sz w:val="18"/>
          <w:szCs w:val="18"/>
          <w:color w:val="auto"/>
        </w:rPr>
        <w:t>, Chief Research and Development Officer, Age 76</w:t>
      </w:r>
    </w:p>
    <w:p>
      <w:pPr>
        <w:spacing w:after="0" w:line="176"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Michael Palfreyman is a seasoned leader in the biotechnology and pharmaceutical industries with over four decades’ experience in leadership positions. He specializes in leading and guiding life sciences companies regarding their R&amp;D strategy, financing, BD&amp;L activities and product development and was</w:t>
      </w:r>
    </w:p>
    <w:p>
      <w:pPr>
        <w:ind w:right="20"/>
        <w:spacing w:after="0" w:line="230" w:lineRule="auto"/>
        <w:rPr>
          <w:sz w:val="20"/>
          <w:szCs w:val="20"/>
          <w:color w:val="auto"/>
        </w:rPr>
      </w:pPr>
      <w:r>
        <w:rPr>
          <w:rFonts w:ascii="Times New Roman" w:cs="Times New Roman" w:eastAsia="Times New Roman" w:hAnsi="Times New Roman"/>
          <w:sz w:val="18"/>
          <w:szCs w:val="18"/>
          <w:color w:val="auto"/>
        </w:rPr>
        <w:t>President, Palfreyman BioPharm Advisors, LLC. In this capacity, Mr. Palfreyman served until it was acquired in 2019 as Chief Scientific Officer at Amorsa Therapeutics, Inc.</w:t>
      </w:r>
    </w:p>
    <w:p>
      <w:pPr>
        <w:spacing w:after="0" w:line="13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7"/>
          <w:szCs w:val="17"/>
          <w:color w:val="auto"/>
        </w:rPr>
        <w:t>Mr. Palfreyman is an Emeritus Fellow of the American College of Neuropsychopharmacology and his passion lies in the CNS field where he has contributed to, and overseen several research programs in Psychiatric and Neurological Diseases. He has also led R&amp;D pre-clinical and early clinical programs in</w:t>
      </w:r>
    </w:p>
    <w:p>
      <w:pPr>
        <w:ind w:right="20"/>
        <w:spacing w:after="0" w:line="222" w:lineRule="auto"/>
        <w:rPr>
          <w:sz w:val="20"/>
          <w:szCs w:val="20"/>
          <w:color w:val="auto"/>
        </w:rPr>
      </w:pPr>
      <w:r>
        <w:rPr>
          <w:rFonts w:ascii="Times New Roman" w:cs="Times New Roman" w:eastAsia="Times New Roman" w:hAnsi="Times New Roman"/>
          <w:sz w:val="18"/>
          <w:szCs w:val="18"/>
          <w:color w:val="auto"/>
        </w:rPr>
        <w:t>Oncology, Infectious Diseases, Cardiovascular, Metabolic and Respiratory Disorders, Ophthalmology and GI.. A number of these programs have reached the market.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Palfreyman’s own research included discovery and development of a number of psychotherapeutic compounds for treatment of psychosis, depression,</w:t>
      </w:r>
    </w:p>
    <w:p>
      <w:pPr>
        <w:ind w:right="20"/>
        <w:spacing w:after="0" w:line="222" w:lineRule="auto"/>
        <w:rPr>
          <w:sz w:val="20"/>
          <w:szCs w:val="20"/>
          <w:color w:val="auto"/>
        </w:rPr>
      </w:pPr>
      <w:r>
        <w:rPr>
          <w:rFonts w:ascii="Times New Roman" w:cs="Times New Roman" w:eastAsia="Times New Roman" w:hAnsi="Times New Roman"/>
          <w:sz w:val="18"/>
          <w:szCs w:val="18"/>
          <w:color w:val="auto"/>
        </w:rPr>
        <w:t>stroke, epilepsy, emesis, Parkinson’s, Alzheimer’s and Huntington’s disease. Many of these compounds have entered clinical development and a number have reached the marketplace. Mr. Palfreyman is a co-inventor on 44 issued patents and co-author of more than 150 peer reviewed publications.</w:t>
      </w:r>
    </w:p>
    <w:p>
      <w:pPr>
        <w:spacing w:after="0" w:line="14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Mr. Palfreyman holds a D.Sc (1996) in rational design of CNS drugs; a Ph.D. (1970) degree in Neuroscience and Neuropharmacology, as well as a B. Pharm (Magna cum Laude, 1967 in Pharmacy), and MRPharmS (Pharmacy Practice, 1971), all from the University of Nottingham, UK.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So</w:t>
      </w:r>
      <w:r>
        <w:rPr>
          <w:rFonts w:ascii="Times New Roman" w:cs="Times New Roman" w:eastAsia="Times New Roman" w:hAnsi="Times New Roman"/>
          <w:sz w:val="18"/>
          <w:szCs w:val="18"/>
          <w:color w:val="auto"/>
        </w:rPr>
        <w:t>, Director and President, Age 46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So is a Co-founder and President of the Company. He is a veteran owner and operator of various public and private companies over the last 15 years</w:t>
      </w:r>
    </w:p>
    <w:p>
      <w:pPr>
        <w:ind w:right="20"/>
        <w:spacing w:after="0" w:line="222" w:lineRule="auto"/>
        <w:rPr>
          <w:sz w:val="20"/>
          <w:szCs w:val="20"/>
          <w:color w:val="auto"/>
        </w:rPr>
      </w:pPr>
      <w:r>
        <w:rPr>
          <w:rFonts w:ascii="Times New Roman" w:cs="Times New Roman" w:eastAsia="Times New Roman" w:hAnsi="Times New Roman"/>
          <w:sz w:val="18"/>
          <w:szCs w:val="18"/>
          <w:color w:val="auto"/>
        </w:rPr>
        <w:t>and has led C-level corporate strategy, development and finance at all stages of the business life cycle from start-up to high growth and multinational.. He began his career practicing in the areas of corporate commercial, securities, finance and mergers and acquisitions at Torys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60"/>
          </w:cols>
          <w:pgMar w:left="320" w:top="1438"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Theresa Firestone</w:t>
      </w:r>
      <w:r>
        <w:rPr>
          <w:rFonts w:ascii="Times New Roman" w:cs="Times New Roman" w:eastAsia="Times New Roman" w:hAnsi="Times New Roman"/>
          <w:sz w:val="18"/>
          <w:szCs w:val="18"/>
          <w:color w:val="auto"/>
        </w:rPr>
        <w:t>, Director, Age 66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Theresa Firestone is a senior healthcare executive with retail, pharmaceutical, health &amp; wellness, government and global restructuring expertise. She spent</w:t>
      </w:r>
    </w:p>
    <w:p>
      <w:pPr>
        <w:spacing w:after="0" w:line="205" w:lineRule="auto"/>
        <w:rPr>
          <w:sz w:val="20"/>
          <w:szCs w:val="20"/>
          <w:color w:val="auto"/>
        </w:rPr>
      </w:pPr>
      <w:r>
        <w:rPr>
          <w:rFonts w:ascii="Times New Roman" w:cs="Times New Roman" w:eastAsia="Times New Roman" w:hAnsi="Times New Roman"/>
          <w:sz w:val="18"/>
          <w:szCs w:val="18"/>
          <w:color w:val="auto"/>
        </w:rPr>
        <w:t>15 years in senior roles at Pfizer Inc., 14 years in government and 7 years in the retail and health and wellness sector. Ms. Firestone has international experience in executive leadership roles in Canada, Europe and Asia and extensive P&amp;L experience. At Pfizer, Ms. Firestone was Regional President of</w:t>
      </w:r>
    </w:p>
    <w:p>
      <w:pPr>
        <w:spacing w:after="0" w:line="213" w:lineRule="auto"/>
        <w:rPr>
          <w:sz w:val="20"/>
          <w:szCs w:val="20"/>
          <w:color w:val="auto"/>
        </w:rPr>
      </w:pPr>
      <w:r>
        <w:rPr>
          <w:rFonts w:ascii="Times New Roman" w:cs="Times New Roman" w:eastAsia="Times New Roman" w:hAnsi="Times New Roman"/>
          <w:sz w:val="18"/>
          <w:szCs w:val="18"/>
          <w:color w:val="auto"/>
        </w:rPr>
        <w:t>Emerging Markets Asia and had responsibility for a P&amp;L of $1.4B and oversaw 9 markets in Asia. Ms. Firestone was most recently Senior Vice President</w:t>
      </w:r>
    </w:p>
    <w:p>
      <w:pPr>
        <w:ind w:right="20"/>
        <w:spacing w:after="0" w:line="222" w:lineRule="auto"/>
        <w:rPr>
          <w:sz w:val="20"/>
          <w:szCs w:val="20"/>
          <w:color w:val="auto"/>
        </w:rPr>
      </w:pPr>
      <w:r>
        <w:rPr>
          <w:rFonts w:ascii="Times New Roman" w:cs="Times New Roman" w:eastAsia="Times New Roman" w:hAnsi="Times New Roman"/>
          <w:sz w:val="18"/>
          <w:szCs w:val="18"/>
          <w:color w:val="auto"/>
        </w:rPr>
        <w:t>with Shoppers Drug Mart where she lead the health and wellness initiatives including new growth strategies and the development and launch of health clinics and the PC Health App.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Froese</w:t>
      </w:r>
      <w:r>
        <w:rPr>
          <w:rFonts w:ascii="Times New Roman" w:cs="Times New Roman" w:eastAsia="Times New Roman" w:hAnsi="Times New Roman"/>
          <w:sz w:val="18"/>
          <w:szCs w:val="18"/>
          <w:color w:val="auto"/>
        </w:rPr>
        <w:t>, Director, Age 60</w:t>
      </w:r>
    </w:p>
    <w:p>
      <w:pPr>
        <w:spacing w:after="0" w:line="176"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Grant Froese is a retail industry veteran with 38 years of experience at Loblaw Companies Limited, Canada’s largest food retailer, with his most recent position being Chief Operating Officer. Mr. Froese also served as the Chief Executive Officer of Marquee Health Group, a late-stage applicant under the</w:t>
      </w:r>
    </w:p>
    <w:p>
      <w:pPr>
        <w:spacing w:after="0" w:line="225" w:lineRule="auto"/>
        <w:rPr>
          <w:sz w:val="20"/>
          <w:szCs w:val="20"/>
          <w:color w:val="auto"/>
        </w:rPr>
      </w:pPr>
      <w:r>
        <w:rPr>
          <w:rFonts w:ascii="Times New Roman" w:cs="Times New Roman" w:eastAsia="Times New Roman" w:hAnsi="Times New Roman"/>
          <w:sz w:val="17"/>
          <w:szCs w:val="17"/>
          <w:color w:val="auto"/>
        </w:rPr>
        <w:t>Access to Cannabis for Medical Purposes Regulation and as Chief Executive Officer of Harvest One, a global cannabis company that develops and provides</w:t>
      </w:r>
    </w:p>
    <w:p>
      <w:pPr>
        <w:ind w:right="20"/>
        <w:spacing w:after="0" w:line="205" w:lineRule="auto"/>
        <w:rPr>
          <w:sz w:val="20"/>
          <w:szCs w:val="20"/>
          <w:color w:val="auto"/>
        </w:rPr>
      </w:pPr>
      <w:r>
        <w:rPr>
          <w:rFonts w:ascii="Times New Roman" w:cs="Times New Roman" w:eastAsia="Times New Roman" w:hAnsi="Times New Roman"/>
          <w:sz w:val="18"/>
          <w:szCs w:val="18"/>
          <w:color w:val="auto"/>
        </w:rPr>
        <w:t>innovative lifestyle and wellness products to consumers and patients in regulated markets around the world where he gained valuable industry experience and insight. Mr. Froese has extensive experience in supply chain management, digital/ecommerce businesses, marketing, brand management,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merchandising and operations management.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Hoskins</w:t>
      </w:r>
      <w:r>
        <w:rPr>
          <w:rFonts w:ascii="Times New Roman" w:cs="Times New Roman" w:eastAsia="Times New Roman" w:hAnsi="Times New Roman"/>
          <w:sz w:val="18"/>
          <w:szCs w:val="18"/>
          <w:color w:val="auto"/>
        </w:rPr>
        <w:t>, Director, Age 61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Eric Hoskins is a Partner at Maverix Private Equity. He is the former Ontario Health Minister (2014-2018) responsible for one of the largest health care</w:t>
      </w:r>
    </w:p>
    <w:p>
      <w:pPr>
        <w:ind w:right="20"/>
        <w:spacing w:after="0" w:line="217" w:lineRule="auto"/>
        <w:rPr>
          <w:sz w:val="20"/>
          <w:szCs w:val="20"/>
          <w:color w:val="auto"/>
        </w:rPr>
      </w:pPr>
      <w:r>
        <w:rPr>
          <w:rFonts w:ascii="Times New Roman" w:cs="Times New Roman" w:eastAsia="Times New Roman" w:hAnsi="Times New Roman"/>
          <w:sz w:val="17"/>
          <w:szCs w:val="17"/>
          <w:color w:val="auto"/>
        </w:rPr>
        <w:t>systems in North America. He is a former elected Member of Ontario Provincial Parliament holding Cabinet positions in Health, Economic Development and Trade, Children and Youth Services, and Immigration. Dr. Hoskins is a physician and public health specialist with more than thirty years’ experience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care and public policy.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Lawson</w:t>
      </w:r>
      <w:r>
        <w:rPr>
          <w:rFonts w:ascii="Times New Roman" w:cs="Times New Roman" w:eastAsia="Times New Roman" w:hAnsi="Times New Roman"/>
          <w:sz w:val="18"/>
          <w:szCs w:val="18"/>
          <w:color w:val="auto"/>
        </w:rPr>
        <w:t>, Director, Age 50</w:t>
      </w:r>
    </w:p>
    <w:p>
      <w:pPr>
        <w:spacing w:after="0" w:line="164"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Mark Lawson is a private equity and investment banking executive with over 20 years of experience in Canada, the United States, and in the emerging markets. From 2008 to present Mr. Lawson has been the Managing Partner of Clermont Capital Partners, a Toronto based merchant bank and advisory firm</w:t>
      </w:r>
    </w:p>
    <w:p>
      <w:pPr>
        <w:ind w:right="20"/>
        <w:spacing w:after="0" w:line="205" w:lineRule="auto"/>
        <w:rPr>
          <w:sz w:val="20"/>
          <w:szCs w:val="20"/>
          <w:color w:val="auto"/>
        </w:rPr>
      </w:pPr>
      <w:r>
        <w:rPr>
          <w:rFonts w:ascii="Times New Roman" w:cs="Times New Roman" w:eastAsia="Times New Roman" w:hAnsi="Times New Roman"/>
          <w:sz w:val="18"/>
          <w:szCs w:val="18"/>
          <w:color w:val="auto"/>
        </w:rPr>
        <w:t>focused on the technology and healthcare sectors. From 2004 to 2008 he was an investment banker with Morgan Stanley in New York, where he was involved in the execution of over $6 billion worth of mergers and acquisitions, $8 billion worth of debt offerings and $500 million of equity financings in</w:t>
      </w:r>
    </w:p>
    <w:p>
      <w:pPr>
        <w:spacing w:after="0" w:line="225" w:lineRule="auto"/>
        <w:rPr>
          <w:sz w:val="20"/>
          <w:szCs w:val="20"/>
          <w:color w:val="auto"/>
        </w:rPr>
      </w:pPr>
      <w:r>
        <w:rPr>
          <w:rFonts w:ascii="Times New Roman" w:cs="Times New Roman" w:eastAsia="Times New Roman" w:hAnsi="Times New Roman"/>
          <w:sz w:val="17"/>
          <w:szCs w:val="17"/>
          <w:color w:val="auto"/>
        </w:rPr>
        <w:t>the healthcare, technology, and telecom sectors. Mr. Lawson is also currently a director of various publicly traded companies in North America. Mr. Lawson</w:t>
      </w:r>
    </w:p>
    <w:p>
      <w:pPr>
        <w:spacing w:after="0" w:line="1"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18"/>
          <w:szCs w:val="18"/>
          <w:color w:val="auto"/>
        </w:rPr>
        <w:t>received his Bachelor of Arts in Statistical Sciences from The University of Western Ontario, Canada and his MBA from The Richard Ivey School of Business, University of Western Ontario, Canada. Mr. Lawson is a member of the Economic Club of New York and is a Director of the Hugh and Ilene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Lawson Charitable Organization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CEASE TRADE ORDERS, BANKRUPTCIES, PENALTIES OR SANCTIONS</w:t>
      </w:r>
    </w:p>
    <w:p>
      <w:pPr>
        <w:spacing w:after="0" w:line="16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Except as disclosed below, no director or executive officer of the Company is, as at the date of this AIF, or has been within the last ten years, a director, chief executive officer or chief financial officer of any company (including the Company) that:</w:t>
      </w:r>
    </w:p>
    <w:p>
      <w:pPr>
        <w:spacing w:after="0" w:line="143" w:lineRule="exact"/>
        <w:rPr>
          <w:sz w:val="20"/>
          <w:szCs w:val="20"/>
          <w:color w:val="auto"/>
        </w:rPr>
      </w:pPr>
    </w:p>
    <w:p>
      <w:pPr>
        <w:ind w:left="1180" w:right="20" w:hanging="596"/>
        <w:spacing w:after="0" w:line="223" w:lineRule="auto"/>
        <w:tabs>
          <w:tab w:leader="none" w:pos="9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subject to a cease trade order, an order similar to a cease trade order, or an order that denied the relevant company access to any exemption under securities legislation, and which in all cases was in effect for a period of more than 30 consecutive days (an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which Order was issued while the director or executive officer was acting in the capacity as director, chief executive officer or chief financial officer of such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60"/>
          </w:cols>
          <w:pgMar w:left="320" w:top="1434" w:right="319" w:bottom="1440" w:gutter="0" w:footer="0" w:header="0"/>
        </w:sectPr>
      </w:pPr>
    </w:p>
    <w:bookmarkStart w:id="89" w:name="page90"/>
    <w:bookmarkEnd w:id="89"/>
    <w:p>
      <w:pPr>
        <w:ind w:left="1180" w:right="20" w:hanging="596"/>
        <w:spacing w:after="0" w:line="231" w:lineRule="auto"/>
        <w:tabs>
          <w:tab w:leader="none" w:pos="100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subject to an Order that was issued after the director or executive officer ceased to be a director, chief executive officer or chief financial officer and which resulted from an event that occurred while that person was acting in the capacity as director, chief executive officer or chief financial officer of such company.</w:t>
      </w:r>
    </w:p>
    <w:p>
      <w:pPr>
        <w:spacing w:after="0" w:line="13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To the knowledge of the Company, no director or executive officer of the Company or any shareholder holding a sufficient number of Common Shares to affect materially the control of the Company:</w:t>
      </w:r>
    </w:p>
    <w:p>
      <w:pPr>
        <w:spacing w:after="0" w:line="143" w:lineRule="exact"/>
        <w:rPr>
          <w:sz w:val="20"/>
          <w:szCs w:val="20"/>
          <w:color w:val="auto"/>
        </w:rPr>
      </w:pPr>
    </w:p>
    <w:p>
      <w:pPr>
        <w:ind w:left="1180" w:right="20" w:hanging="596"/>
        <w:spacing w:after="0" w:line="223" w:lineRule="auto"/>
        <w:tabs>
          <w:tab w:leader="none" w:pos="97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as at the date of this AIF, or has been within the last ten years, a director or executive officer of any company (including the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134" w:lineRule="exact"/>
        <w:rPr>
          <w:rFonts w:ascii="Times New Roman" w:cs="Times New Roman" w:eastAsia="Times New Roman" w:hAnsi="Times New Roman"/>
          <w:sz w:val="18"/>
          <w:szCs w:val="18"/>
          <w:color w:val="auto"/>
        </w:rPr>
      </w:pPr>
    </w:p>
    <w:p>
      <w:pPr>
        <w:ind w:left="1180" w:right="20" w:hanging="596"/>
        <w:spacing w:after="0" w:line="231" w:lineRule="auto"/>
        <w:tabs>
          <w:tab w:leader="none" w:pos="100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within the last ten years, become bankrupt, made a proposal under any legislation relating to bankruptcy or insolvency or become subject to or instituted any proceedings, arrangement or compromise with creditors or had a receiver, receiver manager or trustee appointed to hold his assets;</w:t>
      </w:r>
    </w:p>
    <w:p>
      <w:pPr>
        <w:spacing w:after="0" w:line="135" w:lineRule="exact"/>
        <w:rPr>
          <w:rFonts w:ascii="Times New Roman" w:cs="Times New Roman" w:eastAsia="Times New Roman" w:hAnsi="Times New Roman"/>
          <w:sz w:val="18"/>
          <w:szCs w:val="18"/>
          <w:color w:val="auto"/>
        </w:rPr>
      </w:pPr>
    </w:p>
    <w:p>
      <w:pPr>
        <w:ind w:left="1180" w:right="20" w:hanging="596"/>
        <w:spacing w:after="0" w:line="243" w:lineRule="auto"/>
        <w:tabs>
          <w:tab w:leader="none" w:pos="9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subject to any penalties or sanctions imposed by a court relating to securities legislation or by a securities regulatory authority or has entered into a settlement agreement with a securities regulatory authority; or</w:t>
      </w:r>
    </w:p>
    <w:p>
      <w:pPr>
        <w:spacing w:after="0" w:line="142" w:lineRule="exact"/>
        <w:rPr>
          <w:rFonts w:ascii="Times New Roman" w:cs="Times New Roman" w:eastAsia="Times New Roman" w:hAnsi="Times New Roman"/>
          <w:sz w:val="18"/>
          <w:szCs w:val="18"/>
          <w:color w:val="auto"/>
        </w:rPr>
      </w:pPr>
    </w:p>
    <w:p>
      <w:pPr>
        <w:ind w:left="1180" w:right="20" w:hanging="596"/>
        <w:spacing w:after="0" w:line="234" w:lineRule="auto"/>
        <w:tabs>
          <w:tab w:leader="none" w:pos="99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subject to any penalties or sanctions imposed by a court or regulatory body that would likely be considered important to a reasonable investor in making an investment decision regarding the Company.</w:t>
      </w:r>
    </w:p>
    <w:p>
      <w:pPr>
        <w:spacing w:after="0" w:line="14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Greg Cavers was the interim Chief Financial Officer of LottoGopher Holdings Inc. (“</w:t>
      </w:r>
      <w:r>
        <w:rPr>
          <w:rFonts w:ascii="Times New Roman" w:cs="Times New Roman" w:eastAsia="Times New Roman" w:hAnsi="Times New Roman"/>
          <w:sz w:val="18"/>
          <w:szCs w:val="18"/>
          <w:b w:val="1"/>
          <w:bCs w:val="1"/>
          <w:color w:val="auto"/>
        </w:rPr>
        <w:t>LottoGopher</w:t>
      </w:r>
      <w:r>
        <w:rPr>
          <w:rFonts w:ascii="Times New Roman" w:cs="Times New Roman" w:eastAsia="Times New Roman" w:hAnsi="Times New Roman"/>
          <w:sz w:val="18"/>
          <w:szCs w:val="18"/>
          <w:color w:val="auto"/>
        </w:rPr>
        <w:t>”), a CSE-listed company, until January 2020. Preceding his position, LottoGopher has been subject to a cease trade order on December 5, 2018 for failing to file interim financial report, management’s discussion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analysis and certification of the filings pursuant to NI 52-109.</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information, not being within the knowledge of the Company, has been furnished by the respective directors and executive officers.</w:t>
      </w:r>
    </w:p>
    <w:p>
      <w:pPr>
        <w:spacing w:after="0" w:line="15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best of the Company’s knowledge, other than as disclosed herein, there are no known existing or potential material conflicts of interest between the</w:t>
      </w:r>
    </w:p>
    <w:p>
      <w:pPr>
        <w:ind w:right="20"/>
        <w:spacing w:after="0" w:line="205" w:lineRule="auto"/>
        <w:rPr>
          <w:sz w:val="20"/>
          <w:szCs w:val="20"/>
          <w:color w:val="auto"/>
        </w:rPr>
      </w:pPr>
      <w:r>
        <w:rPr>
          <w:rFonts w:ascii="Times New Roman" w:cs="Times New Roman" w:eastAsia="Times New Roman" w:hAnsi="Times New Roman"/>
          <w:sz w:val="18"/>
          <w:szCs w:val="18"/>
          <w:color w:val="auto"/>
        </w:rPr>
        <w:t>Company and any directors or officers of the Company, except that certain of the directors and officers serve as directors, officers, promoters and members of management of other public companies and therefore it is possible that a conflict may arise between their duties as a director or officer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their duties as a director, officer, promoter or member of management of such other companies.</w:t>
      </w:r>
    </w:p>
    <w:p>
      <w:pPr>
        <w:spacing w:after="0" w:line="152"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The directors and officers of the Company are aware of the existence of laws governing accountability of directors and officers for corporate opportunity and requiring disclosures by directors of conflicts of interest and the Company will rely upon such laws in respect of any directors and officers’ conflicts of</w:t>
      </w:r>
    </w:p>
    <w:p>
      <w:pPr>
        <w:spacing w:after="0" w:line="212" w:lineRule="auto"/>
        <w:rPr>
          <w:sz w:val="20"/>
          <w:szCs w:val="20"/>
          <w:color w:val="auto"/>
        </w:rPr>
      </w:pPr>
      <w:r>
        <w:rPr>
          <w:rFonts w:ascii="Times New Roman" w:cs="Times New Roman" w:eastAsia="Times New Roman" w:hAnsi="Times New Roman"/>
          <w:sz w:val="18"/>
          <w:szCs w:val="18"/>
          <w:color w:val="auto"/>
        </w:rPr>
        <w:t>interest or in respect of any breaches of duty by any of its directors or officers. All such conflicts will be disclosed by such directors or officers in</w:t>
      </w:r>
    </w:p>
    <w:p>
      <w:pPr>
        <w:ind w:right="20"/>
        <w:spacing w:after="0" w:line="222" w:lineRule="auto"/>
        <w:rPr>
          <w:sz w:val="20"/>
          <w:szCs w:val="20"/>
          <w:color w:val="auto"/>
        </w:rPr>
      </w:pPr>
      <w:r>
        <w:rPr>
          <w:rFonts w:ascii="Times New Roman" w:cs="Times New Roman" w:eastAsia="Times New Roman" w:hAnsi="Times New Roman"/>
          <w:sz w:val="18"/>
          <w:szCs w:val="18"/>
          <w:color w:val="auto"/>
        </w:rPr>
        <w:t>accordance with the OBCA and they will govern themselves in respect thereof to the best of their ability in accordance with the obligations imposed upon them by law.</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PROCEEDINGS AND REGULATORY ACTIONS</w:t>
      </w:r>
    </w:p>
    <w:p>
      <w:pPr>
        <w:spacing w:after="0" w:line="17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To the Company’s knowledge, there are no legal proceedings or regulatory actions material to the Company to which it is a party, or has been a party to, or of which any of its property is or was the subject matter, and no such proceedings or actions are known by the Company to be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60"/>
          </w:cols>
          <w:pgMar w:left="320" w:top="1438" w:right="319" w:bottom="1440" w:gutter="0" w:footer="0" w:header="0"/>
        </w:sectPr>
      </w:pPr>
    </w:p>
    <w:bookmarkStart w:id="90" w:name="page91"/>
    <w:bookmarkEnd w:id="90"/>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There have been no penalties or sanctions imposed against the Company by a court or regulatory authority, and the Company has not entered into any settlement agreements before any court relating to provincial or territorial securities legislation or with any securities regulatory authority, in the three years prior to the date of this AIF.</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OF MANAGEMENT AND OTHERS IN MATERIAL TRANSACTIONS</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Other than as disclosed below and elsewhere in this AIF no director, executive officer or unitholder or shareholder that beneficially owns, or controls or</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directs, directly or indirectly, more than 10% of the voting securities of the Company, or any of their respective Associates or affiliates, has any material interest, direct or indirect, in any transaction within the three years before the date of this AIF which has materially affected or is reasonably expected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materially affect the Company or a subsidiary of the Company.</w:t>
      </w:r>
    </w:p>
    <w:p>
      <w:pPr>
        <w:spacing w:after="0" w:line="14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AUDITOR, TRANSFER AGENT AND REGISTRAR</w:t>
      </w:r>
    </w:p>
    <w:p>
      <w:pPr>
        <w:spacing w:after="0" w:line="1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Odyssey Trust Company, at its Calgary, Alberta office acts as the Company’s transfer agent and registrar and Zeifmans LLP, at its Toronto, Ontario office acts as the Company’s auditor.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16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Material contracts of the Company, other than contracts entered into in the ordinary course of business, that were entered into within the last financial year or before the last financial year but is still in effect:</w:t>
      </w:r>
    </w:p>
    <w:p>
      <w:pPr>
        <w:spacing w:after="0" w:line="127" w:lineRule="exact"/>
        <w:rPr>
          <w:sz w:val="20"/>
          <w:szCs w:val="20"/>
          <w:color w:val="auto"/>
        </w:rPr>
      </w:pPr>
    </w:p>
    <w:p>
      <w:pPr>
        <w:ind w:left="960" w:hanging="376"/>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Agreement;</w:t>
      </w:r>
    </w:p>
    <w:p>
      <w:pPr>
        <w:ind w:left="980" w:hanging="396"/>
        <w:spacing w:after="0" w:line="21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IntelGenx Agreement;</w:t>
      </w:r>
    </w:p>
    <w:p>
      <w:pPr>
        <w:ind w:left="1000" w:hanging="416"/>
        <w:spacing w:after="0" w:line="198"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Agreement;</w:t>
      </w:r>
    </w:p>
    <w:p>
      <w:pPr>
        <w:ind w:left="980" w:hanging="396"/>
        <w:spacing w:after="0" w:line="21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Agreement; and</w:t>
      </w:r>
    </w:p>
    <w:p>
      <w:pPr>
        <w:ind w:left="960" w:hanging="376"/>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Indenture.</w:t>
      </w:r>
    </w:p>
    <w:p>
      <w:pPr>
        <w:spacing w:after="0" w:line="152" w:lineRule="exact"/>
        <w:rPr>
          <w:sz w:val="20"/>
          <w:szCs w:val="20"/>
          <w:color w:val="auto"/>
        </w:rPr>
      </w:pPr>
    </w:p>
    <w:p>
      <w:pPr>
        <w:jc w:val="center"/>
        <w:ind w:right="2600"/>
        <w:spacing w:after="0"/>
        <w:rPr>
          <w:sz w:val="20"/>
          <w:szCs w:val="20"/>
          <w:color w:val="auto"/>
        </w:rPr>
      </w:pPr>
      <w:r>
        <w:rPr>
          <w:rFonts w:ascii="Times New Roman" w:cs="Times New Roman" w:eastAsia="Times New Roman" w:hAnsi="Times New Roman"/>
          <w:sz w:val="17"/>
          <w:szCs w:val="17"/>
          <w:color w:val="auto"/>
        </w:rPr>
        <w:t xml:space="preserve">The Company’s material contracts described above are filed under the Company’s profile on SEDAR at </w:t>
      </w:r>
      <w:r>
        <w:rPr>
          <w:rFonts w:ascii="Times New Roman" w:cs="Times New Roman" w:eastAsia="Times New Roman" w:hAnsi="Times New Roman"/>
          <w:sz w:val="17"/>
          <w:szCs w:val="17"/>
          <w:u w:val="single" w:color="auto"/>
          <w:color w:val="3051F2"/>
        </w:rPr>
        <w:t>www.sedar.com</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INTERESTS OF EXPERTS</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 person or corporation whose profession or business gives authority to a statement made by the person or corporation and who is named as having</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prepared or certified a part of this AIF or as having prepared or certified a report or valuation described or included in this AIF holds any beneficial interest, direct or indirect, in any securities or property of the Company or of an Associate or affiliate of the Company and no such person is expected to be elected,</w:t>
      </w:r>
    </w:p>
    <w:p>
      <w:pPr>
        <w:spacing w:after="0" w:line="213" w:lineRule="auto"/>
        <w:rPr>
          <w:sz w:val="20"/>
          <w:szCs w:val="20"/>
          <w:color w:val="auto"/>
        </w:rPr>
      </w:pPr>
      <w:r>
        <w:rPr>
          <w:rFonts w:ascii="Times New Roman" w:cs="Times New Roman" w:eastAsia="Times New Roman" w:hAnsi="Times New Roman"/>
          <w:sz w:val="18"/>
          <w:szCs w:val="18"/>
          <w:color w:val="auto"/>
        </w:rPr>
        <w:t>appointed or employed as a director, senior officer or employee of the Company or of an Associate or affiliate of the Company and no such person is a</w:t>
      </w:r>
    </w:p>
    <w:p>
      <w:pPr>
        <w:spacing w:after="0" w:line="222" w:lineRule="auto"/>
        <w:rPr>
          <w:sz w:val="20"/>
          <w:szCs w:val="20"/>
          <w:color w:val="auto"/>
        </w:rPr>
      </w:pPr>
      <w:r>
        <w:rPr>
          <w:rFonts w:ascii="Times New Roman" w:cs="Times New Roman" w:eastAsia="Times New Roman" w:hAnsi="Times New Roman"/>
          <w:sz w:val="18"/>
          <w:szCs w:val="18"/>
          <w:color w:val="auto"/>
        </w:rPr>
        <w:t>promoter of the Company or an Associate or affiliate of the Company. Zeifmans LLP is independent of the Company in accordance with the rules of professional conduct of the Institute of Chartered Professional Accountants of Ontario.</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Committee’s Charter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of the Company’s Audit Committee is reproduced as Exhibit “A”.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Audit Committee</w:t>
      </w:r>
    </w:p>
    <w:p>
      <w:pPr>
        <w:spacing w:after="0" w:line="17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As at the date of this AIF, the Audit Committee is composed of Mark Lawson (Chair), Eric Hoskins, Theresa Firestone and Grant Froese, each of whom is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60"/>
          </w:cols>
          <w:pgMar w:left="320" w:top="1438"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 xml:space="preserve">All of the members of the Audit Committee are “independent” as such term is defined in National Instrument 52-110 –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52-110</w:t>
      </w: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The Company is of the opinion that all four members of the Audit Committee are “financially literate” as such term is defined in NI 52-110.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Relevant Education and Experience</w:t>
      </w:r>
    </w:p>
    <w:p>
      <w:pPr>
        <w:spacing w:after="0" w:line="16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All the members of the Audit Committee have the education and/or practical experience required to understand and evaluate financial statements that present a breadth and level of complexity of accounting issues that are generally comparable to the breadth and complexity of issues that can reasonably be expected to be raised by the Company’s financial statements.</w:t>
      </w:r>
    </w:p>
    <w:p>
      <w:pPr>
        <w:spacing w:after="0" w:line="133"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7"/>
          <w:szCs w:val="17"/>
          <w:i w:val="1"/>
          <w:iCs w:val="1"/>
          <w:color w:val="auto"/>
        </w:rPr>
        <w:t xml:space="preserve">Mark Lawson </w:t>
      </w:r>
      <w:r>
        <w:rPr>
          <w:rFonts w:ascii="Times New Roman" w:cs="Times New Roman" w:eastAsia="Times New Roman" w:hAnsi="Times New Roman"/>
          <w:sz w:val="17"/>
          <w:szCs w:val="17"/>
          <w:color w:val="auto"/>
        </w:rPr>
        <w:t>– Mr. Lawson was previously an investment banker with Morgan Stanley in New York where he was involved in the execution of over $6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billion worth of mergers and acquisitions, $8 billion worth of debt offerings and $500 million of equity financings in the healthcare, energy, technology, and</w:t>
      </w:r>
    </w:p>
    <w:p>
      <w:pPr>
        <w:spacing w:after="0" w:line="1" w:lineRule="exact"/>
        <w:rPr>
          <w:sz w:val="20"/>
          <w:szCs w:val="20"/>
          <w:color w:val="auto"/>
        </w:rPr>
      </w:pP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media &amp; telecom sector. He received his Bachelor of Arts in Statistical Sciences from The University of Western Ontario, Canada, and his MBA in Finance from The Richard Ivey School of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University of Western Ontario, Canada. Mr. Lawson was previously the Chief Financial Officer of a TSX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 listed company.</w:t>
      </w:r>
    </w:p>
    <w:p>
      <w:pPr>
        <w:spacing w:after="0" w:line="150"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i w:val="1"/>
          <w:iCs w:val="1"/>
          <w:color w:val="auto"/>
        </w:rPr>
        <w:t xml:space="preserve">Eric Hoskins </w:t>
      </w:r>
      <w:r>
        <w:rPr>
          <w:rFonts w:ascii="Times New Roman" w:cs="Times New Roman" w:eastAsia="Times New Roman" w:hAnsi="Times New Roman"/>
          <w:sz w:val="18"/>
          <w:szCs w:val="18"/>
          <w:color w:val="auto"/>
        </w:rPr>
        <w:t>– Mr. Hoskins served as the Minister of Health for Ontario for 4 years and was responsible for creating, overseeing and administering a $55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budget. He was also a member of the Ontario government Cabinet for ten years regularly reviewing and commenting on budgets and financial</w:t>
      </w:r>
    </w:p>
    <w:p>
      <w:pPr>
        <w:spacing w:after="0"/>
        <w:rPr>
          <w:sz w:val="20"/>
          <w:szCs w:val="20"/>
          <w:color w:val="auto"/>
        </w:rPr>
      </w:pPr>
      <w:r>
        <w:rPr>
          <w:rFonts w:ascii="Times New Roman" w:cs="Times New Roman" w:eastAsia="Times New Roman" w:hAnsi="Times New Roman"/>
          <w:sz w:val="17"/>
          <w:szCs w:val="17"/>
          <w:color w:val="auto"/>
        </w:rPr>
        <w:t>statements. Mr. Hoskins was the Chief Financial Officer of War Child Canada, a $30 million charity, for 8 years. He also has a degree in Health Economics.</w:t>
      </w:r>
    </w:p>
    <w:p>
      <w:pPr>
        <w:spacing w:after="0" w:line="161"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i w:val="1"/>
          <w:iCs w:val="1"/>
          <w:color w:val="auto"/>
        </w:rPr>
        <w:t xml:space="preserve">Theresa Firestone </w:t>
      </w:r>
      <w:r>
        <w:rPr>
          <w:rFonts w:ascii="Times New Roman" w:cs="Times New Roman" w:eastAsia="Times New Roman" w:hAnsi="Times New Roman"/>
          <w:sz w:val="18"/>
          <w:szCs w:val="18"/>
          <w:color w:val="auto"/>
        </w:rPr>
        <w:t>– Ms. Firestone is a senior healthcare executive with retail, pharmaceutical, health &amp; wellness, government and global restructuring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expertise. She spent 15 years in senior roles at Pfizer Inc., 14 years in government and 7 years in the retail and health and wellness sector. Ms. Firestone has</w:t>
      </w:r>
    </w:p>
    <w:p>
      <w:pPr>
        <w:jc w:val="both"/>
        <w:ind w:right="20"/>
        <w:spacing w:after="0" w:line="217" w:lineRule="auto"/>
        <w:rPr>
          <w:sz w:val="20"/>
          <w:szCs w:val="20"/>
          <w:color w:val="auto"/>
        </w:rPr>
      </w:pPr>
      <w:r>
        <w:rPr>
          <w:rFonts w:ascii="Times New Roman" w:cs="Times New Roman" w:eastAsia="Times New Roman" w:hAnsi="Times New Roman"/>
          <w:sz w:val="17"/>
          <w:szCs w:val="17"/>
          <w:color w:val="auto"/>
        </w:rPr>
        <w:t>international experience in executive leadership roles in Canada, Europe and Asia and extensive P&amp;L experience. At Pfizer, Ms. Firestone was Regional President of Emerging Markets Asia and had responsibility for a P&amp;L of $1.4B and oversaw 9 markets in Asia. Ms. Firestone was most recently Senior Vice</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President with Shoppers Drug Mart where she lead the health and wellness initiatives including new growth strategies and the development and launch of health clinics and the PC Health App.</w:t>
      </w:r>
    </w:p>
    <w:p>
      <w:pPr>
        <w:spacing w:after="0" w:line="131"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8"/>
          <w:szCs w:val="18"/>
          <w:i w:val="1"/>
          <w:iCs w:val="1"/>
          <w:color w:val="auto"/>
        </w:rPr>
        <w:t xml:space="preserve">Grant Froese </w:t>
      </w:r>
      <w:r>
        <w:rPr>
          <w:rFonts w:ascii="Times New Roman" w:cs="Times New Roman" w:eastAsia="Times New Roman" w:hAnsi="Times New Roman"/>
          <w:sz w:val="18"/>
          <w:szCs w:val="18"/>
          <w:color w:val="auto"/>
        </w:rPr>
        <w:t>– Mr. Froese had a 38-year career with retail giant Loblaw Companies Limited, including 3 years as Chief Operating Officer responsible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levels of operations and merchandising, as well as oversight of information technology, supply chain, digital/e-commerce, marketing and industry-</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leading control brands. In his capacity as Chief Operating Officer, Mr. Froese was responsible for financial budgeting, operational P/L and annual revenues of approximately $30 million. Mr. Froese served as Chief Executive Officer of Harvest One Cannabis Inc., where he was responsible for oversight of all</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aspects of the company’s production, operations and financial matters including, the review and approval of quarterly and annual financial statements, AIF, MD&amp;A, and related corporate disclosures. Mr. Froese has a Diploma in Business Administration.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Oversight</w:t>
      </w:r>
    </w:p>
    <w:p>
      <w:pPr>
        <w:spacing w:after="0" w:line="17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At no time since the commencement of the Company’s most recently completed financial year have any recommendations by the Audit Committee respecting the nomination and/or compensation of the Company’s external auditors not been adopted by the board of directors.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7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Pursuant to the terms of the Audit Committee Charter, the Audit Committee shall pre-approve all non-audit services to be provided to the Company or its subsidiary entities by the Company’s external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60"/>
          </w:cols>
          <w:pgMar w:left="320" w:top="1434" w:right="319" w:bottom="1440" w:gutter="0" w:footer="0" w:header="0"/>
        </w:sectPr>
      </w:pPr>
    </w:p>
    <w:bookmarkStart w:id="92" w:name="page93"/>
    <w:bookmarkEnd w:id="92"/>
    <w:p>
      <w:pPr>
        <w:spacing w:after="0" w:line="3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External Auditor Service Fees (By Category)</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aggregate fees billed by the Company’s external auditors during the financial year ended March 31, 2022 and March 31,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153275" cy="659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659765"/>
                    </a:xfrm>
                    <a:prstGeom prst="rect">
                      <a:avLst/>
                    </a:prstGeom>
                    <a:noFill/>
                  </pic:spPr>
                </pic:pic>
              </a:graphicData>
            </a:graphic>
          </wp:anchor>
        </w:drawing>
      </w:r>
    </w:p>
    <w:p>
      <w:pPr>
        <w:spacing w:after="0" w:line="197" w:lineRule="exact"/>
        <w:rPr>
          <w:sz w:val="20"/>
          <w:szCs w:val="20"/>
          <w:color w:val="auto"/>
        </w:rPr>
      </w:pPr>
    </w:p>
    <w:tbl>
      <w:tblPr>
        <w:tblLayout w:type="fixed"/>
        <w:tblInd w:w="2" w:type="dxa"/>
        <w:tblCellMar>
          <w:top w:w="0" w:type="dxa"/>
          <w:left w:w="0" w:type="dxa"/>
          <w:bottom w:w="0" w:type="dxa"/>
          <w:right w:w="0" w:type="dxa"/>
        </w:tblCellMar>
      </w:tblPr>
      <w:tr>
        <w:trPr>
          <w:trHeight w:val="461"/>
        </w:trPr>
        <w:tc>
          <w:tcPr>
            <w:tcW w:w="2380" w:type="dxa"/>
            <w:vAlign w:val="bottom"/>
            <w:shd w:val="clear" w:color="auto" w:fill="D9D9D9"/>
          </w:tcPr>
          <w:p>
            <w:pPr>
              <w:ind w:left="360"/>
              <w:spacing w:after="0"/>
              <w:rPr>
                <w:sz w:val="20"/>
                <w:szCs w:val="20"/>
                <w:color w:val="auto"/>
              </w:rPr>
            </w:pPr>
            <w:r>
              <w:rPr>
                <w:rFonts w:ascii="Times New Roman" w:cs="Times New Roman" w:eastAsia="Times New Roman" w:hAnsi="Times New Roman"/>
                <w:sz w:val="15"/>
                <w:szCs w:val="15"/>
                <w:b w:val="1"/>
                <w:bCs w:val="1"/>
                <w:color w:val="auto"/>
              </w:rPr>
              <w:t>Financial Period Ending</w:t>
            </w:r>
          </w:p>
        </w:tc>
        <w:tc>
          <w:tcPr>
            <w:tcW w:w="2080" w:type="dxa"/>
            <w:vAlign w:val="bottom"/>
            <w:shd w:val="clear" w:color="auto" w:fill="D9D9D9"/>
          </w:tcPr>
          <w:p>
            <w:pPr>
              <w:ind w:left="480"/>
              <w:spacing w:after="0"/>
              <w:rPr>
                <w:sz w:val="20"/>
                <w:szCs w:val="20"/>
                <w:color w:val="auto"/>
              </w:rPr>
            </w:pPr>
            <w:r>
              <w:rPr>
                <w:rFonts w:ascii="Times New Roman" w:cs="Times New Roman" w:eastAsia="Times New Roman" w:hAnsi="Times New Roman"/>
                <w:sz w:val="15"/>
                <w:szCs w:val="15"/>
                <w:b w:val="1"/>
                <w:bCs w:val="1"/>
                <w:color w:val="auto"/>
              </w:rPr>
              <w:t>Audit Fees ($)</w:t>
            </w:r>
            <w:r>
              <w:rPr>
                <w:rFonts w:ascii="Times New Roman" w:cs="Times New Roman" w:eastAsia="Times New Roman" w:hAnsi="Times New Roman"/>
                <w:sz w:val="19"/>
                <w:szCs w:val="19"/>
                <w:b w:val="1"/>
                <w:bCs w:val="1"/>
                <w:color w:val="auto"/>
                <w:vertAlign w:val="superscript"/>
              </w:rPr>
              <w:t>(1)</w:t>
            </w:r>
          </w:p>
        </w:tc>
        <w:tc>
          <w:tcPr>
            <w:tcW w:w="266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5"/>
                <w:szCs w:val="15"/>
                <w:b w:val="1"/>
                <w:bCs w:val="1"/>
                <w:color w:val="auto"/>
              </w:rPr>
              <w:t>Audit Related Fees ($)</w:t>
            </w:r>
            <w:r>
              <w:rPr>
                <w:rFonts w:ascii="Times New Roman" w:cs="Times New Roman" w:eastAsia="Times New Roman" w:hAnsi="Times New Roman"/>
                <w:sz w:val="19"/>
                <w:szCs w:val="19"/>
                <w:b w:val="1"/>
                <w:bCs w:val="1"/>
                <w:color w:val="auto"/>
                <w:vertAlign w:val="superscript"/>
              </w:rPr>
              <w:t>(2)</w:t>
            </w:r>
          </w:p>
        </w:tc>
        <w:tc>
          <w:tcPr>
            <w:tcW w:w="190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5"/>
                <w:szCs w:val="15"/>
                <w:b w:val="1"/>
                <w:bCs w:val="1"/>
                <w:color w:val="auto"/>
              </w:rPr>
              <w:t>Tax Fees ($)</w:t>
            </w:r>
            <w:r>
              <w:rPr>
                <w:rFonts w:ascii="Times New Roman" w:cs="Times New Roman" w:eastAsia="Times New Roman" w:hAnsi="Times New Roman"/>
                <w:sz w:val="19"/>
                <w:szCs w:val="19"/>
                <w:b w:val="1"/>
                <w:bCs w:val="1"/>
                <w:color w:val="auto"/>
                <w:vertAlign w:val="superscript"/>
              </w:rPr>
              <w:t>(3)</w:t>
            </w:r>
          </w:p>
        </w:tc>
        <w:tc>
          <w:tcPr>
            <w:tcW w:w="2240" w:type="dxa"/>
            <w:vAlign w:val="bottom"/>
            <w:shd w:val="clear" w:color="auto" w:fill="D9D9D9"/>
          </w:tcPr>
          <w:p>
            <w:pPr>
              <w:ind w:left="500"/>
              <w:spacing w:after="0"/>
              <w:rPr>
                <w:sz w:val="20"/>
                <w:szCs w:val="20"/>
                <w:color w:val="auto"/>
              </w:rPr>
            </w:pPr>
            <w:r>
              <w:rPr>
                <w:rFonts w:ascii="Times New Roman" w:cs="Times New Roman" w:eastAsia="Times New Roman" w:hAnsi="Times New Roman"/>
                <w:sz w:val="15"/>
                <w:szCs w:val="15"/>
                <w:b w:val="1"/>
                <w:bCs w:val="1"/>
                <w:color w:val="auto"/>
              </w:rPr>
              <w:t>All Other Fees ($)</w:t>
            </w:r>
            <w:r>
              <w:rPr>
                <w:rFonts w:ascii="Times New Roman" w:cs="Times New Roman" w:eastAsia="Times New Roman" w:hAnsi="Times New Roman"/>
                <w:sz w:val="19"/>
                <w:szCs w:val="19"/>
                <w:b w:val="1"/>
                <w:bCs w:val="1"/>
                <w:color w:val="auto"/>
                <w:vertAlign w:val="superscript"/>
              </w:rPr>
              <w:t>(4)</w:t>
            </w:r>
          </w:p>
        </w:tc>
      </w:tr>
      <w:tr>
        <w:trPr>
          <w:trHeight w:val="138"/>
        </w:trPr>
        <w:tc>
          <w:tcPr>
            <w:tcW w:w="2380" w:type="dxa"/>
            <w:vAlign w:val="bottom"/>
            <w:shd w:val="clear" w:color="auto" w:fill="D9D9D9"/>
          </w:tcPr>
          <w:p>
            <w:pPr>
              <w:spacing w:after="0"/>
              <w:rPr>
                <w:sz w:val="11"/>
                <w:szCs w:val="11"/>
                <w:color w:val="auto"/>
              </w:rPr>
            </w:pPr>
          </w:p>
        </w:tc>
        <w:tc>
          <w:tcPr>
            <w:tcW w:w="2080" w:type="dxa"/>
            <w:vAlign w:val="bottom"/>
            <w:shd w:val="clear" w:color="auto" w:fill="D9D9D9"/>
          </w:tcPr>
          <w:p>
            <w:pPr>
              <w:spacing w:after="0"/>
              <w:rPr>
                <w:sz w:val="11"/>
                <w:szCs w:val="11"/>
                <w:color w:val="auto"/>
              </w:rPr>
            </w:pPr>
          </w:p>
        </w:tc>
        <w:tc>
          <w:tcPr>
            <w:tcW w:w="2660" w:type="dxa"/>
            <w:vAlign w:val="bottom"/>
            <w:shd w:val="clear" w:color="auto" w:fill="D9D9D9"/>
          </w:tcPr>
          <w:p>
            <w:pPr>
              <w:spacing w:after="0"/>
              <w:rPr>
                <w:sz w:val="11"/>
                <w:szCs w:val="11"/>
                <w:color w:val="auto"/>
              </w:rPr>
            </w:pPr>
          </w:p>
        </w:tc>
        <w:tc>
          <w:tcPr>
            <w:tcW w:w="1900" w:type="dxa"/>
            <w:vAlign w:val="bottom"/>
            <w:shd w:val="clear" w:color="auto" w:fill="D9D9D9"/>
          </w:tcPr>
          <w:p>
            <w:pPr>
              <w:spacing w:after="0"/>
              <w:rPr>
                <w:sz w:val="11"/>
                <w:szCs w:val="11"/>
                <w:color w:val="auto"/>
              </w:rPr>
            </w:pPr>
          </w:p>
        </w:tc>
        <w:tc>
          <w:tcPr>
            <w:tcW w:w="2240" w:type="dxa"/>
            <w:vAlign w:val="bottom"/>
            <w:shd w:val="clear" w:color="auto" w:fill="D9D9D9"/>
          </w:tcPr>
          <w:p>
            <w:pPr>
              <w:spacing w:after="0"/>
              <w:rPr>
                <w:sz w:val="11"/>
                <w:szCs w:val="11"/>
                <w:color w:val="auto"/>
              </w:rPr>
            </w:pPr>
          </w:p>
        </w:tc>
      </w:tr>
    </w:tbl>
    <w:p>
      <w:pPr>
        <w:spacing w:after="0" w:line="8"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2160" w:type="dxa"/>
            <w:vAlign w:val="bottom"/>
            <w:tcBorders>
              <w:bottom w:val="single" w:sz="8" w:color="auto"/>
            </w:tcBorders>
          </w:tcPr>
          <w:p>
            <w:pPr>
              <w:jc w:val="right"/>
              <w:ind w:right="827"/>
              <w:spacing w:after="0"/>
              <w:rPr>
                <w:sz w:val="20"/>
                <w:szCs w:val="20"/>
                <w:color w:val="auto"/>
              </w:rPr>
            </w:pPr>
            <w:r>
              <w:rPr>
                <w:rFonts w:ascii="Times New Roman" w:cs="Times New Roman" w:eastAsia="Times New Roman" w:hAnsi="Times New Roman"/>
                <w:sz w:val="15"/>
                <w:szCs w:val="15"/>
                <w:color w:val="auto"/>
              </w:rPr>
              <w:t>2021</w:t>
            </w:r>
          </w:p>
        </w:tc>
        <w:tc>
          <w:tcPr>
            <w:tcW w:w="24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6"/>
                <w:szCs w:val="16"/>
                <w:color w:val="auto"/>
              </w:rPr>
              <w:t>$201,630</w:t>
            </w:r>
          </w:p>
        </w:tc>
        <w:tc>
          <w:tcPr>
            <w:tcW w:w="234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6"/>
                <w:szCs w:val="16"/>
                <w:color w:val="auto"/>
              </w:rPr>
              <w:t>$97,529</w:t>
            </w:r>
          </w:p>
        </w:tc>
        <w:tc>
          <w:tcPr>
            <w:tcW w:w="214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6"/>
                <w:szCs w:val="16"/>
                <w:color w:val="auto"/>
                <w:w w:val="97"/>
              </w:rPr>
              <w:t>Nil</w:t>
            </w:r>
          </w:p>
        </w:tc>
        <w:tc>
          <w:tcPr>
            <w:tcW w:w="216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6"/>
                <w:szCs w:val="16"/>
                <w:color w:val="auto"/>
              </w:rPr>
              <w:t>$18,836</w:t>
            </w:r>
          </w:p>
        </w:tc>
      </w:tr>
      <w:tr>
        <w:trPr>
          <w:trHeight w:val="183"/>
        </w:trPr>
        <w:tc>
          <w:tcPr>
            <w:tcW w:w="2160" w:type="dxa"/>
            <w:vAlign w:val="bottom"/>
          </w:tcPr>
          <w:p>
            <w:pPr>
              <w:jc w:val="right"/>
              <w:ind w:right="827"/>
              <w:spacing w:after="0"/>
              <w:rPr>
                <w:sz w:val="20"/>
                <w:szCs w:val="20"/>
                <w:color w:val="auto"/>
              </w:rPr>
            </w:pPr>
            <w:r>
              <w:rPr>
                <w:rFonts w:ascii="Times New Roman" w:cs="Times New Roman" w:eastAsia="Times New Roman" w:hAnsi="Times New Roman"/>
                <w:sz w:val="15"/>
                <w:szCs w:val="15"/>
                <w:color w:val="auto"/>
              </w:rPr>
              <w:t>2022</w:t>
            </w:r>
          </w:p>
        </w:tc>
        <w:tc>
          <w:tcPr>
            <w:tcW w:w="2460" w:type="dxa"/>
            <w:vAlign w:val="bottom"/>
          </w:tcPr>
          <w:p>
            <w:pPr>
              <w:jc w:val="right"/>
              <w:ind w:right="903"/>
              <w:spacing w:after="0"/>
              <w:rPr>
                <w:sz w:val="20"/>
                <w:szCs w:val="20"/>
                <w:color w:val="auto"/>
              </w:rPr>
            </w:pPr>
            <w:r>
              <w:rPr>
                <w:rFonts w:ascii="Times New Roman" w:cs="Times New Roman" w:eastAsia="Times New Roman" w:hAnsi="Times New Roman"/>
                <w:sz w:val="15"/>
                <w:szCs w:val="15"/>
                <w:color w:val="auto"/>
              </w:rPr>
              <w:t>$262,500</w:t>
            </w:r>
          </w:p>
        </w:tc>
        <w:tc>
          <w:tcPr>
            <w:tcW w:w="2340" w:type="dxa"/>
            <w:vAlign w:val="bottom"/>
          </w:tcPr>
          <w:p>
            <w:pPr>
              <w:jc w:val="right"/>
              <w:ind w:right="823"/>
              <w:spacing w:after="0"/>
              <w:rPr>
                <w:sz w:val="20"/>
                <w:szCs w:val="20"/>
                <w:color w:val="auto"/>
              </w:rPr>
            </w:pPr>
            <w:r>
              <w:rPr>
                <w:rFonts w:ascii="Times New Roman" w:cs="Times New Roman" w:eastAsia="Times New Roman" w:hAnsi="Times New Roman"/>
                <w:sz w:val="15"/>
                <w:szCs w:val="15"/>
                <w:color w:val="auto"/>
              </w:rPr>
              <w:t>$19,000</w:t>
            </w:r>
          </w:p>
        </w:tc>
        <w:tc>
          <w:tcPr>
            <w:tcW w:w="2140" w:type="dxa"/>
            <w:vAlign w:val="bottom"/>
          </w:tcPr>
          <w:p>
            <w:pPr>
              <w:jc w:val="right"/>
              <w:ind w:right="703"/>
              <w:spacing w:after="0"/>
              <w:rPr>
                <w:sz w:val="20"/>
                <w:szCs w:val="20"/>
                <w:color w:val="auto"/>
              </w:rPr>
            </w:pPr>
            <w:r>
              <w:rPr>
                <w:rFonts w:ascii="Times New Roman" w:cs="Times New Roman" w:eastAsia="Times New Roman" w:hAnsi="Times New Roman"/>
                <w:sz w:val="15"/>
                <w:szCs w:val="15"/>
                <w:color w:val="auto"/>
              </w:rPr>
              <w:t>$66,600</w:t>
            </w:r>
          </w:p>
        </w:tc>
        <w:tc>
          <w:tcPr>
            <w:tcW w:w="2160" w:type="dxa"/>
            <w:vAlign w:val="bottom"/>
          </w:tcPr>
          <w:p>
            <w:pPr>
              <w:jc w:val="right"/>
              <w:ind w:right="843"/>
              <w:spacing w:after="0"/>
              <w:rPr>
                <w:sz w:val="20"/>
                <w:szCs w:val="20"/>
                <w:color w:val="auto"/>
              </w:rPr>
            </w:pPr>
            <w:r>
              <w:rPr>
                <w:rFonts w:ascii="Times New Roman" w:cs="Times New Roman" w:eastAsia="Times New Roman" w:hAnsi="Times New Roman"/>
                <w:sz w:val="15"/>
                <w:szCs w:val="15"/>
                <w:color w:val="auto"/>
              </w:rPr>
              <w:t>$2,500</w:t>
            </w:r>
          </w:p>
        </w:tc>
      </w:tr>
    </w:tbl>
    <w:p>
      <w:pPr>
        <w:spacing w:after="0" w:line="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b w:val="1"/>
          <w:bCs w:val="1"/>
          <w:color w:val="auto"/>
        </w:rPr>
        <w:t>Notes:</w:t>
      </w:r>
    </w:p>
    <w:p>
      <w:pPr>
        <w:spacing w:after="0" w:line="1" w:lineRule="exact"/>
        <w:rPr>
          <w:sz w:val="20"/>
          <w:szCs w:val="20"/>
          <w:color w:val="auto"/>
        </w:rPr>
      </w:pPr>
    </w:p>
    <w:p>
      <w:pPr>
        <w:ind w:left="582" w:right="20" w:hanging="582"/>
        <w:spacing w:after="0" w:line="205" w:lineRule="auto"/>
        <w:tabs>
          <w:tab w:leader="none" w:pos="32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includes fees necessary to perform the annual audit of the Company’s financial statements. These services include reviewing interim financial statements and disclosure documents related to financings and other attest services required by legislation or regulation, such as comfort letters, consents, reviews of securities filings and statutory audits.</w:t>
      </w:r>
    </w:p>
    <w:p>
      <w:pPr>
        <w:spacing w:after="0" w:line="1" w:lineRule="exact"/>
        <w:rPr>
          <w:rFonts w:ascii="Times New Roman" w:cs="Times New Roman" w:eastAsia="Times New Roman" w:hAnsi="Times New Roman"/>
          <w:sz w:val="13"/>
          <w:szCs w:val="13"/>
          <w:color w:val="auto"/>
        </w:rPr>
      </w:pPr>
    </w:p>
    <w:p>
      <w:pPr>
        <w:ind w:left="282" w:hanging="282"/>
        <w:spacing w:after="0" w:line="215" w:lineRule="auto"/>
        <w:tabs>
          <w:tab w:leader="none" w:pos="282"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“Audit-Related Fees” include services that are traditionally performed by the auditor.</w:t>
      </w:r>
    </w:p>
    <w:p>
      <w:pPr>
        <w:ind w:left="582" w:right="20" w:hanging="582"/>
        <w:spacing w:after="0" w:line="205" w:lineRule="auto"/>
        <w:tabs>
          <w:tab w:leader="none" w:pos="279"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Fees” include fees for all tax services other than those included in “Audit Fees” and “Audit-Related Fees”. This category includes fees for tax compliance, tax planning and tax advice. Tax planning and tax advice includes assistance with tax audits and appeals, tax advice related to mergers and acquisitions, and requests for rulings or technical advice from tax authorities.</w:t>
      </w:r>
    </w:p>
    <w:p>
      <w:pPr>
        <w:spacing w:after="0" w:line="1" w:lineRule="exact"/>
        <w:rPr>
          <w:rFonts w:ascii="Times New Roman" w:cs="Times New Roman" w:eastAsia="Times New Roman" w:hAnsi="Times New Roman"/>
          <w:sz w:val="13"/>
          <w:szCs w:val="13"/>
          <w:color w:val="auto"/>
        </w:rPr>
      </w:pPr>
    </w:p>
    <w:p>
      <w:pPr>
        <w:ind w:left="282" w:hanging="282"/>
        <w:spacing w:after="0"/>
        <w:tabs>
          <w:tab w:leader="none" w:pos="282"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Fees” include all other non-audit services, the aggregate fees billed for products and services, other than the services reported under notes (1), (2) and (3) above.</w:t>
      </w:r>
    </w:p>
    <w:p>
      <w:pPr>
        <w:spacing w:after="0" w:line="1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COMPLIANCE PROGRAM</w:t>
      </w:r>
    </w:p>
    <w:p>
      <w:pPr>
        <w:spacing w:after="0" w:line="164" w:lineRule="exact"/>
        <w:rPr>
          <w:sz w:val="20"/>
          <w:szCs w:val="20"/>
          <w:color w:val="auto"/>
        </w:rPr>
      </w:pPr>
    </w:p>
    <w:p>
      <w:pPr>
        <w:jc w:val="both"/>
        <w:ind w:left="2" w:right="20"/>
        <w:spacing w:after="0" w:line="224" w:lineRule="auto"/>
        <w:rPr>
          <w:sz w:val="20"/>
          <w:szCs w:val="20"/>
          <w:color w:val="auto"/>
        </w:rPr>
      </w:pPr>
      <w:r>
        <w:rPr>
          <w:rFonts w:ascii="Times New Roman" w:cs="Times New Roman" w:eastAsia="Times New Roman" w:hAnsi="Times New Roman"/>
          <w:sz w:val="18"/>
          <w:szCs w:val="18"/>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w:t>
      </w:r>
    </w:p>
    <w:p>
      <w:pPr>
        <w:jc w:val="both"/>
        <w:ind w:left="2" w:right="20"/>
        <w:spacing w:after="0" w:line="222" w:lineRule="auto"/>
        <w:rPr>
          <w:sz w:val="20"/>
          <w:szCs w:val="20"/>
          <w:color w:val="auto"/>
        </w:rPr>
      </w:pPr>
      <w:r>
        <w:rPr>
          <w:rFonts w:ascii="Times New Roman" w:cs="Times New Roman" w:eastAsia="Times New Roman" w:hAnsi="Times New Roman"/>
          <w:sz w:val="18"/>
          <w:szCs w:val="18"/>
          <w:color w:val="auto"/>
        </w:rPr>
        <w:t>has received legal opinions or advice in each of these jurisdiction regarding (a) compliance with applicable regulatory frameworks, and (b) potential exposure to, and implications arising from, applicable laws in jurisdictions where the Company has operations or intends to operate.</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works with third parties who require regulatory licensing in order to handle scheduled drugs. The Company continuously updates its</w:t>
      </w:r>
    </w:p>
    <w:p>
      <w:pPr>
        <w:jc w:val="both"/>
        <w:ind w:left="2" w:right="20"/>
        <w:spacing w:after="0" w:line="222" w:lineRule="auto"/>
        <w:rPr>
          <w:sz w:val="20"/>
          <w:szCs w:val="20"/>
          <w:color w:val="auto"/>
        </w:rPr>
      </w:pPr>
      <w:r>
        <w:rPr>
          <w:rFonts w:ascii="Times New Roman" w:cs="Times New Roman" w:eastAsia="Times New Roman" w:hAnsi="Times New Roman"/>
          <w:sz w:val="18"/>
          <w:szCs w:val="18"/>
          <w:color w:val="auto"/>
        </w:rPr>
        <w:t>compliance and channel programs to maintain regulatory standards set for drug development. The Company also works with clinical research organizations who maintain batch records and data storage for the Company’s clinical programs.</w:t>
      </w:r>
    </w:p>
    <w:p>
      <w:pPr>
        <w:spacing w:after="0" w:line="171" w:lineRule="exact"/>
        <w:rPr>
          <w:sz w:val="20"/>
          <w:szCs w:val="20"/>
          <w:color w:val="auto"/>
        </w:rPr>
      </w:pPr>
    </w:p>
    <w:p>
      <w:pPr>
        <w:jc w:val="both"/>
        <w:ind w:left="2" w:right="20"/>
        <w:spacing w:after="0" w:line="217" w:lineRule="auto"/>
        <w:rPr>
          <w:sz w:val="20"/>
          <w:szCs w:val="20"/>
          <w:color w:val="auto"/>
        </w:rPr>
      </w:pPr>
      <w:r>
        <w:rPr>
          <w:rFonts w:ascii="Times New Roman" w:cs="Times New Roman" w:eastAsia="Times New Roman" w:hAnsi="Times New Roman"/>
          <w:sz w:val="18"/>
          <w:szCs w:val="18"/>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w:t>
      </w:r>
    </w:p>
    <w:p>
      <w:pPr>
        <w:ind w:left="2"/>
        <w:spacing w:after="0"/>
        <w:rPr>
          <w:sz w:val="20"/>
          <w:szCs w:val="20"/>
          <w:color w:val="auto"/>
        </w:rPr>
      </w:pPr>
      <w:r>
        <w:rPr>
          <w:rFonts w:ascii="Times New Roman" w:cs="Times New Roman" w:eastAsia="Times New Roman" w:hAnsi="Times New Roman"/>
          <w:sz w:val="18"/>
          <w:szCs w:val="18"/>
          <w:color w:val="auto"/>
        </w:rPr>
        <w:t>management.</w:t>
      </w:r>
    </w:p>
    <w:p>
      <w:pPr>
        <w:spacing w:after="0" w:line="176" w:lineRule="exact"/>
        <w:rPr>
          <w:sz w:val="20"/>
          <w:szCs w:val="20"/>
          <w:color w:val="auto"/>
        </w:rPr>
      </w:pPr>
    </w:p>
    <w:p>
      <w:pPr>
        <w:jc w:val="both"/>
        <w:ind w:left="2" w:right="20"/>
        <w:spacing w:after="0" w:line="229" w:lineRule="auto"/>
        <w:rPr>
          <w:sz w:val="20"/>
          <w:szCs w:val="20"/>
          <w:color w:val="auto"/>
        </w:rPr>
      </w:pPr>
      <w:r>
        <w:rPr>
          <w:rFonts w:ascii="Times New Roman" w:cs="Times New Roman" w:eastAsia="Times New Roman" w:hAnsi="Times New Roman"/>
          <w:sz w:val="17"/>
          <w:szCs w:val="17"/>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w:t>
      </w:r>
    </w:p>
    <w:p>
      <w:pPr>
        <w:spacing w:after="0" w:line="1" w:lineRule="exact"/>
        <w:rPr>
          <w:sz w:val="20"/>
          <w:szCs w:val="20"/>
          <w:color w:val="auto"/>
        </w:rPr>
      </w:pPr>
    </w:p>
    <w:p>
      <w:pPr>
        <w:jc w:val="both"/>
        <w:ind w:left="2" w:right="20"/>
        <w:spacing w:after="0" w:line="230" w:lineRule="auto"/>
        <w:rPr>
          <w:sz w:val="20"/>
          <w:szCs w:val="20"/>
          <w:color w:val="auto"/>
        </w:rPr>
      </w:pPr>
      <w:r>
        <w:rPr>
          <w:rFonts w:ascii="Times New Roman" w:cs="Times New Roman" w:eastAsia="Times New Roman" w:hAnsi="Times New Roman"/>
          <w:sz w:val="18"/>
          <w:szCs w:val="18"/>
          <w:color w:val="auto"/>
        </w:rPr>
        <w:t>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158" w:lineRule="exact"/>
        <w:rPr>
          <w:sz w:val="20"/>
          <w:szCs w:val="20"/>
          <w:color w:val="auto"/>
        </w:rPr>
      </w:pPr>
    </w:p>
    <w:p>
      <w:pPr>
        <w:jc w:val="both"/>
        <w:ind w:left="2"/>
        <w:spacing w:after="0" w:line="231" w:lineRule="auto"/>
        <w:rPr>
          <w:sz w:val="20"/>
          <w:szCs w:val="20"/>
          <w:color w:val="auto"/>
        </w:rPr>
      </w:pPr>
      <w:r>
        <w:rPr>
          <w:rFonts w:ascii="Times New Roman" w:cs="Times New Roman" w:eastAsia="Times New Roman" w:hAnsi="Times New Roman"/>
          <w:sz w:val="18"/>
          <w:szCs w:val="18"/>
          <w:color w:val="auto"/>
        </w:rPr>
        <w:t>The programs currently in place include monitoring by executives of the Company to ensure that all operations materially conform to and comply with required laws, regulations and operating procedures. The Company is currently in compliance with the laws and regulations in all jurisdictions and the related licencing framework applicable to its business activities.</w:t>
      </w:r>
    </w:p>
    <w:p>
      <w:pPr>
        <w:spacing w:after="0" w:line="160" w:lineRule="exact"/>
        <w:rPr>
          <w:sz w:val="20"/>
          <w:szCs w:val="20"/>
          <w:color w:val="auto"/>
        </w:rPr>
      </w:pPr>
    </w:p>
    <w:p>
      <w:pPr>
        <w:jc w:val="both"/>
        <w:ind w:left="2" w:right="20"/>
        <w:spacing w:after="0" w:line="243" w:lineRule="auto"/>
        <w:rPr>
          <w:sz w:val="20"/>
          <w:szCs w:val="20"/>
          <w:color w:val="auto"/>
        </w:rPr>
      </w:pPr>
      <w:r>
        <w:rPr>
          <w:rFonts w:ascii="Times New Roman" w:cs="Times New Roman" w:eastAsia="Times New Roman" w:hAnsi="Times New Roman"/>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62"/>
          </w:cols>
          <w:pgMar w:left="318" w:top="1440" w:right="319" w:bottom="1440" w:gutter="0" w:footer="0" w:header="0"/>
        </w:sectPr>
      </w:pPr>
    </w:p>
    <w:bookmarkStart w:id="93" w:name="page94"/>
    <w:bookmarkEnd w:id="93"/>
    <w:p>
      <w:pPr>
        <w:spacing w:after="0" w:line="219"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w:t>
      </w:r>
    </w:p>
    <w:p>
      <w:pPr>
        <w:spacing w:after="0" w:line="222" w:lineRule="auto"/>
        <w:rPr>
          <w:sz w:val="20"/>
          <w:szCs w:val="20"/>
          <w:color w:val="auto"/>
        </w:rPr>
      </w:pPr>
      <w:r>
        <w:rPr>
          <w:rFonts w:ascii="Times New Roman" w:cs="Times New Roman" w:eastAsia="Times New Roman" w:hAnsi="Times New Roman"/>
          <w:sz w:val="18"/>
          <w:szCs w:val="18"/>
          <w:color w:val="auto"/>
        </w:rPr>
        <w:t>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 AND CODE OF ETHICS AND BUSINESS CONDUCT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8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7"/>
          <w:szCs w:val="17"/>
          <w:color w:val="auto"/>
        </w:rPr>
        <w:t>The Company has adopted an insider trading policy to set forth basic guidelines for trading in the Company’s securities (including, without limitation, its Common Shares) to avoid any situation that might have the potential to damage the Company’s reputation or which could constitute a violation of federal or</w:t>
      </w:r>
    </w:p>
    <w:p>
      <w:pPr>
        <w:spacing w:after="0" w:line="217" w:lineRule="auto"/>
        <w:rPr>
          <w:sz w:val="20"/>
          <w:szCs w:val="20"/>
          <w:color w:val="auto"/>
        </w:rPr>
      </w:pPr>
      <w:r>
        <w:rPr>
          <w:rFonts w:ascii="Times New Roman" w:cs="Times New Roman" w:eastAsia="Times New Roman" w:hAnsi="Times New Roman"/>
          <w:sz w:val="17"/>
          <w:szCs w:val="17"/>
          <w:color w:val="auto"/>
        </w:rPr>
        <w:t>provincial securities law by the Company, its officers, directors, employees, consultants, affiliates and certain family members of such individuals (“</w:t>
      </w:r>
      <w:r>
        <w:rPr>
          <w:rFonts w:ascii="Times New Roman" w:cs="Times New Roman" w:eastAsia="Times New Roman" w:hAnsi="Times New Roman"/>
          <w:sz w:val="17"/>
          <w:szCs w:val="17"/>
          <w:b w:val="1"/>
          <w:bCs w:val="1"/>
          <w:color w:val="auto"/>
        </w:rPr>
        <w:t>Insiders</w:t>
      </w:r>
      <w:r>
        <w:rPr>
          <w:rFonts w:ascii="Times New Roman" w:cs="Times New Roman" w:eastAsia="Times New Roman" w:hAnsi="Times New Roman"/>
          <w:sz w:val="17"/>
          <w:szCs w:val="17"/>
          <w:color w:val="auto"/>
        </w:rPr>
        <w:t>”). Under this policy, Insiders are prohibited from trading in Common Shares and other securities on the basis of material, non-public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the Company until after the information has been disclosed to the public or during a blackout period.</w:t>
      </w:r>
    </w:p>
    <w:p>
      <w:pPr>
        <w:spacing w:after="0" w:line="17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The obligation not to trade on inside information applies not only to the Insiders, but also to persons who obtain such information from Insiders and use it to their advantage. Thus, liability may be imposed upon the Company, its Insiders and also outsiders who are the source of leaks of material information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yet disclosed to the public and the leaks coincide with purchases or sales of the Company’s securities by such insiders, outsiders or by “tippees”.</w:t>
      </w:r>
    </w:p>
    <w:p>
      <w:pPr>
        <w:spacing w:after="0" w:line="176"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In order to provide a degree of certainty as to when insider trading is permissible, the policy imposes mandatory blackout periods during the period commencing on the first day following the end of each fiscal quarter or year-end and ending at the close of business on the first trading day following the</w:t>
      </w:r>
    </w:p>
    <w:p>
      <w:pPr>
        <w:spacing w:after="0" w:line="205" w:lineRule="auto"/>
        <w:rPr>
          <w:sz w:val="20"/>
          <w:szCs w:val="20"/>
          <w:color w:val="auto"/>
        </w:rPr>
      </w:pPr>
      <w:r>
        <w:rPr>
          <w:rFonts w:ascii="Times New Roman" w:cs="Times New Roman" w:eastAsia="Times New Roman" w:hAnsi="Times New Roman"/>
          <w:sz w:val="18"/>
          <w:szCs w:val="18"/>
          <w:color w:val="auto"/>
        </w:rPr>
        <w:t>dissemination by the Company of such quarterly and annual results. In addition, no Insider is permitted to trade any securities of the Company until two trading days after the issuance of any news release in which material information is released to the public. The Company may, from time to time, issue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blackout period for a specific or indefinite period covering Insiders or specific employees or groups.</w:t>
      </w:r>
    </w:p>
    <w:p>
      <w:pPr>
        <w:spacing w:after="0" w:line="17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 policy also outlines the Company’s reporting obligations for changes in Common Shares owned by Insiders as well as the penalties for violating such policy and applicable 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w:t>
      </w:r>
    </w:p>
    <w:p>
      <w:pPr>
        <w:spacing w:after="0" w:line="196"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The Company has adopted a Code of Business Conduct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The Code sets forth standards designed to reasonably: deter wrongdoing, promote honest and ethical conduct, promote prompt internal reporting of violations of the Code and promote accountability. All personnel, in discharging their</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duties, must comply with applicable laws and regulations, the rules of the stock exchange(s) on which the Common Shares are listed as well as the Company’s internal policies.</w:t>
      </w:r>
    </w:p>
    <w:p>
      <w:pPr>
        <w:spacing w:after="0" w:line="15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Code sets the expectation that personnel learn about laws, rules and regulations that affect what they do at the Company, and raise any questions concerning the applicability, existence or interpretation of any law or regulation or conduct with their supervisor or the legal department of the Company.</w:t>
      </w:r>
    </w:p>
    <w:p>
      <w:pPr>
        <w:spacing w:after="0" w:line="205" w:lineRule="auto"/>
        <w:rPr>
          <w:sz w:val="20"/>
          <w:szCs w:val="20"/>
          <w:color w:val="auto"/>
        </w:rPr>
      </w:pPr>
      <w:r>
        <w:rPr>
          <w:rFonts w:ascii="Times New Roman" w:cs="Times New Roman" w:eastAsia="Times New Roman" w:hAnsi="Times New Roman"/>
          <w:sz w:val="18"/>
          <w:szCs w:val="18"/>
          <w:color w:val="auto"/>
        </w:rPr>
        <w:t>The Code prohibits personnel from making or participating in making any payments designed to cause or improperly influence the decisions of an individual, a company or a governmental official to act in a way that gives the Company or its personnel an advantage or soliciting, encouraging or actually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receiving any bribe or other payment, contribution, gifts or favor that could influence your or another’s decision.</w:t>
      </w:r>
    </w:p>
    <w:p>
      <w:pPr>
        <w:spacing w:after="0" w:line="176"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The Code encourages personnel to report any actual or suspected fraud or securities law violations to the Chief Compliance Officer. The Code mandates a safe work environment and a no tolerance policy towards harassment and violence in the workplace. The Code provides guidance on avoiding conflicts of</w:t>
      </w:r>
    </w:p>
    <w:p>
      <w:pPr>
        <w:spacing w:after="0"/>
        <w:rPr>
          <w:sz w:val="20"/>
          <w:szCs w:val="20"/>
          <w:color w:val="auto"/>
        </w:rPr>
      </w:pPr>
      <w:r>
        <w:rPr>
          <w:rFonts w:ascii="Times New Roman" w:cs="Times New Roman" w:eastAsia="Times New Roman" w:hAnsi="Times New Roman"/>
          <w:sz w:val="18"/>
          <w:szCs w:val="18"/>
          <w:color w:val="auto"/>
        </w:rPr>
        <w:t>interest and acting in the best interest of the Company. The Code also outlines the requirements or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40" w:right="339" w:bottom="1440" w:gutter="0" w:footer="0" w:header="0"/>
        </w:sectPr>
      </w:pPr>
    </w:p>
    <w:bookmarkStart w:id="94" w:name="page95"/>
    <w:bookmarkEnd w:id="94"/>
    <w:p>
      <w:pPr>
        <w:ind w:right="20"/>
        <w:spacing w:after="0" w:line="243" w:lineRule="auto"/>
        <w:rPr>
          <w:sz w:val="20"/>
          <w:szCs w:val="20"/>
          <w:color w:val="auto"/>
        </w:rPr>
      </w:pPr>
      <w:r>
        <w:rPr>
          <w:rFonts w:ascii="Times New Roman" w:cs="Times New Roman" w:eastAsia="Times New Roman" w:hAnsi="Times New Roman"/>
          <w:sz w:val="18"/>
          <w:szCs w:val="18"/>
          <w:color w:val="auto"/>
        </w:rPr>
        <w:t>personnel as it relates to disclosure of Company information, confidentiality and maintaining the integrity of the Company’s books and records and intellectual property.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4"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 xml:space="preserve">Additional information relating to the Company can be found under the Company’s profile on SEDAR at </w:t>
      </w:r>
      <w:r>
        <w:rPr>
          <w:rFonts w:ascii="Times New Roman" w:cs="Times New Roman" w:eastAsia="Times New Roman" w:hAnsi="Times New Roman"/>
          <w:sz w:val="18"/>
          <w:szCs w:val="18"/>
          <w:u w:val="single" w:color="auto"/>
          <w:color w:val="0000FF"/>
        </w:rPr>
        <w:t>www.sedar.com</w:t>
      </w:r>
      <w:r>
        <w:rPr>
          <w:rFonts w:ascii="Times New Roman" w:cs="Times New Roman" w:eastAsia="Times New Roman" w:hAnsi="Times New Roman"/>
          <w:sz w:val="18"/>
          <w:szCs w:val="18"/>
          <w:color w:val="auto"/>
        </w:rPr>
        <w:t xml:space="preserve"> and on the Company’s website at </w:t>
      </w:r>
      <w:r>
        <w:rPr>
          <w:rFonts w:ascii="Times New Roman" w:cs="Times New Roman" w:eastAsia="Times New Roman" w:hAnsi="Times New Roman"/>
          <w:sz w:val="18"/>
          <w:szCs w:val="18"/>
          <w:u w:val="single" w:color="auto"/>
          <w:color w:val="0000FF"/>
        </w:rPr>
        <w:t>www.cybin.com</w:t>
      </w:r>
      <w:r>
        <w:rPr>
          <w:rFonts w:ascii="Times New Roman" w:cs="Times New Roman" w:eastAsia="Times New Roman" w:hAnsi="Times New Roman"/>
          <w:sz w:val="18"/>
          <w:szCs w:val="18"/>
          <w:color w:val="000000"/>
        </w:rPr>
        <w:t>. Additional information, including directors’ and officers’ remuneration and indebtedness, principal holders of the Company’s securities</w:t>
      </w:r>
    </w:p>
    <w:p>
      <w:pPr>
        <w:spacing w:after="0" w:line="205" w:lineRule="auto"/>
        <w:rPr>
          <w:sz w:val="20"/>
          <w:szCs w:val="20"/>
          <w:color w:val="auto"/>
        </w:rPr>
      </w:pPr>
      <w:r>
        <w:rPr>
          <w:rFonts w:ascii="Times New Roman" w:cs="Times New Roman" w:eastAsia="Times New Roman" w:hAnsi="Times New Roman"/>
          <w:sz w:val="18"/>
          <w:szCs w:val="18"/>
          <w:color w:val="auto"/>
        </w:rPr>
        <w:t>and securities authorized for issuance under equity compensation plans, will be contained in the Company’s information circular for its most recent annual meeting of shareholders. Additional financial information is provided in the Company’s consolidated financial statements for the most recently completed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year and the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60"/>
          </w:cols>
          <w:pgMar w:left="320" w:top="1438" w:right="3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CHARTER</w:t>
      </w:r>
    </w:p>
    <w:p>
      <w:pPr>
        <w:spacing w:after="0" w:line="14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16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17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AUDIT COMMITTEE CHARTER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(Implemented pursuant to National Instrument 52-110 –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 xml:space="preserve">National Instrument 52-110 – </w:t>
      </w:r>
      <w:r>
        <w:rPr>
          <w:rFonts w:ascii="Times New Roman" w:cs="Times New Roman" w:eastAsia="Times New Roman" w:hAnsi="Times New Roman"/>
          <w:sz w:val="17"/>
          <w:szCs w:val="17"/>
          <w:i w:val="1"/>
          <w:iCs w:val="1"/>
          <w:color w:val="auto"/>
        </w:rPr>
        <w:t>Audit Committees</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Instrument</w:t>
      </w:r>
      <w:r>
        <w:rPr>
          <w:rFonts w:ascii="Times New Roman" w:cs="Times New Roman" w:eastAsia="Times New Roman" w:hAnsi="Times New Roman"/>
          <w:sz w:val="17"/>
          <w:szCs w:val="17"/>
          <w:color w:val="auto"/>
        </w:rPr>
        <w:t>”) relating to the composition and function of audit committees was implemented for reporting issuers and, accordingly, applies to every NEO Exchange listed company, including the Corporation. The Instrument requires all affected issuers to</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have a written audit committee charter which must be disclosed, as stipulated by Form 52-110F2, in the management information circular of the Corporation wherein management solicits proxies from the security holders of the Corporation for the purpose of electing directors to the board of directors.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Charter has been adopted by the board of directors in order to comply with the Instrument and to more properly define the role of the Committee in the</w:t>
      </w:r>
    </w:p>
    <w:p>
      <w:pPr>
        <w:spacing w:after="0" w:line="222" w:lineRule="auto"/>
        <w:rPr>
          <w:sz w:val="20"/>
          <w:szCs w:val="20"/>
          <w:color w:val="auto"/>
        </w:rPr>
      </w:pPr>
      <w:r>
        <w:rPr>
          <w:rFonts w:ascii="Times New Roman" w:cs="Times New Roman" w:eastAsia="Times New Roman" w:hAnsi="Times New Roman"/>
          <w:sz w:val="18"/>
          <w:szCs w:val="18"/>
          <w:color w:val="auto"/>
        </w:rPr>
        <w:t>oversight of the financial reporting process of the Corporation. Nothing in this Charter is intended to restrict the ability of the board of directors or Committee to alter or vary procedures in order to comply more fully with the Instrument, as amended from time to time.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Committee is to:</w:t>
      </w:r>
    </w:p>
    <w:p>
      <w:pPr>
        <w:spacing w:after="0" w:line="172" w:lineRule="exact"/>
        <w:rPr>
          <w:sz w:val="20"/>
          <w:szCs w:val="20"/>
          <w:color w:val="auto"/>
        </w:rPr>
      </w:pPr>
    </w:p>
    <w:p>
      <w:pPr>
        <w:ind w:left="960" w:hanging="376"/>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quality of the Corporation’s financial reporting;</w:t>
      </w:r>
    </w:p>
    <w:p>
      <w:pPr>
        <w:spacing w:after="0" w:line="159" w:lineRule="exact"/>
        <w:rPr>
          <w:rFonts w:ascii="Times New Roman" w:cs="Times New Roman" w:eastAsia="Times New Roman" w:hAnsi="Times New Roman"/>
          <w:sz w:val="18"/>
          <w:szCs w:val="18"/>
          <w:color w:val="auto"/>
        </w:rPr>
      </w:pPr>
    </w:p>
    <w:p>
      <w:pPr>
        <w:ind w:left="980" w:hanging="396"/>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of directors to properly and fully discharge its responsibilities;</w:t>
      </w:r>
    </w:p>
    <w:p>
      <w:pPr>
        <w:spacing w:after="0" w:line="171" w:lineRule="exact"/>
        <w:rPr>
          <w:rFonts w:ascii="Times New Roman" w:cs="Times New Roman" w:eastAsia="Times New Roman" w:hAnsi="Times New Roman"/>
          <w:sz w:val="18"/>
          <w:szCs w:val="18"/>
          <w:color w:val="auto"/>
        </w:rPr>
      </w:pPr>
    </w:p>
    <w:p>
      <w:pPr>
        <w:ind w:left="960" w:hanging="376"/>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avenue of enhanced communication between the directors and external auditors;</w:t>
      </w:r>
    </w:p>
    <w:p>
      <w:pPr>
        <w:spacing w:after="0" w:line="171" w:lineRule="exact"/>
        <w:rPr>
          <w:rFonts w:ascii="Times New Roman" w:cs="Times New Roman" w:eastAsia="Times New Roman" w:hAnsi="Times New Roman"/>
          <w:sz w:val="18"/>
          <w:szCs w:val="18"/>
          <w:color w:val="auto"/>
        </w:rPr>
      </w:pPr>
    </w:p>
    <w:p>
      <w:pPr>
        <w:ind w:left="980" w:hanging="396"/>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external auditor’s independence;</w:t>
      </w:r>
    </w:p>
    <w:p>
      <w:pPr>
        <w:spacing w:after="0" w:line="159" w:lineRule="exact"/>
        <w:rPr>
          <w:rFonts w:ascii="Times New Roman" w:cs="Times New Roman" w:eastAsia="Times New Roman" w:hAnsi="Times New Roman"/>
          <w:sz w:val="18"/>
          <w:szCs w:val="18"/>
          <w:color w:val="auto"/>
        </w:rPr>
      </w:pPr>
    </w:p>
    <w:p>
      <w:pPr>
        <w:ind w:left="960" w:hanging="376"/>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credibility and objectivity of financial reports; and</w:t>
      </w:r>
    </w:p>
    <w:p>
      <w:pPr>
        <w:spacing w:after="0" w:line="171" w:lineRule="exact"/>
        <w:rPr>
          <w:rFonts w:ascii="Times New Roman" w:cs="Times New Roman" w:eastAsia="Times New Roman" w:hAnsi="Times New Roman"/>
          <w:sz w:val="18"/>
          <w:szCs w:val="18"/>
          <w:color w:val="auto"/>
        </w:rPr>
      </w:pPr>
    </w:p>
    <w:p>
      <w:pPr>
        <w:ind w:left="940" w:hanging="356"/>
        <w:spacing w:after="0"/>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role of the directors by facilitating in depth discussions between directors, management and external auditors.</w:t>
      </w:r>
    </w:p>
    <w:p>
      <w:pPr>
        <w:spacing w:after="0" w:line="16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principles</w:t>
      </w:r>
      <w:r>
        <w:rPr>
          <w:rFonts w:ascii="Times New Roman" w:cs="Times New Roman" w:eastAsia="Times New Roman" w:hAnsi="Times New Roman"/>
          <w:sz w:val="18"/>
          <w:szCs w:val="18"/>
          <w:color w:val="auto"/>
        </w:rPr>
        <w:t xml:space="preserve">” has the meaning ascribed to it in National Instrument 52-107 </w:t>
      </w:r>
      <w:r>
        <w:rPr>
          <w:rFonts w:ascii="Times New Roman" w:cs="Times New Roman" w:eastAsia="Times New Roman" w:hAnsi="Times New Roman"/>
          <w:sz w:val="18"/>
          <w:szCs w:val="18"/>
          <w:i w:val="1"/>
          <w:iCs w:val="1"/>
          <w:color w:val="auto"/>
        </w:rPr>
        <w:t>Acceptable Accounting Principles and Auditing Standards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 Corporation that is a subsidiary of another Corporation or companies that are controlled by the same entity;</w:t>
      </w:r>
    </w:p>
    <w:p>
      <w:pPr>
        <w:spacing w:after="0" w:line="17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 services</w:t>
      </w:r>
      <w:r>
        <w:rPr>
          <w:rFonts w:ascii="Times New Roman" w:cs="Times New Roman" w:eastAsia="Times New Roman" w:hAnsi="Times New Roman"/>
          <w:sz w:val="18"/>
          <w:szCs w:val="18"/>
          <w:color w:val="auto"/>
        </w:rPr>
        <w:t>” means the professional services rendered by the Corporation’s external auditor for the audit and review of the Corporation’s financial statements or services that are normally provided by the external auditor in connection with statutory and regulatory filings or engagements;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means this audit committee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34" w:right="339" w:bottom="1440" w:gutter="0" w:footer="0" w:header="0"/>
        </w:sectPr>
      </w:pPr>
    </w:p>
    <w:bookmarkStart w:id="96" w:name="page97"/>
    <w:bookmarkEnd w:id="96"/>
    <w:p>
      <w:pPr>
        <w:ind w:left="2" w:right="2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committee established by and among certain members of the board of directors for the purpose of overseeing the accounting and financial reporting processes of the Corporation and audits of the financial statements of the Corporation;</w:t>
      </w:r>
    </w:p>
    <w:p>
      <w:pPr>
        <w:spacing w:after="0" w:line="136" w:lineRule="exact"/>
        <w:rPr>
          <w:sz w:val="20"/>
          <w:szCs w:val="20"/>
          <w:color w:val="auto"/>
        </w:rPr>
      </w:pPr>
    </w:p>
    <w:p>
      <w:pPr>
        <w:ind w:left="2" w:right="20"/>
        <w:spacing w:after="0" w:line="23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 Person</w:t>
      </w:r>
      <w:r>
        <w:rPr>
          <w:rFonts w:ascii="Times New Roman" w:cs="Times New Roman" w:eastAsia="Times New Roman" w:hAnsi="Times New Roman"/>
          <w:sz w:val="17"/>
          <w:szCs w:val="17"/>
          <w:color w:val="auto"/>
        </w:rPr>
        <w:t>” means any individual or company that holds or is one of a combination of individuals or companies that holds a sufficient number of any of the securities of the Corporation so as to affect materially the control of the Corporation, or that holds more than 20% of the outstanding voting shares of</w:t>
      </w:r>
    </w:p>
    <w:p>
      <w:pPr>
        <w:ind w:left="2" w:right="720"/>
        <w:spacing w:after="0" w:line="418" w:lineRule="auto"/>
        <w:rPr>
          <w:sz w:val="20"/>
          <w:szCs w:val="20"/>
          <w:color w:val="auto"/>
        </w:rPr>
      </w:pPr>
      <w:r>
        <w:rPr>
          <w:rFonts w:ascii="Times New Roman" w:cs="Times New Roman" w:eastAsia="Times New Roman" w:hAnsi="Times New Roman"/>
          <w:sz w:val="18"/>
          <w:szCs w:val="18"/>
          <w:color w:val="auto"/>
        </w:rPr>
        <w:t>the Corporation except where there is evidence showing that the holder of those securities does not materially affect the control of the Corporation; “</w:t>
      </w:r>
      <w:r>
        <w:rPr>
          <w:rFonts w:ascii="Times New Roman" w:cs="Times New Roman" w:eastAsia="Times New Roman" w:hAnsi="Times New Roman"/>
          <w:sz w:val="18"/>
          <w:szCs w:val="18"/>
          <w:b w:val="1"/>
          <w:bCs w:val="1"/>
          <w:color w:val="auto"/>
        </w:rPr>
        <w:t>financially literate</w:t>
      </w:r>
      <w:r>
        <w:rPr>
          <w:rFonts w:ascii="Times New Roman" w:cs="Times New Roman" w:eastAsia="Times New Roman" w:hAnsi="Times New Roman"/>
          <w:sz w:val="18"/>
          <w:szCs w:val="18"/>
          <w:color w:val="auto"/>
        </w:rPr>
        <w:t>” has the meaning set forth in Section 1.2;</w:t>
      </w:r>
    </w:p>
    <w:p>
      <w:pPr>
        <w:ind w:left="2" w:right="2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an individual’s spouse, parent, child, sibling, mother or father-in-law, son or daughter-in-law, brother or sister-in-law, and anyone (other than an employee of either the individual or the individual’s immediate family member) who shares the individual’s home;</w:t>
      </w:r>
    </w:p>
    <w:p>
      <w:pPr>
        <w:spacing w:after="0" w:line="13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 xml:space="preserve">“independent” </w:t>
      </w:r>
      <w:r>
        <w:rPr>
          <w:rFonts w:ascii="Times New Roman" w:cs="Times New Roman" w:eastAsia="Times New Roman" w:hAnsi="Times New Roman"/>
          <w:sz w:val="18"/>
          <w:szCs w:val="18"/>
          <w:color w:val="auto"/>
        </w:rPr>
        <w:t>means independent only as determined by both the Instrument and the NEO Exchange Listing Manual;</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xml:space="preserve">” means National Instrument 52-110 –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has the meaning ascribed to it in National Instrument 51-102;</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 member of the Committee;</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National Instrument 51-102</w:t>
      </w:r>
      <w:r>
        <w:rPr>
          <w:rFonts w:ascii="Times New Roman" w:cs="Times New Roman" w:eastAsia="Times New Roman" w:hAnsi="Times New Roman"/>
          <w:sz w:val="18"/>
          <w:szCs w:val="18"/>
          <w:color w:val="auto"/>
        </w:rPr>
        <w:t xml:space="preserve">” means National Instrument 51-102 - </w:t>
      </w:r>
      <w:r>
        <w:rPr>
          <w:rFonts w:ascii="Times New Roman" w:cs="Times New Roman" w:eastAsia="Times New Roman" w:hAnsi="Times New Roman"/>
          <w:sz w:val="18"/>
          <w:szCs w:val="18"/>
          <w:i w:val="1"/>
          <w:iCs w:val="1"/>
          <w:color w:val="auto"/>
        </w:rPr>
        <w:t>Continuous Disclosure Obligations</w:t>
      </w:r>
      <w:r>
        <w:rPr>
          <w:rFonts w:ascii="Times New Roman" w:cs="Times New Roman" w:eastAsia="Times New Roman" w:hAnsi="Times New Roman"/>
          <w:sz w:val="18"/>
          <w:szCs w:val="18"/>
          <w:color w:val="auto"/>
        </w:rPr>
        <w:t>; and</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non-audit services</w:t>
      </w:r>
      <w:r>
        <w:rPr>
          <w:rFonts w:ascii="Times New Roman" w:cs="Times New Roman" w:eastAsia="Times New Roman" w:hAnsi="Times New Roman"/>
          <w:sz w:val="18"/>
          <w:szCs w:val="18"/>
          <w:color w:val="auto"/>
        </w:rPr>
        <w:t>” means services other than audit services.</w:t>
      </w:r>
    </w:p>
    <w:p>
      <w:pPr>
        <w:spacing w:after="0" w:line="172"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Meaning of Financially Literate</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For the purposes of this Charter, an individual is financially literate if he or she has the ability to read and understand a set of financial statements that</w:t>
      </w:r>
    </w:p>
    <w:p>
      <w:pPr>
        <w:ind w:left="2" w:right="20"/>
        <w:spacing w:after="0" w:line="222" w:lineRule="auto"/>
        <w:rPr>
          <w:sz w:val="20"/>
          <w:szCs w:val="20"/>
          <w:color w:val="auto"/>
        </w:rPr>
      </w:pPr>
      <w:r>
        <w:rPr>
          <w:rFonts w:ascii="Times New Roman" w:cs="Times New Roman" w:eastAsia="Times New Roman" w:hAnsi="Times New Roman"/>
          <w:sz w:val="18"/>
          <w:szCs w:val="18"/>
          <w:color w:val="auto"/>
        </w:rPr>
        <w:t>present a breadth and level of complexity of accounting issues that are generally comparable to the breadth and complexity of the issues that can reasonably be expected to be raised by the Corporation’s financial statements.</w:t>
      </w:r>
    </w:p>
    <w:p>
      <w:pPr>
        <w:spacing w:after="0" w:line="14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PART 2</w:t>
      </w:r>
    </w:p>
    <w:p>
      <w:pPr>
        <w:spacing w:after="0" w:line="172"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Audit Committee</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board of directors has hereby established the Committee for, among other purposes, compliance with the Instrument.</w:t>
      </w:r>
    </w:p>
    <w:p>
      <w:pPr>
        <w:spacing w:after="0" w:line="168"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Relationship with External Auditors</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Corporation will require its external auditor to report directly to the Committee and the Members shall ensure that such is the case.</w:t>
      </w:r>
    </w:p>
    <w:p>
      <w:pPr>
        <w:spacing w:after="0" w:line="156"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Committee Responsibilities</w:t>
      </w:r>
    </w:p>
    <w:p>
      <w:pPr>
        <w:spacing w:after="0" w:line="176" w:lineRule="exact"/>
        <w:rPr>
          <w:sz w:val="20"/>
          <w:szCs w:val="20"/>
          <w:color w:val="auto"/>
        </w:rPr>
      </w:pPr>
    </w:p>
    <w:p>
      <w:pPr>
        <w:ind w:left="582" w:hanging="582"/>
        <w:spacing w:after="0"/>
        <w:tabs>
          <w:tab w:leader="none" w:pos="58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be responsible for making the following recommendations to the board of directors:</w:t>
      </w:r>
    </w:p>
    <w:p>
      <w:pPr>
        <w:spacing w:after="0" w:line="171" w:lineRule="exact"/>
        <w:rPr>
          <w:rFonts w:ascii="Times New Roman" w:cs="Times New Roman" w:eastAsia="Times New Roman" w:hAnsi="Times New Roman"/>
          <w:sz w:val="18"/>
          <w:szCs w:val="18"/>
          <w:color w:val="auto"/>
        </w:rPr>
      </w:pPr>
    </w:p>
    <w:p>
      <w:pPr>
        <w:ind w:left="1182" w:hanging="596"/>
        <w:spacing w:after="0" w:line="234" w:lineRule="auto"/>
        <w:tabs>
          <w:tab w:leader="none" w:pos="117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external auditor to be nominated for the purpose of preparing or issuing an auditor’s report or performing other audit, review or attest services for the Corporation;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62"/>
          </w:cols>
          <w:pgMar w:left="318" w:top="1434" w:right="319" w:bottom="1440" w:gutter="0" w:footer="0" w:header="0"/>
        </w:sectPr>
      </w:pPr>
    </w:p>
    <w:bookmarkStart w:id="97" w:name="page98"/>
    <w:bookmarkEnd w:id="97"/>
    <w:p>
      <w:pPr>
        <w:ind w:left="1162" w:hanging="576"/>
        <w:spacing w:after="0"/>
        <w:tabs>
          <w:tab w:leader="none" w:pos="116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the external auditor.</w:t>
      </w:r>
    </w:p>
    <w:p>
      <w:pPr>
        <w:spacing w:after="0" w:line="171" w:lineRule="exact"/>
        <w:rPr>
          <w:rFonts w:ascii="Times New Roman" w:cs="Times New Roman" w:eastAsia="Times New Roman" w:hAnsi="Times New Roman"/>
          <w:sz w:val="18"/>
          <w:szCs w:val="18"/>
          <w:color w:val="auto"/>
        </w:rPr>
      </w:pPr>
    </w:p>
    <w:p>
      <w:pPr>
        <w:jc w:val="both"/>
        <w:ind w:left="582" w:right="20" w:hanging="582"/>
        <w:spacing w:after="0" w:line="227" w:lineRule="auto"/>
        <w:tabs>
          <w:tab w:leader="none" w:pos="5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be directly responsible for overseeing the work of the external auditor engaged for the purpose of preparing or issuing an auditor’s report or performing other audit, review or attest services for the Corporation, including the resolution of disagreements between management and the external auditor regarding financial reporting. This responsibility shall include:</w:t>
      </w:r>
    </w:p>
    <w:p>
      <w:pPr>
        <w:spacing w:after="0" w:line="145" w:lineRule="exact"/>
        <w:rPr>
          <w:rFonts w:ascii="Times New Roman" w:cs="Times New Roman" w:eastAsia="Times New Roman" w:hAnsi="Times New Roman"/>
          <w:sz w:val="18"/>
          <w:szCs w:val="18"/>
          <w:color w:val="auto"/>
        </w:rPr>
      </w:pPr>
    </w:p>
    <w:p>
      <w:pPr>
        <w:ind w:left="1162" w:hanging="576"/>
        <w:spacing w:after="0"/>
        <w:tabs>
          <w:tab w:leader="none" w:pos="116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audit plan with management and the external auditor;</w:t>
      </w:r>
    </w:p>
    <w:p>
      <w:pPr>
        <w:spacing w:after="0" w:line="171" w:lineRule="exact"/>
        <w:rPr>
          <w:rFonts w:ascii="Times New Roman" w:cs="Times New Roman" w:eastAsia="Times New Roman" w:hAnsi="Times New Roman"/>
          <w:sz w:val="18"/>
          <w:szCs w:val="18"/>
          <w:color w:val="auto"/>
        </w:rPr>
      </w:pPr>
    </w:p>
    <w:p>
      <w:pPr>
        <w:ind w:left="1182" w:right="20" w:hanging="596"/>
        <w:spacing w:after="0" w:line="234" w:lineRule="auto"/>
        <w:tabs>
          <w:tab w:leader="none" w:pos="11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external auditor any proposed changes in major accounting policies, the presentation and impact of significant risks and uncertainties, and key estimates and judgements of management that may be material to financial reporting;</w:t>
      </w:r>
    </w:p>
    <w:p>
      <w:pPr>
        <w:spacing w:after="0" w:line="146" w:lineRule="exact"/>
        <w:rPr>
          <w:rFonts w:ascii="Times New Roman" w:cs="Times New Roman" w:eastAsia="Times New Roman" w:hAnsi="Times New Roman"/>
          <w:sz w:val="18"/>
          <w:szCs w:val="18"/>
          <w:color w:val="auto"/>
        </w:rPr>
      </w:pPr>
    </w:p>
    <w:p>
      <w:pPr>
        <w:ind w:left="1182" w:right="20" w:hanging="596"/>
        <w:spacing w:after="0" w:line="243" w:lineRule="auto"/>
        <w:tabs>
          <w:tab w:leader="none" w:pos="117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questioning management and the external auditor regarding significant financial reporting issues discussed during the fiscal period and the method of resolution;</w:t>
      </w:r>
    </w:p>
    <w:p>
      <w:pPr>
        <w:spacing w:after="0" w:line="130" w:lineRule="exact"/>
        <w:rPr>
          <w:rFonts w:ascii="Times New Roman" w:cs="Times New Roman" w:eastAsia="Times New Roman" w:hAnsi="Times New Roman"/>
          <w:sz w:val="18"/>
          <w:szCs w:val="18"/>
          <w:color w:val="auto"/>
        </w:rPr>
      </w:pPr>
    </w:p>
    <w:p>
      <w:pPr>
        <w:ind w:left="1182" w:right="20" w:hanging="596"/>
        <w:spacing w:after="0" w:line="243" w:lineRule="auto"/>
        <w:tabs>
          <w:tab w:leader="none" w:pos="11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problems experienced by the external auditor in performing the audit, including any restrictions imposed by management or significant accounting issues on which there was a disagreement with management;</w:t>
      </w:r>
    </w:p>
    <w:p>
      <w:pPr>
        <w:spacing w:after="0" w:line="142" w:lineRule="exact"/>
        <w:rPr>
          <w:rFonts w:ascii="Times New Roman" w:cs="Times New Roman" w:eastAsia="Times New Roman" w:hAnsi="Times New Roman"/>
          <w:sz w:val="18"/>
          <w:szCs w:val="18"/>
          <w:color w:val="auto"/>
        </w:rPr>
      </w:pPr>
    </w:p>
    <w:p>
      <w:pPr>
        <w:ind w:left="1182" w:right="20" w:hanging="596"/>
        <w:spacing w:after="0" w:line="234" w:lineRule="auto"/>
        <w:tabs>
          <w:tab w:leader="none" w:pos="117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audited annual financial statements, in conjunction with the report of the external auditor, and obtaining an explanation from management of all significant variances between comparative reporting periods;</w:t>
      </w:r>
    </w:p>
    <w:p>
      <w:pPr>
        <w:spacing w:after="0" w:line="146" w:lineRule="exact"/>
        <w:rPr>
          <w:rFonts w:ascii="Times New Roman" w:cs="Times New Roman" w:eastAsia="Times New Roman" w:hAnsi="Times New Roman"/>
          <w:sz w:val="18"/>
          <w:szCs w:val="18"/>
          <w:color w:val="auto"/>
        </w:rPr>
      </w:pPr>
    </w:p>
    <w:p>
      <w:pPr>
        <w:ind w:left="1182" w:right="20" w:hanging="596"/>
        <w:spacing w:after="0" w:line="243" w:lineRule="auto"/>
        <w:tabs>
          <w:tab w:leader="none" w:pos="117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post-audit or management letter, containing the recommendations of the external auditor, and management’s response and subsequent follow up to any identified weakness;</w:t>
      </w:r>
    </w:p>
    <w:p>
      <w:pPr>
        <w:spacing w:after="0" w:line="130" w:lineRule="exact"/>
        <w:rPr>
          <w:rFonts w:ascii="Times New Roman" w:cs="Times New Roman" w:eastAsia="Times New Roman" w:hAnsi="Times New Roman"/>
          <w:sz w:val="18"/>
          <w:szCs w:val="18"/>
          <w:color w:val="auto"/>
        </w:rPr>
      </w:pPr>
    </w:p>
    <w:p>
      <w:pPr>
        <w:ind w:left="1162" w:hanging="576"/>
        <w:spacing w:after="0"/>
        <w:tabs>
          <w:tab w:leader="none" w:pos="116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interim unaudited financial statements before release to the public;</w:t>
      </w:r>
    </w:p>
    <w:p>
      <w:pPr>
        <w:spacing w:after="0" w:line="171" w:lineRule="exact"/>
        <w:rPr>
          <w:rFonts w:ascii="Times New Roman" w:cs="Times New Roman" w:eastAsia="Times New Roman" w:hAnsi="Times New Roman"/>
          <w:sz w:val="18"/>
          <w:szCs w:val="18"/>
          <w:color w:val="auto"/>
        </w:rPr>
      </w:pPr>
    </w:p>
    <w:p>
      <w:pPr>
        <w:ind w:left="1182" w:right="20" w:hanging="596"/>
        <w:spacing w:after="0" w:line="234" w:lineRule="auto"/>
        <w:tabs>
          <w:tab w:leader="none" w:pos="11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public disclosure documents containing audited or unaudited financial information before release, including any prospectus, the annual report and management’s discussion and analysis;</w:t>
      </w:r>
    </w:p>
    <w:p>
      <w:pPr>
        <w:spacing w:after="0" w:line="146" w:lineRule="exact"/>
        <w:rPr>
          <w:rFonts w:ascii="Times New Roman" w:cs="Times New Roman" w:eastAsia="Times New Roman" w:hAnsi="Times New Roman"/>
          <w:sz w:val="18"/>
          <w:szCs w:val="18"/>
          <w:color w:val="auto"/>
        </w:rPr>
      </w:pPr>
    </w:p>
    <w:p>
      <w:pPr>
        <w:ind w:left="1162" w:hanging="576"/>
        <w:spacing w:after="0"/>
        <w:tabs>
          <w:tab w:leader="none" w:pos="116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evaluation of internal controls by the external auditor, together with management’s response;</w:t>
      </w:r>
    </w:p>
    <w:p>
      <w:pPr>
        <w:spacing w:after="0" w:line="171" w:lineRule="exact"/>
        <w:rPr>
          <w:rFonts w:ascii="Times New Roman" w:cs="Times New Roman" w:eastAsia="Times New Roman" w:hAnsi="Times New Roman"/>
          <w:sz w:val="18"/>
          <w:szCs w:val="18"/>
          <w:color w:val="auto"/>
        </w:rPr>
      </w:pPr>
    </w:p>
    <w:p>
      <w:pPr>
        <w:ind w:left="1162" w:hanging="576"/>
        <w:spacing w:after="0"/>
        <w:tabs>
          <w:tab w:leader="none" w:pos="116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terms of reference of the internal auditor, if any;</w:t>
      </w:r>
    </w:p>
    <w:p>
      <w:pPr>
        <w:spacing w:after="0" w:line="159" w:lineRule="exact"/>
        <w:rPr>
          <w:rFonts w:ascii="Times New Roman" w:cs="Times New Roman" w:eastAsia="Times New Roman" w:hAnsi="Times New Roman"/>
          <w:sz w:val="18"/>
          <w:szCs w:val="18"/>
          <w:color w:val="auto"/>
        </w:rPr>
      </w:pPr>
    </w:p>
    <w:p>
      <w:pPr>
        <w:ind w:left="1182" w:right="20" w:hanging="596"/>
        <w:spacing w:after="0" w:line="243" w:lineRule="auto"/>
        <w:tabs>
          <w:tab w:leader="none" w:pos="117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reports issued by the internal auditor, if any, and management’s response and subsequent follow up to any identified weaknesses; and</w:t>
      </w:r>
    </w:p>
    <w:p>
      <w:pPr>
        <w:spacing w:after="0" w:line="142" w:lineRule="exact"/>
        <w:rPr>
          <w:rFonts w:ascii="Times New Roman" w:cs="Times New Roman" w:eastAsia="Times New Roman" w:hAnsi="Times New Roman"/>
          <w:sz w:val="18"/>
          <w:szCs w:val="18"/>
          <w:color w:val="auto"/>
        </w:rPr>
      </w:pPr>
    </w:p>
    <w:p>
      <w:pPr>
        <w:ind w:left="1182" w:right="20" w:hanging="596"/>
        <w:spacing w:after="0" w:line="234" w:lineRule="auto"/>
        <w:tabs>
          <w:tab w:leader="none" w:pos="11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appointments of the chief financial officer and any key financial executives involved in the financial reporting process, as applicable.</w:t>
      </w:r>
    </w:p>
    <w:p>
      <w:pPr>
        <w:spacing w:after="0" w:line="146" w:lineRule="exact"/>
        <w:rPr>
          <w:rFonts w:ascii="Times New Roman" w:cs="Times New Roman" w:eastAsia="Times New Roman" w:hAnsi="Times New Roman"/>
          <w:sz w:val="18"/>
          <w:szCs w:val="18"/>
          <w:color w:val="auto"/>
        </w:rPr>
      </w:pPr>
    </w:p>
    <w:p>
      <w:pPr>
        <w:ind w:left="582" w:hanging="582"/>
        <w:spacing w:after="0"/>
        <w:tabs>
          <w:tab w:leader="none" w:pos="5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pre-approve all non-audit services to be provided to the Corporation or its subsidiary entities by the issuer’s external auditor.</w:t>
      </w:r>
    </w:p>
    <w:p>
      <w:pPr>
        <w:spacing w:after="0" w:line="171" w:lineRule="exact"/>
        <w:rPr>
          <w:rFonts w:ascii="Times New Roman" w:cs="Times New Roman" w:eastAsia="Times New Roman" w:hAnsi="Times New Roman"/>
          <w:sz w:val="18"/>
          <w:szCs w:val="18"/>
          <w:color w:val="auto"/>
        </w:rPr>
      </w:pPr>
    </w:p>
    <w:p>
      <w:pPr>
        <w:ind w:left="582" w:hanging="582"/>
        <w:spacing w:after="0" w:line="234" w:lineRule="auto"/>
        <w:tabs>
          <w:tab w:leader="none" w:pos="5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review the Corporation’s financial statements, MD&amp;A, and annual and interim earnings press releases before the Corporation publicly discloses this information.</w:t>
      </w:r>
    </w:p>
    <w:p>
      <w:pPr>
        <w:spacing w:after="0" w:line="146" w:lineRule="exact"/>
        <w:rPr>
          <w:rFonts w:ascii="Times New Roman" w:cs="Times New Roman" w:eastAsia="Times New Roman" w:hAnsi="Times New Roman"/>
          <w:sz w:val="18"/>
          <w:szCs w:val="18"/>
          <w:color w:val="auto"/>
        </w:rPr>
      </w:pPr>
    </w:p>
    <w:p>
      <w:pPr>
        <w:ind w:left="582" w:hanging="582"/>
        <w:spacing w:after="0" w:line="243" w:lineRule="auto"/>
        <w:tabs>
          <w:tab w:leader="none" w:pos="5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ensure that adequate procedures are in place for the review of the Corporation’s public disclosure of financial information extracted or derived from the Corporation’s financial statements, and shall periodically assess the adequacy of those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62"/>
          </w:cols>
          <w:pgMar w:left="318" w:top="1438" w:right="319" w:bottom="1440" w:gutter="0" w:footer="0" w:header="0"/>
        </w:sectPr>
      </w:pPr>
    </w:p>
    <w:bookmarkStart w:id="98" w:name="page99"/>
    <w:bookmarkEnd w:id="98"/>
    <w:p>
      <w:pPr>
        <w:ind w:left="582" w:hanging="582"/>
        <w:spacing w:after="0" w:line="243" w:lineRule="auto"/>
        <w:tabs>
          <w:tab w:leader="none" w:pos="5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there is to be a change of auditor, the Committee shall review all issues related to the change, including the information to be included in the notice of change of auditor called for under National Instrument 51-102, and the planned steps for an orderly transition.</w:t>
      </w:r>
    </w:p>
    <w:p>
      <w:pPr>
        <w:spacing w:after="0" w:line="142" w:lineRule="exact"/>
        <w:rPr>
          <w:rFonts w:ascii="Times New Roman" w:cs="Times New Roman" w:eastAsia="Times New Roman" w:hAnsi="Times New Roman"/>
          <w:sz w:val="18"/>
          <w:szCs w:val="18"/>
          <w:color w:val="auto"/>
        </w:rPr>
      </w:pPr>
    </w:p>
    <w:p>
      <w:pPr>
        <w:ind w:left="582" w:hanging="582"/>
        <w:spacing w:after="0" w:line="234" w:lineRule="auto"/>
        <w:tabs>
          <w:tab w:leader="none" w:pos="5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review all reportable events, including disagreements, unresolved issues and consultations, as defined in National Instrument 51-102, on a routine basis, whether or not there is to be a change of auditor.</w:t>
      </w:r>
    </w:p>
    <w:p>
      <w:pPr>
        <w:spacing w:after="0" w:line="146" w:lineRule="exact"/>
        <w:rPr>
          <w:rFonts w:ascii="Times New Roman" w:cs="Times New Roman" w:eastAsia="Times New Roman" w:hAnsi="Times New Roman"/>
          <w:sz w:val="18"/>
          <w:szCs w:val="18"/>
          <w:color w:val="auto"/>
        </w:rPr>
      </w:pPr>
    </w:p>
    <w:p>
      <w:pPr>
        <w:ind w:left="582" w:hanging="582"/>
        <w:spacing w:after="0"/>
        <w:tabs>
          <w:tab w:leader="none" w:pos="5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as applicable, establish procedures for:</w:t>
      </w:r>
    </w:p>
    <w:p>
      <w:pPr>
        <w:spacing w:after="0" w:line="171" w:lineRule="exact"/>
        <w:rPr>
          <w:rFonts w:ascii="Times New Roman" w:cs="Times New Roman" w:eastAsia="Times New Roman" w:hAnsi="Times New Roman"/>
          <w:sz w:val="18"/>
          <w:szCs w:val="18"/>
          <w:color w:val="auto"/>
        </w:rPr>
      </w:pPr>
    </w:p>
    <w:p>
      <w:pPr>
        <w:ind w:left="1182" w:hanging="596"/>
        <w:spacing w:after="0" w:line="234" w:lineRule="auto"/>
        <w:tabs>
          <w:tab w:leader="none" w:pos="117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retention and treatment of complaints received by the issuer regarding accounting, internal accounting controls, or auditing matters; and</w:t>
      </w:r>
    </w:p>
    <w:p>
      <w:pPr>
        <w:spacing w:after="0" w:line="146" w:lineRule="exact"/>
        <w:rPr>
          <w:rFonts w:ascii="Times New Roman" w:cs="Times New Roman" w:eastAsia="Times New Roman" w:hAnsi="Times New Roman"/>
          <w:sz w:val="18"/>
          <w:szCs w:val="18"/>
          <w:color w:val="auto"/>
        </w:rPr>
      </w:pPr>
    </w:p>
    <w:p>
      <w:pPr>
        <w:ind w:left="1162" w:hanging="576"/>
        <w:spacing w:after="0"/>
        <w:tabs>
          <w:tab w:leader="none" w:pos="116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 anonymous submission by employees of the issuer of concerns regarding questionable accounting or auditing matters.</w:t>
      </w:r>
    </w:p>
    <w:p>
      <w:pPr>
        <w:spacing w:after="0" w:line="171" w:lineRule="exact"/>
        <w:rPr>
          <w:rFonts w:ascii="Times New Roman" w:cs="Times New Roman" w:eastAsia="Times New Roman" w:hAnsi="Times New Roman"/>
          <w:sz w:val="18"/>
          <w:szCs w:val="18"/>
          <w:color w:val="auto"/>
        </w:rPr>
      </w:pPr>
    </w:p>
    <w:p>
      <w:pPr>
        <w:ind w:left="582" w:hanging="582"/>
        <w:spacing w:after="0" w:line="234" w:lineRule="auto"/>
        <w:tabs>
          <w:tab w:leader="none" w:pos="5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applicable, the Committee shall establish, periodically review and approve the Corporation’s hiring policies regarding partners, employees and former partners and employees of the present and former external auditor of the issuer.</w:t>
      </w:r>
    </w:p>
    <w:p>
      <w:pPr>
        <w:spacing w:after="0" w:line="146" w:lineRule="exact"/>
        <w:rPr>
          <w:rFonts w:ascii="Times New Roman" w:cs="Times New Roman" w:eastAsia="Times New Roman" w:hAnsi="Times New Roman"/>
          <w:sz w:val="18"/>
          <w:szCs w:val="18"/>
          <w:color w:val="auto"/>
        </w:rPr>
      </w:pPr>
    </w:p>
    <w:p>
      <w:pPr>
        <w:ind w:left="582" w:hanging="582"/>
        <w:spacing w:after="0" w:line="243" w:lineRule="auto"/>
        <w:tabs>
          <w:tab w:leader="none" w:pos="5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responsibilities outlined in this Charter are not intended to be exhaustive. Members should consider any additional areas which may require oversight when discharging their responsibilities.</w:t>
      </w:r>
    </w:p>
    <w:p>
      <w:pPr>
        <w:spacing w:after="0" w:line="127"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De Minimis Non-Audit Services</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Committee shall satisfy the pre-approval requirement in subsection (2.3(3)) if:</w:t>
      </w:r>
    </w:p>
    <w:p>
      <w:pPr>
        <w:spacing w:after="0" w:line="172" w:lineRule="exact"/>
        <w:rPr>
          <w:sz w:val="20"/>
          <w:szCs w:val="20"/>
          <w:color w:val="auto"/>
        </w:rPr>
      </w:pPr>
    </w:p>
    <w:p>
      <w:pPr>
        <w:jc w:val="both"/>
        <w:ind w:left="1182" w:hanging="596"/>
        <w:spacing w:after="0" w:line="227" w:lineRule="auto"/>
        <w:tabs>
          <w:tab w:leader="none" w:pos="117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the non-audit services that were not pre-approved is reasonably expected to constitute no more than five per cent of the total amount of fees paid by the issuer and its subsidiary entities to the issuer’s external auditor during the financial year in which the services are provided;</w:t>
      </w:r>
    </w:p>
    <w:p>
      <w:pPr>
        <w:spacing w:after="0" w:line="133" w:lineRule="exact"/>
        <w:rPr>
          <w:rFonts w:ascii="Times New Roman" w:cs="Times New Roman" w:eastAsia="Times New Roman" w:hAnsi="Times New Roman"/>
          <w:sz w:val="18"/>
          <w:szCs w:val="18"/>
          <w:color w:val="auto"/>
        </w:rPr>
      </w:pPr>
    </w:p>
    <w:p>
      <w:pPr>
        <w:ind w:left="1182" w:hanging="596"/>
        <w:spacing w:after="0" w:line="243" w:lineRule="auto"/>
        <w:tabs>
          <w:tab w:leader="none" w:pos="117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or the subsidiary of the Corporation, as the case may be, did not recognize the services as non-audit services at the time of the engagement; and</w:t>
      </w:r>
    </w:p>
    <w:p>
      <w:pPr>
        <w:spacing w:after="0" w:line="142" w:lineRule="exact"/>
        <w:rPr>
          <w:rFonts w:ascii="Times New Roman" w:cs="Times New Roman" w:eastAsia="Times New Roman" w:hAnsi="Times New Roman"/>
          <w:sz w:val="18"/>
          <w:szCs w:val="18"/>
          <w:color w:val="auto"/>
        </w:rPr>
      </w:pPr>
    </w:p>
    <w:p>
      <w:pPr>
        <w:ind w:left="1182" w:hanging="596"/>
        <w:spacing w:after="0" w:line="234" w:lineRule="auto"/>
        <w:tabs>
          <w:tab w:leader="none" w:pos="117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are promptly brought to the attention of the Committee and approved by the Committee or by one or more of its Members to whom authority to grant such approvals has been delegated by the Committee, prior to the completion of the audit.</w:t>
      </w:r>
    </w:p>
    <w:p>
      <w:pPr>
        <w:spacing w:after="0" w:line="142"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Delegation of Pre-Approval Function</w:t>
      </w:r>
    </w:p>
    <w:p>
      <w:pPr>
        <w:spacing w:after="0" w:line="176" w:lineRule="exact"/>
        <w:rPr>
          <w:sz w:val="20"/>
          <w:szCs w:val="20"/>
          <w:color w:val="auto"/>
        </w:rPr>
      </w:pPr>
    </w:p>
    <w:p>
      <w:pPr>
        <w:ind w:left="582" w:hanging="582"/>
        <w:spacing w:after="0" w:line="234" w:lineRule="auto"/>
        <w:tabs>
          <w:tab w:leader="none" w:pos="58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delegate to one or more independent Members the authority to pre-approve non-audit services in satisfaction of the requirement in subsection (2.3(3)).</w:t>
      </w:r>
    </w:p>
    <w:p>
      <w:pPr>
        <w:spacing w:after="0" w:line="146" w:lineRule="exact"/>
        <w:rPr>
          <w:rFonts w:ascii="Times New Roman" w:cs="Times New Roman" w:eastAsia="Times New Roman" w:hAnsi="Times New Roman"/>
          <w:sz w:val="18"/>
          <w:szCs w:val="18"/>
          <w:color w:val="auto"/>
        </w:rPr>
      </w:pPr>
    </w:p>
    <w:p>
      <w:pPr>
        <w:ind w:left="582" w:hanging="582"/>
        <w:spacing w:after="0" w:line="243" w:lineRule="auto"/>
        <w:tabs>
          <w:tab w:leader="none" w:pos="58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pre-approval of non-audit services by any Member to whom authority has been delegated pursuant to subsection (2.5(1) must be presented to the Committee at its first scheduled meeting following such pre-approval.</w:t>
      </w:r>
    </w:p>
    <w:p>
      <w:pPr>
        <w:spacing w:after="0" w:line="12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PART 3</w:t>
      </w:r>
    </w:p>
    <w:p>
      <w:pPr>
        <w:spacing w:after="0" w:line="172"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Composition</w:t>
      </w:r>
    </w:p>
    <w:p>
      <w:pPr>
        <w:spacing w:after="0" w:line="176" w:lineRule="exact"/>
        <w:rPr>
          <w:sz w:val="20"/>
          <w:szCs w:val="20"/>
          <w:color w:val="auto"/>
        </w:rPr>
      </w:pPr>
    </w:p>
    <w:p>
      <w:pPr>
        <w:ind w:left="582" w:hanging="582"/>
        <w:spacing w:after="0"/>
        <w:tabs>
          <w:tab w:leader="none" w:pos="58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be composed of a minimum of three Members.</w:t>
      </w:r>
    </w:p>
    <w:p>
      <w:pPr>
        <w:spacing w:after="0" w:line="159" w:lineRule="exact"/>
        <w:rPr>
          <w:rFonts w:ascii="Times New Roman" w:cs="Times New Roman" w:eastAsia="Times New Roman" w:hAnsi="Times New Roman"/>
          <w:sz w:val="18"/>
          <w:szCs w:val="18"/>
          <w:color w:val="auto"/>
        </w:rPr>
      </w:pPr>
    </w:p>
    <w:p>
      <w:pPr>
        <w:ind w:left="582" w:hanging="582"/>
        <w:spacing w:after="0"/>
        <w:tabs>
          <w:tab w:leader="none" w:pos="58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Member shall be a director of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42"/>
          </w:cols>
          <w:pgMar w:left="318" w:top="1438" w:right="339" w:bottom="1440" w:gutter="0" w:footer="0" w:header="0"/>
        </w:sectPr>
      </w:pPr>
    </w:p>
    <w:bookmarkStart w:id="99" w:name="page100"/>
    <w:bookmarkEnd w:id="99"/>
    <w:p>
      <w:pPr>
        <w:ind w:left="582" w:hanging="582"/>
        <w:spacing w:after="0"/>
        <w:tabs>
          <w:tab w:leader="none" w:pos="58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Member shall be independent.</w:t>
      </w:r>
    </w:p>
    <w:p>
      <w:pPr>
        <w:spacing w:after="0" w:line="171" w:lineRule="exact"/>
        <w:rPr>
          <w:rFonts w:ascii="Times New Roman" w:cs="Times New Roman" w:eastAsia="Times New Roman" w:hAnsi="Times New Roman"/>
          <w:sz w:val="18"/>
          <w:szCs w:val="18"/>
          <w:color w:val="auto"/>
        </w:rPr>
      </w:pPr>
    </w:p>
    <w:p>
      <w:pPr>
        <w:ind w:left="582" w:hanging="582"/>
        <w:spacing w:after="0"/>
        <w:tabs>
          <w:tab w:leader="none" w:pos="58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Member shall be financially literate.</w:t>
      </w:r>
    </w:p>
    <w:p>
      <w:pPr>
        <w:spacing w:after="0" w:line="171" w:lineRule="exact"/>
        <w:rPr>
          <w:rFonts w:ascii="Times New Roman" w:cs="Times New Roman" w:eastAsia="Times New Roman" w:hAnsi="Times New Roman"/>
          <w:sz w:val="18"/>
          <w:szCs w:val="18"/>
          <w:color w:val="auto"/>
        </w:rPr>
      </w:pPr>
    </w:p>
    <w:p>
      <w:pPr>
        <w:ind w:left="582" w:hanging="582"/>
        <w:spacing w:after="0"/>
        <w:tabs>
          <w:tab w:leader="none" w:pos="58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shall appoint or re-appoint the Members after each annual meeting of shareholders of the Corporation.</w:t>
      </w:r>
    </w:p>
    <w:p>
      <w:pPr>
        <w:spacing w:after="0" w:line="155" w:lineRule="exact"/>
        <w:rPr>
          <w:rFonts w:ascii="Times New Roman" w:cs="Times New Roman" w:eastAsia="Times New Roman" w:hAnsi="Times New Roman"/>
          <w:sz w:val="18"/>
          <w:szCs w:val="18"/>
          <w:color w:val="auto"/>
        </w:rPr>
      </w:pPr>
    </w:p>
    <w:p>
      <w:pPr>
        <w:ind w:left="53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 4</w:t>
      </w:r>
    </w:p>
    <w:p>
      <w:pPr>
        <w:spacing w:after="0" w:line="172"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Authority</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Until the replacement of this Charter, the Committee shall have the authority to:</w:t>
      </w:r>
    </w:p>
    <w:p>
      <w:pPr>
        <w:spacing w:after="0" w:line="160" w:lineRule="exact"/>
        <w:rPr>
          <w:sz w:val="20"/>
          <w:szCs w:val="20"/>
          <w:color w:val="auto"/>
        </w:rPr>
      </w:pPr>
    </w:p>
    <w:p>
      <w:pPr>
        <w:ind w:left="1162" w:hanging="576"/>
        <w:spacing w:after="0"/>
        <w:tabs>
          <w:tab w:leader="none" w:pos="116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independent counsel and other advisors as it determines necessary to carry out its duties;</w:t>
      </w:r>
    </w:p>
    <w:p>
      <w:pPr>
        <w:spacing w:after="0" w:line="171" w:lineRule="exact"/>
        <w:rPr>
          <w:rFonts w:ascii="Times New Roman" w:cs="Times New Roman" w:eastAsia="Times New Roman" w:hAnsi="Times New Roman"/>
          <w:sz w:val="18"/>
          <w:szCs w:val="18"/>
          <w:color w:val="auto"/>
        </w:rPr>
      </w:pPr>
    </w:p>
    <w:p>
      <w:pPr>
        <w:ind w:left="1162" w:hanging="576"/>
        <w:spacing w:after="0"/>
        <w:tabs>
          <w:tab w:leader="none" w:pos="116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and pay the compensation for any advisors employed by the Committee;</w:t>
      </w:r>
    </w:p>
    <w:p>
      <w:pPr>
        <w:spacing w:after="0" w:line="171" w:lineRule="exact"/>
        <w:rPr>
          <w:rFonts w:ascii="Times New Roman" w:cs="Times New Roman" w:eastAsia="Times New Roman" w:hAnsi="Times New Roman"/>
          <w:sz w:val="18"/>
          <w:szCs w:val="18"/>
          <w:color w:val="auto"/>
        </w:rPr>
      </w:pPr>
    </w:p>
    <w:p>
      <w:pPr>
        <w:ind w:left="1162" w:hanging="576"/>
        <w:spacing w:after="0"/>
        <w:tabs>
          <w:tab w:leader="none" w:pos="116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directly with the internal and external auditors; and</w:t>
      </w:r>
    </w:p>
    <w:p>
      <w:pPr>
        <w:spacing w:after="0" w:line="159" w:lineRule="exact"/>
        <w:rPr>
          <w:rFonts w:ascii="Times New Roman" w:cs="Times New Roman" w:eastAsia="Times New Roman" w:hAnsi="Times New Roman"/>
          <w:sz w:val="18"/>
          <w:szCs w:val="18"/>
          <w:color w:val="auto"/>
        </w:rPr>
      </w:pPr>
    </w:p>
    <w:p>
      <w:pPr>
        <w:ind w:left="1162" w:hanging="576"/>
        <w:spacing w:after="0"/>
        <w:tabs>
          <w:tab w:leader="none" w:pos="116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amendment or approval of audited and interim financial statements to the board of directors.</w:t>
      </w:r>
    </w:p>
    <w:p>
      <w:pPr>
        <w:spacing w:after="0" w:line="16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PART 5</w:t>
      </w:r>
    </w:p>
    <w:p>
      <w:pPr>
        <w:spacing w:after="0" w:line="172"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Required Disclosure</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Corporation must include in its Annual Information Form the disclosure required by Form 52-110F1.</w:t>
      </w:r>
    </w:p>
    <w:p>
      <w:pPr>
        <w:spacing w:after="0" w:line="168"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Disclosure in Information Circular</w:t>
      </w:r>
    </w:p>
    <w:p>
      <w:pPr>
        <w:spacing w:after="0" w:line="176" w:lineRule="exact"/>
        <w:rPr>
          <w:sz w:val="20"/>
          <w:szCs w:val="20"/>
          <w:color w:val="auto"/>
        </w:rPr>
      </w:pPr>
    </w:p>
    <w:p>
      <w:pPr>
        <w:ind w:left="2"/>
        <w:spacing w:after="0" w:line="229" w:lineRule="auto"/>
        <w:rPr>
          <w:sz w:val="20"/>
          <w:szCs w:val="20"/>
          <w:color w:val="auto"/>
        </w:rPr>
      </w:pPr>
      <w:r>
        <w:rPr>
          <w:rFonts w:ascii="Times New Roman" w:cs="Times New Roman" w:eastAsia="Times New Roman" w:hAnsi="Times New Roman"/>
          <w:sz w:val="17"/>
          <w:szCs w:val="17"/>
          <w:color w:val="auto"/>
        </w:rPr>
        <w:t>If management of the Corporation solicits proxies from the security holders of the Corporation for the purpose of electing directors to the board of directors, the Corporation shall include in its management information circular a cross-reference to the sections in the Corporation’s Annual Information Form that</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contain the information required by section 5.1.</w:t>
      </w:r>
    </w:p>
    <w:p>
      <w:pPr>
        <w:spacing w:after="0" w:line="13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PART 6</w:t>
      </w:r>
    </w:p>
    <w:p>
      <w:pPr>
        <w:spacing w:after="0" w:line="172" w:lineRule="exact"/>
        <w:rPr>
          <w:sz w:val="20"/>
          <w:szCs w:val="20"/>
          <w:color w:val="auto"/>
        </w:rPr>
      </w:pPr>
    </w:p>
    <w:p>
      <w:pPr>
        <w:ind w:left="2"/>
        <w:spacing w:after="0"/>
        <w:tabs>
          <w:tab w:leader="none" w:pos="562"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b w:val="1"/>
          <w:bCs w:val="1"/>
          <w:color w:val="auto"/>
        </w:rPr>
        <w:t>Meetings</w:t>
      </w:r>
    </w:p>
    <w:p>
      <w:pPr>
        <w:spacing w:after="0" w:line="176" w:lineRule="exact"/>
        <w:rPr>
          <w:sz w:val="20"/>
          <w:szCs w:val="20"/>
          <w:color w:val="auto"/>
        </w:rPr>
      </w:pPr>
    </w:p>
    <w:p>
      <w:pPr>
        <w:ind w:left="582" w:hanging="582"/>
        <w:spacing w:after="0"/>
        <w:tabs>
          <w:tab w:leader="none" w:pos="58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the Committee shall be scheduled to take place at regular intervals and, in any event, not less frequently than quarterly.</w:t>
      </w:r>
    </w:p>
    <w:p>
      <w:pPr>
        <w:spacing w:after="0" w:line="159" w:lineRule="exact"/>
        <w:rPr>
          <w:rFonts w:ascii="Times New Roman" w:cs="Times New Roman" w:eastAsia="Times New Roman" w:hAnsi="Times New Roman"/>
          <w:sz w:val="18"/>
          <w:szCs w:val="18"/>
          <w:color w:val="auto"/>
        </w:rPr>
      </w:pPr>
    </w:p>
    <w:p>
      <w:pPr>
        <w:ind w:left="582" w:hanging="582"/>
        <w:spacing w:after="0" w:line="243" w:lineRule="auto"/>
        <w:tabs>
          <w:tab w:leader="none" w:pos="58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shall be afforded periodically to the external auditor, the internal auditor and to members of senior management to meet separately with the Members.</w:t>
      </w:r>
    </w:p>
    <w:p>
      <w:pPr>
        <w:spacing w:after="0" w:line="142" w:lineRule="exact"/>
        <w:rPr>
          <w:rFonts w:ascii="Times New Roman" w:cs="Times New Roman" w:eastAsia="Times New Roman" w:hAnsi="Times New Roman"/>
          <w:sz w:val="18"/>
          <w:szCs w:val="18"/>
          <w:color w:val="auto"/>
        </w:rPr>
      </w:pPr>
    </w:p>
    <w:p>
      <w:pPr>
        <w:ind w:left="582" w:hanging="582"/>
        <w:spacing w:after="0"/>
        <w:tabs>
          <w:tab w:leader="none" w:pos="58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shall be kept of all meetings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2"/>
          </w:cols>
          <w:pgMar w:left="318" w:top="1438" w:right="33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3080385</wp:posOffset>
            </wp:positionH>
            <wp:positionV relativeFrom="page">
              <wp:posOffset>2610485</wp:posOffset>
            </wp:positionV>
            <wp:extent cx="1396365" cy="868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96365" cy="868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Calibri" w:cs="Calibri" w:eastAsia="Calibri" w:hAnsi="Calibri"/>
          <w:sz w:val="39"/>
          <w:szCs w:val="39"/>
          <w:b w:val="1"/>
          <w:bCs w:val="1"/>
          <w:color w:val="auto"/>
        </w:rPr>
        <w:t>CYBIN INC.</w:t>
      </w:r>
    </w:p>
    <w:p>
      <w:pPr>
        <w:spacing w:after="0" w:line="176"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CONSOLIDATED FINANCIAL STATEMENTS</w:t>
      </w:r>
    </w:p>
    <w:p>
      <w:pPr>
        <w:spacing w:after="0" w:line="164" w:lineRule="exact"/>
        <w:rPr>
          <w:sz w:val="20"/>
          <w:szCs w:val="20"/>
          <w:color w:val="auto"/>
        </w:rPr>
      </w:pPr>
    </w:p>
    <w:p>
      <w:pPr>
        <w:jc w:val="center"/>
        <w:ind w:right="19"/>
        <w:spacing w:after="0"/>
        <w:rPr>
          <w:sz w:val="20"/>
          <w:szCs w:val="20"/>
          <w:color w:val="auto"/>
        </w:rPr>
      </w:pPr>
      <w:r>
        <w:rPr>
          <w:rFonts w:ascii="Calibri" w:cs="Calibri" w:eastAsia="Calibri" w:hAnsi="Calibri"/>
          <w:sz w:val="23"/>
          <w:szCs w:val="23"/>
          <w:b w:val="1"/>
          <w:bCs w:val="1"/>
          <w:color w:val="auto"/>
        </w:rPr>
        <w:t>FOR THE YEAR ENDED</w:t>
      </w:r>
    </w:p>
    <w:p>
      <w:pPr>
        <w:spacing w:after="0" w:line="147" w:lineRule="exact"/>
        <w:rPr>
          <w:sz w:val="20"/>
          <w:szCs w:val="20"/>
          <w:color w:val="auto"/>
        </w:rPr>
      </w:pPr>
    </w:p>
    <w:p>
      <w:pPr>
        <w:jc w:val="center"/>
        <w:ind w:right="19"/>
        <w:spacing w:after="0"/>
        <w:rPr>
          <w:sz w:val="20"/>
          <w:szCs w:val="20"/>
          <w:color w:val="auto"/>
        </w:rPr>
      </w:pPr>
      <w:r>
        <w:rPr>
          <w:rFonts w:ascii="Calibri" w:cs="Calibri" w:eastAsia="Calibri" w:hAnsi="Calibri"/>
          <w:sz w:val="23"/>
          <w:szCs w:val="23"/>
          <w:b w:val="1"/>
          <w:bCs w:val="1"/>
          <w:color w:val="auto"/>
        </w:rPr>
        <w:t>MARCH 31, 2022</w:t>
      </w:r>
    </w:p>
    <w:p>
      <w:pPr>
        <w:sectPr>
          <w:pgSz w:w="11900" w:h="16838" w:orient="portrait"/>
          <w:cols w:equalWidth="0" w:num="1">
            <w:col w:w="9019"/>
          </w:cols>
          <w:pgMar w:left="1440" w:top="1440" w:right="1440"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Responsibility for Consolidated Financial Statements</w:t>
      </w:r>
    </w:p>
    <w:p>
      <w:pPr>
        <w:spacing w:after="0" w:line="2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Company’s management is responsible for the integrity and fairness of presentation of these consolidated financial statements. The consolidated financial statements have been prepared by management, in accordance with International Financial Reporting Standards as issued by the International Accounting Standards Board, for approval by the Board of Directors.</w:t>
      </w:r>
    </w:p>
    <w:p>
      <w:pPr>
        <w:spacing w:after="0" w:line="191"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Where necessary, management has made judgements and estimates in preparing the consolidated financial statements and such statements have been prepared within acceptable limits of materiality. Management maintains a system of internal accounting controls to ensure, on a reasonable and cost-effective basis, that the financial information is timely reported and is accurate and reliable in all material respects and that the Company’s assets are appropriately accounted for and adequately safeguarded.</w:t>
      </w:r>
    </w:p>
    <w:p>
      <w:pPr>
        <w:spacing w:after="0" w:line="18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A firm of independent Chartered Professional Accountants, Zeifmans LLP, appointed by the shareholders, audited the consolidated financial statements in accordance with Canadian generally accepted auditing standards and provided an independent professional opinion on the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 Doug Drysdale</w:t>
      </w:r>
    </w:p>
    <w:p>
      <w:pPr>
        <w:spacing w:after="0" w:line="231" w:lineRule="auto"/>
        <w:rPr>
          <w:sz w:val="20"/>
          <w:szCs w:val="20"/>
          <w:color w:val="auto"/>
        </w:rPr>
      </w:pPr>
      <w:r>
        <w:rPr>
          <w:rFonts w:ascii="Times New Roman" w:cs="Times New Roman" w:eastAsia="Times New Roman" w:hAnsi="Times New Roman"/>
          <w:sz w:val="20"/>
          <w:szCs w:val="20"/>
          <w:color w:val="auto"/>
        </w:rPr>
        <w:t>Chief Executive Officer</w:t>
      </w:r>
    </w:p>
    <w:p>
      <w:pPr>
        <w:spacing w:after="0"/>
        <w:rPr>
          <w:sz w:val="20"/>
          <w:szCs w:val="20"/>
          <w:color w:val="auto"/>
        </w:rPr>
      </w:pPr>
      <w:r>
        <w:rPr>
          <w:rFonts w:ascii="Times New Roman" w:cs="Times New Roman" w:eastAsia="Times New Roman" w:hAnsi="Times New Roman"/>
          <w:sz w:val="20"/>
          <w:szCs w:val="20"/>
          <w:color w:val="auto"/>
        </w:rPr>
        <w:t>June 20, 2022</w:t>
      </w:r>
    </w:p>
    <w:p>
      <w:pPr>
        <w:sectPr>
          <w:pgSz w:w="11900" w:h="16838" w:orient="portrait"/>
          <w:cols w:equalWidth="0" w:num="1">
            <w:col w:w="11260"/>
          </w:cols>
          <w:pgMar w:left="320" w:top="1440" w:right="31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1450975" cy="395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50975" cy="39560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INDEPENDENT AUDITORS’ REPORT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of Cybin Inc.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Opinion on the Consolidated Financial Statements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have audited the consolidated financial statements of Cybin Inc. and its subsidiaries (together, the “Company”), which comprise the consolidated statements of financial position as at March 31, 2022 and 2021, and the consolidated statements of loss and comprehensive loss, changes in shareholders’ equity and cash flows for the years then ended, and notes to the consolidated financial statements, including a summary of significant accounting policies.</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In our opinion, the accompanying consolidated financial statements present fairly, in all material respects, the consolidated financial position of the Company as at March 31, 2022 and 2021 and its consolidated financial performance and its consolidated cash flows for the years then ended in accordance with International Financial Reporting Standards (“IFRS”) as issued by the International Accounting Standards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of Opinion</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 xml:space="preserve">We conducted our audits in accordance with Canadian generally accepted auditing standards (“GAAS”). Our responsibilities under those standards are further described in the </w:t>
      </w:r>
      <w:r>
        <w:rPr>
          <w:rFonts w:ascii="Times New Roman" w:cs="Times New Roman" w:eastAsia="Times New Roman" w:hAnsi="Times New Roman"/>
          <w:sz w:val="16"/>
          <w:szCs w:val="16"/>
          <w:i w:val="1"/>
          <w:iCs w:val="1"/>
          <w:color w:val="auto"/>
        </w:rPr>
        <w:t>Auditors’ Responsibilities for the Audits of the Consolidated Financial Statements</w:t>
      </w:r>
      <w:r>
        <w:rPr>
          <w:rFonts w:ascii="Times New Roman" w:cs="Times New Roman" w:eastAsia="Times New Roman" w:hAnsi="Times New Roman"/>
          <w:sz w:val="16"/>
          <w:szCs w:val="16"/>
          <w:color w:val="auto"/>
        </w:rPr>
        <w:t xml:space="preserve"> section of our report. We are independent of the Company in accordance with the ethical requirements that are relevant to our audits of the consolidated financial statements in Canada, and we have fulfilled our other ethical responsibilities in accordance with these requirements. We believe that the audit evidence we have obtained is sufficient and appropriate to provide a basis for our opinion.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Material Uncertainty Related to Going Concern</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We draw attention to Note 1 to the consolidated financial statements which indicates that the Company’s operations do not generate cash flow and, as at March 31, 2022, the Company had a cumulative deficit of $100,661,000, cash of $53,641,000 and working capital of $50,447,000. As stated in Note 1, these events or conditions, along with other matters as set forth in Note 1, indicate that a material uncertainty exists that may cast doubt on the Company’s ability to continue as a going concern. Our opinion is not modified in respect of this matter.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Information</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Management is responsible for the other information. The other information comprises the Management’s Discussion and Analysis (“MD&amp;A”), but does not include the consolidated financial statements and our auditors’ report thereon. Our opinion on the consolidated financial statements does not cover the MD&amp;A and we do not express any form of assurance conclusion thereon.</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In connection with our audit of the consolidated financial statements, our responsibility is to read the MD&amp;A, and, in doing so, consider whether the MD&amp;A is materially inconsistent with the consolidated financial statements or our knowledge obtained in the audit or otherwise appears to be materially misstated. We obtained the MD&amp;A prior to the date of this auditors’ report. If based on the work we have performed on this other information, we conclude that there is a material misstatement of this other information, we are required to report that fact in this auditors’ report. We have nothing to report in this regard.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384810</wp:posOffset>
            </wp:positionV>
            <wp:extent cx="4841240" cy="4419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41240" cy="44196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1450975" cy="395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50975" cy="39560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Responsibilities of Management and Those Charged with Governance for the Consolidated Financial Statements</w:t>
      </w:r>
    </w:p>
    <w:p>
      <w:pPr>
        <w:spacing w:after="0" w:line="22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Management is responsible for the preparation and fair presentation of the consolidated financial statements in accordance with IFRS, and for such internal control as management determines is necessary to enable the preparation of consolidated financial statements that are free from material misstatement, whether due to fraud or error.</w:t>
      </w:r>
    </w:p>
    <w:p>
      <w:pPr>
        <w:spacing w:after="0" w:line="16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In preparing the consolidated financial statements, management is responsible for assessing the Company’s ability to continue as a going concern, disclosing, as applicable, matters relating to going concern and using the going concern basis of accounting unless management either intends to liquidate the Company or to cease operations, or has no realistic alternative but to do so.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Those charged with governance are responsible for overseeing the Company’s financial reporting process.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Auditors’ Responsibilities for the Audits of the Consolidated Financial Statements</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GAAS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part of an audit in accordance with GAAS, we exercise professional judgment and maintain professional skepticism throughout the audits. We also:</w:t>
      </w:r>
    </w:p>
    <w:p>
      <w:pPr>
        <w:spacing w:after="0" w:line="244" w:lineRule="exact"/>
        <w:rPr>
          <w:sz w:val="20"/>
          <w:szCs w:val="20"/>
          <w:color w:val="auto"/>
        </w:rPr>
      </w:pPr>
    </w:p>
    <w:p>
      <w:pPr>
        <w:jc w:val="both"/>
        <w:ind w:left="580" w:right="20" w:hanging="289"/>
        <w:spacing w:after="0"/>
        <w:tabs>
          <w:tab w:leader="none" w:pos="569" w:val="left"/>
        </w:tabs>
        <w:numPr>
          <w:ilvl w:val="0"/>
          <w:numId w:val="66"/>
        </w:numPr>
        <w:rPr>
          <w:rFonts w:ascii="Arial" w:cs="Arial" w:eastAsia="Arial" w:hAnsi="Arial"/>
          <w:sz w:val="18"/>
          <w:szCs w:val="18"/>
          <w:color w:val="auto"/>
        </w:rPr>
      </w:pPr>
      <w:r>
        <w:rPr>
          <w:rFonts w:ascii="Times New Roman" w:cs="Times New Roman" w:eastAsia="Times New Roman" w:hAnsi="Times New Roman"/>
          <w:sz w:val="16"/>
          <w:szCs w:val="16"/>
          <w:color w:val="auto"/>
        </w:rPr>
        <w:t>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for error, as fraud may involve collusion, forgery, intentional omissions, misrepresentations, or the override of internal control.</w:t>
      </w:r>
    </w:p>
    <w:p>
      <w:pPr>
        <w:spacing w:after="0" w:line="218" w:lineRule="exact"/>
        <w:rPr>
          <w:rFonts w:ascii="Arial" w:cs="Arial" w:eastAsia="Arial" w:hAnsi="Arial"/>
          <w:sz w:val="18"/>
          <w:szCs w:val="18"/>
          <w:color w:val="auto"/>
        </w:rPr>
      </w:pPr>
    </w:p>
    <w:p>
      <w:pPr>
        <w:ind w:left="580" w:right="20" w:hanging="289"/>
        <w:spacing w:after="0" w:line="244" w:lineRule="auto"/>
        <w:tabs>
          <w:tab w:leader="none" w:pos="569" w:val="left"/>
        </w:tabs>
        <w:numPr>
          <w:ilvl w:val="0"/>
          <w:numId w:val="66"/>
        </w:numPr>
        <w:rPr>
          <w:rFonts w:ascii="Arial" w:cs="Arial" w:eastAsia="Arial" w:hAnsi="Arial"/>
          <w:sz w:val="18"/>
          <w:szCs w:val="18"/>
          <w:color w:val="auto"/>
        </w:rPr>
      </w:pPr>
      <w:r>
        <w:rPr>
          <w:rFonts w:ascii="Times New Roman" w:cs="Times New Roman" w:eastAsia="Times New Roman" w:hAnsi="Times New Roman"/>
          <w:sz w:val="16"/>
          <w:szCs w:val="16"/>
          <w:color w:val="auto"/>
        </w:rPr>
        <w:t>Obtain an understanding of internal control relevant to the audits in order to design audit procedures that are appropriate in the circumstances, but not for the purposes of expressing an opinion on the effectiveness of the Company’s internal control.</w:t>
      </w:r>
    </w:p>
    <w:p>
      <w:pPr>
        <w:spacing w:after="0" w:line="213" w:lineRule="exact"/>
        <w:rPr>
          <w:rFonts w:ascii="Arial" w:cs="Arial" w:eastAsia="Arial" w:hAnsi="Arial"/>
          <w:sz w:val="18"/>
          <w:szCs w:val="18"/>
          <w:color w:val="auto"/>
        </w:rPr>
      </w:pPr>
    </w:p>
    <w:p>
      <w:pPr>
        <w:ind w:left="580" w:hanging="289"/>
        <w:spacing w:after="0"/>
        <w:tabs>
          <w:tab w:leader="none" w:pos="580" w:val="left"/>
        </w:tabs>
        <w:numPr>
          <w:ilvl w:val="0"/>
          <w:numId w:val="66"/>
        </w:numPr>
        <w:rPr>
          <w:rFonts w:ascii="Arial" w:cs="Arial" w:eastAsia="Arial" w:hAnsi="Arial"/>
          <w:sz w:val="18"/>
          <w:szCs w:val="18"/>
          <w:color w:val="auto"/>
        </w:rPr>
      </w:pPr>
      <w:r>
        <w:rPr>
          <w:rFonts w:ascii="Times New Roman" w:cs="Times New Roman" w:eastAsia="Times New Roman" w:hAnsi="Times New Roman"/>
          <w:sz w:val="16"/>
          <w:szCs w:val="16"/>
          <w:color w:val="auto"/>
        </w:rPr>
        <w:t>Evaluate the appropriateness of accounting policies used and the reasonableness of accounting estimates and related disclosures made by management.</w:t>
      </w:r>
    </w:p>
    <w:p>
      <w:pPr>
        <w:spacing w:after="0" w:line="208" w:lineRule="exact"/>
        <w:rPr>
          <w:rFonts w:ascii="Arial" w:cs="Arial" w:eastAsia="Arial" w:hAnsi="Arial"/>
          <w:sz w:val="18"/>
          <w:szCs w:val="18"/>
          <w:color w:val="auto"/>
        </w:rPr>
      </w:pPr>
    </w:p>
    <w:p>
      <w:pPr>
        <w:jc w:val="both"/>
        <w:ind w:left="580" w:right="20" w:hanging="289"/>
        <w:spacing w:after="0"/>
        <w:tabs>
          <w:tab w:leader="none" w:pos="569" w:val="left"/>
        </w:tabs>
        <w:numPr>
          <w:ilvl w:val="0"/>
          <w:numId w:val="66"/>
        </w:numPr>
        <w:rPr>
          <w:rFonts w:ascii="Arial" w:cs="Arial" w:eastAsia="Arial" w:hAnsi="Arial"/>
          <w:sz w:val="18"/>
          <w:szCs w:val="18"/>
          <w:color w:val="auto"/>
        </w:rPr>
      </w:pPr>
      <w:r>
        <w:rPr>
          <w:rFonts w:ascii="Times New Roman" w:cs="Times New Roman" w:eastAsia="Times New Roman" w:hAnsi="Times New Roman"/>
          <w:sz w:val="16"/>
          <w:szCs w:val="16"/>
          <w:color w:val="auto"/>
        </w:rPr>
        <w:t>Conclude on the appropriateness of management’s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Company to cease to continue as a going concern.</w:t>
      </w:r>
    </w:p>
    <w:p>
      <w:pPr>
        <w:sectPr>
          <w:pgSz w:w="11900" w:h="16838" w:orient="portrait"/>
          <w:cols w:equalWidth="0" w:num="1">
            <w:col w:w="11260"/>
          </w:cols>
          <w:pgMar w:left="320" w:top="1440" w:right="31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1450975" cy="395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450975" cy="39560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580" w:right="20" w:hanging="289"/>
        <w:spacing w:after="0" w:line="244" w:lineRule="auto"/>
        <w:tabs>
          <w:tab w:leader="none" w:pos="569" w:val="left"/>
        </w:tabs>
        <w:numPr>
          <w:ilvl w:val="0"/>
          <w:numId w:val="67"/>
        </w:numPr>
        <w:rPr>
          <w:rFonts w:ascii="Arial" w:cs="Arial" w:eastAsia="Arial" w:hAnsi="Arial"/>
          <w:sz w:val="18"/>
          <w:szCs w:val="18"/>
          <w:color w:val="auto"/>
        </w:rPr>
      </w:pPr>
      <w:r>
        <w:rPr>
          <w:rFonts w:ascii="Times New Roman" w:cs="Times New Roman" w:eastAsia="Times New Roman" w:hAnsi="Times New Roman"/>
          <w:sz w:val="16"/>
          <w:szCs w:val="16"/>
          <w:color w:val="auto"/>
        </w:rPr>
        <w:t>Evaluate the overall presentation, structure and content of the consolidated financial statements, including the disclosures, and whether the consolidated financial statements represent the underlying transactions and events in a manner that achieves fair presentation.</w:t>
      </w:r>
    </w:p>
    <w:p>
      <w:pPr>
        <w:spacing w:after="0" w:line="213" w:lineRule="exact"/>
        <w:rPr>
          <w:rFonts w:ascii="Arial" w:cs="Arial" w:eastAsia="Arial" w:hAnsi="Arial"/>
          <w:sz w:val="18"/>
          <w:szCs w:val="18"/>
          <w:color w:val="auto"/>
        </w:rPr>
      </w:pPr>
    </w:p>
    <w:p>
      <w:pPr>
        <w:jc w:val="both"/>
        <w:ind w:left="580" w:right="20" w:hanging="289"/>
        <w:spacing w:after="0" w:line="241" w:lineRule="auto"/>
        <w:tabs>
          <w:tab w:leader="none" w:pos="569" w:val="left"/>
        </w:tabs>
        <w:numPr>
          <w:ilvl w:val="0"/>
          <w:numId w:val="67"/>
        </w:numPr>
        <w:rPr>
          <w:rFonts w:ascii="Arial" w:cs="Arial" w:eastAsia="Arial" w:hAnsi="Arial"/>
          <w:sz w:val="18"/>
          <w:szCs w:val="18"/>
          <w:color w:val="auto"/>
        </w:rPr>
      </w:pPr>
      <w:r>
        <w:rPr>
          <w:rFonts w:ascii="Times New Roman" w:cs="Times New Roman" w:eastAsia="Times New Roman" w:hAnsi="Times New Roman"/>
          <w:sz w:val="16"/>
          <w:szCs w:val="16"/>
          <w:color w:val="auto"/>
        </w:rPr>
        <w:t>Obtain sufficient appropriate audit evidence regarding the financial information of the entities or business activities within the Company to express an opinion on the consolidated financial statements. We are responsible for the direction, supervision and performance of the group audit. We remain solely responsible for our audit opinion.</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We communicate with those charged with governance regarding, among other matters, the planned scope and timing of the audits and significant audit findings, including any significant deficiencies in internal control that we identify during our audits.</w:t>
      </w:r>
    </w:p>
    <w:p>
      <w:pPr>
        <w:spacing w:after="0" w:line="15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We also provide those charged with governance with a statement that we have complied with relevant ethical requirements regarding independence, and to communicate with them all relationships and other matters that may reasonably be thought to bear on our independence, and where applicable related safeguards.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engagement partner on the audits resulting in this independent auditors’ report is Laurence W. Zeifman, CPA,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5855970</wp:posOffset>
            </wp:positionH>
            <wp:positionV relativeFrom="paragraph">
              <wp:posOffset>297180</wp:posOffset>
            </wp:positionV>
            <wp:extent cx="1287780" cy="3181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7780" cy="31813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Toronto, Ontario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Chartered Professional Accountants</w:t>
      </w:r>
    </w:p>
    <w:p>
      <w:pPr>
        <w:spacing w:after="0" w:line="27" w:lineRule="exact"/>
        <w:rPr>
          <w:sz w:val="20"/>
          <w:szCs w:val="20"/>
          <w:color w:val="auto"/>
        </w:rPr>
      </w:pPr>
    </w:p>
    <w:p>
      <w:pPr>
        <w:sectPr>
          <w:pgSz w:w="11900" w:h="16838" w:orient="portrait"/>
          <w:cols w:equalWidth="0" w:num="2">
            <w:col w:w="8180" w:space="720"/>
            <w:col w:w="2360"/>
          </w:cols>
          <w:pgMar w:left="320" w:top="1440"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6/20/2022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Licensed Public Accountants</w:t>
      </w:r>
    </w:p>
    <w:p>
      <w:pPr>
        <w:sectPr>
          <w:pgSz w:w="11900" w:h="16838" w:orient="portrait"/>
          <w:cols w:equalWidth="0" w:num="2">
            <w:col w:w="8620" w:space="720"/>
            <w:col w:w="1920"/>
          </w:cols>
          <w:pgMar w:left="320" w:top="1440" w:right="319" w:bottom="1440" w:gutter="0" w:footer="0" w:header="0"/>
          <w:type w:val="continuous"/>
        </w:sectPr>
      </w:pPr>
    </w:p>
    <w:bookmarkStart w:id="105" w:name="page106"/>
    <w:bookmarkEnd w:id="105"/>
    <w:p>
      <w:pPr>
        <w:ind w:left="60"/>
        <w:spacing w:after="0"/>
        <w:rPr>
          <w:sz w:val="20"/>
          <w:szCs w:val="20"/>
          <w:color w:val="auto"/>
        </w:rPr>
      </w:pPr>
      <w:r>
        <w:rPr>
          <w:rFonts w:ascii="Calibri" w:cs="Calibri" w:eastAsia="Calibri" w:hAnsi="Calibri"/>
          <w:sz w:val="20"/>
          <w:szCs w:val="20"/>
          <w:b w:val="1"/>
          <w:bCs w:val="1"/>
          <w:color w:val="auto"/>
        </w:rPr>
        <w:t>CYBIN INC.</w:t>
      </w:r>
    </w:p>
    <w:p>
      <w:pPr>
        <w:ind w:left="60"/>
        <w:spacing w:after="0" w:line="228" w:lineRule="auto"/>
        <w:rPr>
          <w:sz w:val="20"/>
          <w:szCs w:val="20"/>
          <w:color w:val="auto"/>
        </w:rPr>
      </w:pPr>
      <w:r>
        <w:rPr>
          <w:rFonts w:ascii="Calibri" w:cs="Calibri" w:eastAsia="Calibri" w:hAnsi="Calibri"/>
          <w:sz w:val="20"/>
          <w:szCs w:val="20"/>
          <w:b w:val="1"/>
          <w:bCs w:val="1"/>
          <w:color w:val="auto"/>
        </w:rPr>
        <w:t>CONSOLIDATED STATEMENTS OF FINANCIAL POSITION</w:t>
      </w:r>
    </w:p>
    <w:p>
      <w:pPr>
        <w:ind w:left="60"/>
        <w:spacing w:after="0" w:line="228" w:lineRule="auto"/>
        <w:rPr>
          <w:sz w:val="20"/>
          <w:szCs w:val="20"/>
          <w:color w:val="auto"/>
        </w:rPr>
      </w:pPr>
      <w:r>
        <w:rPr>
          <w:rFonts w:ascii="Calibri" w:cs="Calibri" w:eastAsia="Calibri" w:hAnsi="Calibri"/>
          <w:sz w:val="20"/>
          <w:szCs w:val="20"/>
          <w:b w:val="1"/>
          <w:bCs w:val="1"/>
          <w:color w:val="auto"/>
        </w:rPr>
        <w:t>(All amounts expressed in thousands of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39370</wp:posOffset>
            </wp:positionV>
            <wp:extent cx="714565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As at</w:t>
            </w:r>
          </w:p>
        </w:tc>
        <w:tc>
          <w:tcPr>
            <w:tcW w:w="2560" w:type="dxa"/>
            <w:vAlign w:val="bottom"/>
            <w:tcBorders>
              <w:bottom w:val="single" w:sz="8" w:color="auto"/>
            </w:tcBorders>
          </w:tcPr>
          <w:p>
            <w:pPr>
              <w:ind w:left="1580"/>
              <w:spacing w:after="0"/>
              <w:rPr>
                <w:sz w:val="20"/>
                <w:szCs w:val="20"/>
                <w:color w:val="auto"/>
              </w:rPr>
            </w:pPr>
            <w:r>
              <w:rPr>
                <w:rFonts w:ascii="Calibri" w:cs="Calibri" w:eastAsia="Calibri" w:hAnsi="Calibri"/>
                <w:sz w:val="15"/>
                <w:szCs w:val="15"/>
                <w:i w:val="1"/>
                <w:iCs w:val="1"/>
                <w:color w:val="auto"/>
              </w:rPr>
              <w:t>Notes</w:t>
            </w:r>
          </w:p>
        </w:tc>
        <w:tc>
          <w:tcPr>
            <w:tcW w:w="2060" w:type="dxa"/>
            <w:vAlign w:val="bottom"/>
            <w:tcBorders>
              <w:bottom w:val="single" w:sz="8" w:color="auto"/>
            </w:tcBorders>
          </w:tcPr>
          <w:p>
            <w:pPr>
              <w:jc w:val="right"/>
              <w:ind w:right="407"/>
              <w:spacing w:after="0"/>
              <w:rPr>
                <w:sz w:val="20"/>
                <w:szCs w:val="20"/>
                <w:color w:val="auto"/>
              </w:rPr>
            </w:pPr>
            <w:r>
              <w:rPr>
                <w:rFonts w:ascii="Calibri" w:cs="Calibri" w:eastAsia="Calibri" w:hAnsi="Calibri"/>
                <w:sz w:val="15"/>
                <w:szCs w:val="15"/>
                <w:b w:val="1"/>
                <w:bCs w:val="1"/>
                <w:color w:val="auto"/>
              </w:rPr>
              <w:t>March 31, 2022</w:t>
            </w:r>
          </w:p>
        </w:tc>
        <w:tc>
          <w:tcPr>
            <w:tcW w:w="1480" w:type="dxa"/>
            <w:vAlign w:val="bottom"/>
            <w:tcBorders>
              <w:bottom w:val="single" w:sz="8" w:color="auto"/>
            </w:tcBorders>
          </w:tcPr>
          <w:p>
            <w:pPr>
              <w:jc w:val="right"/>
              <w:ind w:right="7"/>
              <w:spacing w:after="0"/>
              <w:rPr>
                <w:sz w:val="20"/>
                <w:szCs w:val="20"/>
                <w:color w:val="auto"/>
              </w:rPr>
            </w:pPr>
            <w:r>
              <w:rPr>
                <w:rFonts w:ascii="Calibri" w:cs="Calibri" w:eastAsia="Calibri" w:hAnsi="Calibri"/>
                <w:sz w:val="15"/>
                <w:szCs w:val="15"/>
                <w:b w:val="1"/>
                <w:bCs w:val="1"/>
                <w:color w:val="auto"/>
              </w:rPr>
              <w:t>March 31, 2021</w:t>
            </w:r>
          </w:p>
        </w:tc>
      </w:tr>
      <w:tr>
        <w:trPr>
          <w:trHeight w:val="362"/>
        </w:trPr>
        <w:tc>
          <w:tcPr>
            <w:tcW w:w="5160" w:type="dxa"/>
            <w:vAlign w:val="bottom"/>
          </w:tcPr>
          <w:p>
            <w:pPr>
              <w:ind w:left="60"/>
              <w:spacing w:after="0"/>
              <w:rPr>
                <w:sz w:val="20"/>
                <w:szCs w:val="20"/>
                <w:color w:val="auto"/>
              </w:rPr>
            </w:pPr>
            <w:r>
              <w:rPr>
                <w:rFonts w:ascii="Calibri" w:cs="Calibri" w:eastAsia="Calibri" w:hAnsi="Calibri"/>
                <w:sz w:val="15"/>
                <w:szCs w:val="15"/>
                <w:b w:val="1"/>
                <w:bCs w:val="1"/>
                <w:color w:val="auto"/>
              </w:rPr>
              <w:t>ASSETS</w:t>
            </w:r>
          </w:p>
        </w:tc>
        <w:tc>
          <w:tcPr>
            <w:tcW w:w="2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8"/>
        </w:trPr>
        <w:tc>
          <w:tcPr>
            <w:tcW w:w="5160" w:type="dxa"/>
            <w:vAlign w:val="bottom"/>
          </w:tcPr>
          <w:p>
            <w:pPr>
              <w:ind w:left="200"/>
              <w:spacing w:after="0"/>
              <w:rPr>
                <w:sz w:val="20"/>
                <w:szCs w:val="20"/>
                <w:color w:val="auto"/>
              </w:rPr>
            </w:pPr>
            <w:r>
              <w:rPr>
                <w:rFonts w:ascii="Calibri" w:cs="Calibri" w:eastAsia="Calibri" w:hAnsi="Calibri"/>
                <w:sz w:val="15"/>
                <w:szCs w:val="15"/>
                <w:b w:val="1"/>
                <w:bCs w:val="1"/>
                <w:color w:val="auto"/>
              </w:rPr>
              <w:t>Current</w:t>
            </w:r>
          </w:p>
        </w:tc>
        <w:tc>
          <w:tcPr>
            <w:tcW w:w="2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2"/>
        </w:trPr>
        <w:tc>
          <w:tcPr>
            <w:tcW w:w="5160" w:type="dxa"/>
            <w:vAlign w:val="bottom"/>
          </w:tcPr>
          <w:p>
            <w:pPr>
              <w:ind w:left="500"/>
              <w:spacing w:after="0"/>
              <w:rPr>
                <w:sz w:val="20"/>
                <w:szCs w:val="20"/>
                <w:color w:val="auto"/>
              </w:rPr>
            </w:pPr>
            <w:r>
              <w:rPr>
                <w:rFonts w:ascii="Calibri" w:cs="Calibri" w:eastAsia="Calibri" w:hAnsi="Calibri"/>
                <w:sz w:val="15"/>
                <w:szCs w:val="15"/>
                <w:color w:val="auto"/>
              </w:rPr>
              <w:t>Cash</w:t>
            </w:r>
          </w:p>
        </w:tc>
        <w:tc>
          <w:tcPr>
            <w:tcW w:w="2560" w:type="dxa"/>
            <w:vAlign w:val="bottom"/>
          </w:tcPr>
          <w:p>
            <w:pPr>
              <w:spacing w:after="0"/>
              <w:rPr>
                <w:sz w:val="20"/>
                <w:szCs w:val="20"/>
                <w:color w:val="auto"/>
              </w:rPr>
            </w:pPr>
          </w:p>
        </w:tc>
        <w:tc>
          <w:tcPr>
            <w:tcW w:w="2060" w:type="dxa"/>
            <w:vAlign w:val="bottom"/>
          </w:tcPr>
          <w:p>
            <w:pPr>
              <w:jc w:val="right"/>
              <w:ind w:right="447"/>
              <w:spacing w:after="0"/>
              <w:rPr>
                <w:sz w:val="20"/>
                <w:szCs w:val="20"/>
                <w:color w:val="auto"/>
              </w:rPr>
            </w:pPr>
            <w:r>
              <w:rPr>
                <w:rFonts w:ascii="Calibri" w:cs="Calibri" w:eastAsia="Calibri" w:hAnsi="Calibri"/>
                <w:sz w:val="15"/>
                <w:szCs w:val="15"/>
                <w:b w:val="1"/>
                <w:bCs w:val="1"/>
                <w:color w:val="auto"/>
              </w:rPr>
              <w:t>53,641</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64,026</w:t>
            </w:r>
          </w:p>
        </w:tc>
      </w:tr>
      <w:tr>
        <w:trPr>
          <w:trHeight w:val="220"/>
        </w:trPr>
        <w:tc>
          <w:tcPr>
            <w:tcW w:w="5160" w:type="dxa"/>
            <w:vAlign w:val="bottom"/>
          </w:tcPr>
          <w:p>
            <w:pPr>
              <w:ind w:left="500"/>
              <w:spacing w:after="0"/>
              <w:rPr>
                <w:sz w:val="20"/>
                <w:szCs w:val="20"/>
                <w:color w:val="auto"/>
              </w:rPr>
            </w:pPr>
            <w:r>
              <w:rPr>
                <w:rFonts w:ascii="Calibri" w:cs="Calibri" w:eastAsia="Calibri" w:hAnsi="Calibri"/>
                <w:sz w:val="15"/>
                <w:szCs w:val="15"/>
                <w:color w:val="auto"/>
              </w:rPr>
              <w:t>Accounts receivable</w:t>
            </w:r>
          </w:p>
        </w:tc>
        <w:tc>
          <w:tcPr>
            <w:tcW w:w="2560" w:type="dxa"/>
            <w:vAlign w:val="bottom"/>
          </w:tcPr>
          <w:p>
            <w:pPr>
              <w:spacing w:after="0"/>
              <w:rPr>
                <w:sz w:val="19"/>
                <w:szCs w:val="19"/>
                <w:color w:val="auto"/>
              </w:rPr>
            </w:pPr>
          </w:p>
        </w:tc>
        <w:tc>
          <w:tcPr>
            <w:tcW w:w="2060" w:type="dxa"/>
            <w:vAlign w:val="bottom"/>
          </w:tcPr>
          <w:p>
            <w:pPr>
              <w:jc w:val="right"/>
              <w:ind w:right="447"/>
              <w:spacing w:after="0"/>
              <w:rPr>
                <w:sz w:val="20"/>
                <w:szCs w:val="20"/>
                <w:color w:val="auto"/>
              </w:rPr>
            </w:pPr>
            <w:r>
              <w:rPr>
                <w:rFonts w:ascii="Calibri" w:cs="Calibri" w:eastAsia="Calibri" w:hAnsi="Calibri"/>
                <w:sz w:val="15"/>
                <w:szCs w:val="15"/>
                <w:b w:val="1"/>
                <w:bCs w:val="1"/>
                <w:color w:val="auto"/>
              </w:rPr>
              <w:t>2,102</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1,329</w:t>
            </w:r>
          </w:p>
        </w:tc>
      </w:tr>
      <w:tr>
        <w:trPr>
          <w:trHeight w:val="220"/>
        </w:trPr>
        <w:tc>
          <w:tcPr>
            <w:tcW w:w="5160" w:type="dxa"/>
            <w:vAlign w:val="bottom"/>
          </w:tcPr>
          <w:p>
            <w:pPr>
              <w:ind w:left="500"/>
              <w:spacing w:after="0"/>
              <w:rPr>
                <w:sz w:val="20"/>
                <w:szCs w:val="20"/>
                <w:color w:val="auto"/>
              </w:rPr>
            </w:pPr>
            <w:r>
              <w:rPr>
                <w:rFonts w:ascii="Calibri" w:cs="Calibri" w:eastAsia="Calibri" w:hAnsi="Calibri"/>
                <w:sz w:val="15"/>
                <w:szCs w:val="15"/>
                <w:color w:val="auto"/>
              </w:rPr>
              <w:t>Prepaid expenses</w:t>
            </w:r>
          </w:p>
        </w:tc>
        <w:tc>
          <w:tcPr>
            <w:tcW w:w="2560" w:type="dxa"/>
            <w:vAlign w:val="bottom"/>
          </w:tcPr>
          <w:p>
            <w:pPr>
              <w:spacing w:after="0"/>
              <w:rPr>
                <w:sz w:val="19"/>
                <w:szCs w:val="19"/>
                <w:color w:val="auto"/>
              </w:rPr>
            </w:pPr>
          </w:p>
        </w:tc>
        <w:tc>
          <w:tcPr>
            <w:tcW w:w="2060" w:type="dxa"/>
            <w:vAlign w:val="bottom"/>
          </w:tcPr>
          <w:p>
            <w:pPr>
              <w:jc w:val="right"/>
              <w:ind w:right="447"/>
              <w:spacing w:after="0"/>
              <w:rPr>
                <w:sz w:val="20"/>
                <w:szCs w:val="20"/>
                <w:color w:val="auto"/>
              </w:rPr>
            </w:pPr>
            <w:r>
              <w:rPr>
                <w:rFonts w:ascii="Calibri" w:cs="Calibri" w:eastAsia="Calibri" w:hAnsi="Calibri"/>
                <w:sz w:val="15"/>
                <w:szCs w:val="15"/>
                <w:b w:val="1"/>
                <w:bCs w:val="1"/>
                <w:color w:val="auto"/>
              </w:rPr>
              <w:t>1,271</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1,129</w:t>
            </w:r>
          </w:p>
        </w:tc>
      </w:tr>
      <w:tr>
        <w:trPr>
          <w:trHeight w:val="220"/>
        </w:trPr>
        <w:tc>
          <w:tcPr>
            <w:tcW w:w="5160" w:type="dxa"/>
            <w:vAlign w:val="bottom"/>
          </w:tcPr>
          <w:p>
            <w:pPr>
              <w:ind w:left="520"/>
              <w:spacing w:after="0"/>
              <w:rPr>
                <w:sz w:val="20"/>
                <w:szCs w:val="20"/>
                <w:color w:val="auto"/>
              </w:rPr>
            </w:pPr>
            <w:r>
              <w:rPr>
                <w:rFonts w:ascii="Calibri" w:cs="Calibri" w:eastAsia="Calibri" w:hAnsi="Calibri"/>
                <w:sz w:val="15"/>
                <w:szCs w:val="15"/>
                <w:color w:val="auto"/>
              </w:rPr>
              <w:t>Other current assets</w:t>
            </w:r>
          </w:p>
        </w:tc>
        <w:tc>
          <w:tcPr>
            <w:tcW w:w="2560" w:type="dxa"/>
            <w:vAlign w:val="bottom"/>
          </w:tcPr>
          <w:p>
            <w:pPr>
              <w:spacing w:after="0"/>
              <w:rPr>
                <w:sz w:val="19"/>
                <w:szCs w:val="19"/>
                <w:color w:val="auto"/>
              </w:rPr>
            </w:pPr>
          </w:p>
        </w:tc>
        <w:tc>
          <w:tcPr>
            <w:tcW w:w="2060" w:type="dxa"/>
            <w:vAlign w:val="bottom"/>
          </w:tcPr>
          <w:p>
            <w:pPr>
              <w:jc w:val="right"/>
              <w:ind w:right="447"/>
              <w:spacing w:after="0"/>
              <w:rPr>
                <w:sz w:val="20"/>
                <w:szCs w:val="20"/>
                <w:color w:val="auto"/>
              </w:rPr>
            </w:pPr>
            <w:r>
              <w:rPr>
                <w:rFonts w:ascii="Calibri" w:cs="Calibri" w:eastAsia="Calibri" w:hAnsi="Calibri"/>
                <w:sz w:val="15"/>
                <w:szCs w:val="15"/>
                <w:b w:val="1"/>
                <w:bCs w:val="1"/>
                <w:color w:val="auto"/>
              </w:rPr>
              <w:t>1,341</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w:t>
            </w:r>
          </w:p>
        </w:tc>
      </w:tr>
      <w:tr>
        <w:trPr>
          <w:trHeight w:val="135"/>
        </w:trPr>
        <w:tc>
          <w:tcPr>
            <w:tcW w:w="516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166"/>
        </w:trPr>
        <w:tc>
          <w:tcPr>
            <w:tcW w:w="5160" w:type="dxa"/>
            <w:vAlign w:val="bottom"/>
          </w:tcPr>
          <w:p>
            <w:pPr>
              <w:ind w:left="60"/>
              <w:spacing w:after="0" w:line="166" w:lineRule="exact"/>
              <w:rPr>
                <w:sz w:val="20"/>
                <w:szCs w:val="20"/>
                <w:color w:val="auto"/>
              </w:rPr>
            </w:pPr>
            <w:r>
              <w:rPr>
                <w:rFonts w:ascii="Calibri" w:cs="Calibri" w:eastAsia="Calibri" w:hAnsi="Calibri"/>
                <w:sz w:val="15"/>
                <w:szCs w:val="15"/>
                <w:b w:val="1"/>
                <w:bCs w:val="1"/>
                <w:color w:val="auto"/>
              </w:rPr>
              <w:t>Total Current Assets</w:t>
            </w:r>
          </w:p>
        </w:tc>
        <w:tc>
          <w:tcPr>
            <w:tcW w:w="2560" w:type="dxa"/>
            <w:vAlign w:val="bottom"/>
          </w:tcPr>
          <w:p>
            <w:pPr>
              <w:spacing w:after="0"/>
              <w:rPr>
                <w:sz w:val="14"/>
                <w:szCs w:val="14"/>
                <w:color w:val="auto"/>
              </w:rPr>
            </w:pPr>
          </w:p>
        </w:tc>
        <w:tc>
          <w:tcPr>
            <w:tcW w:w="2060" w:type="dxa"/>
            <w:vAlign w:val="bottom"/>
          </w:tcPr>
          <w:p>
            <w:pPr>
              <w:jc w:val="right"/>
              <w:ind w:right="447"/>
              <w:spacing w:after="0" w:line="166" w:lineRule="exact"/>
              <w:rPr>
                <w:sz w:val="20"/>
                <w:szCs w:val="20"/>
                <w:color w:val="auto"/>
              </w:rPr>
            </w:pPr>
            <w:r>
              <w:rPr>
                <w:rFonts w:ascii="Calibri" w:cs="Calibri" w:eastAsia="Calibri" w:hAnsi="Calibri"/>
                <w:sz w:val="15"/>
                <w:szCs w:val="15"/>
                <w:b w:val="1"/>
                <w:bCs w:val="1"/>
                <w:color w:val="auto"/>
              </w:rPr>
              <w:t>58,355</w:t>
            </w:r>
          </w:p>
        </w:tc>
        <w:tc>
          <w:tcPr>
            <w:tcW w:w="1480" w:type="dxa"/>
            <w:vAlign w:val="bottom"/>
          </w:tcPr>
          <w:p>
            <w:pPr>
              <w:jc w:val="right"/>
              <w:spacing w:after="0" w:line="166" w:lineRule="exact"/>
              <w:rPr>
                <w:sz w:val="20"/>
                <w:szCs w:val="20"/>
                <w:color w:val="auto"/>
              </w:rPr>
            </w:pPr>
            <w:r>
              <w:rPr>
                <w:rFonts w:ascii="Calibri" w:cs="Calibri" w:eastAsia="Calibri" w:hAnsi="Calibri"/>
                <w:sz w:val="15"/>
                <w:szCs w:val="15"/>
                <w:color w:val="auto"/>
              </w:rPr>
              <w:t>66,484</w:t>
            </w:r>
          </w:p>
        </w:tc>
      </w:tr>
      <w:tr>
        <w:trPr>
          <w:trHeight w:val="22"/>
        </w:trPr>
        <w:tc>
          <w:tcPr>
            <w:tcW w:w="51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34"/>
        </w:trPr>
        <w:tc>
          <w:tcPr>
            <w:tcW w:w="5160" w:type="dxa"/>
            <w:vAlign w:val="bottom"/>
          </w:tcPr>
          <w:p>
            <w:pPr>
              <w:ind w:left="200"/>
              <w:spacing w:after="0"/>
              <w:rPr>
                <w:sz w:val="20"/>
                <w:szCs w:val="20"/>
                <w:color w:val="auto"/>
              </w:rPr>
            </w:pPr>
            <w:r>
              <w:rPr>
                <w:rFonts w:ascii="Calibri" w:cs="Calibri" w:eastAsia="Calibri" w:hAnsi="Calibri"/>
                <w:sz w:val="15"/>
                <w:szCs w:val="15"/>
                <w:b w:val="1"/>
                <w:bCs w:val="1"/>
                <w:color w:val="auto"/>
              </w:rPr>
              <w:t>Non-current</w:t>
            </w:r>
          </w:p>
        </w:tc>
        <w:tc>
          <w:tcPr>
            <w:tcW w:w="2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2"/>
        </w:trPr>
        <w:tc>
          <w:tcPr>
            <w:tcW w:w="5160" w:type="dxa"/>
            <w:vAlign w:val="bottom"/>
          </w:tcPr>
          <w:p>
            <w:pPr>
              <w:ind w:left="500"/>
              <w:spacing w:after="0"/>
              <w:rPr>
                <w:sz w:val="20"/>
                <w:szCs w:val="20"/>
                <w:color w:val="auto"/>
              </w:rPr>
            </w:pPr>
            <w:r>
              <w:rPr>
                <w:rFonts w:ascii="Calibri" w:cs="Calibri" w:eastAsia="Calibri" w:hAnsi="Calibri"/>
                <w:sz w:val="15"/>
                <w:szCs w:val="15"/>
                <w:color w:val="auto"/>
              </w:rPr>
              <w:t>Investments</w:t>
            </w:r>
          </w:p>
        </w:tc>
        <w:tc>
          <w:tcPr>
            <w:tcW w:w="2560" w:type="dxa"/>
            <w:vAlign w:val="bottom"/>
          </w:tcPr>
          <w:p>
            <w:pPr>
              <w:jc w:val="center"/>
              <w:ind w:left="847"/>
              <w:spacing w:after="0"/>
              <w:rPr>
                <w:sz w:val="20"/>
                <w:szCs w:val="20"/>
                <w:color w:val="auto"/>
              </w:rPr>
            </w:pPr>
            <w:r>
              <w:rPr>
                <w:rFonts w:ascii="Calibri" w:cs="Calibri" w:eastAsia="Calibri" w:hAnsi="Calibri"/>
                <w:sz w:val="15"/>
                <w:szCs w:val="15"/>
                <w:i w:val="1"/>
                <w:iCs w:val="1"/>
                <w:color w:val="auto"/>
              </w:rPr>
              <w:t>5</w:t>
            </w:r>
          </w:p>
        </w:tc>
        <w:tc>
          <w:tcPr>
            <w:tcW w:w="2060" w:type="dxa"/>
            <w:vAlign w:val="bottom"/>
          </w:tcPr>
          <w:p>
            <w:pPr>
              <w:jc w:val="right"/>
              <w:ind w:right="447"/>
              <w:spacing w:after="0"/>
              <w:rPr>
                <w:sz w:val="20"/>
                <w:szCs w:val="20"/>
                <w:color w:val="auto"/>
              </w:rPr>
            </w:pPr>
            <w:r>
              <w:rPr>
                <w:rFonts w:ascii="Calibri" w:cs="Calibri" w:eastAsia="Calibri" w:hAnsi="Calibri"/>
                <w:sz w:val="15"/>
                <w:szCs w:val="15"/>
                <w:b w:val="1"/>
                <w:bCs w:val="1"/>
                <w:color w:val="auto"/>
              </w:rPr>
              <w:t>242</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w:t>
            </w:r>
          </w:p>
        </w:tc>
      </w:tr>
      <w:tr>
        <w:trPr>
          <w:trHeight w:val="220"/>
        </w:trPr>
        <w:tc>
          <w:tcPr>
            <w:tcW w:w="5160" w:type="dxa"/>
            <w:vAlign w:val="bottom"/>
          </w:tcPr>
          <w:p>
            <w:pPr>
              <w:ind w:left="500"/>
              <w:spacing w:after="0"/>
              <w:rPr>
                <w:sz w:val="20"/>
                <w:szCs w:val="20"/>
                <w:color w:val="auto"/>
              </w:rPr>
            </w:pPr>
            <w:r>
              <w:rPr>
                <w:rFonts w:ascii="Calibri" w:cs="Calibri" w:eastAsia="Calibri" w:hAnsi="Calibri"/>
                <w:sz w:val="15"/>
                <w:szCs w:val="15"/>
                <w:color w:val="auto"/>
              </w:rPr>
              <w:t>Equipment</w:t>
            </w:r>
          </w:p>
        </w:tc>
        <w:tc>
          <w:tcPr>
            <w:tcW w:w="2560" w:type="dxa"/>
            <w:vAlign w:val="bottom"/>
          </w:tcPr>
          <w:p>
            <w:pPr>
              <w:jc w:val="center"/>
              <w:ind w:left="847"/>
              <w:spacing w:after="0"/>
              <w:rPr>
                <w:sz w:val="20"/>
                <w:szCs w:val="20"/>
                <w:color w:val="auto"/>
              </w:rPr>
            </w:pPr>
            <w:r>
              <w:rPr>
                <w:rFonts w:ascii="Calibri" w:cs="Calibri" w:eastAsia="Calibri" w:hAnsi="Calibri"/>
                <w:sz w:val="15"/>
                <w:szCs w:val="15"/>
                <w:i w:val="1"/>
                <w:iCs w:val="1"/>
                <w:color w:val="auto"/>
              </w:rPr>
              <w:t>6</w:t>
            </w:r>
          </w:p>
        </w:tc>
        <w:tc>
          <w:tcPr>
            <w:tcW w:w="2060" w:type="dxa"/>
            <w:vAlign w:val="bottom"/>
          </w:tcPr>
          <w:p>
            <w:pPr>
              <w:jc w:val="right"/>
              <w:ind w:right="447"/>
              <w:spacing w:after="0"/>
              <w:rPr>
                <w:sz w:val="20"/>
                <w:szCs w:val="20"/>
                <w:color w:val="auto"/>
              </w:rPr>
            </w:pPr>
            <w:r>
              <w:rPr>
                <w:rFonts w:ascii="Calibri" w:cs="Calibri" w:eastAsia="Calibri" w:hAnsi="Calibri"/>
                <w:sz w:val="15"/>
                <w:szCs w:val="15"/>
                <w:b w:val="1"/>
                <w:bCs w:val="1"/>
                <w:color w:val="auto"/>
              </w:rPr>
              <w:t>491</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557</w:t>
            </w:r>
          </w:p>
        </w:tc>
      </w:tr>
      <w:tr>
        <w:trPr>
          <w:trHeight w:val="220"/>
        </w:trPr>
        <w:tc>
          <w:tcPr>
            <w:tcW w:w="5160" w:type="dxa"/>
            <w:vAlign w:val="bottom"/>
          </w:tcPr>
          <w:p>
            <w:pPr>
              <w:ind w:left="500"/>
              <w:spacing w:after="0"/>
              <w:rPr>
                <w:sz w:val="20"/>
                <w:szCs w:val="20"/>
                <w:color w:val="auto"/>
              </w:rPr>
            </w:pPr>
            <w:r>
              <w:rPr>
                <w:rFonts w:ascii="Calibri" w:cs="Calibri" w:eastAsia="Calibri" w:hAnsi="Calibri"/>
                <w:sz w:val="15"/>
                <w:szCs w:val="15"/>
                <w:color w:val="auto"/>
              </w:rPr>
              <w:t>Intangible assets</w:t>
            </w:r>
          </w:p>
        </w:tc>
        <w:tc>
          <w:tcPr>
            <w:tcW w:w="2560" w:type="dxa"/>
            <w:vAlign w:val="bottom"/>
          </w:tcPr>
          <w:p>
            <w:pPr>
              <w:jc w:val="center"/>
              <w:ind w:left="847"/>
              <w:spacing w:after="0"/>
              <w:rPr>
                <w:sz w:val="20"/>
                <w:szCs w:val="20"/>
                <w:color w:val="auto"/>
              </w:rPr>
            </w:pPr>
            <w:r>
              <w:rPr>
                <w:rFonts w:ascii="Calibri" w:cs="Calibri" w:eastAsia="Calibri" w:hAnsi="Calibri"/>
                <w:sz w:val="15"/>
                <w:szCs w:val="15"/>
                <w:i w:val="1"/>
                <w:iCs w:val="1"/>
                <w:color w:val="auto"/>
              </w:rPr>
              <w:t>7</w:t>
            </w:r>
          </w:p>
        </w:tc>
        <w:tc>
          <w:tcPr>
            <w:tcW w:w="2060" w:type="dxa"/>
            <w:vAlign w:val="bottom"/>
          </w:tcPr>
          <w:p>
            <w:pPr>
              <w:jc w:val="right"/>
              <w:ind w:right="447"/>
              <w:spacing w:after="0"/>
              <w:rPr>
                <w:sz w:val="20"/>
                <w:szCs w:val="20"/>
                <w:color w:val="auto"/>
              </w:rPr>
            </w:pPr>
            <w:r>
              <w:rPr>
                <w:rFonts w:ascii="Calibri" w:cs="Calibri" w:eastAsia="Calibri" w:hAnsi="Calibri"/>
                <w:sz w:val="15"/>
                <w:szCs w:val="15"/>
                <w:b w:val="1"/>
                <w:bCs w:val="1"/>
                <w:color w:val="auto"/>
              </w:rPr>
              <w:t>2,083</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1,701</w:t>
            </w:r>
          </w:p>
        </w:tc>
      </w:tr>
      <w:tr>
        <w:trPr>
          <w:trHeight w:val="220"/>
        </w:trPr>
        <w:tc>
          <w:tcPr>
            <w:tcW w:w="5160" w:type="dxa"/>
            <w:vAlign w:val="bottom"/>
          </w:tcPr>
          <w:p>
            <w:pPr>
              <w:ind w:left="500"/>
              <w:spacing w:after="0"/>
              <w:rPr>
                <w:sz w:val="20"/>
                <w:szCs w:val="20"/>
                <w:color w:val="auto"/>
              </w:rPr>
            </w:pPr>
            <w:r>
              <w:rPr>
                <w:rFonts w:ascii="Calibri" w:cs="Calibri" w:eastAsia="Calibri" w:hAnsi="Calibri"/>
                <w:sz w:val="15"/>
                <w:szCs w:val="15"/>
                <w:color w:val="auto"/>
              </w:rPr>
              <w:t>Goodwill</w:t>
            </w:r>
          </w:p>
        </w:tc>
        <w:tc>
          <w:tcPr>
            <w:tcW w:w="2560" w:type="dxa"/>
            <w:vAlign w:val="bottom"/>
          </w:tcPr>
          <w:p>
            <w:pPr>
              <w:jc w:val="center"/>
              <w:ind w:left="847"/>
              <w:spacing w:after="0"/>
              <w:rPr>
                <w:sz w:val="20"/>
                <w:szCs w:val="20"/>
                <w:color w:val="auto"/>
              </w:rPr>
            </w:pPr>
            <w:r>
              <w:rPr>
                <w:rFonts w:ascii="Calibri" w:cs="Calibri" w:eastAsia="Calibri" w:hAnsi="Calibri"/>
                <w:sz w:val="15"/>
                <w:szCs w:val="15"/>
                <w:i w:val="1"/>
                <w:iCs w:val="1"/>
                <w:color w:val="auto"/>
              </w:rPr>
              <w:t>8</w:t>
            </w:r>
          </w:p>
        </w:tc>
        <w:tc>
          <w:tcPr>
            <w:tcW w:w="2060" w:type="dxa"/>
            <w:vAlign w:val="bottom"/>
          </w:tcPr>
          <w:p>
            <w:pPr>
              <w:jc w:val="right"/>
              <w:ind w:right="447"/>
              <w:spacing w:after="0"/>
              <w:rPr>
                <w:sz w:val="20"/>
                <w:szCs w:val="20"/>
                <w:color w:val="auto"/>
              </w:rPr>
            </w:pPr>
            <w:r>
              <w:rPr>
                <w:rFonts w:ascii="Calibri" w:cs="Calibri" w:eastAsia="Calibri" w:hAnsi="Calibri"/>
                <w:sz w:val="15"/>
                <w:szCs w:val="15"/>
                <w:b w:val="1"/>
                <w:bCs w:val="1"/>
                <w:color w:val="auto"/>
              </w:rPr>
              <w:t>22,892</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23,370</w:t>
            </w:r>
          </w:p>
        </w:tc>
      </w:tr>
      <w:tr>
        <w:trPr>
          <w:trHeight w:val="135"/>
        </w:trPr>
        <w:tc>
          <w:tcPr>
            <w:tcW w:w="516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166"/>
        </w:trPr>
        <w:tc>
          <w:tcPr>
            <w:tcW w:w="5160" w:type="dxa"/>
            <w:vAlign w:val="bottom"/>
          </w:tcPr>
          <w:p>
            <w:pPr>
              <w:ind w:left="60"/>
              <w:spacing w:after="0" w:line="166" w:lineRule="exact"/>
              <w:rPr>
                <w:sz w:val="20"/>
                <w:szCs w:val="20"/>
                <w:color w:val="auto"/>
              </w:rPr>
            </w:pPr>
            <w:r>
              <w:rPr>
                <w:rFonts w:ascii="Calibri" w:cs="Calibri" w:eastAsia="Calibri" w:hAnsi="Calibri"/>
                <w:sz w:val="15"/>
                <w:szCs w:val="15"/>
                <w:b w:val="1"/>
                <w:bCs w:val="1"/>
                <w:color w:val="auto"/>
              </w:rPr>
              <w:t>Total Non-Current Assets</w:t>
            </w:r>
          </w:p>
        </w:tc>
        <w:tc>
          <w:tcPr>
            <w:tcW w:w="2560" w:type="dxa"/>
            <w:vAlign w:val="bottom"/>
          </w:tcPr>
          <w:p>
            <w:pPr>
              <w:spacing w:after="0"/>
              <w:rPr>
                <w:sz w:val="14"/>
                <w:szCs w:val="14"/>
                <w:color w:val="auto"/>
              </w:rPr>
            </w:pPr>
          </w:p>
        </w:tc>
        <w:tc>
          <w:tcPr>
            <w:tcW w:w="2060" w:type="dxa"/>
            <w:vAlign w:val="bottom"/>
          </w:tcPr>
          <w:p>
            <w:pPr>
              <w:jc w:val="right"/>
              <w:ind w:right="447"/>
              <w:spacing w:after="0" w:line="166" w:lineRule="exact"/>
              <w:rPr>
                <w:sz w:val="20"/>
                <w:szCs w:val="20"/>
                <w:color w:val="auto"/>
              </w:rPr>
            </w:pPr>
            <w:r>
              <w:rPr>
                <w:rFonts w:ascii="Calibri" w:cs="Calibri" w:eastAsia="Calibri" w:hAnsi="Calibri"/>
                <w:sz w:val="15"/>
                <w:szCs w:val="15"/>
                <w:b w:val="1"/>
                <w:bCs w:val="1"/>
                <w:color w:val="auto"/>
              </w:rPr>
              <w:t>25,708</w:t>
            </w:r>
          </w:p>
        </w:tc>
        <w:tc>
          <w:tcPr>
            <w:tcW w:w="1480" w:type="dxa"/>
            <w:vAlign w:val="bottom"/>
          </w:tcPr>
          <w:p>
            <w:pPr>
              <w:jc w:val="right"/>
              <w:spacing w:after="0" w:line="166" w:lineRule="exact"/>
              <w:rPr>
                <w:sz w:val="20"/>
                <w:szCs w:val="20"/>
                <w:color w:val="auto"/>
              </w:rPr>
            </w:pPr>
            <w:r>
              <w:rPr>
                <w:rFonts w:ascii="Calibri" w:cs="Calibri" w:eastAsia="Calibri" w:hAnsi="Calibri"/>
                <w:sz w:val="15"/>
                <w:szCs w:val="15"/>
                <w:color w:val="auto"/>
              </w:rPr>
              <w:t>25,628</w:t>
            </w:r>
          </w:p>
        </w:tc>
      </w:tr>
      <w:tr>
        <w:trPr>
          <w:trHeight w:val="22"/>
        </w:trPr>
        <w:tc>
          <w:tcPr>
            <w:tcW w:w="51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9"/>
        </w:trPr>
        <w:tc>
          <w:tcPr>
            <w:tcW w:w="5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0"/>
        </w:trPr>
        <w:tc>
          <w:tcPr>
            <w:tcW w:w="5160" w:type="dxa"/>
            <w:vAlign w:val="bottom"/>
            <w:tcBorders>
              <w:bottom w:val="single" w:sz="8" w:color="D9D9D9"/>
            </w:tcBorders>
            <w:shd w:val="clear" w:color="auto" w:fill="D9D9D9"/>
          </w:tcPr>
          <w:p>
            <w:pPr>
              <w:ind w:left="60"/>
              <w:spacing w:after="0" w:line="174" w:lineRule="exact"/>
              <w:rPr>
                <w:sz w:val="20"/>
                <w:szCs w:val="20"/>
                <w:color w:val="auto"/>
              </w:rPr>
            </w:pPr>
            <w:r>
              <w:rPr>
                <w:rFonts w:ascii="Calibri" w:cs="Calibri" w:eastAsia="Calibri" w:hAnsi="Calibri"/>
                <w:sz w:val="15"/>
                <w:szCs w:val="15"/>
                <w:b w:val="1"/>
                <w:bCs w:val="1"/>
                <w:color w:val="auto"/>
              </w:rPr>
              <w:t>TOTAL ASSETS</w:t>
            </w:r>
          </w:p>
        </w:tc>
        <w:tc>
          <w:tcPr>
            <w:tcW w:w="2560" w:type="dxa"/>
            <w:vAlign w:val="bottom"/>
            <w:tcBorders>
              <w:bottom w:val="single" w:sz="8" w:color="D9D9D9"/>
            </w:tcBorders>
            <w:shd w:val="clear" w:color="auto" w:fill="D9D9D9"/>
          </w:tcPr>
          <w:p>
            <w:pPr>
              <w:spacing w:after="0"/>
              <w:rPr>
                <w:sz w:val="17"/>
                <w:szCs w:val="17"/>
                <w:color w:val="auto"/>
              </w:rPr>
            </w:pPr>
          </w:p>
        </w:tc>
        <w:tc>
          <w:tcPr>
            <w:tcW w:w="2060" w:type="dxa"/>
            <w:vAlign w:val="bottom"/>
            <w:tcBorders>
              <w:bottom w:val="single" w:sz="8" w:color="D9D9D9"/>
            </w:tcBorders>
            <w:shd w:val="clear" w:color="auto" w:fill="D9D9D9"/>
          </w:tcPr>
          <w:p>
            <w:pPr>
              <w:jc w:val="right"/>
              <w:ind w:right="447"/>
              <w:spacing w:after="0" w:line="174" w:lineRule="exact"/>
              <w:rPr>
                <w:sz w:val="20"/>
                <w:szCs w:val="20"/>
                <w:color w:val="auto"/>
              </w:rPr>
            </w:pPr>
            <w:r>
              <w:rPr>
                <w:rFonts w:ascii="Calibri" w:cs="Calibri" w:eastAsia="Calibri" w:hAnsi="Calibri"/>
                <w:sz w:val="15"/>
                <w:szCs w:val="15"/>
                <w:b w:val="1"/>
                <w:bCs w:val="1"/>
                <w:color w:val="auto"/>
              </w:rPr>
              <w:t>84,063</w:t>
            </w:r>
          </w:p>
        </w:tc>
        <w:tc>
          <w:tcPr>
            <w:tcW w:w="1480" w:type="dxa"/>
            <w:vAlign w:val="bottom"/>
            <w:tcBorders>
              <w:bottom w:val="single" w:sz="8" w:color="D9D9D9"/>
            </w:tcBorders>
            <w:shd w:val="clear" w:color="auto" w:fill="D9D9D9"/>
          </w:tcPr>
          <w:p>
            <w:pPr>
              <w:jc w:val="right"/>
              <w:spacing w:after="0" w:line="174" w:lineRule="exact"/>
              <w:rPr>
                <w:sz w:val="20"/>
                <w:szCs w:val="20"/>
                <w:color w:val="auto"/>
              </w:rPr>
            </w:pPr>
            <w:r>
              <w:rPr>
                <w:rFonts w:ascii="Calibri" w:cs="Calibri" w:eastAsia="Calibri" w:hAnsi="Calibri"/>
                <w:sz w:val="15"/>
                <w:szCs w:val="15"/>
                <w:color w:val="auto"/>
              </w:rPr>
              <w:t>92,112</w:t>
            </w:r>
          </w:p>
        </w:tc>
      </w:tr>
      <w:tr>
        <w:trPr>
          <w:trHeight w:val="199"/>
        </w:trPr>
        <w:tc>
          <w:tcPr>
            <w:tcW w:w="516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LIABILITIES</w:t>
            </w:r>
          </w:p>
        </w:tc>
        <w:tc>
          <w:tcPr>
            <w:tcW w:w="256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08"/>
        </w:trPr>
        <w:tc>
          <w:tcPr>
            <w:tcW w:w="5160" w:type="dxa"/>
            <w:vAlign w:val="bottom"/>
          </w:tcPr>
          <w:p>
            <w:pPr>
              <w:ind w:left="200"/>
              <w:spacing w:after="0"/>
              <w:rPr>
                <w:sz w:val="20"/>
                <w:szCs w:val="20"/>
                <w:color w:val="auto"/>
              </w:rPr>
            </w:pPr>
            <w:r>
              <w:rPr>
                <w:rFonts w:ascii="Calibri" w:cs="Calibri" w:eastAsia="Calibri" w:hAnsi="Calibri"/>
                <w:sz w:val="15"/>
                <w:szCs w:val="15"/>
                <w:b w:val="1"/>
                <w:bCs w:val="1"/>
                <w:color w:val="auto"/>
              </w:rPr>
              <w:t>Current</w:t>
            </w:r>
          </w:p>
        </w:tc>
        <w:tc>
          <w:tcPr>
            <w:tcW w:w="2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2"/>
        </w:trPr>
        <w:tc>
          <w:tcPr>
            <w:tcW w:w="5160" w:type="dxa"/>
            <w:vAlign w:val="bottom"/>
          </w:tcPr>
          <w:p>
            <w:pPr>
              <w:ind w:left="500"/>
              <w:spacing w:after="0"/>
              <w:rPr>
                <w:sz w:val="20"/>
                <w:szCs w:val="20"/>
                <w:color w:val="auto"/>
              </w:rPr>
            </w:pPr>
            <w:r>
              <w:rPr>
                <w:rFonts w:ascii="Calibri" w:cs="Calibri" w:eastAsia="Calibri" w:hAnsi="Calibri"/>
                <w:sz w:val="15"/>
                <w:szCs w:val="15"/>
                <w:color w:val="auto"/>
              </w:rPr>
              <w:t>Accounts payable and accrued liabilites</w:t>
            </w:r>
          </w:p>
        </w:tc>
        <w:tc>
          <w:tcPr>
            <w:tcW w:w="2560" w:type="dxa"/>
            <w:vAlign w:val="bottom"/>
          </w:tcPr>
          <w:p>
            <w:pPr>
              <w:spacing w:after="0"/>
              <w:rPr>
                <w:sz w:val="20"/>
                <w:szCs w:val="20"/>
                <w:color w:val="auto"/>
              </w:rPr>
            </w:pPr>
          </w:p>
        </w:tc>
        <w:tc>
          <w:tcPr>
            <w:tcW w:w="2060" w:type="dxa"/>
            <w:vAlign w:val="bottom"/>
          </w:tcPr>
          <w:p>
            <w:pPr>
              <w:jc w:val="right"/>
              <w:ind w:right="447"/>
              <w:spacing w:after="0"/>
              <w:rPr>
                <w:sz w:val="20"/>
                <w:szCs w:val="20"/>
                <w:color w:val="auto"/>
              </w:rPr>
            </w:pPr>
            <w:r>
              <w:rPr>
                <w:rFonts w:ascii="Calibri" w:cs="Calibri" w:eastAsia="Calibri" w:hAnsi="Calibri"/>
                <w:sz w:val="15"/>
                <w:szCs w:val="15"/>
                <w:b w:val="1"/>
                <w:bCs w:val="1"/>
                <w:color w:val="auto"/>
              </w:rPr>
              <w:t>5,262</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2,793</w:t>
            </w:r>
          </w:p>
        </w:tc>
      </w:tr>
      <w:tr>
        <w:trPr>
          <w:trHeight w:val="220"/>
        </w:trPr>
        <w:tc>
          <w:tcPr>
            <w:tcW w:w="5160" w:type="dxa"/>
            <w:vAlign w:val="bottom"/>
          </w:tcPr>
          <w:p>
            <w:pPr>
              <w:ind w:left="500"/>
              <w:spacing w:after="0"/>
              <w:rPr>
                <w:sz w:val="20"/>
                <w:szCs w:val="20"/>
                <w:color w:val="auto"/>
              </w:rPr>
            </w:pPr>
            <w:r>
              <w:rPr>
                <w:rFonts w:ascii="Calibri" w:cs="Calibri" w:eastAsia="Calibri" w:hAnsi="Calibri"/>
                <w:sz w:val="15"/>
                <w:szCs w:val="15"/>
                <w:color w:val="auto"/>
              </w:rPr>
              <w:t>Current porton of contngent consideraton payable</w:t>
            </w:r>
          </w:p>
        </w:tc>
        <w:tc>
          <w:tcPr>
            <w:tcW w:w="2560" w:type="dxa"/>
            <w:vAlign w:val="bottom"/>
          </w:tcPr>
          <w:p>
            <w:pPr>
              <w:jc w:val="center"/>
              <w:ind w:left="847"/>
              <w:spacing w:after="0"/>
              <w:rPr>
                <w:sz w:val="20"/>
                <w:szCs w:val="20"/>
                <w:color w:val="auto"/>
              </w:rPr>
            </w:pPr>
            <w:r>
              <w:rPr>
                <w:rFonts w:ascii="Calibri" w:cs="Calibri" w:eastAsia="Calibri" w:hAnsi="Calibri"/>
                <w:sz w:val="15"/>
                <w:szCs w:val="15"/>
                <w:i w:val="1"/>
                <w:iCs w:val="1"/>
                <w:color w:val="auto"/>
              </w:rPr>
              <w:t>9</w:t>
            </w:r>
          </w:p>
        </w:tc>
        <w:tc>
          <w:tcPr>
            <w:tcW w:w="2060" w:type="dxa"/>
            <w:vAlign w:val="bottom"/>
          </w:tcPr>
          <w:p>
            <w:pPr>
              <w:jc w:val="right"/>
              <w:ind w:right="447"/>
              <w:spacing w:after="0"/>
              <w:rPr>
                <w:sz w:val="20"/>
                <w:szCs w:val="20"/>
                <w:color w:val="auto"/>
              </w:rPr>
            </w:pPr>
            <w:r>
              <w:rPr>
                <w:rFonts w:ascii="Calibri" w:cs="Calibri" w:eastAsia="Calibri" w:hAnsi="Calibri"/>
                <w:sz w:val="15"/>
                <w:szCs w:val="15"/>
                <w:b w:val="1"/>
                <w:bCs w:val="1"/>
                <w:color w:val="auto"/>
              </w:rPr>
              <w:t>2,646</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2,107</w:t>
            </w:r>
          </w:p>
        </w:tc>
      </w:tr>
      <w:tr>
        <w:trPr>
          <w:trHeight w:val="135"/>
        </w:trPr>
        <w:tc>
          <w:tcPr>
            <w:tcW w:w="516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166"/>
        </w:trPr>
        <w:tc>
          <w:tcPr>
            <w:tcW w:w="5160" w:type="dxa"/>
            <w:vAlign w:val="bottom"/>
          </w:tcPr>
          <w:p>
            <w:pPr>
              <w:ind w:left="60"/>
              <w:spacing w:after="0" w:line="166" w:lineRule="exact"/>
              <w:rPr>
                <w:sz w:val="20"/>
                <w:szCs w:val="20"/>
                <w:color w:val="auto"/>
              </w:rPr>
            </w:pPr>
            <w:r>
              <w:rPr>
                <w:rFonts w:ascii="Calibri" w:cs="Calibri" w:eastAsia="Calibri" w:hAnsi="Calibri"/>
                <w:sz w:val="15"/>
                <w:szCs w:val="15"/>
                <w:b w:val="1"/>
                <w:bCs w:val="1"/>
                <w:color w:val="auto"/>
              </w:rPr>
              <w:t>Total Current Liabilites</w:t>
            </w:r>
          </w:p>
        </w:tc>
        <w:tc>
          <w:tcPr>
            <w:tcW w:w="2560" w:type="dxa"/>
            <w:vAlign w:val="bottom"/>
          </w:tcPr>
          <w:p>
            <w:pPr>
              <w:spacing w:after="0"/>
              <w:rPr>
                <w:sz w:val="14"/>
                <w:szCs w:val="14"/>
                <w:color w:val="auto"/>
              </w:rPr>
            </w:pPr>
          </w:p>
        </w:tc>
        <w:tc>
          <w:tcPr>
            <w:tcW w:w="2060" w:type="dxa"/>
            <w:vAlign w:val="bottom"/>
          </w:tcPr>
          <w:p>
            <w:pPr>
              <w:jc w:val="right"/>
              <w:ind w:right="447"/>
              <w:spacing w:after="0" w:line="166" w:lineRule="exact"/>
              <w:rPr>
                <w:sz w:val="20"/>
                <w:szCs w:val="20"/>
                <w:color w:val="auto"/>
              </w:rPr>
            </w:pPr>
            <w:r>
              <w:rPr>
                <w:rFonts w:ascii="Calibri" w:cs="Calibri" w:eastAsia="Calibri" w:hAnsi="Calibri"/>
                <w:sz w:val="15"/>
                <w:szCs w:val="15"/>
                <w:b w:val="1"/>
                <w:bCs w:val="1"/>
                <w:color w:val="auto"/>
              </w:rPr>
              <w:t>7,908</w:t>
            </w:r>
          </w:p>
        </w:tc>
        <w:tc>
          <w:tcPr>
            <w:tcW w:w="1480" w:type="dxa"/>
            <w:vAlign w:val="bottom"/>
          </w:tcPr>
          <w:p>
            <w:pPr>
              <w:jc w:val="right"/>
              <w:spacing w:after="0" w:line="166" w:lineRule="exact"/>
              <w:rPr>
                <w:sz w:val="20"/>
                <w:szCs w:val="20"/>
                <w:color w:val="auto"/>
              </w:rPr>
            </w:pPr>
            <w:r>
              <w:rPr>
                <w:rFonts w:ascii="Calibri" w:cs="Calibri" w:eastAsia="Calibri" w:hAnsi="Calibri"/>
                <w:sz w:val="15"/>
                <w:szCs w:val="15"/>
                <w:color w:val="auto"/>
              </w:rPr>
              <w:t>4,900</w:t>
            </w:r>
          </w:p>
        </w:tc>
      </w:tr>
      <w:tr>
        <w:trPr>
          <w:trHeight w:val="22"/>
        </w:trPr>
        <w:tc>
          <w:tcPr>
            <w:tcW w:w="51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1"/>
        </w:trPr>
        <w:tc>
          <w:tcPr>
            <w:tcW w:w="5160" w:type="dxa"/>
            <w:vAlign w:val="bottom"/>
          </w:tcPr>
          <w:p>
            <w:pPr>
              <w:ind w:left="200"/>
              <w:spacing w:after="0"/>
              <w:rPr>
                <w:sz w:val="20"/>
                <w:szCs w:val="20"/>
                <w:color w:val="auto"/>
              </w:rPr>
            </w:pPr>
            <w:r>
              <w:rPr>
                <w:rFonts w:ascii="Calibri" w:cs="Calibri" w:eastAsia="Calibri" w:hAnsi="Calibri"/>
                <w:sz w:val="15"/>
                <w:szCs w:val="15"/>
                <w:b w:val="1"/>
                <w:bCs w:val="1"/>
                <w:color w:val="auto"/>
              </w:rPr>
              <w:t>Non-current</w:t>
            </w:r>
          </w:p>
        </w:tc>
        <w:tc>
          <w:tcPr>
            <w:tcW w:w="2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2"/>
        </w:trPr>
        <w:tc>
          <w:tcPr>
            <w:tcW w:w="5160" w:type="dxa"/>
            <w:vAlign w:val="bottom"/>
          </w:tcPr>
          <w:p>
            <w:pPr>
              <w:ind w:left="500"/>
              <w:spacing w:after="0"/>
              <w:rPr>
                <w:sz w:val="20"/>
                <w:szCs w:val="20"/>
                <w:color w:val="auto"/>
              </w:rPr>
            </w:pPr>
            <w:r>
              <w:rPr>
                <w:rFonts w:ascii="Calibri" w:cs="Calibri" w:eastAsia="Calibri" w:hAnsi="Calibri"/>
                <w:sz w:val="15"/>
                <w:szCs w:val="15"/>
                <w:color w:val="auto"/>
              </w:rPr>
              <w:t>Contngent consideraton payable</w:t>
            </w:r>
          </w:p>
        </w:tc>
        <w:tc>
          <w:tcPr>
            <w:tcW w:w="2560" w:type="dxa"/>
            <w:vAlign w:val="bottom"/>
          </w:tcPr>
          <w:p>
            <w:pPr>
              <w:jc w:val="center"/>
              <w:ind w:left="847"/>
              <w:spacing w:after="0"/>
              <w:rPr>
                <w:sz w:val="20"/>
                <w:szCs w:val="20"/>
                <w:color w:val="auto"/>
              </w:rPr>
            </w:pPr>
            <w:r>
              <w:rPr>
                <w:rFonts w:ascii="Calibri" w:cs="Calibri" w:eastAsia="Calibri" w:hAnsi="Calibri"/>
                <w:sz w:val="15"/>
                <w:szCs w:val="15"/>
                <w:i w:val="1"/>
                <w:iCs w:val="1"/>
                <w:color w:val="auto"/>
              </w:rPr>
              <w:t>9</w:t>
            </w:r>
          </w:p>
        </w:tc>
        <w:tc>
          <w:tcPr>
            <w:tcW w:w="2060" w:type="dxa"/>
            <w:vAlign w:val="bottom"/>
          </w:tcPr>
          <w:p>
            <w:pPr>
              <w:jc w:val="right"/>
              <w:ind w:right="447"/>
              <w:spacing w:after="0"/>
              <w:rPr>
                <w:sz w:val="20"/>
                <w:szCs w:val="20"/>
                <w:color w:val="auto"/>
              </w:rPr>
            </w:pPr>
            <w:r>
              <w:rPr>
                <w:rFonts w:ascii="Calibri" w:cs="Calibri" w:eastAsia="Calibri" w:hAnsi="Calibri"/>
                <w:sz w:val="15"/>
                <w:szCs w:val="15"/>
                <w:b w:val="1"/>
                <w:bCs w:val="1"/>
                <w:color w:val="auto"/>
              </w:rPr>
              <w:t>—</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1,094</w:t>
            </w:r>
          </w:p>
        </w:tc>
      </w:tr>
      <w:tr>
        <w:trPr>
          <w:trHeight w:val="135"/>
        </w:trPr>
        <w:tc>
          <w:tcPr>
            <w:tcW w:w="516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166"/>
        </w:trPr>
        <w:tc>
          <w:tcPr>
            <w:tcW w:w="5160" w:type="dxa"/>
            <w:vAlign w:val="bottom"/>
          </w:tcPr>
          <w:p>
            <w:pPr>
              <w:ind w:left="60"/>
              <w:spacing w:after="0" w:line="166" w:lineRule="exact"/>
              <w:rPr>
                <w:sz w:val="20"/>
                <w:szCs w:val="20"/>
                <w:color w:val="auto"/>
              </w:rPr>
            </w:pPr>
            <w:r>
              <w:rPr>
                <w:rFonts w:ascii="Calibri" w:cs="Calibri" w:eastAsia="Calibri" w:hAnsi="Calibri"/>
                <w:sz w:val="15"/>
                <w:szCs w:val="15"/>
                <w:b w:val="1"/>
                <w:bCs w:val="1"/>
                <w:color w:val="auto"/>
              </w:rPr>
              <w:t>Total Non-Current Liabilites</w:t>
            </w:r>
          </w:p>
        </w:tc>
        <w:tc>
          <w:tcPr>
            <w:tcW w:w="2560" w:type="dxa"/>
            <w:vAlign w:val="bottom"/>
          </w:tcPr>
          <w:p>
            <w:pPr>
              <w:spacing w:after="0"/>
              <w:rPr>
                <w:sz w:val="14"/>
                <w:szCs w:val="14"/>
                <w:color w:val="auto"/>
              </w:rPr>
            </w:pPr>
          </w:p>
        </w:tc>
        <w:tc>
          <w:tcPr>
            <w:tcW w:w="2060" w:type="dxa"/>
            <w:vAlign w:val="bottom"/>
          </w:tcPr>
          <w:p>
            <w:pPr>
              <w:jc w:val="right"/>
              <w:ind w:right="447"/>
              <w:spacing w:after="0" w:line="166" w:lineRule="exact"/>
              <w:rPr>
                <w:sz w:val="20"/>
                <w:szCs w:val="20"/>
                <w:color w:val="auto"/>
              </w:rPr>
            </w:pPr>
            <w:r>
              <w:rPr>
                <w:rFonts w:ascii="Calibri" w:cs="Calibri" w:eastAsia="Calibri" w:hAnsi="Calibri"/>
                <w:sz w:val="15"/>
                <w:szCs w:val="15"/>
                <w:b w:val="1"/>
                <w:bCs w:val="1"/>
                <w:color w:val="auto"/>
              </w:rPr>
              <w:t>—</w:t>
            </w:r>
          </w:p>
        </w:tc>
        <w:tc>
          <w:tcPr>
            <w:tcW w:w="1480" w:type="dxa"/>
            <w:vAlign w:val="bottom"/>
          </w:tcPr>
          <w:p>
            <w:pPr>
              <w:jc w:val="right"/>
              <w:spacing w:after="0" w:line="166" w:lineRule="exact"/>
              <w:rPr>
                <w:sz w:val="20"/>
                <w:szCs w:val="20"/>
                <w:color w:val="auto"/>
              </w:rPr>
            </w:pPr>
            <w:r>
              <w:rPr>
                <w:rFonts w:ascii="Calibri" w:cs="Calibri" w:eastAsia="Calibri" w:hAnsi="Calibri"/>
                <w:sz w:val="15"/>
                <w:szCs w:val="15"/>
                <w:color w:val="auto"/>
              </w:rPr>
              <w:t>1,094</w:t>
            </w:r>
          </w:p>
        </w:tc>
      </w:tr>
      <w:tr>
        <w:trPr>
          <w:trHeight w:val="22"/>
        </w:trPr>
        <w:tc>
          <w:tcPr>
            <w:tcW w:w="51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27"/>
        </w:trPr>
        <w:tc>
          <w:tcPr>
            <w:tcW w:w="51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00"/>
        </w:trPr>
        <w:tc>
          <w:tcPr>
            <w:tcW w:w="5160" w:type="dxa"/>
            <w:vAlign w:val="bottom"/>
            <w:tcBorders>
              <w:bottom w:val="single" w:sz="8" w:color="D9D9D9"/>
            </w:tcBorders>
            <w:shd w:val="clear" w:color="auto" w:fill="D9D9D9"/>
          </w:tcPr>
          <w:p>
            <w:pPr>
              <w:ind w:left="60"/>
              <w:spacing w:after="0" w:line="174" w:lineRule="exact"/>
              <w:rPr>
                <w:sz w:val="20"/>
                <w:szCs w:val="20"/>
                <w:color w:val="auto"/>
              </w:rPr>
            </w:pPr>
            <w:r>
              <w:rPr>
                <w:rFonts w:ascii="Calibri" w:cs="Calibri" w:eastAsia="Calibri" w:hAnsi="Calibri"/>
                <w:sz w:val="15"/>
                <w:szCs w:val="15"/>
                <w:b w:val="1"/>
                <w:bCs w:val="1"/>
                <w:color w:val="auto"/>
              </w:rPr>
              <w:t>TOTAL LIABILITIES</w:t>
            </w:r>
          </w:p>
        </w:tc>
        <w:tc>
          <w:tcPr>
            <w:tcW w:w="2560" w:type="dxa"/>
            <w:vAlign w:val="bottom"/>
            <w:tcBorders>
              <w:bottom w:val="single" w:sz="8" w:color="D9D9D9"/>
            </w:tcBorders>
            <w:shd w:val="clear" w:color="auto" w:fill="D9D9D9"/>
          </w:tcPr>
          <w:p>
            <w:pPr>
              <w:spacing w:after="0"/>
              <w:rPr>
                <w:sz w:val="17"/>
                <w:szCs w:val="17"/>
                <w:color w:val="auto"/>
              </w:rPr>
            </w:pPr>
          </w:p>
        </w:tc>
        <w:tc>
          <w:tcPr>
            <w:tcW w:w="2060" w:type="dxa"/>
            <w:vAlign w:val="bottom"/>
            <w:tcBorders>
              <w:bottom w:val="single" w:sz="8" w:color="D9D9D9"/>
            </w:tcBorders>
            <w:shd w:val="clear" w:color="auto" w:fill="D9D9D9"/>
          </w:tcPr>
          <w:p>
            <w:pPr>
              <w:jc w:val="right"/>
              <w:ind w:right="447"/>
              <w:spacing w:after="0" w:line="174" w:lineRule="exact"/>
              <w:rPr>
                <w:sz w:val="20"/>
                <w:szCs w:val="20"/>
                <w:color w:val="auto"/>
              </w:rPr>
            </w:pPr>
            <w:r>
              <w:rPr>
                <w:rFonts w:ascii="Calibri" w:cs="Calibri" w:eastAsia="Calibri" w:hAnsi="Calibri"/>
                <w:sz w:val="15"/>
                <w:szCs w:val="15"/>
                <w:b w:val="1"/>
                <w:bCs w:val="1"/>
                <w:color w:val="auto"/>
              </w:rPr>
              <w:t>7,908</w:t>
            </w:r>
          </w:p>
        </w:tc>
        <w:tc>
          <w:tcPr>
            <w:tcW w:w="1480" w:type="dxa"/>
            <w:vAlign w:val="bottom"/>
            <w:tcBorders>
              <w:bottom w:val="single" w:sz="8" w:color="D9D9D9"/>
            </w:tcBorders>
            <w:shd w:val="clear" w:color="auto" w:fill="D9D9D9"/>
          </w:tcPr>
          <w:p>
            <w:pPr>
              <w:jc w:val="right"/>
              <w:spacing w:after="0" w:line="174" w:lineRule="exact"/>
              <w:rPr>
                <w:sz w:val="20"/>
                <w:szCs w:val="20"/>
                <w:color w:val="auto"/>
              </w:rPr>
            </w:pPr>
            <w:r>
              <w:rPr>
                <w:rFonts w:ascii="Calibri" w:cs="Calibri" w:eastAsia="Calibri" w:hAnsi="Calibri"/>
                <w:sz w:val="15"/>
                <w:szCs w:val="15"/>
                <w:color w:val="auto"/>
              </w:rPr>
              <w:t>5,994</w:t>
            </w:r>
          </w:p>
        </w:tc>
      </w:tr>
      <w:tr>
        <w:trPr>
          <w:trHeight w:val="199"/>
        </w:trPr>
        <w:tc>
          <w:tcPr>
            <w:tcW w:w="516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SHAREHOLDERS' EQUITY</w:t>
            </w:r>
          </w:p>
        </w:tc>
        <w:tc>
          <w:tcPr>
            <w:tcW w:w="256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20"/>
        </w:trPr>
        <w:tc>
          <w:tcPr>
            <w:tcW w:w="5160" w:type="dxa"/>
            <w:vAlign w:val="bottom"/>
          </w:tcPr>
          <w:p>
            <w:pPr>
              <w:ind w:left="500"/>
              <w:spacing w:after="0"/>
              <w:rPr>
                <w:sz w:val="20"/>
                <w:szCs w:val="20"/>
                <w:color w:val="auto"/>
              </w:rPr>
            </w:pPr>
            <w:r>
              <w:rPr>
                <w:rFonts w:ascii="Calibri" w:cs="Calibri" w:eastAsia="Calibri" w:hAnsi="Calibri"/>
                <w:sz w:val="15"/>
                <w:szCs w:val="15"/>
                <w:color w:val="auto"/>
              </w:rPr>
              <w:t>Share capital</w:t>
            </w:r>
          </w:p>
        </w:tc>
        <w:tc>
          <w:tcPr>
            <w:tcW w:w="2560" w:type="dxa"/>
            <w:vAlign w:val="bottom"/>
          </w:tcPr>
          <w:p>
            <w:pPr>
              <w:jc w:val="center"/>
              <w:ind w:left="867"/>
              <w:spacing w:after="0"/>
              <w:rPr>
                <w:sz w:val="20"/>
                <w:szCs w:val="20"/>
                <w:color w:val="auto"/>
              </w:rPr>
            </w:pPr>
            <w:r>
              <w:rPr>
                <w:rFonts w:ascii="Calibri" w:cs="Calibri" w:eastAsia="Calibri" w:hAnsi="Calibri"/>
                <w:sz w:val="15"/>
                <w:szCs w:val="15"/>
                <w:i w:val="1"/>
                <w:iCs w:val="1"/>
                <w:color w:val="auto"/>
                <w:w w:val="91"/>
              </w:rPr>
              <w:t>10</w:t>
            </w:r>
          </w:p>
        </w:tc>
        <w:tc>
          <w:tcPr>
            <w:tcW w:w="2060" w:type="dxa"/>
            <w:vAlign w:val="bottom"/>
          </w:tcPr>
          <w:p>
            <w:pPr>
              <w:jc w:val="right"/>
              <w:ind w:right="447"/>
              <w:spacing w:after="0"/>
              <w:rPr>
                <w:sz w:val="20"/>
                <w:szCs w:val="20"/>
                <w:color w:val="auto"/>
              </w:rPr>
            </w:pPr>
            <w:r>
              <w:rPr>
                <w:rFonts w:ascii="Calibri" w:cs="Calibri" w:eastAsia="Calibri" w:hAnsi="Calibri"/>
                <w:sz w:val="15"/>
                <w:szCs w:val="15"/>
                <w:b w:val="1"/>
                <w:bCs w:val="1"/>
                <w:color w:val="auto"/>
              </w:rPr>
              <w:t>141,451</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100,676</w:t>
            </w:r>
          </w:p>
        </w:tc>
      </w:tr>
      <w:tr>
        <w:trPr>
          <w:trHeight w:val="220"/>
        </w:trPr>
        <w:tc>
          <w:tcPr>
            <w:tcW w:w="5160" w:type="dxa"/>
            <w:vAlign w:val="bottom"/>
          </w:tcPr>
          <w:p>
            <w:pPr>
              <w:ind w:left="500"/>
              <w:spacing w:after="0"/>
              <w:rPr>
                <w:sz w:val="20"/>
                <w:szCs w:val="20"/>
                <w:color w:val="auto"/>
              </w:rPr>
            </w:pPr>
            <w:r>
              <w:rPr>
                <w:rFonts w:ascii="Calibri" w:cs="Calibri" w:eastAsia="Calibri" w:hAnsi="Calibri"/>
                <w:sz w:val="15"/>
                <w:szCs w:val="15"/>
                <w:color w:val="auto"/>
              </w:rPr>
              <w:t>Contributed surplus</w:t>
            </w:r>
          </w:p>
        </w:tc>
        <w:tc>
          <w:tcPr>
            <w:tcW w:w="2560" w:type="dxa"/>
            <w:vAlign w:val="bottom"/>
          </w:tcPr>
          <w:p>
            <w:pPr>
              <w:spacing w:after="0"/>
              <w:rPr>
                <w:sz w:val="19"/>
                <w:szCs w:val="19"/>
                <w:color w:val="auto"/>
              </w:rPr>
            </w:pPr>
          </w:p>
        </w:tc>
        <w:tc>
          <w:tcPr>
            <w:tcW w:w="2060" w:type="dxa"/>
            <w:vAlign w:val="bottom"/>
          </w:tcPr>
          <w:p>
            <w:pPr>
              <w:jc w:val="right"/>
              <w:ind w:right="447"/>
              <w:spacing w:after="0"/>
              <w:rPr>
                <w:sz w:val="20"/>
                <w:szCs w:val="20"/>
                <w:color w:val="auto"/>
              </w:rPr>
            </w:pPr>
            <w:r>
              <w:rPr>
                <w:rFonts w:ascii="Calibri" w:cs="Calibri" w:eastAsia="Calibri" w:hAnsi="Calibri"/>
                <w:sz w:val="15"/>
                <w:szCs w:val="15"/>
                <w:b w:val="1"/>
                <w:bCs w:val="1"/>
                <w:color w:val="auto"/>
              </w:rPr>
              <w:t>525</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124</w:t>
            </w:r>
          </w:p>
        </w:tc>
      </w:tr>
      <w:tr>
        <w:trPr>
          <w:trHeight w:val="220"/>
        </w:trPr>
        <w:tc>
          <w:tcPr>
            <w:tcW w:w="5160" w:type="dxa"/>
            <w:vAlign w:val="bottom"/>
          </w:tcPr>
          <w:p>
            <w:pPr>
              <w:ind w:left="500"/>
              <w:spacing w:after="0"/>
              <w:rPr>
                <w:sz w:val="20"/>
                <w:szCs w:val="20"/>
                <w:color w:val="auto"/>
              </w:rPr>
            </w:pPr>
            <w:r>
              <w:rPr>
                <w:rFonts w:ascii="Calibri" w:cs="Calibri" w:eastAsia="Calibri" w:hAnsi="Calibri"/>
                <w:sz w:val="15"/>
                <w:szCs w:val="15"/>
                <w:color w:val="auto"/>
              </w:rPr>
              <w:t>Optons reserve</w:t>
            </w:r>
          </w:p>
        </w:tc>
        <w:tc>
          <w:tcPr>
            <w:tcW w:w="2560" w:type="dxa"/>
            <w:vAlign w:val="bottom"/>
          </w:tcPr>
          <w:p>
            <w:pPr>
              <w:jc w:val="center"/>
              <w:ind w:left="867"/>
              <w:spacing w:after="0"/>
              <w:rPr>
                <w:sz w:val="20"/>
                <w:szCs w:val="20"/>
                <w:color w:val="auto"/>
              </w:rPr>
            </w:pPr>
            <w:r>
              <w:rPr>
                <w:rFonts w:ascii="Calibri" w:cs="Calibri" w:eastAsia="Calibri" w:hAnsi="Calibri"/>
                <w:sz w:val="15"/>
                <w:szCs w:val="15"/>
                <w:i w:val="1"/>
                <w:iCs w:val="1"/>
                <w:color w:val="auto"/>
                <w:w w:val="91"/>
              </w:rPr>
              <w:t>10</w:t>
            </w:r>
          </w:p>
        </w:tc>
        <w:tc>
          <w:tcPr>
            <w:tcW w:w="2060" w:type="dxa"/>
            <w:vAlign w:val="bottom"/>
          </w:tcPr>
          <w:p>
            <w:pPr>
              <w:jc w:val="right"/>
              <w:ind w:right="447"/>
              <w:spacing w:after="0"/>
              <w:rPr>
                <w:sz w:val="20"/>
                <w:szCs w:val="20"/>
                <w:color w:val="auto"/>
              </w:rPr>
            </w:pPr>
            <w:r>
              <w:rPr>
                <w:rFonts w:ascii="Calibri" w:cs="Calibri" w:eastAsia="Calibri" w:hAnsi="Calibri"/>
                <w:sz w:val="15"/>
                <w:szCs w:val="15"/>
                <w:b w:val="1"/>
                <w:bCs w:val="1"/>
                <w:color w:val="auto"/>
              </w:rPr>
              <w:t>23,783</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7,158</w:t>
            </w:r>
          </w:p>
        </w:tc>
      </w:tr>
      <w:tr>
        <w:trPr>
          <w:trHeight w:val="220"/>
        </w:trPr>
        <w:tc>
          <w:tcPr>
            <w:tcW w:w="5160" w:type="dxa"/>
            <w:vAlign w:val="bottom"/>
          </w:tcPr>
          <w:p>
            <w:pPr>
              <w:ind w:left="500"/>
              <w:spacing w:after="0"/>
              <w:rPr>
                <w:sz w:val="20"/>
                <w:szCs w:val="20"/>
                <w:color w:val="auto"/>
              </w:rPr>
            </w:pPr>
            <w:r>
              <w:rPr>
                <w:rFonts w:ascii="Calibri" w:cs="Calibri" w:eastAsia="Calibri" w:hAnsi="Calibri"/>
                <w:sz w:val="15"/>
                <w:szCs w:val="15"/>
                <w:color w:val="auto"/>
              </w:rPr>
              <w:t>Warrants reserve</w:t>
            </w:r>
          </w:p>
        </w:tc>
        <w:tc>
          <w:tcPr>
            <w:tcW w:w="2560" w:type="dxa"/>
            <w:vAlign w:val="bottom"/>
          </w:tcPr>
          <w:p>
            <w:pPr>
              <w:jc w:val="center"/>
              <w:ind w:left="867"/>
              <w:spacing w:after="0"/>
              <w:rPr>
                <w:sz w:val="20"/>
                <w:szCs w:val="20"/>
                <w:color w:val="auto"/>
              </w:rPr>
            </w:pPr>
            <w:r>
              <w:rPr>
                <w:rFonts w:ascii="Calibri" w:cs="Calibri" w:eastAsia="Calibri" w:hAnsi="Calibri"/>
                <w:sz w:val="15"/>
                <w:szCs w:val="15"/>
                <w:i w:val="1"/>
                <w:iCs w:val="1"/>
                <w:color w:val="auto"/>
                <w:w w:val="91"/>
              </w:rPr>
              <w:t>10</w:t>
            </w:r>
          </w:p>
        </w:tc>
        <w:tc>
          <w:tcPr>
            <w:tcW w:w="2060" w:type="dxa"/>
            <w:vAlign w:val="bottom"/>
          </w:tcPr>
          <w:p>
            <w:pPr>
              <w:jc w:val="right"/>
              <w:ind w:right="447"/>
              <w:spacing w:after="0"/>
              <w:rPr>
                <w:sz w:val="20"/>
                <w:szCs w:val="20"/>
                <w:color w:val="auto"/>
              </w:rPr>
            </w:pPr>
            <w:r>
              <w:rPr>
                <w:rFonts w:ascii="Calibri" w:cs="Calibri" w:eastAsia="Calibri" w:hAnsi="Calibri"/>
                <w:sz w:val="15"/>
                <w:szCs w:val="15"/>
                <w:b w:val="1"/>
                <w:bCs w:val="1"/>
                <w:color w:val="auto"/>
              </w:rPr>
              <w:t>11,423</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11,166</w:t>
            </w:r>
          </w:p>
        </w:tc>
      </w:tr>
      <w:tr>
        <w:trPr>
          <w:trHeight w:val="220"/>
        </w:trPr>
        <w:tc>
          <w:tcPr>
            <w:tcW w:w="5160" w:type="dxa"/>
            <w:vAlign w:val="bottom"/>
          </w:tcPr>
          <w:p>
            <w:pPr>
              <w:ind w:left="500"/>
              <w:spacing w:after="0"/>
              <w:rPr>
                <w:sz w:val="20"/>
                <w:szCs w:val="20"/>
                <w:color w:val="auto"/>
              </w:rPr>
            </w:pPr>
            <w:r>
              <w:rPr>
                <w:rFonts w:ascii="Calibri" w:cs="Calibri" w:eastAsia="Calibri" w:hAnsi="Calibri"/>
                <w:sz w:val="15"/>
                <w:szCs w:val="15"/>
                <w:color w:val="auto"/>
              </w:rPr>
              <w:t>Accumulated other comprehensive (loss) income</w:t>
            </w:r>
          </w:p>
        </w:tc>
        <w:tc>
          <w:tcPr>
            <w:tcW w:w="2560" w:type="dxa"/>
            <w:vAlign w:val="bottom"/>
          </w:tcPr>
          <w:p>
            <w:pPr>
              <w:spacing w:after="0"/>
              <w:rPr>
                <w:sz w:val="19"/>
                <w:szCs w:val="19"/>
                <w:color w:val="auto"/>
              </w:rPr>
            </w:pPr>
          </w:p>
        </w:tc>
        <w:tc>
          <w:tcPr>
            <w:tcW w:w="2060" w:type="dxa"/>
            <w:vAlign w:val="bottom"/>
          </w:tcPr>
          <w:p>
            <w:pPr>
              <w:jc w:val="right"/>
              <w:ind w:right="407"/>
              <w:spacing w:after="0"/>
              <w:rPr>
                <w:sz w:val="20"/>
                <w:szCs w:val="20"/>
                <w:color w:val="auto"/>
              </w:rPr>
            </w:pPr>
            <w:r>
              <w:rPr>
                <w:rFonts w:ascii="Calibri" w:cs="Calibri" w:eastAsia="Calibri" w:hAnsi="Calibri"/>
                <w:sz w:val="15"/>
                <w:szCs w:val="15"/>
                <w:b w:val="1"/>
                <w:bCs w:val="1"/>
                <w:color w:val="auto"/>
              </w:rPr>
              <w:t>(366)</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24</w:t>
            </w:r>
          </w:p>
        </w:tc>
      </w:tr>
      <w:tr>
        <w:trPr>
          <w:trHeight w:val="220"/>
        </w:trPr>
        <w:tc>
          <w:tcPr>
            <w:tcW w:w="5160" w:type="dxa"/>
            <w:vAlign w:val="bottom"/>
          </w:tcPr>
          <w:p>
            <w:pPr>
              <w:ind w:left="500"/>
              <w:spacing w:after="0"/>
              <w:rPr>
                <w:sz w:val="20"/>
                <w:szCs w:val="20"/>
                <w:color w:val="auto"/>
              </w:rPr>
            </w:pPr>
            <w:r>
              <w:rPr>
                <w:rFonts w:ascii="Calibri" w:cs="Calibri" w:eastAsia="Calibri" w:hAnsi="Calibri"/>
                <w:sz w:val="15"/>
                <w:szCs w:val="15"/>
                <w:color w:val="auto"/>
              </w:rPr>
              <w:t>Defcit</w:t>
            </w:r>
          </w:p>
        </w:tc>
        <w:tc>
          <w:tcPr>
            <w:tcW w:w="2560" w:type="dxa"/>
            <w:vAlign w:val="bottom"/>
          </w:tcPr>
          <w:p>
            <w:pPr>
              <w:spacing w:after="0"/>
              <w:rPr>
                <w:sz w:val="19"/>
                <w:szCs w:val="19"/>
                <w:color w:val="auto"/>
              </w:rPr>
            </w:pPr>
          </w:p>
        </w:tc>
        <w:tc>
          <w:tcPr>
            <w:tcW w:w="2060" w:type="dxa"/>
            <w:vAlign w:val="bottom"/>
          </w:tcPr>
          <w:p>
            <w:pPr>
              <w:jc w:val="right"/>
              <w:ind w:right="407"/>
              <w:spacing w:after="0"/>
              <w:rPr>
                <w:sz w:val="20"/>
                <w:szCs w:val="20"/>
                <w:color w:val="auto"/>
              </w:rPr>
            </w:pPr>
            <w:r>
              <w:rPr>
                <w:rFonts w:ascii="Calibri" w:cs="Calibri" w:eastAsia="Calibri" w:hAnsi="Calibri"/>
                <w:sz w:val="15"/>
                <w:szCs w:val="15"/>
                <w:b w:val="1"/>
                <w:bCs w:val="1"/>
                <w:color w:val="auto"/>
              </w:rPr>
              <w:t>(100,661)</w:t>
            </w:r>
          </w:p>
        </w:tc>
        <w:tc>
          <w:tcPr>
            <w:tcW w:w="1480" w:type="dxa"/>
            <w:vAlign w:val="bottom"/>
          </w:tcPr>
          <w:p>
            <w:pPr>
              <w:jc w:val="right"/>
              <w:ind w:right="7"/>
              <w:spacing w:after="0"/>
              <w:rPr>
                <w:sz w:val="20"/>
                <w:szCs w:val="20"/>
                <w:color w:val="auto"/>
              </w:rPr>
            </w:pPr>
            <w:r>
              <w:rPr>
                <w:rFonts w:ascii="Calibri" w:cs="Calibri" w:eastAsia="Calibri" w:hAnsi="Calibri"/>
                <w:sz w:val="15"/>
                <w:szCs w:val="15"/>
                <w:color w:val="auto"/>
              </w:rPr>
              <w:t>(33,030)</w:t>
            </w:r>
          </w:p>
        </w:tc>
      </w:tr>
      <w:tr>
        <w:trPr>
          <w:trHeight w:val="135"/>
        </w:trPr>
        <w:tc>
          <w:tcPr>
            <w:tcW w:w="516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193"/>
        </w:trPr>
        <w:tc>
          <w:tcPr>
            <w:tcW w:w="5160" w:type="dxa"/>
            <w:vAlign w:val="bottom"/>
            <w:tcBorders>
              <w:bottom w:val="single" w:sz="8" w:color="D9D9D9"/>
            </w:tcBorders>
            <w:shd w:val="clear" w:color="auto" w:fill="D9D9D9"/>
          </w:tcPr>
          <w:p>
            <w:pPr>
              <w:ind w:left="60"/>
              <w:spacing w:after="0" w:line="166" w:lineRule="exact"/>
              <w:rPr>
                <w:sz w:val="20"/>
                <w:szCs w:val="20"/>
                <w:color w:val="auto"/>
              </w:rPr>
            </w:pPr>
            <w:r>
              <w:rPr>
                <w:rFonts w:ascii="Calibri" w:cs="Calibri" w:eastAsia="Calibri" w:hAnsi="Calibri"/>
                <w:sz w:val="15"/>
                <w:szCs w:val="15"/>
                <w:b w:val="1"/>
                <w:bCs w:val="1"/>
                <w:color w:val="auto"/>
              </w:rPr>
              <w:t>TOTAL SHAREHOLDERS' EQUITY</w:t>
            </w:r>
          </w:p>
        </w:tc>
        <w:tc>
          <w:tcPr>
            <w:tcW w:w="2560" w:type="dxa"/>
            <w:vAlign w:val="bottom"/>
            <w:tcBorders>
              <w:bottom w:val="single" w:sz="8" w:color="D9D9D9"/>
            </w:tcBorders>
            <w:shd w:val="clear" w:color="auto" w:fill="D9D9D9"/>
          </w:tcPr>
          <w:p>
            <w:pPr>
              <w:spacing w:after="0"/>
              <w:rPr>
                <w:sz w:val="16"/>
                <w:szCs w:val="16"/>
                <w:color w:val="auto"/>
              </w:rPr>
            </w:pPr>
          </w:p>
        </w:tc>
        <w:tc>
          <w:tcPr>
            <w:tcW w:w="2060" w:type="dxa"/>
            <w:vAlign w:val="bottom"/>
            <w:tcBorders>
              <w:bottom w:val="single" w:sz="8" w:color="D9D9D9"/>
            </w:tcBorders>
            <w:shd w:val="clear" w:color="auto" w:fill="D9D9D9"/>
          </w:tcPr>
          <w:p>
            <w:pPr>
              <w:jc w:val="right"/>
              <w:ind w:right="447"/>
              <w:spacing w:after="0" w:line="166" w:lineRule="exact"/>
              <w:rPr>
                <w:sz w:val="20"/>
                <w:szCs w:val="20"/>
                <w:color w:val="auto"/>
              </w:rPr>
            </w:pPr>
            <w:r>
              <w:rPr>
                <w:rFonts w:ascii="Calibri" w:cs="Calibri" w:eastAsia="Calibri" w:hAnsi="Calibri"/>
                <w:sz w:val="15"/>
                <w:szCs w:val="15"/>
                <w:b w:val="1"/>
                <w:bCs w:val="1"/>
                <w:color w:val="auto"/>
              </w:rPr>
              <w:t>76,155</w:t>
            </w:r>
          </w:p>
        </w:tc>
        <w:tc>
          <w:tcPr>
            <w:tcW w:w="1480" w:type="dxa"/>
            <w:vAlign w:val="bottom"/>
            <w:tcBorders>
              <w:bottom w:val="single" w:sz="8" w:color="D9D9D9"/>
            </w:tcBorders>
            <w:shd w:val="clear" w:color="auto" w:fill="D9D9D9"/>
          </w:tcPr>
          <w:p>
            <w:pPr>
              <w:jc w:val="right"/>
              <w:spacing w:after="0" w:line="166" w:lineRule="exact"/>
              <w:rPr>
                <w:sz w:val="20"/>
                <w:szCs w:val="20"/>
                <w:color w:val="auto"/>
              </w:rPr>
            </w:pPr>
            <w:r>
              <w:rPr>
                <w:rFonts w:ascii="Calibri" w:cs="Calibri" w:eastAsia="Calibri" w:hAnsi="Calibri"/>
                <w:sz w:val="15"/>
                <w:szCs w:val="15"/>
                <w:color w:val="auto"/>
              </w:rPr>
              <w:t>86,118</w:t>
            </w:r>
          </w:p>
        </w:tc>
      </w:tr>
      <w:tr>
        <w:trPr>
          <w:trHeight w:val="29"/>
        </w:trPr>
        <w:tc>
          <w:tcPr>
            <w:tcW w:w="5160" w:type="dxa"/>
            <w:vAlign w:val="bottom"/>
            <w:tcBorders>
              <w:top w:val="single" w:sz="8" w:color="auto"/>
            </w:tcBorders>
          </w:tcPr>
          <w:p>
            <w:pPr>
              <w:spacing w:after="0"/>
              <w:rPr>
                <w:sz w:val="2"/>
                <w:szCs w:val="2"/>
                <w:color w:val="auto"/>
              </w:rPr>
            </w:pPr>
          </w:p>
        </w:tc>
        <w:tc>
          <w:tcPr>
            <w:tcW w:w="2560" w:type="dxa"/>
            <w:vAlign w:val="bottom"/>
            <w:tcBorders>
              <w:top w:val="single" w:sz="8" w:color="auto"/>
            </w:tcBorders>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r>
      <w:tr>
        <w:trPr>
          <w:trHeight w:val="175"/>
        </w:trPr>
        <w:tc>
          <w:tcPr>
            <w:tcW w:w="5160" w:type="dxa"/>
            <w:vAlign w:val="bottom"/>
            <w:tcBorders>
              <w:bottom w:val="single" w:sz="8" w:color="D9D9D9"/>
            </w:tcBorders>
            <w:shd w:val="clear" w:color="auto" w:fill="D9D9D9"/>
          </w:tcPr>
          <w:p>
            <w:pPr>
              <w:ind w:left="60"/>
              <w:spacing w:after="0" w:line="174" w:lineRule="exact"/>
              <w:rPr>
                <w:sz w:val="20"/>
                <w:szCs w:val="20"/>
                <w:color w:val="auto"/>
              </w:rPr>
            </w:pPr>
            <w:r>
              <w:rPr>
                <w:rFonts w:ascii="Calibri" w:cs="Calibri" w:eastAsia="Calibri" w:hAnsi="Calibri"/>
                <w:sz w:val="15"/>
                <w:szCs w:val="15"/>
                <w:b w:val="1"/>
                <w:bCs w:val="1"/>
                <w:color w:val="auto"/>
              </w:rPr>
              <w:t>TOTAL LIABILITIES AND SHAREHOLDERS' EQUITY</w:t>
            </w:r>
          </w:p>
        </w:tc>
        <w:tc>
          <w:tcPr>
            <w:tcW w:w="2560" w:type="dxa"/>
            <w:vAlign w:val="bottom"/>
            <w:tcBorders>
              <w:bottom w:val="single" w:sz="8" w:color="D9D9D9"/>
            </w:tcBorders>
            <w:shd w:val="clear" w:color="auto" w:fill="D9D9D9"/>
          </w:tcPr>
          <w:p>
            <w:pPr>
              <w:spacing w:after="0"/>
              <w:rPr>
                <w:sz w:val="15"/>
                <w:szCs w:val="15"/>
                <w:color w:val="auto"/>
              </w:rPr>
            </w:pPr>
          </w:p>
        </w:tc>
        <w:tc>
          <w:tcPr>
            <w:tcW w:w="2060" w:type="dxa"/>
            <w:vAlign w:val="bottom"/>
            <w:tcBorders>
              <w:bottom w:val="single" w:sz="8" w:color="D9D9D9"/>
            </w:tcBorders>
            <w:shd w:val="clear" w:color="auto" w:fill="D9D9D9"/>
          </w:tcPr>
          <w:p>
            <w:pPr>
              <w:jc w:val="right"/>
              <w:ind w:right="447"/>
              <w:spacing w:after="0" w:line="174" w:lineRule="exact"/>
              <w:rPr>
                <w:sz w:val="20"/>
                <w:szCs w:val="20"/>
                <w:color w:val="auto"/>
              </w:rPr>
            </w:pPr>
            <w:r>
              <w:rPr>
                <w:rFonts w:ascii="Calibri" w:cs="Calibri" w:eastAsia="Calibri" w:hAnsi="Calibri"/>
                <w:sz w:val="15"/>
                <w:szCs w:val="15"/>
                <w:b w:val="1"/>
                <w:bCs w:val="1"/>
                <w:color w:val="auto"/>
              </w:rPr>
              <w:t>84,063</w:t>
            </w:r>
          </w:p>
        </w:tc>
        <w:tc>
          <w:tcPr>
            <w:tcW w:w="1480" w:type="dxa"/>
            <w:vAlign w:val="bottom"/>
            <w:tcBorders>
              <w:bottom w:val="single" w:sz="8" w:color="D9D9D9"/>
            </w:tcBorders>
            <w:shd w:val="clear" w:color="auto" w:fill="D9D9D9"/>
          </w:tcPr>
          <w:p>
            <w:pPr>
              <w:jc w:val="right"/>
              <w:spacing w:after="0" w:line="174" w:lineRule="exact"/>
              <w:rPr>
                <w:sz w:val="20"/>
                <w:szCs w:val="20"/>
                <w:color w:val="auto"/>
              </w:rPr>
            </w:pPr>
            <w:r>
              <w:rPr>
                <w:rFonts w:ascii="Calibri" w:cs="Calibri" w:eastAsia="Calibri" w:hAnsi="Calibri"/>
                <w:sz w:val="15"/>
                <w:szCs w:val="15"/>
                <w:color w:val="auto"/>
              </w:rPr>
              <w:t>92,112</w:t>
            </w:r>
          </w:p>
        </w:tc>
      </w:tr>
      <w:tr>
        <w:trPr>
          <w:trHeight w:val="20"/>
        </w:trPr>
        <w:tc>
          <w:tcPr>
            <w:tcW w:w="516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Corporate informaton (note 1)</w:t>
      </w:r>
    </w:p>
    <w:p>
      <w:pPr>
        <w:spacing w:after="0" w:line="224" w:lineRule="auto"/>
        <w:rPr>
          <w:sz w:val="20"/>
          <w:szCs w:val="20"/>
          <w:color w:val="auto"/>
        </w:rPr>
      </w:pPr>
      <w:r>
        <w:rPr>
          <w:rFonts w:ascii="Calibri" w:cs="Calibri" w:eastAsia="Calibri" w:hAnsi="Calibri"/>
          <w:sz w:val="15"/>
          <w:szCs w:val="15"/>
          <w:i w:val="1"/>
          <w:iCs w:val="1"/>
          <w:color w:val="auto"/>
        </w:rPr>
        <w:t>Contracts and commitments (note 13)</w:t>
      </w:r>
    </w:p>
    <w:p>
      <w:pPr>
        <w:spacing w:after="0" w:line="224" w:lineRule="auto"/>
        <w:rPr>
          <w:sz w:val="20"/>
          <w:szCs w:val="20"/>
          <w:color w:val="auto"/>
        </w:rPr>
      </w:pPr>
      <w:r>
        <w:rPr>
          <w:rFonts w:ascii="Calibri" w:cs="Calibri" w:eastAsia="Calibri" w:hAnsi="Calibri"/>
          <w:sz w:val="15"/>
          <w:szCs w:val="15"/>
          <w:i w:val="1"/>
          <w:iCs w:val="1"/>
          <w:color w:val="auto"/>
        </w:rPr>
        <w:t>Subsequent events (note 17)</w:t>
      </w:r>
    </w:p>
    <w:p>
      <w:pPr>
        <w:spacing w:after="0" w:line="110"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The accompanying notes are an integral part of these consolidated fnancial statements</w:t>
      </w:r>
    </w:p>
    <w:p>
      <w:pPr>
        <w:spacing w:after="0" w:line="114" w:lineRule="exact"/>
        <w:rPr>
          <w:sz w:val="20"/>
          <w:szCs w:val="20"/>
          <w:color w:val="auto"/>
        </w:rPr>
      </w:pPr>
    </w:p>
    <w:p>
      <w:pPr>
        <w:spacing w:after="0"/>
        <w:rPr>
          <w:sz w:val="20"/>
          <w:szCs w:val="20"/>
          <w:color w:val="auto"/>
        </w:rPr>
      </w:pPr>
      <w:r>
        <w:rPr>
          <w:rFonts w:ascii="Calibri" w:cs="Calibri" w:eastAsia="Calibri" w:hAnsi="Calibri"/>
          <w:sz w:val="16"/>
          <w:szCs w:val="16"/>
          <w:color w:val="auto"/>
        </w:rPr>
        <w:t>These consolidaton fnancial statements were approved for issue on June 20, 2022 by the board of directors and signed on its behalf by:</w:t>
      </w:r>
    </w:p>
    <w:p>
      <w:pPr>
        <w:spacing w:after="0" w:line="110" w:lineRule="exact"/>
        <w:rPr>
          <w:sz w:val="20"/>
          <w:szCs w:val="20"/>
          <w:color w:val="auto"/>
        </w:rPr>
      </w:pPr>
    </w:p>
    <w:p>
      <w:pPr>
        <w:spacing w:after="0"/>
        <w:tabs>
          <w:tab w:leader="none" w:pos="2740" w:val="left"/>
        </w:tabs>
        <w:rPr>
          <w:sz w:val="20"/>
          <w:szCs w:val="20"/>
          <w:color w:val="auto"/>
        </w:rPr>
      </w:pPr>
      <w:r>
        <w:rPr>
          <w:rFonts w:ascii="Calibri" w:cs="Calibri" w:eastAsia="Calibri" w:hAnsi="Calibri"/>
          <w:sz w:val="16"/>
          <w:szCs w:val="16"/>
          <w:i w:val="1"/>
          <w:iCs w:val="1"/>
          <w:color w:val="auto"/>
        </w:rPr>
        <w:t xml:space="preserve">/s/ Paul Glavine </w:t>
      </w:r>
      <w:r>
        <w:rPr>
          <w:rFonts w:ascii="Calibri" w:cs="Calibri" w:eastAsia="Calibri" w:hAnsi="Calibri"/>
          <w:sz w:val="16"/>
          <w:szCs w:val="16"/>
          <w:color w:val="auto"/>
        </w:rPr>
        <w:t>Director</w:t>
      </w:r>
      <w:r>
        <w:rPr>
          <w:sz w:val="20"/>
          <w:szCs w:val="20"/>
          <w:color w:val="auto"/>
        </w:rPr>
        <w:tab/>
      </w:r>
      <w:r>
        <w:rPr>
          <w:rFonts w:ascii="Calibri" w:cs="Calibri" w:eastAsia="Calibri" w:hAnsi="Calibri"/>
          <w:sz w:val="15"/>
          <w:szCs w:val="15"/>
          <w:i w:val="1"/>
          <w:iCs w:val="1"/>
          <w:color w:val="auto"/>
        </w:rPr>
        <w:t xml:space="preserve">/s/ Eric So </w:t>
      </w:r>
      <w:r>
        <w:rPr>
          <w:rFonts w:ascii="Calibri" w:cs="Calibri" w:eastAsia="Calibri" w:hAnsi="Calibri"/>
          <w:sz w:val="15"/>
          <w:szCs w:val="15"/>
          <w:color w:val="auto"/>
        </w:rPr>
        <w:t>Director</w:t>
      </w:r>
    </w:p>
    <w:p>
      <w:pPr>
        <w:sectPr>
          <w:pgSz w:w="11900" w:h="16838" w:orient="portrait"/>
          <w:cols w:equalWidth="0" w:num="1">
            <w:col w:w="11260"/>
          </w:cols>
          <w:pgMar w:left="320" w:top="151" w:right="319" w:bottom="1440" w:gutter="0" w:footer="0" w:header="0"/>
        </w:sectPr>
      </w:pPr>
    </w:p>
    <w:bookmarkStart w:id="106" w:name="page107"/>
    <w:bookmarkEnd w:id="106"/>
    <w:p>
      <w:pPr>
        <w:ind w:left="60"/>
        <w:spacing w:after="0"/>
        <w:rPr>
          <w:sz w:val="20"/>
          <w:szCs w:val="20"/>
          <w:color w:val="auto"/>
        </w:rPr>
      </w:pPr>
      <w:r>
        <w:rPr>
          <w:rFonts w:ascii="Calibri" w:cs="Calibri" w:eastAsia="Calibri" w:hAnsi="Calibri"/>
          <w:sz w:val="16"/>
          <w:szCs w:val="16"/>
          <w:b w:val="1"/>
          <w:bCs w:val="1"/>
          <w:color w:val="auto"/>
        </w:rPr>
        <w:t>CYBIN INC.</w:t>
      </w:r>
    </w:p>
    <w:p>
      <w:pPr>
        <w:ind w:left="60"/>
        <w:spacing w:after="0"/>
        <w:rPr>
          <w:sz w:val="20"/>
          <w:szCs w:val="20"/>
          <w:color w:val="auto"/>
        </w:rPr>
      </w:pPr>
      <w:r>
        <w:rPr>
          <w:rFonts w:ascii="Calibri" w:cs="Calibri" w:eastAsia="Calibri" w:hAnsi="Calibri"/>
          <w:sz w:val="16"/>
          <w:szCs w:val="16"/>
          <w:b w:val="1"/>
          <w:bCs w:val="1"/>
          <w:color w:val="auto"/>
        </w:rPr>
        <w:t>CONSOLIDATED STATEMENTS OF LOSS AND COMPREHENSIVE LOSS</w:t>
      </w:r>
    </w:p>
    <w:p>
      <w:pPr>
        <w:ind w:left="60"/>
        <w:spacing w:after="0"/>
        <w:rPr>
          <w:sz w:val="20"/>
          <w:szCs w:val="20"/>
          <w:color w:val="auto"/>
        </w:rPr>
      </w:pPr>
      <w:r>
        <w:rPr>
          <w:rFonts w:ascii="Calibri" w:cs="Calibri" w:eastAsia="Calibri" w:hAnsi="Calibri"/>
          <w:sz w:val="16"/>
          <w:szCs w:val="16"/>
          <w:b w:val="1"/>
          <w:bCs w:val="1"/>
          <w:color w:val="auto"/>
        </w:rPr>
        <w:t>(All amounts expressed in thousands of Canadian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714565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Calibri" w:cs="Calibri" w:eastAsia="Calibri" w:hAnsi="Calibri"/>
                <w:sz w:val="16"/>
                <w:szCs w:val="16"/>
                <w:b w:val="1"/>
                <w:bCs w:val="1"/>
                <w:color w:val="auto"/>
              </w:rPr>
              <w:t>For the year ended</w:t>
            </w:r>
          </w:p>
        </w:tc>
        <w:tc>
          <w:tcPr>
            <w:tcW w:w="860" w:type="dxa"/>
            <w:vAlign w:val="bottom"/>
          </w:tcPr>
          <w:p>
            <w:pPr>
              <w:spacing w:after="0"/>
              <w:rPr>
                <w:sz w:val="16"/>
                <w:szCs w:val="16"/>
                <w:color w:val="auto"/>
              </w:rPr>
            </w:pPr>
          </w:p>
        </w:tc>
      </w:tr>
      <w:tr>
        <w:trPr>
          <w:trHeight w:val="194"/>
        </w:trPr>
        <w:tc>
          <w:tcPr>
            <w:tcW w:w="63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40" w:type="dxa"/>
            <w:vAlign w:val="bottom"/>
          </w:tcPr>
          <w:p>
            <w:pPr>
              <w:jc w:val="right"/>
              <w:ind w:right="246"/>
              <w:spacing w:after="0" w:line="194" w:lineRule="exact"/>
              <w:rPr>
                <w:sz w:val="20"/>
                <w:szCs w:val="20"/>
                <w:color w:val="auto"/>
              </w:rPr>
            </w:pPr>
            <w:r>
              <w:rPr>
                <w:rFonts w:ascii="Calibri" w:cs="Calibri" w:eastAsia="Calibri" w:hAnsi="Calibri"/>
                <w:sz w:val="16"/>
                <w:szCs w:val="16"/>
                <w:b w:val="1"/>
                <w:bCs w:val="1"/>
                <w:color w:val="auto"/>
              </w:rPr>
              <w:t>March 31,</w:t>
            </w:r>
          </w:p>
        </w:tc>
        <w:tc>
          <w:tcPr>
            <w:tcW w:w="860" w:type="dxa"/>
            <w:vAlign w:val="bottom"/>
          </w:tcPr>
          <w:p>
            <w:pPr>
              <w:spacing w:after="0"/>
              <w:rPr>
                <w:sz w:val="16"/>
                <w:szCs w:val="16"/>
                <w:color w:val="auto"/>
              </w:rPr>
            </w:pPr>
          </w:p>
        </w:tc>
      </w:tr>
      <w:tr>
        <w:trPr>
          <w:trHeight w:val="33"/>
        </w:trPr>
        <w:tc>
          <w:tcPr>
            <w:tcW w:w="63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6"/>
        </w:trPr>
        <w:tc>
          <w:tcPr>
            <w:tcW w:w="6300" w:type="dxa"/>
            <w:vAlign w:val="bottom"/>
          </w:tcPr>
          <w:p>
            <w:pPr>
              <w:spacing w:after="0"/>
              <w:rPr>
                <w:sz w:val="14"/>
                <w:szCs w:val="14"/>
                <w:color w:val="auto"/>
              </w:rPr>
            </w:pPr>
          </w:p>
        </w:tc>
        <w:tc>
          <w:tcPr>
            <w:tcW w:w="2260" w:type="dxa"/>
            <w:vAlign w:val="bottom"/>
          </w:tcPr>
          <w:p>
            <w:pPr>
              <w:ind w:left="1540"/>
              <w:spacing w:after="0" w:line="166" w:lineRule="exact"/>
              <w:rPr>
                <w:sz w:val="20"/>
                <w:szCs w:val="20"/>
                <w:color w:val="auto"/>
              </w:rPr>
            </w:pPr>
            <w:r>
              <w:rPr>
                <w:rFonts w:ascii="Calibri" w:cs="Calibri" w:eastAsia="Calibri" w:hAnsi="Calibri"/>
                <w:sz w:val="15"/>
                <w:szCs w:val="15"/>
                <w:i w:val="1"/>
                <w:iCs w:val="1"/>
                <w:color w:val="auto"/>
              </w:rPr>
              <w:t>Notes</w:t>
            </w:r>
          </w:p>
        </w:tc>
        <w:tc>
          <w:tcPr>
            <w:tcW w:w="1840" w:type="dxa"/>
            <w:vAlign w:val="bottom"/>
          </w:tcPr>
          <w:p>
            <w:pPr>
              <w:jc w:val="right"/>
              <w:ind w:right="646"/>
              <w:spacing w:after="0" w:line="166" w:lineRule="exact"/>
              <w:rPr>
                <w:sz w:val="20"/>
                <w:szCs w:val="20"/>
                <w:color w:val="auto"/>
              </w:rPr>
            </w:pPr>
            <w:r>
              <w:rPr>
                <w:rFonts w:ascii="Calibri" w:cs="Calibri" w:eastAsia="Calibri" w:hAnsi="Calibri"/>
                <w:sz w:val="15"/>
                <w:szCs w:val="15"/>
                <w:b w:val="1"/>
                <w:bCs w:val="1"/>
                <w:color w:val="auto"/>
              </w:rPr>
              <w:t>2022</w:t>
            </w:r>
          </w:p>
        </w:tc>
        <w:tc>
          <w:tcPr>
            <w:tcW w:w="860" w:type="dxa"/>
            <w:vAlign w:val="bottom"/>
          </w:tcPr>
          <w:p>
            <w:pPr>
              <w:jc w:val="right"/>
              <w:ind w:right="7"/>
              <w:spacing w:after="0" w:line="166" w:lineRule="exact"/>
              <w:rPr>
                <w:sz w:val="20"/>
                <w:szCs w:val="20"/>
                <w:color w:val="auto"/>
              </w:rPr>
            </w:pPr>
            <w:r>
              <w:rPr>
                <w:rFonts w:ascii="Calibri" w:cs="Calibri" w:eastAsia="Calibri" w:hAnsi="Calibri"/>
                <w:sz w:val="15"/>
                <w:szCs w:val="15"/>
                <w:b w:val="1"/>
                <w:bCs w:val="1"/>
                <w:color w:val="auto"/>
              </w:rPr>
              <w:t>2021</w:t>
            </w:r>
          </w:p>
        </w:tc>
      </w:tr>
      <w:tr>
        <w:trPr>
          <w:trHeight w:val="22"/>
        </w:trPr>
        <w:tc>
          <w:tcPr>
            <w:tcW w:w="63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615"/>
        </w:trPr>
        <w:tc>
          <w:tcPr>
            <w:tcW w:w="6300" w:type="dxa"/>
            <w:vAlign w:val="bottom"/>
          </w:tcPr>
          <w:p>
            <w:pPr>
              <w:ind w:left="60"/>
              <w:spacing w:after="0"/>
              <w:rPr>
                <w:sz w:val="20"/>
                <w:szCs w:val="20"/>
                <w:color w:val="auto"/>
              </w:rPr>
            </w:pPr>
            <w:r>
              <w:rPr>
                <w:rFonts w:ascii="Calibri" w:cs="Calibri" w:eastAsia="Calibri" w:hAnsi="Calibri"/>
                <w:sz w:val="15"/>
                <w:szCs w:val="15"/>
                <w:b w:val="1"/>
                <w:bCs w:val="1"/>
                <w:color w:val="auto"/>
              </w:rPr>
              <w:t>REVENUE</w:t>
            </w:r>
          </w:p>
        </w:tc>
        <w:tc>
          <w:tcPr>
            <w:tcW w:w="2260" w:type="dxa"/>
            <w:vAlign w:val="bottom"/>
          </w:tcPr>
          <w:p>
            <w:pPr>
              <w:spacing w:after="0"/>
              <w:rPr>
                <w:sz w:val="24"/>
                <w:szCs w:val="24"/>
                <w:color w:val="auto"/>
              </w:rPr>
            </w:pPr>
          </w:p>
        </w:tc>
        <w:tc>
          <w:tcPr>
            <w:tcW w:w="1840" w:type="dxa"/>
            <w:vAlign w:val="bottom"/>
          </w:tcPr>
          <w:p>
            <w:pPr>
              <w:jc w:val="right"/>
              <w:ind w:right="646"/>
              <w:spacing w:after="0"/>
              <w:rPr>
                <w:sz w:val="20"/>
                <w:szCs w:val="20"/>
                <w:color w:val="auto"/>
              </w:rPr>
            </w:pPr>
            <w:r>
              <w:rPr>
                <w:rFonts w:ascii="Calibri" w:cs="Calibri" w:eastAsia="Calibri" w:hAnsi="Calibri"/>
                <w:sz w:val="15"/>
                <w:szCs w:val="15"/>
                <w:b w:val="1"/>
                <w:bCs w:val="1"/>
                <w:color w:val="auto"/>
              </w:rPr>
              <w:t>—</w:t>
            </w:r>
          </w:p>
        </w:tc>
        <w:tc>
          <w:tcPr>
            <w:tcW w:w="860" w:type="dxa"/>
            <w:vAlign w:val="bottom"/>
          </w:tcPr>
          <w:p>
            <w:pPr>
              <w:jc w:val="right"/>
              <w:ind w:right="7"/>
              <w:spacing w:after="0"/>
              <w:rPr>
                <w:sz w:val="20"/>
                <w:szCs w:val="20"/>
                <w:color w:val="auto"/>
              </w:rPr>
            </w:pPr>
            <w:r>
              <w:rPr>
                <w:rFonts w:ascii="Calibri" w:cs="Calibri" w:eastAsia="Calibri" w:hAnsi="Calibri"/>
                <w:sz w:val="15"/>
                <w:szCs w:val="15"/>
                <w:color w:val="auto"/>
              </w:rPr>
              <w:t>864</w:t>
            </w:r>
          </w:p>
        </w:tc>
      </w:tr>
      <w:tr>
        <w:trPr>
          <w:trHeight w:val="195"/>
        </w:trPr>
        <w:tc>
          <w:tcPr>
            <w:tcW w:w="6300" w:type="dxa"/>
            <w:vAlign w:val="bottom"/>
          </w:tcPr>
          <w:p>
            <w:pPr>
              <w:ind w:left="60"/>
              <w:spacing w:after="0"/>
              <w:rPr>
                <w:sz w:val="20"/>
                <w:szCs w:val="20"/>
                <w:color w:val="auto"/>
              </w:rPr>
            </w:pPr>
            <w:r>
              <w:rPr>
                <w:rFonts w:ascii="Calibri" w:cs="Calibri" w:eastAsia="Calibri" w:hAnsi="Calibri"/>
                <w:sz w:val="15"/>
                <w:szCs w:val="15"/>
                <w:b w:val="1"/>
                <w:bCs w:val="1"/>
                <w:color w:val="auto"/>
              </w:rPr>
              <w:t>COST OF GOODS SOLD</w:t>
            </w:r>
          </w:p>
        </w:tc>
        <w:tc>
          <w:tcPr>
            <w:tcW w:w="2260" w:type="dxa"/>
            <w:vAlign w:val="bottom"/>
          </w:tcPr>
          <w:p>
            <w:pPr>
              <w:spacing w:after="0"/>
              <w:rPr>
                <w:sz w:val="17"/>
                <w:szCs w:val="17"/>
                <w:color w:val="auto"/>
              </w:rPr>
            </w:pPr>
          </w:p>
        </w:tc>
        <w:tc>
          <w:tcPr>
            <w:tcW w:w="1840" w:type="dxa"/>
            <w:vAlign w:val="bottom"/>
          </w:tcPr>
          <w:p>
            <w:pPr>
              <w:jc w:val="right"/>
              <w:ind w:right="646"/>
              <w:spacing w:after="0"/>
              <w:rPr>
                <w:sz w:val="20"/>
                <w:szCs w:val="20"/>
                <w:color w:val="auto"/>
              </w:rPr>
            </w:pPr>
            <w:r>
              <w:rPr>
                <w:rFonts w:ascii="Calibri" w:cs="Calibri" w:eastAsia="Calibri" w:hAnsi="Calibri"/>
                <w:sz w:val="15"/>
                <w:szCs w:val="15"/>
                <w:b w:val="1"/>
                <w:bCs w:val="1"/>
                <w:color w:val="auto"/>
              </w:rPr>
              <w:t>—</w:t>
            </w:r>
          </w:p>
        </w:tc>
        <w:tc>
          <w:tcPr>
            <w:tcW w:w="860" w:type="dxa"/>
            <w:vAlign w:val="bottom"/>
          </w:tcPr>
          <w:p>
            <w:pPr>
              <w:jc w:val="right"/>
              <w:ind w:right="7"/>
              <w:spacing w:after="0"/>
              <w:rPr>
                <w:sz w:val="20"/>
                <w:szCs w:val="20"/>
                <w:color w:val="auto"/>
              </w:rPr>
            </w:pPr>
            <w:r>
              <w:rPr>
                <w:rFonts w:ascii="Calibri" w:cs="Calibri" w:eastAsia="Calibri" w:hAnsi="Calibri"/>
                <w:sz w:val="15"/>
                <w:szCs w:val="15"/>
                <w:color w:val="auto"/>
              </w:rPr>
              <w:t>664</w:t>
            </w:r>
          </w:p>
        </w:tc>
      </w:tr>
      <w:tr>
        <w:trPr>
          <w:trHeight w:val="25"/>
        </w:trPr>
        <w:tc>
          <w:tcPr>
            <w:tcW w:w="63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6"/>
        </w:trPr>
        <w:tc>
          <w:tcPr>
            <w:tcW w:w="6300" w:type="dxa"/>
            <w:vAlign w:val="bottom"/>
          </w:tcPr>
          <w:p>
            <w:pPr>
              <w:ind w:left="60"/>
              <w:spacing w:after="0" w:line="166" w:lineRule="exact"/>
              <w:rPr>
                <w:sz w:val="20"/>
                <w:szCs w:val="20"/>
                <w:color w:val="auto"/>
              </w:rPr>
            </w:pPr>
            <w:r>
              <w:rPr>
                <w:rFonts w:ascii="Calibri" w:cs="Calibri" w:eastAsia="Calibri" w:hAnsi="Calibri"/>
                <w:sz w:val="15"/>
                <w:szCs w:val="15"/>
                <w:b w:val="1"/>
                <w:bCs w:val="1"/>
                <w:color w:val="auto"/>
              </w:rPr>
              <w:t>GROSS PROFIT</w:t>
            </w:r>
          </w:p>
        </w:tc>
        <w:tc>
          <w:tcPr>
            <w:tcW w:w="2260" w:type="dxa"/>
            <w:vAlign w:val="bottom"/>
          </w:tcPr>
          <w:p>
            <w:pPr>
              <w:spacing w:after="0"/>
              <w:rPr>
                <w:sz w:val="14"/>
                <w:szCs w:val="14"/>
                <w:color w:val="auto"/>
              </w:rPr>
            </w:pPr>
          </w:p>
        </w:tc>
        <w:tc>
          <w:tcPr>
            <w:tcW w:w="1840" w:type="dxa"/>
            <w:vAlign w:val="bottom"/>
          </w:tcPr>
          <w:p>
            <w:pPr>
              <w:jc w:val="right"/>
              <w:ind w:right="646"/>
              <w:spacing w:after="0" w:line="166" w:lineRule="exact"/>
              <w:rPr>
                <w:sz w:val="20"/>
                <w:szCs w:val="20"/>
                <w:color w:val="auto"/>
              </w:rPr>
            </w:pPr>
            <w:r>
              <w:rPr>
                <w:rFonts w:ascii="Calibri" w:cs="Calibri" w:eastAsia="Calibri" w:hAnsi="Calibri"/>
                <w:sz w:val="15"/>
                <w:szCs w:val="15"/>
                <w:b w:val="1"/>
                <w:bCs w:val="1"/>
                <w:color w:val="auto"/>
              </w:rPr>
              <w:t>—</w:t>
            </w:r>
          </w:p>
        </w:tc>
        <w:tc>
          <w:tcPr>
            <w:tcW w:w="860" w:type="dxa"/>
            <w:vAlign w:val="bottom"/>
          </w:tcPr>
          <w:p>
            <w:pPr>
              <w:jc w:val="right"/>
              <w:ind w:right="7"/>
              <w:spacing w:after="0" w:line="166" w:lineRule="exact"/>
              <w:rPr>
                <w:sz w:val="20"/>
                <w:szCs w:val="20"/>
                <w:color w:val="auto"/>
              </w:rPr>
            </w:pPr>
            <w:r>
              <w:rPr>
                <w:rFonts w:ascii="Calibri" w:cs="Calibri" w:eastAsia="Calibri" w:hAnsi="Calibri"/>
                <w:sz w:val="15"/>
                <w:szCs w:val="15"/>
                <w:color w:val="auto"/>
              </w:rPr>
              <w:t>200</w:t>
            </w:r>
          </w:p>
        </w:tc>
      </w:tr>
      <w:tr>
        <w:trPr>
          <w:trHeight w:val="22"/>
        </w:trPr>
        <w:tc>
          <w:tcPr>
            <w:tcW w:w="63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83"/>
        </w:trPr>
        <w:tc>
          <w:tcPr>
            <w:tcW w:w="6300" w:type="dxa"/>
            <w:vAlign w:val="bottom"/>
          </w:tcPr>
          <w:p>
            <w:pPr>
              <w:ind w:left="60"/>
              <w:spacing w:after="0"/>
              <w:rPr>
                <w:sz w:val="20"/>
                <w:szCs w:val="20"/>
                <w:color w:val="auto"/>
              </w:rPr>
            </w:pPr>
            <w:r>
              <w:rPr>
                <w:rFonts w:ascii="Calibri" w:cs="Calibri" w:eastAsia="Calibri" w:hAnsi="Calibri"/>
                <w:sz w:val="15"/>
                <w:szCs w:val="15"/>
                <w:b w:val="1"/>
                <w:bCs w:val="1"/>
                <w:color w:val="auto"/>
              </w:rPr>
              <w:t>EXPENSES</w:t>
            </w:r>
          </w:p>
        </w:tc>
        <w:tc>
          <w:tcPr>
            <w:tcW w:w="2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0"/>
        </w:trPr>
        <w:tc>
          <w:tcPr>
            <w:tcW w:w="6300" w:type="dxa"/>
            <w:vAlign w:val="bottom"/>
          </w:tcPr>
          <w:p>
            <w:pPr>
              <w:ind w:left="200"/>
              <w:spacing w:after="0"/>
              <w:rPr>
                <w:sz w:val="20"/>
                <w:szCs w:val="20"/>
                <w:color w:val="auto"/>
              </w:rPr>
            </w:pPr>
            <w:r>
              <w:rPr>
                <w:rFonts w:ascii="Calibri" w:cs="Calibri" w:eastAsia="Calibri" w:hAnsi="Calibri"/>
                <w:sz w:val="15"/>
                <w:szCs w:val="15"/>
                <w:color w:val="auto"/>
              </w:rPr>
              <w:t>Share-based compensaton</w:t>
            </w:r>
          </w:p>
        </w:tc>
        <w:tc>
          <w:tcPr>
            <w:tcW w:w="2260" w:type="dxa"/>
            <w:vAlign w:val="bottom"/>
          </w:tcPr>
          <w:p>
            <w:pPr>
              <w:jc w:val="center"/>
              <w:ind w:left="767"/>
              <w:spacing w:after="0"/>
              <w:rPr>
                <w:sz w:val="20"/>
                <w:szCs w:val="20"/>
                <w:color w:val="auto"/>
              </w:rPr>
            </w:pPr>
            <w:r>
              <w:rPr>
                <w:rFonts w:ascii="Calibri" w:cs="Calibri" w:eastAsia="Calibri" w:hAnsi="Calibri"/>
                <w:sz w:val="15"/>
                <w:szCs w:val="15"/>
                <w:i w:val="1"/>
                <w:iCs w:val="1"/>
                <w:color w:val="auto"/>
              </w:rPr>
              <w:t>10, 11</w:t>
            </w:r>
          </w:p>
        </w:tc>
        <w:tc>
          <w:tcPr>
            <w:tcW w:w="1840" w:type="dxa"/>
            <w:vAlign w:val="bottom"/>
          </w:tcPr>
          <w:p>
            <w:pPr>
              <w:jc w:val="right"/>
              <w:ind w:right="646"/>
              <w:spacing w:after="0"/>
              <w:rPr>
                <w:sz w:val="20"/>
                <w:szCs w:val="20"/>
                <w:color w:val="auto"/>
              </w:rPr>
            </w:pPr>
            <w:r>
              <w:rPr>
                <w:rFonts w:ascii="Calibri" w:cs="Calibri" w:eastAsia="Calibri" w:hAnsi="Calibri"/>
                <w:sz w:val="15"/>
                <w:szCs w:val="15"/>
                <w:b w:val="1"/>
                <w:bCs w:val="1"/>
                <w:color w:val="auto"/>
              </w:rPr>
              <w:t>18,030</w:t>
            </w:r>
          </w:p>
        </w:tc>
        <w:tc>
          <w:tcPr>
            <w:tcW w:w="860" w:type="dxa"/>
            <w:vAlign w:val="bottom"/>
          </w:tcPr>
          <w:p>
            <w:pPr>
              <w:jc w:val="right"/>
              <w:ind w:right="7"/>
              <w:spacing w:after="0"/>
              <w:rPr>
                <w:sz w:val="20"/>
                <w:szCs w:val="20"/>
                <w:color w:val="auto"/>
              </w:rPr>
            </w:pPr>
            <w:r>
              <w:rPr>
                <w:rFonts w:ascii="Calibri" w:cs="Calibri" w:eastAsia="Calibri" w:hAnsi="Calibri"/>
                <w:sz w:val="15"/>
                <w:szCs w:val="15"/>
                <w:color w:val="auto"/>
              </w:rPr>
              <w:t>11,554</w:t>
            </w:r>
          </w:p>
        </w:tc>
      </w:tr>
      <w:tr>
        <w:trPr>
          <w:trHeight w:val="220"/>
        </w:trPr>
        <w:tc>
          <w:tcPr>
            <w:tcW w:w="6300" w:type="dxa"/>
            <w:vAlign w:val="bottom"/>
          </w:tcPr>
          <w:p>
            <w:pPr>
              <w:ind w:left="200"/>
              <w:spacing w:after="0"/>
              <w:rPr>
                <w:sz w:val="20"/>
                <w:szCs w:val="20"/>
                <w:color w:val="auto"/>
              </w:rPr>
            </w:pPr>
            <w:r>
              <w:rPr>
                <w:rFonts w:ascii="Calibri" w:cs="Calibri" w:eastAsia="Calibri" w:hAnsi="Calibri"/>
                <w:sz w:val="15"/>
                <w:szCs w:val="15"/>
                <w:color w:val="auto"/>
              </w:rPr>
              <w:t>General and administratve costs</w:t>
            </w:r>
          </w:p>
        </w:tc>
        <w:tc>
          <w:tcPr>
            <w:tcW w:w="2260" w:type="dxa"/>
            <w:vAlign w:val="bottom"/>
          </w:tcPr>
          <w:p>
            <w:pPr>
              <w:jc w:val="center"/>
              <w:ind w:left="767"/>
              <w:spacing w:after="0"/>
              <w:rPr>
                <w:sz w:val="20"/>
                <w:szCs w:val="20"/>
                <w:color w:val="auto"/>
              </w:rPr>
            </w:pPr>
            <w:r>
              <w:rPr>
                <w:rFonts w:ascii="Calibri" w:cs="Calibri" w:eastAsia="Calibri" w:hAnsi="Calibri"/>
                <w:sz w:val="15"/>
                <w:szCs w:val="15"/>
                <w:i w:val="1"/>
                <w:iCs w:val="1"/>
                <w:color w:val="auto"/>
                <w:w w:val="91"/>
              </w:rPr>
              <w:t>12</w:t>
            </w:r>
          </w:p>
        </w:tc>
        <w:tc>
          <w:tcPr>
            <w:tcW w:w="1840" w:type="dxa"/>
            <w:vAlign w:val="bottom"/>
          </w:tcPr>
          <w:p>
            <w:pPr>
              <w:jc w:val="right"/>
              <w:ind w:right="646"/>
              <w:spacing w:after="0"/>
              <w:rPr>
                <w:sz w:val="20"/>
                <w:szCs w:val="20"/>
                <w:color w:val="auto"/>
              </w:rPr>
            </w:pPr>
            <w:r>
              <w:rPr>
                <w:rFonts w:ascii="Calibri" w:cs="Calibri" w:eastAsia="Calibri" w:hAnsi="Calibri"/>
                <w:sz w:val="15"/>
                <w:szCs w:val="15"/>
                <w:b w:val="1"/>
                <w:bCs w:val="1"/>
                <w:color w:val="auto"/>
              </w:rPr>
              <w:t>28,222</w:t>
            </w:r>
          </w:p>
        </w:tc>
        <w:tc>
          <w:tcPr>
            <w:tcW w:w="860" w:type="dxa"/>
            <w:vAlign w:val="bottom"/>
          </w:tcPr>
          <w:p>
            <w:pPr>
              <w:jc w:val="right"/>
              <w:ind w:right="7"/>
              <w:spacing w:after="0"/>
              <w:rPr>
                <w:sz w:val="20"/>
                <w:szCs w:val="20"/>
                <w:color w:val="auto"/>
              </w:rPr>
            </w:pPr>
            <w:r>
              <w:rPr>
                <w:rFonts w:ascii="Calibri" w:cs="Calibri" w:eastAsia="Calibri" w:hAnsi="Calibri"/>
                <w:sz w:val="15"/>
                <w:szCs w:val="15"/>
                <w:color w:val="auto"/>
              </w:rPr>
              <w:t>15,870</w:t>
            </w:r>
          </w:p>
        </w:tc>
      </w:tr>
      <w:tr>
        <w:trPr>
          <w:trHeight w:val="220"/>
        </w:trPr>
        <w:tc>
          <w:tcPr>
            <w:tcW w:w="6300" w:type="dxa"/>
            <w:vAlign w:val="bottom"/>
          </w:tcPr>
          <w:p>
            <w:pPr>
              <w:ind w:left="200"/>
              <w:spacing w:after="0"/>
              <w:rPr>
                <w:sz w:val="20"/>
                <w:szCs w:val="20"/>
                <w:color w:val="auto"/>
              </w:rPr>
            </w:pPr>
            <w:r>
              <w:rPr>
                <w:rFonts w:ascii="Calibri" w:cs="Calibri" w:eastAsia="Calibri" w:hAnsi="Calibri"/>
                <w:sz w:val="15"/>
                <w:szCs w:val="15"/>
                <w:color w:val="auto"/>
              </w:rPr>
              <w:t>Research</w:t>
            </w:r>
          </w:p>
        </w:tc>
        <w:tc>
          <w:tcPr>
            <w:tcW w:w="2260" w:type="dxa"/>
            <w:vAlign w:val="bottom"/>
          </w:tcPr>
          <w:p>
            <w:pPr>
              <w:spacing w:after="0"/>
              <w:rPr>
                <w:sz w:val="19"/>
                <w:szCs w:val="19"/>
                <w:color w:val="auto"/>
              </w:rPr>
            </w:pPr>
          </w:p>
        </w:tc>
        <w:tc>
          <w:tcPr>
            <w:tcW w:w="1840" w:type="dxa"/>
            <w:vAlign w:val="bottom"/>
          </w:tcPr>
          <w:p>
            <w:pPr>
              <w:jc w:val="right"/>
              <w:ind w:right="646"/>
              <w:spacing w:after="0"/>
              <w:rPr>
                <w:sz w:val="20"/>
                <w:szCs w:val="20"/>
                <w:color w:val="auto"/>
              </w:rPr>
            </w:pPr>
            <w:r>
              <w:rPr>
                <w:rFonts w:ascii="Calibri" w:cs="Calibri" w:eastAsia="Calibri" w:hAnsi="Calibri"/>
                <w:sz w:val="15"/>
                <w:szCs w:val="15"/>
                <w:b w:val="1"/>
                <w:bCs w:val="1"/>
                <w:color w:val="auto"/>
              </w:rPr>
              <w:t>17,586</w:t>
            </w:r>
          </w:p>
        </w:tc>
        <w:tc>
          <w:tcPr>
            <w:tcW w:w="860" w:type="dxa"/>
            <w:vAlign w:val="bottom"/>
          </w:tcPr>
          <w:p>
            <w:pPr>
              <w:jc w:val="right"/>
              <w:ind w:right="7"/>
              <w:spacing w:after="0"/>
              <w:rPr>
                <w:sz w:val="20"/>
                <w:szCs w:val="20"/>
                <w:color w:val="auto"/>
              </w:rPr>
            </w:pPr>
            <w:r>
              <w:rPr>
                <w:rFonts w:ascii="Calibri" w:cs="Calibri" w:eastAsia="Calibri" w:hAnsi="Calibri"/>
                <w:sz w:val="15"/>
                <w:szCs w:val="15"/>
                <w:color w:val="auto"/>
              </w:rPr>
              <w:t>3,300</w:t>
            </w:r>
          </w:p>
        </w:tc>
      </w:tr>
      <w:tr>
        <w:trPr>
          <w:trHeight w:val="257"/>
        </w:trPr>
        <w:tc>
          <w:tcPr>
            <w:tcW w:w="63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166"/>
        </w:trPr>
        <w:tc>
          <w:tcPr>
            <w:tcW w:w="6300" w:type="dxa"/>
            <w:vAlign w:val="bottom"/>
          </w:tcPr>
          <w:p>
            <w:pPr>
              <w:ind w:left="60"/>
              <w:spacing w:after="0" w:line="166" w:lineRule="exact"/>
              <w:rPr>
                <w:sz w:val="20"/>
                <w:szCs w:val="20"/>
                <w:color w:val="auto"/>
              </w:rPr>
            </w:pPr>
            <w:r>
              <w:rPr>
                <w:rFonts w:ascii="Calibri" w:cs="Calibri" w:eastAsia="Calibri" w:hAnsi="Calibri"/>
                <w:sz w:val="15"/>
                <w:szCs w:val="15"/>
                <w:b w:val="1"/>
                <w:bCs w:val="1"/>
                <w:color w:val="auto"/>
              </w:rPr>
              <w:t>TOTAL EXPENSES</w:t>
            </w:r>
          </w:p>
        </w:tc>
        <w:tc>
          <w:tcPr>
            <w:tcW w:w="2260" w:type="dxa"/>
            <w:vAlign w:val="bottom"/>
          </w:tcPr>
          <w:p>
            <w:pPr>
              <w:spacing w:after="0"/>
              <w:rPr>
                <w:sz w:val="14"/>
                <w:szCs w:val="14"/>
                <w:color w:val="auto"/>
              </w:rPr>
            </w:pPr>
          </w:p>
        </w:tc>
        <w:tc>
          <w:tcPr>
            <w:tcW w:w="1840" w:type="dxa"/>
            <w:vAlign w:val="bottom"/>
          </w:tcPr>
          <w:p>
            <w:pPr>
              <w:jc w:val="right"/>
              <w:ind w:right="646"/>
              <w:spacing w:after="0" w:line="166" w:lineRule="exact"/>
              <w:rPr>
                <w:sz w:val="20"/>
                <w:szCs w:val="20"/>
                <w:color w:val="auto"/>
              </w:rPr>
            </w:pPr>
            <w:r>
              <w:rPr>
                <w:rFonts w:ascii="Calibri" w:cs="Calibri" w:eastAsia="Calibri" w:hAnsi="Calibri"/>
                <w:sz w:val="15"/>
                <w:szCs w:val="15"/>
                <w:b w:val="1"/>
                <w:bCs w:val="1"/>
                <w:color w:val="auto"/>
              </w:rPr>
              <w:t>63,838</w:t>
            </w:r>
          </w:p>
        </w:tc>
        <w:tc>
          <w:tcPr>
            <w:tcW w:w="860" w:type="dxa"/>
            <w:vAlign w:val="bottom"/>
          </w:tcPr>
          <w:p>
            <w:pPr>
              <w:jc w:val="right"/>
              <w:ind w:right="7"/>
              <w:spacing w:after="0" w:line="166" w:lineRule="exact"/>
              <w:rPr>
                <w:sz w:val="20"/>
                <w:szCs w:val="20"/>
                <w:color w:val="auto"/>
              </w:rPr>
            </w:pPr>
            <w:r>
              <w:rPr>
                <w:rFonts w:ascii="Calibri" w:cs="Calibri" w:eastAsia="Calibri" w:hAnsi="Calibri"/>
                <w:sz w:val="15"/>
                <w:szCs w:val="15"/>
                <w:color w:val="auto"/>
              </w:rPr>
              <w:t>30,724</w:t>
            </w:r>
          </w:p>
        </w:tc>
      </w:tr>
      <w:tr>
        <w:trPr>
          <w:trHeight w:val="22"/>
        </w:trPr>
        <w:tc>
          <w:tcPr>
            <w:tcW w:w="63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83"/>
        </w:trPr>
        <w:tc>
          <w:tcPr>
            <w:tcW w:w="6300" w:type="dxa"/>
            <w:vAlign w:val="bottom"/>
          </w:tcPr>
          <w:p>
            <w:pPr>
              <w:ind w:left="60"/>
              <w:spacing w:after="0"/>
              <w:rPr>
                <w:sz w:val="20"/>
                <w:szCs w:val="20"/>
                <w:color w:val="auto"/>
              </w:rPr>
            </w:pPr>
            <w:r>
              <w:rPr>
                <w:rFonts w:ascii="Calibri" w:cs="Calibri" w:eastAsia="Calibri" w:hAnsi="Calibri"/>
                <w:sz w:val="15"/>
                <w:szCs w:val="15"/>
                <w:b w:val="1"/>
                <w:bCs w:val="1"/>
                <w:color w:val="auto"/>
              </w:rPr>
              <w:t>OTHER INCOME (EXPENSES)</w:t>
            </w:r>
          </w:p>
        </w:tc>
        <w:tc>
          <w:tcPr>
            <w:tcW w:w="2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0"/>
        </w:trPr>
        <w:tc>
          <w:tcPr>
            <w:tcW w:w="6300" w:type="dxa"/>
            <w:vAlign w:val="bottom"/>
          </w:tcPr>
          <w:p>
            <w:pPr>
              <w:ind w:left="200"/>
              <w:spacing w:after="0"/>
              <w:rPr>
                <w:sz w:val="20"/>
                <w:szCs w:val="20"/>
                <w:color w:val="auto"/>
              </w:rPr>
            </w:pPr>
            <w:r>
              <w:rPr>
                <w:rFonts w:ascii="Calibri" w:cs="Calibri" w:eastAsia="Calibri" w:hAnsi="Calibri"/>
                <w:sz w:val="15"/>
                <w:szCs w:val="15"/>
                <w:color w:val="auto"/>
              </w:rPr>
              <w:t>Interest income</w:t>
            </w:r>
          </w:p>
        </w:tc>
        <w:tc>
          <w:tcPr>
            <w:tcW w:w="2260" w:type="dxa"/>
            <w:vAlign w:val="bottom"/>
          </w:tcPr>
          <w:p>
            <w:pPr>
              <w:spacing w:after="0"/>
              <w:rPr>
                <w:sz w:val="19"/>
                <w:szCs w:val="19"/>
                <w:color w:val="auto"/>
              </w:rPr>
            </w:pPr>
          </w:p>
        </w:tc>
        <w:tc>
          <w:tcPr>
            <w:tcW w:w="1840" w:type="dxa"/>
            <w:vAlign w:val="bottom"/>
          </w:tcPr>
          <w:p>
            <w:pPr>
              <w:jc w:val="right"/>
              <w:ind w:right="646"/>
              <w:spacing w:after="0"/>
              <w:rPr>
                <w:sz w:val="20"/>
                <w:szCs w:val="20"/>
                <w:color w:val="auto"/>
              </w:rPr>
            </w:pPr>
            <w:r>
              <w:rPr>
                <w:rFonts w:ascii="Calibri" w:cs="Calibri" w:eastAsia="Calibri" w:hAnsi="Calibri"/>
                <w:sz w:val="15"/>
                <w:szCs w:val="15"/>
                <w:b w:val="1"/>
                <w:bCs w:val="1"/>
                <w:color w:val="auto"/>
              </w:rPr>
              <w:t>241</w:t>
            </w:r>
          </w:p>
        </w:tc>
        <w:tc>
          <w:tcPr>
            <w:tcW w:w="860" w:type="dxa"/>
            <w:vAlign w:val="bottom"/>
          </w:tcPr>
          <w:p>
            <w:pPr>
              <w:jc w:val="right"/>
              <w:ind w:right="7"/>
              <w:spacing w:after="0"/>
              <w:rPr>
                <w:sz w:val="20"/>
                <w:szCs w:val="20"/>
                <w:color w:val="auto"/>
              </w:rPr>
            </w:pPr>
            <w:r>
              <w:rPr>
                <w:rFonts w:ascii="Calibri" w:cs="Calibri" w:eastAsia="Calibri" w:hAnsi="Calibri"/>
                <w:sz w:val="15"/>
                <w:szCs w:val="15"/>
                <w:color w:val="auto"/>
              </w:rPr>
              <w:t>60</w:t>
            </w:r>
          </w:p>
        </w:tc>
      </w:tr>
      <w:tr>
        <w:trPr>
          <w:trHeight w:val="220"/>
        </w:trPr>
        <w:tc>
          <w:tcPr>
            <w:tcW w:w="6300" w:type="dxa"/>
            <w:vAlign w:val="bottom"/>
          </w:tcPr>
          <w:p>
            <w:pPr>
              <w:ind w:left="200"/>
              <w:spacing w:after="0"/>
              <w:rPr>
                <w:sz w:val="20"/>
                <w:szCs w:val="20"/>
                <w:color w:val="auto"/>
              </w:rPr>
            </w:pPr>
            <w:r>
              <w:rPr>
                <w:rFonts w:ascii="Calibri" w:cs="Calibri" w:eastAsia="Calibri" w:hAnsi="Calibri"/>
                <w:sz w:val="15"/>
                <w:szCs w:val="15"/>
                <w:color w:val="auto"/>
              </w:rPr>
              <w:t>Accreton on convertble debt</w:t>
            </w:r>
          </w:p>
        </w:tc>
        <w:tc>
          <w:tcPr>
            <w:tcW w:w="2260" w:type="dxa"/>
            <w:vAlign w:val="bottom"/>
          </w:tcPr>
          <w:p>
            <w:pPr>
              <w:spacing w:after="0"/>
              <w:rPr>
                <w:sz w:val="19"/>
                <w:szCs w:val="19"/>
                <w:color w:val="auto"/>
              </w:rPr>
            </w:pPr>
          </w:p>
        </w:tc>
        <w:tc>
          <w:tcPr>
            <w:tcW w:w="1840" w:type="dxa"/>
            <w:vAlign w:val="bottom"/>
          </w:tcPr>
          <w:p>
            <w:pPr>
              <w:jc w:val="right"/>
              <w:ind w:right="646"/>
              <w:spacing w:after="0"/>
              <w:rPr>
                <w:sz w:val="20"/>
                <w:szCs w:val="20"/>
                <w:color w:val="auto"/>
              </w:rPr>
            </w:pPr>
            <w:r>
              <w:rPr>
                <w:rFonts w:ascii="Calibri" w:cs="Calibri" w:eastAsia="Calibri" w:hAnsi="Calibri"/>
                <w:sz w:val="15"/>
                <w:szCs w:val="15"/>
                <w:b w:val="1"/>
                <w:bCs w:val="1"/>
                <w:color w:val="auto"/>
              </w:rPr>
              <w:t>—</w:t>
            </w:r>
          </w:p>
        </w:tc>
        <w:tc>
          <w:tcPr>
            <w:tcW w:w="860" w:type="dxa"/>
            <w:vAlign w:val="bottom"/>
          </w:tcPr>
          <w:p>
            <w:pPr>
              <w:jc w:val="right"/>
              <w:ind w:right="7"/>
              <w:spacing w:after="0"/>
              <w:rPr>
                <w:sz w:val="20"/>
                <w:szCs w:val="20"/>
                <w:color w:val="auto"/>
              </w:rPr>
            </w:pPr>
            <w:r>
              <w:rPr>
                <w:rFonts w:ascii="Calibri" w:cs="Calibri" w:eastAsia="Calibri" w:hAnsi="Calibri"/>
                <w:sz w:val="15"/>
                <w:szCs w:val="15"/>
                <w:color w:val="auto"/>
              </w:rPr>
              <w:t>(10)</w:t>
            </w:r>
          </w:p>
        </w:tc>
      </w:tr>
      <w:tr>
        <w:trPr>
          <w:trHeight w:val="195"/>
        </w:trPr>
        <w:tc>
          <w:tcPr>
            <w:tcW w:w="6300" w:type="dxa"/>
            <w:vAlign w:val="bottom"/>
          </w:tcPr>
          <w:p>
            <w:pPr>
              <w:ind w:left="200"/>
              <w:spacing w:after="0"/>
              <w:rPr>
                <w:sz w:val="20"/>
                <w:szCs w:val="20"/>
                <w:color w:val="auto"/>
              </w:rPr>
            </w:pPr>
            <w:r>
              <w:rPr>
                <w:rFonts w:ascii="Calibri" w:cs="Calibri" w:eastAsia="Calibri" w:hAnsi="Calibri"/>
                <w:sz w:val="15"/>
                <w:szCs w:val="15"/>
                <w:color w:val="auto"/>
              </w:rPr>
              <w:t>Impairment of investment</w:t>
            </w:r>
          </w:p>
        </w:tc>
        <w:tc>
          <w:tcPr>
            <w:tcW w:w="2260" w:type="dxa"/>
            <w:vAlign w:val="bottom"/>
          </w:tcPr>
          <w:p>
            <w:pPr>
              <w:spacing w:after="0"/>
              <w:rPr>
                <w:sz w:val="17"/>
                <w:szCs w:val="17"/>
                <w:color w:val="auto"/>
              </w:rPr>
            </w:pPr>
          </w:p>
        </w:tc>
        <w:tc>
          <w:tcPr>
            <w:tcW w:w="1840" w:type="dxa"/>
            <w:vAlign w:val="bottom"/>
          </w:tcPr>
          <w:p>
            <w:pPr>
              <w:jc w:val="right"/>
              <w:ind w:right="646"/>
              <w:spacing w:after="0"/>
              <w:rPr>
                <w:sz w:val="20"/>
                <w:szCs w:val="20"/>
                <w:color w:val="auto"/>
              </w:rPr>
            </w:pPr>
            <w:r>
              <w:rPr>
                <w:rFonts w:ascii="Calibri" w:cs="Calibri" w:eastAsia="Calibri" w:hAnsi="Calibri"/>
                <w:sz w:val="15"/>
                <w:szCs w:val="15"/>
                <w:b w:val="1"/>
                <w:bCs w:val="1"/>
                <w:color w:val="auto"/>
              </w:rPr>
              <w:t>—</w:t>
            </w:r>
          </w:p>
        </w:tc>
        <w:tc>
          <w:tcPr>
            <w:tcW w:w="860" w:type="dxa"/>
            <w:vAlign w:val="bottom"/>
          </w:tcPr>
          <w:p>
            <w:pPr>
              <w:jc w:val="right"/>
              <w:ind w:right="7"/>
              <w:spacing w:after="0"/>
              <w:rPr>
                <w:sz w:val="20"/>
                <w:szCs w:val="20"/>
                <w:color w:val="auto"/>
              </w:rPr>
            </w:pPr>
            <w:r>
              <w:rPr>
                <w:rFonts w:ascii="Calibri" w:cs="Calibri" w:eastAsia="Calibri" w:hAnsi="Calibri"/>
                <w:sz w:val="15"/>
                <w:szCs w:val="15"/>
                <w:color w:val="auto"/>
              </w:rPr>
              <w:t>(63)</w:t>
            </w:r>
          </w:p>
        </w:tc>
      </w:tr>
      <w:tr>
        <w:trPr>
          <w:trHeight w:val="195"/>
        </w:trPr>
        <w:tc>
          <w:tcPr>
            <w:tcW w:w="6300" w:type="dxa"/>
            <w:vAlign w:val="bottom"/>
          </w:tcPr>
          <w:p>
            <w:pPr>
              <w:ind w:left="200"/>
              <w:spacing w:after="0"/>
              <w:rPr>
                <w:sz w:val="20"/>
                <w:szCs w:val="20"/>
                <w:color w:val="auto"/>
              </w:rPr>
            </w:pPr>
            <w:r>
              <w:rPr>
                <w:rFonts w:ascii="Calibri" w:cs="Calibri" w:eastAsia="Calibri" w:hAnsi="Calibri"/>
                <w:sz w:val="15"/>
                <w:szCs w:val="15"/>
                <w:color w:val="auto"/>
              </w:rPr>
              <w:t>Impairment of promissory note</w:t>
            </w:r>
          </w:p>
        </w:tc>
        <w:tc>
          <w:tcPr>
            <w:tcW w:w="2260" w:type="dxa"/>
            <w:vAlign w:val="bottom"/>
          </w:tcPr>
          <w:p>
            <w:pPr>
              <w:spacing w:after="0"/>
              <w:rPr>
                <w:sz w:val="17"/>
                <w:szCs w:val="17"/>
                <w:color w:val="auto"/>
              </w:rPr>
            </w:pPr>
          </w:p>
        </w:tc>
        <w:tc>
          <w:tcPr>
            <w:tcW w:w="1840" w:type="dxa"/>
            <w:vAlign w:val="bottom"/>
          </w:tcPr>
          <w:p>
            <w:pPr>
              <w:jc w:val="right"/>
              <w:ind w:right="646"/>
              <w:spacing w:after="0"/>
              <w:rPr>
                <w:sz w:val="20"/>
                <w:szCs w:val="20"/>
                <w:color w:val="auto"/>
              </w:rPr>
            </w:pPr>
            <w:r>
              <w:rPr>
                <w:rFonts w:ascii="Calibri" w:cs="Calibri" w:eastAsia="Calibri" w:hAnsi="Calibri"/>
                <w:sz w:val="15"/>
                <w:szCs w:val="15"/>
                <w:b w:val="1"/>
                <w:bCs w:val="1"/>
                <w:color w:val="auto"/>
              </w:rPr>
              <w:t>—</w:t>
            </w:r>
          </w:p>
        </w:tc>
        <w:tc>
          <w:tcPr>
            <w:tcW w:w="860" w:type="dxa"/>
            <w:vAlign w:val="bottom"/>
          </w:tcPr>
          <w:p>
            <w:pPr>
              <w:jc w:val="right"/>
              <w:ind w:right="7"/>
              <w:spacing w:after="0"/>
              <w:rPr>
                <w:sz w:val="20"/>
                <w:szCs w:val="20"/>
                <w:color w:val="auto"/>
              </w:rPr>
            </w:pPr>
            <w:r>
              <w:rPr>
                <w:rFonts w:ascii="Calibri" w:cs="Calibri" w:eastAsia="Calibri" w:hAnsi="Calibri"/>
                <w:sz w:val="15"/>
                <w:szCs w:val="15"/>
                <w:color w:val="auto"/>
              </w:rPr>
              <w:t>(230)</w:t>
            </w:r>
          </w:p>
        </w:tc>
      </w:tr>
      <w:tr>
        <w:trPr>
          <w:trHeight w:val="195"/>
        </w:trPr>
        <w:tc>
          <w:tcPr>
            <w:tcW w:w="6300" w:type="dxa"/>
            <w:vAlign w:val="bottom"/>
          </w:tcPr>
          <w:p>
            <w:pPr>
              <w:ind w:left="200"/>
              <w:spacing w:after="0"/>
              <w:rPr>
                <w:sz w:val="20"/>
                <w:szCs w:val="20"/>
                <w:color w:val="auto"/>
              </w:rPr>
            </w:pPr>
            <w:r>
              <w:rPr>
                <w:rFonts w:ascii="Calibri" w:cs="Calibri" w:eastAsia="Calibri" w:hAnsi="Calibri"/>
                <w:sz w:val="15"/>
                <w:szCs w:val="15"/>
                <w:color w:val="auto"/>
              </w:rPr>
              <w:t>Impairment of inventory</w:t>
            </w:r>
          </w:p>
        </w:tc>
        <w:tc>
          <w:tcPr>
            <w:tcW w:w="2260" w:type="dxa"/>
            <w:vAlign w:val="bottom"/>
          </w:tcPr>
          <w:p>
            <w:pPr>
              <w:spacing w:after="0"/>
              <w:rPr>
                <w:sz w:val="17"/>
                <w:szCs w:val="17"/>
                <w:color w:val="auto"/>
              </w:rPr>
            </w:pPr>
          </w:p>
        </w:tc>
        <w:tc>
          <w:tcPr>
            <w:tcW w:w="1840" w:type="dxa"/>
            <w:vAlign w:val="bottom"/>
          </w:tcPr>
          <w:p>
            <w:pPr>
              <w:jc w:val="right"/>
              <w:ind w:right="646"/>
              <w:spacing w:after="0"/>
              <w:rPr>
                <w:sz w:val="20"/>
                <w:szCs w:val="20"/>
                <w:color w:val="auto"/>
              </w:rPr>
            </w:pPr>
            <w:r>
              <w:rPr>
                <w:rFonts w:ascii="Calibri" w:cs="Calibri" w:eastAsia="Calibri" w:hAnsi="Calibri"/>
                <w:sz w:val="15"/>
                <w:szCs w:val="15"/>
                <w:b w:val="1"/>
                <w:bCs w:val="1"/>
                <w:color w:val="auto"/>
              </w:rPr>
              <w:t>—</w:t>
            </w:r>
          </w:p>
        </w:tc>
        <w:tc>
          <w:tcPr>
            <w:tcW w:w="860" w:type="dxa"/>
            <w:vAlign w:val="bottom"/>
          </w:tcPr>
          <w:p>
            <w:pPr>
              <w:jc w:val="right"/>
              <w:ind w:right="7"/>
              <w:spacing w:after="0"/>
              <w:rPr>
                <w:sz w:val="20"/>
                <w:szCs w:val="20"/>
                <w:color w:val="auto"/>
              </w:rPr>
            </w:pPr>
            <w:r>
              <w:rPr>
                <w:rFonts w:ascii="Calibri" w:cs="Calibri" w:eastAsia="Calibri" w:hAnsi="Calibri"/>
                <w:sz w:val="15"/>
                <w:szCs w:val="15"/>
                <w:color w:val="auto"/>
              </w:rPr>
              <w:t>(511)</w:t>
            </w:r>
          </w:p>
        </w:tc>
      </w:tr>
      <w:tr>
        <w:trPr>
          <w:trHeight w:val="195"/>
        </w:trPr>
        <w:tc>
          <w:tcPr>
            <w:tcW w:w="6300" w:type="dxa"/>
            <w:vAlign w:val="bottom"/>
          </w:tcPr>
          <w:p>
            <w:pPr>
              <w:ind w:left="200"/>
              <w:spacing w:after="0"/>
              <w:rPr>
                <w:sz w:val="20"/>
                <w:szCs w:val="20"/>
                <w:color w:val="auto"/>
              </w:rPr>
            </w:pPr>
            <w:r>
              <w:rPr>
                <w:rFonts w:ascii="Calibri" w:cs="Calibri" w:eastAsia="Calibri" w:hAnsi="Calibri"/>
                <w:sz w:val="15"/>
                <w:szCs w:val="15"/>
                <w:color w:val="auto"/>
              </w:rPr>
              <w:t>Change in fair value of investments measured at fair value through proft or loss</w:t>
            </w:r>
          </w:p>
        </w:tc>
        <w:tc>
          <w:tcPr>
            <w:tcW w:w="2260" w:type="dxa"/>
            <w:vAlign w:val="bottom"/>
          </w:tcPr>
          <w:p>
            <w:pPr>
              <w:jc w:val="center"/>
              <w:ind w:left="767"/>
              <w:spacing w:after="0"/>
              <w:rPr>
                <w:sz w:val="20"/>
                <w:szCs w:val="20"/>
                <w:color w:val="auto"/>
              </w:rPr>
            </w:pPr>
            <w:r>
              <w:rPr>
                <w:rFonts w:ascii="Calibri" w:cs="Calibri" w:eastAsia="Calibri" w:hAnsi="Calibri"/>
                <w:sz w:val="15"/>
                <w:szCs w:val="15"/>
                <w:i w:val="1"/>
                <w:iCs w:val="1"/>
                <w:color w:val="auto"/>
                <w:w w:val="78"/>
              </w:rPr>
              <w:t>5</w:t>
            </w:r>
          </w:p>
        </w:tc>
        <w:tc>
          <w:tcPr>
            <w:tcW w:w="1840" w:type="dxa"/>
            <w:vAlign w:val="bottom"/>
          </w:tcPr>
          <w:p>
            <w:pPr>
              <w:jc w:val="right"/>
              <w:ind w:right="646"/>
              <w:spacing w:after="0"/>
              <w:rPr>
                <w:sz w:val="20"/>
                <w:szCs w:val="20"/>
                <w:color w:val="auto"/>
              </w:rPr>
            </w:pPr>
            <w:r>
              <w:rPr>
                <w:rFonts w:ascii="Calibri" w:cs="Calibri" w:eastAsia="Calibri" w:hAnsi="Calibri"/>
                <w:sz w:val="15"/>
                <w:szCs w:val="15"/>
                <w:b w:val="1"/>
                <w:bCs w:val="1"/>
                <w:color w:val="auto"/>
              </w:rPr>
              <w:t>(29)</w:t>
            </w:r>
          </w:p>
        </w:tc>
        <w:tc>
          <w:tcPr>
            <w:tcW w:w="860" w:type="dxa"/>
            <w:vAlign w:val="bottom"/>
          </w:tcPr>
          <w:p>
            <w:pPr>
              <w:jc w:val="right"/>
              <w:ind w:right="7"/>
              <w:spacing w:after="0"/>
              <w:rPr>
                <w:sz w:val="20"/>
                <w:szCs w:val="20"/>
                <w:color w:val="auto"/>
              </w:rPr>
            </w:pPr>
            <w:r>
              <w:rPr>
                <w:rFonts w:ascii="Calibri" w:cs="Calibri" w:eastAsia="Calibri" w:hAnsi="Calibri"/>
                <w:sz w:val="15"/>
                <w:szCs w:val="15"/>
                <w:color w:val="auto"/>
              </w:rPr>
              <w:t>—</w:t>
            </w:r>
          </w:p>
        </w:tc>
      </w:tr>
      <w:tr>
        <w:trPr>
          <w:trHeight w:val="220"/>
        </w:trPr>
        <w:tc>
          <w:tcPr>
            <w:tcW w:w="6300" w:type="dxa"/>
            <w:vAlign w:val="bottom"/>
          </w:tcPr>
          <w:p>
            <w:pPr>
              <w:ind w:left="200"/>
              <w:spacing w:after="0"/>
              <w:rPr>
                <w:sz w:val="20"/>
                <w:szCs w:val="20"/>
                <w:color w:val="auto"/>
              </w:rPr>
            </w:pPr>
            <w:r>
              <w:rPr>
                <w:rFonts w:ascii="Calibri" w:cs="Calibri" w:eastAsia="Calibri" w:hAnsi="Calibri"/>
                <w:sz w:val="15"/>
                <w:szCs w:val="15"/>
                <w:color w:val="auto"/>
              </w:rPr>
              <w:t>Foreign currency translaton loss</w:t>
            </w:r>
          </w:p>
        </w:tc>
        <w:tc>
          <w:tcPr>
            <w:tcW w:w="2260" w:type="dxa"/>
            <w:vAlign w:val="bottom"/>
          </w:tcPr>
          <w:p>
            <w:pPr>
              <w:spacing w:after="0"/>
              <w:rPr>
                <w:sz w:val="19"/>
                <w:szCs w:val="19"/>
                <w:color w:val="auto"/>
              </w:rPr>
            </w:pPr>
          </w:p>
        </w:tc>
        <w:tc>
          <w:tcPr>
            <w:tcW w:w="1840" w:type="dxa"/>
            <w:vAlign w:val="bottom"/>
          </w:tcPr>
          <w:p>
            <w:pPr>
              <w:jc w:val="right"/>
              <w:ind w:right="646"/>
              <w:spacing w:after="0"/>
              <w:rPr>
                <w:sz w:val="20"/>
                <w:szCs w:val="20"/>
                <w:color w:val="auto"/>
              </w:rPr>
            </w:pPr>
            <w:r>
              <w:rPr>
                <w:rFonts w:ascii="Calibri" w:cs="Calibri" w:eastAsia="Calibri" w:hAnsi="Calibri"/>
                <w:sz w:val="15"/>
                <w:szCs w:val="15"/>
                <w:b w:val="1"/>
                <w:bCs w:val="1"/>
                <w:color w:val="auto"/>
              </w:rPr>
              <w:t>(309)</w:t>
            </w:r>
          </w:p>
        </w:tc>
        <w:tc>
          <w:tcPr>
            <w:tcW w:w="860" w:type="dxa"/>
            <w:vAlign w:val="bottom"/>
          </w:tcPr>
          <w:p>
            <w:pPr>
              <w:jc w:val="right"/>
              <w:ind w:right="7"/>
              <w:spacing w:after="0"/>
              <w:rPr>
                <w:sz w:val="20"/>
                <w:szCs w:val="20"/>
                <w:color w:val="auto"/>
              </w:rPr>
            </w:pPr>
            <w:r>
              <w:rPr>
                <w:rFonts w:ascii="Calibri" w:cs="Calibri" w:eastAsia="Calibri" w:hAnsi="Calibri"/>
                <w:sz w:val="15"/>
                <w:szCs w:val="15"/>
                <w:color w:val="auto"/>
              </w:rPr>
              <w:t>(460)</w:t>
            </w:r>
          </w:p>
        </w:tc>
      </w:tr>
      <w:tr>
        <w:trPr>
          <w:trHeight w:val="220"/>
        </w:trPr>
        <w:tc>
          <w:tcPr>
            <w:tcW w:w="6300" w:type="dxa"/>
            <w:vAlign w:val="bottom"/>
          </w:tcPr>
          <w:p>
            <w:pPr>
              <w:ind w:left="220"/>
              <w:spacing w:after="0"/>
              <w:rPr>
                <w:sz w:val="20"/>
                <w:szCs w:val="20"/>
                <w:color w:val="auto"/>
              </w:rPr>
            </w:pPr>
            <w:r>
              <w:rPr>
                <w:rFonts w:ascii="Calibri" w:cs="Calibri" w:eastAsia="Calibri" w:hAnsi="Calibri"/>
                <w:sz w:val="15"/>
                <w:szCs w:val="15"/>
                <w:color w:val="auto"/>
              </w:rPr>
              <w:t>Contngent consideraton accreton</w:t>
            </w:r>
          </w:p>
        </w:tc>
        <w:tc>
          <w:tcPr>
            <w:tcW w:w="2260" w:type="dxa"/>
            <w:vAlign w:val="bottom"/>
          </w:tcPr>
          <w:p>
            <w:pPr>
              <w:jc w:val="center"/>
              <w:ind w:left="767"/>
              <w:spacing w:after="0"/>
              <w:rPr>
                <w:sz w:val="20"/>
                <w:szCs w:val="20"/>
                <w:color w:val="auto"/>
              </w:rPr>
            </w:pPr>
            <w:r>
              <w:rPr>
                <w:rFonts w:ascii="Calibri" w:cs="Calibri" w:eastAsia="Calibri" w:hAnsi="Calibri"/>
                <w:sz w:val="15"/>
                <w:szCs w:val="15"/>
                <w:i w:val="1"/>
                <w:iCs w:val="1"/>
                <w:color w:val="auto"/>
                <w:w w:val="78"/>
              </w:rPr>
              <w:t>9</w:t>
            </w:r>
          </w:p>
        </w:tc>
        <w:tc>
          <w:tcPr>
            <w:tcW w:w="1840" w:type="dxa"/>
            <w:vAlign w:val="bottom"/>
          </w:tcPr>
          <w:p>
            <w:pPr>
              <w:jc w:val="right"/>
              <w:ind w:right="646"/>
              <w:spacing w:after="0"/>
              <w:rPr>
                <w:sz w:val="20"/>
                <w:szCs w:val="20"/>
                <w:color w:val="auto"/>
              </w:rPr>
            </w:pPr>
            <w:r>
              <w:rPr>
                <w:rFonts w:ascii="Calibri" w:cs="Calibri" w:eastAsia="Calibri" w:hAnsi="Calibri"/>
                <w:sz w:val="15"/>
                <w:szCs w:val="15"/>
                <w:b w:val="1"/>
                <w:bCs w:val="1"/>
                <w:color w:val="auto"/>
              </w:rPr>
              <w:t>(316)</w:t>
            </w:r>
          </w:p>
        </w:tc>
        <w:tc>
          <w:tcPr>
            <w:tcW w:w="860" w:type="dxa"/>
            <w:vAlign w:val="bottom"/>
          </w:tcPr>
          <w:p>
            <w:pPr>
              <w:jc w:val="right"/>
              <w:ind w:right="7"/>
              <w:spacing w:after="0"/>
              <w:rPr>
                <w:sz w:val="20"/>
                <w:szCs w:val="20"/>
                <w:color w:val="auto"/>
              </w:rPr>
            </w:pPr>
            <w:r>
              <w:rPr>
                <w:rFonts w:ascii="Calibri" w:cs="Calibri" w:eastAsia="Calibri" w:hAnsi="Calibri"/>
                <w:sz w:val="15"/>
                <w:szCs w:val="15"/>
                <w:color w:val="auto"/>
              </w:rPr>
              <w:t>(482)</w:t>
            </w:r>
          </w:p>
        </w:tc>
      </w:tr>
      <w:tr>
        <w:trPr>
          <w:trHeight w:val="208"/>
        </w:trPr>
        <w:tc>
          <w:tcPr>
            <w:tcW w:w="6300" w:type="dxa"/>
            <w:vAlign w:val="bottom"/>
          </w:tcPr>
          <w:p>
            <w:pPr>
              <w:ind w:left="200"/>
              <w:spacing w:after="0"/>
              <w:rPr>
                <w:sz w:val="20"/>
                <w:szCs w:val="20"/>
                <w:color w:val="auto"/>
              </w:rPr>
            </w:pPr>
            <w:r>
              <w:rPr>
                <w:rFonts w:ascii="Calibri" w:cs="Calibri" w:eastAsia="Calibri" w:hAnsi="Calibri"/>
                <w:sz w:val="15"/>
                <w:szCs w:val="15"/>
                <w:color w:val="auto"/>
              </w:rPr>
              <w:t>Change in fair value of contngent consideraton</w:t>
            </w:r>
          </w:p>
        </w:tc>
        <w:tc>
          <w:tcPr>
            <w:tcW w:w="2260" w:type="dxa"/>
            <w:vAlign w:val="bottom"/>
          </w:tcPr>
          <w:p>
            <w:pPr>
              <w:jc w:val="center"/>
              <w:ind w:left="767"/>
              <w:spacing w:after="0"/>
              <w:rPr>
                <w:sz w:val="20"/>
                <w:szCs w:val="20"/>
                <w:color w:val="auto"/>
              </w:rPr>
            </w:pPr>
            <w:r>
              <w:rPr>
                <w:rFonts w:ascii="Calibri" w:cs="Calibri" w:eastAsia="Calibri" w:hAnsi="Calibri"/>
                <w:sz w:val="15"/>
                <w:szCs w:val="15"/>
                <w:i w:val="1"/>
                <w:iCs w:val="1"/>
                <w:color w:val="auto"/>
                <w:w w:val="78"/>
              </w:rPr>
              <w:t>9</w:t>
            </w:r>
          </w:p>
        </w:tc>
        <w:tc>
          <w:tcPr>
            <w:tcW w:w="1840" w:type="dxa"/>
            <w:vAlign w:val="bottom"/>
          </w:tcPr>
          <w:p>
            <w:pPr>
              <w:jc w:val="right"/>
              <w:ind w:right="646"/>
              <w:spacing w:after="0"/>
              <w:rPr>
                <w:sz w:val="20"/>
                <w:szCs w:val="20"/>
                <w:color w:val="auto"/>
              </w:rPr>
            </w:pPr>
            <w:r>
              <w:rPr>
                <w:rFonts w:ascii="Calibri" w:cs="Calibri" w:eastAsia="Calibri" w:hAnsi="Calibri"/>
                <w:sz w:val="15"/>
                <w:szCs w:val="15"/>
                <w:b w:val="1"/>
                <w:bCs w:val="1"/>
                <w:color w:val="auto"/>
              </w:rPr>
              <w:t>(3,380)</w:t>
            </w:r>
          </w:p>
        </w:tc>
        <w:tc>
          <w:tcPr>
            <w:tcW w:w="860" w:type="dxa"/>
            <w:vAlign w:val="bottom"/>
          </w:tcPr>
          <w:p>
            <w:pPr>
              <w:jc w:val="right"/>
              <w:ind w:right="7"/>
              <w:spacing w:after="0"/>
              <w:rPr>
                <w:sz w:val="20"/>
                <w:szCs w:val="20"/>
                <w:color w:val="auto"/>
              </w:rPr>
            </w:pPr>
            <w:r>
              <w:rPr>
                <w:rFonts w:ascii="Calibri" w:cs="Calibri" w:eastAsia="Calibri" w:hAnsi="Calibri"/>
                <w:sz w:val="15"/>
                <w:szCs w:val="15"/>
                <w:color w:val="auto"/>
              </w:rPr>
              <w:t>—</w:t>
            </w:r>
          </w:p>
        </w:tc>
      </w:tr>
      <w:tr>
        <w:trPr>
          <w:trHeight w:val="269"/>
        </w:trPr>
        <w:tc>
          <w:tcPr>
            <w:tcW w:w="630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r>
      <w:tr>
        <w:trPr>
          <w:trHeight w:val="166"/>
        </w:trPr>
        <w:tc>
          <w:tcPr>
            <w:tcW w:w="6300" w:type="dxa"/>
            <w:vAlign w:val="bottom"/>
          </w:tcPr>
          <w:p>
            <w:pPr>
              <w:ind w:left="60"/>
              <w:spacing w:after="0" w:line="166" w:lineRule="exact"/>
              <w:rPr>
                <w:sz w:val="20"/>
                <w:szCs w:val="20"/>
                <w:color w:val="auto"/>
              </w:rPr>
            </w:pPr>
            <w:r>
              <w:rPr>
                <w:rFonts w:ascii="Calibri" w:cs="Calibri" w:eastAsia="Calibri" w:hAnsi="Calibri"/>
                <w:sz w:val="15"/>
                <w:szCs w:val="15"/>
                <w:b w:val="1"/>
                <w:bCs w:val="1"/>
                <w:color w:val="auto"/>
              </w:rPr>
              <w:t>TOTAL OTHER EXPENSES</w:t>
            </w:r>
          </w:p>
        </w:tc>
        <w:tc>
          <w:tcPr>
            <w:tcW w:w="2260" w:type="dxa"/>
            <w:vAlign w:val="bottom"/>
          </w:tcPr>
          <w:p>
            <w:pPr>
              <w:spacing w:after="0"/>
              <w:rPr>
                <w:sz w:val="14"/>
                <w:szCs w:val="14"/>
                <w:color w:val="auto"/>
              </w:rPr>
            </w:pPr>
          </w:p>
        </w:tc>
        <w:tc>
          <w:tcPr>
            <w:tcW w:w="1840" w:type="dxa"/>
            <w:vAlign w:val="bottom"/>
          </w:tcPr>
          <w:p>
            <w:pPr>
              <w:jc w:val="right"/>
              <w:ind w:right="646"/>
              <w:spacing w:after="0" w:line="166" w:lineRule="exact"/>
              <w:rPr>
                <w:sz w:val="20"/>
                <w:szCs w:val="20"/>
                <w:color w:val="auto"/>
              </w:rPr>
            </w:pPr>
            <w:r>
              <w:rPr>
                <w:rFonts w:ascii="Calibri" w:cs="Calibri" w:eastAsia="Calibri" w:hAnsi="Calibri"/>
                <w:sz w:val="15"/>
                <w:szCs w:val="15"/>
                <w:b w:val="1"/>
                <w:bCs w:val="1"/>
                <w:color w:val="auto"/>
              </w:rPr>
              <w:t>(3,793)</w:t>
            </w:r>
          </w:p>
        </w:tc>
        <w:tc>
          <w:tcPr>
            <w:tcW w:w="860" w:type="dxa"/>
            <w:vAlign w:val="bottom"/>
          </w:tcPr>
          <w:p>
            <w:pPr>
              <w:jc w:val="right"/>
              <w:ind w:right="7"/>
              <w:spacing w:after="0" w:line="166" w:lineRule="exact"/>
              <w:rPr>
                <w:sz w:val="20"/>
                <w:szCs w:val="20"/>
                <w:color w:val="auto"/>
              </w:rPr>
            </w:pPr>
            <w:r>
              <w:rPr>
                <w:rFonts w:ascii="Calibri" w:cs="Calibri" w:eastAsia="Calibri" w:hAnsi="Calibri"/>
                <w:sz w:val="15"/>
                <w:szCs w:val="15"/>
                <w:color w:val="auto"/>
              </w:rPr>
              <w:t>(1,696)</w:t>
            </w:r>
          </w:p>
        </w:tc>
      </w:tr>
      <w:tr>
        <w:trPr>
          <w:trHeight w:val="22"/>
        </w:trPr>
        <w:tc>
          <w:tcPr>
            <w:tcW w:w="63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2"/>
        </w:trPr>
        <w:tc>
          <w:tcPr>
            <w:tcW w:w="6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93"/>
        </w:trPr>
        <w:tc>
          <w:tcPr>
            <w:tcW w:w="6300" w:type="dxa"/>
            <w:vAlign w:val="bottom"/>
            <w:tcBorders>
              <w:bottom w:val="single" w:sz="8" w:color="D9D9D9"/>
            </w:tcBorders>
            <w:shd w:val="clear" w:color="auto" w:fill="D9D9D9"/>
          </w:tcPr>
          <w:p>
            <w:pPr>
              <w:ind w:left="60"/>
              <w:spacing w:after="0" w:line="166" w:lineRule="exact"/>
              <w:rPr>
                <w:sz w:val="20"/>
                <w:szCs w:val="20"/>
                <w:color w:val="auto"/>
              </w:rPr>
            </w:pPr>
            <w:r>
              <w:rPr>
                <w:rFonts w:ascii="Calibri" w:cs="Calibri" w:eastAsia="Calibri" w:hAnsi="Calibri"/>
                <w:sz w:val="15"/>
                <w:szCs w:val="15"/>
                <w:b w:val="1"/>
                <w:bCs w:val="1"/>
                <w:color w:val="auto"/>
              </w:rPr>
              <w:t>NET LOSS FOR THE PERIOD</w:t>
            </w:r>
          </w:p>
        </w:tc>
        <w:tc>
          <w:tcPr>
            <w:tcW w:w="2260" w:type="dxa"/>
            <w:vAlign w:val="bottom"/>
            <w:tcBorders>
              <w:bottom w:val="single" w:sz="8" w:color="D9D9D9"/>
            </w:tcBorders>
            <w:shd w:val="clear" w:color="auto" w:fill="D9D9D9"/>
          </w:tcPr>
          <w:p>
            <w:pPr>
              <w:spacing w:after="0"/>
              <w:rPr>
                <w:sz w:val="16"/>
                <w:szCs w:val="16"/>
                <w:color w:val="auto"/>
              </w:rPr>
            </w:pPr>
          </w:p>
        </w:tc>
        <w:tc>
          <w:tcPr>
            <w:tcW w:w="1840" w:type="dxa"/>
            <w:vAlign w:val="bottom"/>
            <w:tcBorders>
              <w:bottom w:val="single" w:sz="8" w:color="D9D9D9"/>
            </w:tcBorders>
            <w:shd w:val="clear" w:color="auto" w:fill="D9D9D9"/>
          </w:tcPr>
          <w:p>
            <w:pPr>
              <w:jc w:val="right"/>
              <w:ind w:right="646"/>
              <w:spacing w:after="0" w:line="166" w:lineRule="exact"/>
              <w:rPr>
                <w:sz w:val="20"/>
                <w:szCs w:val="20"/>
                <w:color w:val="auto"/>
              </w:rPr>
            </w:pPr>
            <w:r>
              <w:rPr>
                <w:rFonts w:ascii="Calibri" w:cs="Calibri" w:eastAsia="Calibri" w:hAnsi="Calibri"/>
                <w:sz w:val="15"/>
                <w:szCs w:val="15"/>
                <w:b w:val="1"/>
                <w:bCs w:val="1"/>
                <w:color w:val="auto"/>
              </w:rPr>
              <w:t>(67,631)</w:t>
            </w:r>
          </w:p>
        </w:tc>
        <w:tc>
          <w:tcPr>
            <w:tcW w:w="860" w:type="dxa"/>
            <w:vAlign w:val="bottom"/>
            <w:tcBorders>
              <w:bottom w:val="single" w:sz="8" w:color="D9D9D9"/>
            </w:tcBorders>
            <w:shd w:val="clear" w:color="auto" w:fill="D9D9D9"/>
          </w:tcPr>
          <w:p>
            <w:pPr>
              <w:jc w:val="right"/>
              <w:ind w:right="7"/>
              <w:spacing w:after="0" w:line="166" w:lineRule="exact"/>
              <w:rPr>
                <w:sz w:val="20"/>
                <w:szCs w:val="20"/>
                <w:color w:val="auto"/>
              </w:rPr>
            </w:pPr>
            <w:r>
              <w:rPr>
                <w:rFonts w:ascii="Calibri" w:cs="Calibri" w:eastAsia="Calibri" w:hAnsi="Calibri"/>
                <w:sz w:val="15"/>
                <w:szCs w:val="15"/>
                <w:color w:val="auto"/>
              </w:rPr>
              <w:t>(32,220)</w:t>
            </w:r>
          </w:p>
        </w:tc>
      </w:tr>
      <w:tr>
        <w:trPr>
          <w:trHeight w:val="383"/>
        </w:trPr>
        <w:tc>
          <w:tcPr>
            <w:tcW w:w="630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OTHER COMPREHENSIVE LOSS</w:t>
            </w:r>
          </w:p>
        </w:tc>
        <w:tc>
          <w:tcPr>
            <w:tcW w:w="226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20"/>
        </w:trPr>
        <w:tc>
          <w:tcPr>
            <w:tcW w:w="6300" w:type="dxa"/>
            <w:vAlign w:val="bottom"/>
          </w:tcPr>
          <w:p>
            <w:pPr>
              <w:ind w:left="160"/>
              <w:spacing w:after="0"/>
              <w:rPr>
                <w:sz w:val="20"/>
                <w:szCs w:val="20"/>
                <w:color w:val="auto"/>
              </w:rPr>
            </w:pPr>
            <w:r>
              <w:rPr>
                <w:rFonts w:ascii="Calibri" w:cs="Calibri" w:eastAsia="Calibri" w:hAnsi="Calibri"/>
                <w:sz w:val="15"/>
                <w:szCs w:val="15"/>
                <w:color w:val="auto"/>
              </w:rPr>
              <w:t>Foreign currency translaton diferences for foreign operatons</w:t>
            </w:r>
          </w:p>
        </w:tc>
        <w:tc>
          <w:tcPr>
            <w:tcW w:w="2260" w:type="dxa"/>
            <w:vAlign w:val="bottom"/>
          </w:tcPr>
          <w:p>
            <w:pPr>
              <w:spacing w:after="0"/>
              <w:rPr>
                <w:sz w:val="19"/>
                <w:szCs w:val="19"/>
                <w:color w:val="auto"/>
              </w:rPr>
            </w:pPr>
          </w:p>
        </w:tc>
        <w:tc>
          <w:tcPr>
            <w:tcW w:w="1840" w:type="dxa"/>
            <w:vAlign w:val="bottom"/>
          </w:tcPr>
          <w:p>
            <w:pPr>
              <w:jc w:val="right"/>
              <w:ind w:right="646"/>
              <w:spacing w:after="0"/>
              <w:rPr>
                <w:sz w:val="20"/>
                <w:szCs w:val="20"/>
                <w:color w:val="auto"/>
              </w:rPr>
            </w:pPr>
            <w:r>
              <w:rPr>
                <w:rFonts w:ascii="Calibri" w:cs="Calibri" w:eastAsia="Calibri" w:hAnsi="Calibri"/>
                <w:sz w:val="15"/>
                <w:szCs w:val="15"/>
                <w:b w:val="1"/>
                <w:bCs w:val="1"/>
                <w:color w:val="auto"/>
              </w:rPr>
              <w:t>(390)</w:t>
            </w:r>
          </w:p>
        </w:tc>
        <w:tc>
          <w:tcPr>
            <w:tcW w:w="860" w:type="dxa"/>
            <w:vAlign w:val="bottom"/>
          </w:tcPr>
          <w:p>
            <w:pPr>
              <w:jc w:val="right"/>
              <w:ind w:right="7"/>
              <w:spacing w:after="0"/>
              <w:rPr>
                <w:sz w:val="20"/>
                <w:szCs w:val="20"/>
                <w:color w:val="auto"/>
              </w:rPr>
            </w:pPr>
            <w:r>
              <w:rPr>
                <w:rFonts w:ascii="Calibri" w:cs="Calibri" w:eastAsia="Calibri" w:hAnsi="Calibri"/>
                <w:sz w:val="15"/>
                <w:szCs w:val="15"/>
                <w:color w:val="auto"/>
              </w:rPr>
              <w:t>24</w:t>
            </w:r>
          </w:p>
        </w:tc>
      </w:tr>
      <w:tr>
        <w:trPr>
          <w:trHeight w:val="25"/>
        </w:trPr>
        <w:tc>
          <w:tcPr>
            <w:tcW w:w="63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3"/>
        </w:trPr>
        <w:tc>
          <w:tcPr>
            <w:tcW w:w="6300" w:type="dxa"/>
            <w:vAlign w:val="bottom"/>
            <w:tcBorders>
              <w:bottom w:val="single" w:sz="8" w:color="D9D9D9"/>
            </w:tcBorders>
            <w:shd w:val="clear" w:color="auto" w:fill="D9D9D9"/>
          </w:tcPr>
          <w:p>
            <w:pPr>
              <w:ind w:left="60"/>
              <w:spacing w:after="0" w:line="166" w:lineRule="exact"/>
              <w:rPr>
                <w:sz w:val="20"/>
                <w:szCs w:val="20"/>
                <w:color w:val="auto"/>
              </w:rPr>
            </w:pPr>
            <w:r>
              <w:rPr>
                <w:rFonts w:ascii="Calibri" w:cs="Calibri" w:eastAsia="Calibri" w:hAnsi="Calibri"/>
                <w:sz w:val="15"/>
                <w:szCs w:val="15"/>
                <w:b w:val="1"/>
                <w:bCs w:val="1"/>
                <w:color w:val="auto"/>
              </w:rPr>
              <w:t>COMPREHENSIVE LOSS FOR THE PERIOD</w:t>
            </w:r>
          </w:p>
        </w:tc>
        <w:tc>
          <w:tcPr>
            <w:tcW w:w="2260" w:type="dxa"/>
            <w:vAlign w:val="bottom"/>
            <w:tcBorders>
              <w:bottom w:val="single" w:sz="8" w:color="D9D9D9"/>
            </w:tcBorders>
            <w:shd w:val="clear" w:color="auto" w:fill="D9D9D9"/>
          </w:tcPr>
          <w:p>
            <w:pPr>
              <w:spacing w:after="0"/>
              <w:rPr>
                <w:sz w:val="16"/>
                <w:szCs w:val="16"/>
                <w:color w:val="auto"/>
              </w:rPr>
            </w:pPr>
          </w:p>
        </w:tc>
        <w:tc>
          <w:tcPr>
            <w:tcW w:w="1840" w:type="dxa"/>
            <w:vAlign w:val="bottom"/>
            <w:tcBorders>
              <w:bottom w:val="single" w:sz="8" w:color="D9D9D9"/>
            </w:tcBorders>
            <w:shd w:val="clear" w:color="auto" w:fill="D9D9D9"/>
          </w:tcPr>
          <w:p>
            <w:pPr>
              <w:jc w:val="right"/>
              <w:ind w:right="646"/>
              <w:spacing w:after="0" w:line="166" w:lineRule="exact"/>
              <w:rPr>
                <w:sz w:val="20"/>
                <w:szCs w:val="20"/>
                <w:color w:val="auto"/>
              </w:rPr>
            </w:pPr>
            <w:r>
              <w:rPr>
                <w:rFonts w:ascii="Calibri" w:cs="Calibri" w:eastAsia="Calibri" w:hAnsi="Calibri"/>
                <w:sz w:val="15"/>
                <w:szCs w:val="15"/>
                <w:b w:val="1"/>
                <w:bCs w:val="1"/>
                <w:color w:val="auto"/>
              </w:rPr>
              <w:t>(68,021)</w:t>
            </w:r>
          </w:p>
        </w:tc>
        <w:tc>
          <w:tcPr>
            <w:tcW w:w="860" w:type="dxa"/>
            <w:vAlign w:val="bottom"/>
            <w:tcBorders>
              <w:bottom w:val="single" w:sz="8" w:color="D9D9D9"/>
            </w:tcBorders>
            <w:shd w:val="clear" w:color="auto" w:fill="D9D9D9"/>
          </w:tcPr>
          <w:p>
            <w:pPr>
              <w:jc w:val="right"/>
              <w:ind w:right="7"/>
              <w:spacing w:after="0" w:line="166" w:lineRule="exact"/>
              <w:rPr>
                <w:sz w:val="20"/>
                <w:szCs w:val="20"/>
                <w:color w:val="auto"/>
              </w:rPr>
            </w:pPr>
            <w:r>
              <w:rPr>
                <w:rFonts w:ascii="Calibri" w:cs="Calibri" w:eastAsia="Calibri" w:hAnsi="Calibri"/>
                <w:sz w:val="15"/>
                <w:szCs w:val="15"/>
                <w:color w:val="auto"/>
              </w:rPr>
              <w:t>(32,196)</w:t>
            </w:r>
          </w:p>
        </w:tc>
      </w:tr>
      <w:tr>
        <w:trPr>
          <w:trHeight w:val="383"/>
        </w:trPr>
        <w:tc>
          <w:tcPr>
            <w:tcW w:w="630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Basic loss per share for the period atributable to common shareholders</w:t>
            </w:r>
          </w:p>
        </w:tc>
        <w:tc>
          <w:tcPr>
            <w:tcW w:w="226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jc w:val="right"/>
              <w:ind w:right="646"/>
              <w:spacing w:after="0"/>
              <w:rPr>
                <w:sz w:val="20"/>
                <w:szCs w:val="20"/>
                <w:color w:val="auto"/>
              </w:rPr>
            </w:pPr>
            <w:r>
              <w:rPr>
                <w:rFonts w:ascii="Calibri" w:cs="Calibri" w:eastAsia="Calibri" w:hAnsi="Calibri"/>
                <w:sz w:val="15"/>
                <w:szCs w:val="15"/>
                <w:b w:val="1"/>
                <w:bCs w:val="1"/>
                <w:color w:val="auto"/>
              </w:rPr>
              <w:t>(0.40)</w:t>
            </w:r>
          </w:p>
        </w:tc>
        <w:tc>
          <w:tcPr>
            <w:tcW w:w="860" w:type="dxa"/>
            <w:vAlign w:val="bottom"/>
            <w:tcBorders>
              <w:top w:val="single" w:sz="8" w:color="auto"/>
            </w:tcBorders>
          </w:tcPr>
          <w:p>
            <w:pPr>
              <w:jc w:val="right"/>
              <w:ind w:right="7"/>
              <w:spacing w:after="0"/>
              <w:rPr>
                <w:sz w:val="20"/>
                <w:szCs w:val="20"/>
                <w:color w:val="auto"/>
              </w:rPr>
            </w:pPr>
            <w:r>
              <w:rPr>
                <w:rFonts w:ascii="Calibri" w:cs="Calibri" w:eastAsia="Calibri" w:hAnsi="Calibri"/>
                <w:sz w:val="15"/>
                <w:szCs w:val="15"/>
                <w:color w:val="auto"/>
              </w:rPr>
              <w:t>(0.32)</w:t>
            </w:r>
          </w:p>
        </w:tc>
      </w:tr>
      <w:tr>
        <w:trPr>
          <w:trHeight w:val="25"/>
        </w:trPr>
        <w:tc>
          <w:tcPr>
            <w:tcW w:w="63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6"/>
        </w:trPr>
        <w:tc>
          <w:tcPr>
            <w:tcW w:w="6300" w:type="dxa"/>
            <w:vAlign w:val="bottom"/>
          </w:tcPr>
          <w:p>
            <w:pPr>
              <w:ind w:left="60"/>
              <w:spacing w:after="0" w:line="166" w:lineRule="exact"/>
              <w:rPr>
                <w:sz w:val="20"/>
                <w:szCs w:val="20"/>
                <w:color w:val="auto"/>
              </w:rPr>
            </w:pPr>
            <w:r>
              <w:rPr>
                <w:rFonts w:ascii="Calibri" w:cs="Calibri" w:eastAsia="Calibri" w:hAnsi="Calibri"/>
                <w:sz w:val="15"/>
                <w:szCs w:val="15"/>
                <w:b w:val="1"/>
                <w:bCs w:val="1"/>
                <w:color w:val="auto"/>
              </w:rPr>
              <w:t>Weighted average number of common shares outstanding - basic</w:t>
            </w:r>
          </w:p>
        </w:tc>
        <w:tc>
          <w:tcPr>
            <w:tcW w:w="2260" w:type="dxa"/>
            <w:vAlign w:val="bottom"/>
          </w:tcPr>
          <w:p>
            <w:pPr>
              <w:spacing w:after="0"/>
              <w:rPr>
                <w:sz w:val="14"/>
                <w:szCs w:val="14"/>
                <w:color w:val="auto"/>
              </w:rPr>
            </w:pPr>
          </w:p>
        </w:tc>
        <w:tc>
          <w:tcPr>
            <w:tcW w:w="1840" w:type="dxa"/>
            <w:vAlign w:val="bottom"/>
          </w:tcPr>
          <w:p>
            <w:pPr>
              <w:jc w:val="right"/>
              <w:ind w:right="646"/>
              <w:spacing w:after="0" w:line="166" w:lineRule="exact"/>
              <w:rPr>
                <w:sz w:val="20"/>
                <w:szCs w:val="20"/>
                <w:color w:val="auto"/>
              </w:rPr>
            </w:pPr>
            <w:r>
              <w:rPr>
                <w:rFonts w:ascii="Calibri" w:cs="Calibri" w:eastAsia="Calibri" w:hAnsi="Calibri"/>
                <w:sz w:val="15"/>
                <w:szCs w:val="15"/>
                <w:b w:val="1"/>
                <w:bCs w:val="1"/>
                <w:color w:val="auto"/>
              </w:rPr>
              <w:t>167,287,240</w:t>
            </w:r>
          </w:p>
        </w:tc>
        <w:tc>
          <w:tcPr>
            <w:tcW w:w="860" w:type="dxa"/>
            <w:vAlign w:val="bottom"/>
          </w:tcPr>
          <w:p>
            <w:pPr>
              <w:jc w:val="right"/>
              <w:ind w:right="7"/>
              <w:spacing w:after="0" w:line="166" w:lineRule="exact"/>
              <w:rPr>
                <w:sz w:val="20"/>
                <w:szCs w:val="20"/>
                <w:color w:val="auto"/>
              </w:rPr>
            </w:pPr>
            <w:r>
              <w:rPr>
                <w:rFonts w:ascii="Calibri" w:cs="Calibri" w:eastAsia="Calibri" w:hAnsi="Calibri"/>
                <w:sz w:val="15"/>
                <w:szCs w:val="15"/>
                <w:color w:val="auto"/>
              </w:rPr>
              <w:t>100,010,864</w:t>
            </w:r>
          </w:p>
        </w:tc>
      </w:tr>
      <w:tr>
        <w:trPr>
          <w:trHeight w:val="22"/>
        </w:trPr>
        <w:tc>
          <w:tcPr>
            <w:tcW w:w="63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consolidated fnancial statements</w:t>
      </w:r>
    </w:p>
    <w:p>
      <w:pPr>
        <w:sectPr>
          <w:pgSz w:w="11900" w:h="16838" w:orient="portrait"/>
          <w:cols w:equalWidth="0" w:num="1">
            <w:col w:w="11260"/>
          </w:cols>
          <w:pgMar w:left="320" w:top="167" w:right="319" w:bottom="1440" w:gutter="0" w:footer="0" w:header="0"/>
        </w:sectPr>
      </w:pPr>
    </w:p>
    <w:bookmarkStart w:id="107" w:name="page108"/>
    <w:bookmarkEnd w:id="107"/>
    <w:p>
      <w:pPr>
        <w:ind w:left="60"/>
        <w:spacing w:after="0"/>
        <w:rPr>
          <w:sz w:val="20"/>
          <w:szCs w:val="20"/>
          <w:color w:val="auto"/>
        </w:rPr>
      </w:pPr>
      <w:r>
        <w:rPr>
          <w:rFonts w:ascii="Calibri" w:cs="Calibri" w:eastAsia="Calibri" w:hAnsi="Calibri"/>
          <w:sz w:val="20"/>
          <w:szCs w:val="20"/>
          <w:b w:val="1"/>
          <w:bCs w:val="1"/>
          <w:color w:val="auto"/>
        </w:rPr>
        <w:t>CYBIN INC.</w:t>
      </w:r>
    </w:p>
    <w:p>
      <w:pPr>
        <w:ind w:left="60"/>
        <w:spacing w:after="0" w:line="228" w:lineRule="auto"/>
        <w:rPr>
          <w:sz w:val="20"/>
          <w:szCs w:val="20"/>
          <w:color w:val="auto"/>
        </w:rPr>
      </w:pPr>
      <w:r>
        <w:rPr>
          <w:rFonts w:ascii="Calibri" w:cs="Calibri" w:eastAsia="Calibri" w:hAnsi="Calibri"/>
          <w:sz w:val="20"/>
          <w:szCs w:val="20"/>
          <w:b w:val="1"/>
          <w:bCs w:val="1"/>
          <w:color w:val="auto"/>
        </w:rPr>
        <w:t>CONSOLIDATED STATEMENTS OF CHANGES IN SHAREHOLDERS’ EQUITY</w:t>
      </w:r>
    </w:p>
    <w:p>
      <w:pPr>
        <w:spacing w:after="0" w:line="5"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(All amounts expressed in thousands of Canadian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14565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right"/>
              <w:ind w:right="375"/>
              <w:spacing w:after="0"/>
              <w:rPr>
                <w:sz w:val="20"/>
                <w:szCs w:val="20"/>
                <w:color w:val="auto"/>
              </w:rPr>
            </w:pPr>
            <w:r>
              <w:rPr>
                <w:rFonts w:ascii="Calibri" w:cs="Calibri" w:eastAsia="Calibri" w:hAnsi="Calibri"/>
                <w:sz w:val="13"/>
                <w:szCs w:val="13"/>
                <w:b w:val="1"/>
                <w:bCs w:val="1"/>
                <w:color w:val="auto"/>
              </w:rPr>
              <w:t>Share capital</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gridSpan w:val="2"/>
          </w:tcPr>
          <w:p>
            <w:pPr>
              <w:jc w:val="right"/>
              <w:ind w:right="475"/>
              <w:spacing w:after="0"/>
              <w:rPr>
                <w:sz w:val="20"/>
                <w:szCs w:val="20"/>
                <w:color w:val="auto"/>
              </w:rPr>
            </w:pPr>
            <w:r>
              <w:rPr>
                <w:rFonts w:ascii="Calibri" w:cs="Calibri" w:eastAsia="Calibri" w:hAnsi="Calibri"/>
                <w:sz w:val="13"/>
                <w:szCs w:val="13"/>
                <w:b w:val="1"/>
                <w:bCs w:val="1"/>
                <w:color w:val="auto"/>
              </w:rPr>
              <w:t>Reserves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3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vMerge w:val="restart"/>
          </w:tcPr>
          <w:p>
            <w:pPr>
              <w:jc w:val="center"/>
              <w:spacing w:after="0"/>
              <w:rPr>
                <w:sz w:val="20"/>
                <w:szCs w:val="20"/>
                <w:color w:val="auto"/>
              </w:rPr>
            </w:pPr>
            <w:r>
              <w:rPr>
                <w:rFonts w:ascii="Calibri" w:cs="Calibri" w:eastAsia="Calibri" w:hAnsi="Calibri"/>
                <w:sz w:val="13"/>
                <w:szCs w:val="13"/>
                <w:b w:val="1"/>
                <w:bCs w:val="1"/>
                <w:color w:val="auto"/>
                <w:w w:val="98"/>
              </w:rPr>
              <w:t>Accumulated</w:t>
            </w: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3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tcPr>
          <w:p>
            <w:pPr>
              <w:jc w:val="center"/>
              <w:spacing w:after="0" w:line="124" w:lineRule="exact"/>
              <w:rPr>
                <w:sz w:val="20"/>
                <w:szCs w:val="20"/>
                <w:color w:val="auto"/>
              </w:rPr>
            </w:pPr>
            <w:r>
              <w:rPr>
                <w:rFonts w:ascii="Calibri" w:cs="Calibri" w:eastAsia="Calibri" w:hAnsi="Calibri"/>
                <w:sz w:val="13"/>
                <w:szCs w:val="13"/>
                <w:b w:val="1"/>
                <w:bCs w:val="1"/>
                <w:color w:val="auto"/>
                <w:w w:val="99"/>
              </w:rPr>
              <w:t>Equity</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line="124" w:lineRule="exact"/>
              <w:rPr>
                <w:sz w:val="20"/>
                <w:szCs w:val="20"/>
                <w:color w:val="auto"/>
              </w:rPr>
            </w:pPr>
            <w:r>
              <w:rPr>
                <w:rFonts w:ascii="Calibri" w:cs="Calibri" w:eastAsia="Calibri" w:hAnsi="Calibri"/>
                <w:sz w:val="13"/>
                <w:szCs w:val="13"/>
                <w:b w:val="1"/>
                <w:bCs w:val="1"/>
                <w:color w:val="auto"/>
              </w:rPr>
              <w:t>other</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Calibri" w:cs="Calibri" w:eastAsia="Calibri" w:hAnsi="Calibri"/>
                <w:sz w:val="13"/>
                <w:szCs w:val="13"/>
                <w:b w:val="1"/>
                <w:bCs w:val="1"/>
                <w:color w:val="auto"/>
                <w:w w:val="99"/>
              </w:rPr>
              <w:t>Number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Calibri" w:cs="Calibri" w:eastAsia="Calibri" w:hAnsi="Calibri"/>
                <w:sz w:val="13"/>
                <w:szCs w:val="13"/>
                <w:b w:val="1"/>
                <w:bCs w:val="1"/>
                <w:color w:val="auto"/>
                <w:w w:val="99"/>
              </w:rPr>
              <w:t>component of</w:t>
            </w:r>
          </w:p>
        </w:tc>
        <w:tc>
          <w:tcPr>
            <w:tcW w:w="760" w:type="dxa"/>
            <w:vAlign w:val="bottom"/>
          </w:tcPr>
          <w:p>
            <w:pPr>
              <w:jc w:val="center"/>
              <w:spacing w:after="0" w:line="135" w:lineRule="exact"/>
              <w:rPr>
                <w:sz w:val="20"/>
                <w:szCs w:val="20"/>
                <w:color w:val="auto"/>
              </w:rPr>
            </w:pPr>
            <w:r>
              <w:rPr>
                <w:rFonts w:ascii="Calibri" w:cs="Calibri" w:eastAsia="Calibri" w:hAnsi="Calibri"/>
                <w:sz w:val="13"/>
                <w:szCs w:val="13"/>
                <w:b w:val="1"/>
                <w:bCs w:val="1"/>
                <w:color w:val="auto"/>
              </w:rPr>
              <w:t>Contributed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Calibri" w:cs="Calibri" w:eastAsia="Calibri" w:hAnsi="Calibri"/>
                <w:sz w:val="13"/>
                <w:szCs w:val="13"/>
                <w:b w:val="1"/>
                <w:bCs w:val="1"/>
                <w:color w:val="auto"/>
                <w:w w:val="99"/>
              </w:rPr>
              <w:t>comprehensive</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600" w:type="dxa"/>
            <w:vAlign w:val="bottom"/>
          </w:tcPr>
          <w:p>
            <w:pPr>
              <w:ind w:left="160"/>
              <w:spacing w:after="0" w:line="156" w:lineRule="exact"/>
              <w:rPr>
                <w:sz w:val="20"/>
                <w:szCs w:val="20"/>
                <w:color w:val="auto"/>
              </w:rPr>
            </w:pPr>
            <w:r>
              <w:rPr>
                <w:rFonts w:ascii="Calibri" w:cs="Calibri" w:eastAsia="Calibri" w:hAnsi="Calibri"/>
                <w:sz w:val="13"/>
                <w:szCs w:val="13"/>
                <w:b w:val="1"/>
                <w:bCs w:val="1"/>
                <w:color w:val="auto"/>
              </w:rPr>
              <w:t>Note</w:t>
            </w: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Calibri" w:cs="Calibri" w:eastAsia="Calibri" w:hAnsi="Calibri"/>
                <w:sz w:val="13"/>
                <w:szCs w:val="13"/>
                <w:b w:val="1"/>
                <w:bCs w:val="1"/>
                <w:color w:val="auto"/>
                <w:w w:val="97"/>
              </w:rPr>
              <w:t>shares</w:t>
            </w:r>
          </w:p>
        </w:tc>
        <w:tc>
          <w:tcPr>
            <w:tcW w:w="700" w:type="dxa"/>
            <w:vAlign w:val="bottom"/>
          </w:tcPr>
          <w:p>
            <w:pPr>
              <w:jc w:val="right"/>
              <w:ind w:right="95"/>
              <w:spacing w:after="0" w:line="156" w:lineRule="exact"/>
              <w:rPr>
                <w:sz w:val="20"/>
                <w:szCs w:val="20"/>
                <w:color w:val="auto"/>
              </w:rPr>
            </w:pPr>
            <w:r>
              <w:rPr>
                <w:rFonts w:ascii="Calibri" w:cs="Calibri" w:eastAsia="Calibri" w:hAnsi="Calibri"/>
                <w:sz w:val="13"/>
                <w:szCs w:val="13"/>
                <w:b w:val="1"/>
                <w:bCs w:val="1"/>
                <w:color w:val="auto"/>
              </w:rPr>
              <w:t>Amount</w:t>
            </w:r>
          </w:p>
        </w:tc>
        <w:tc>
          <w:tcPr>
            <w:tcW w:w="80" w:type="dxa"/>
            <w:vAlign w:val="bottom"/>
          </w:tcPr>
          <w:p>
            <w:pPr>
              <w:spacing w:after="0"/>
              <w:rPr>
                <w:sz w:val="14"/>
                <w:szCs w:val="14"/>
                <w:color w:val="auto"/>
              </w:rPr>
            </w:pPr>
          </w:p>
        </w:tc>
        <w:tc>
          <w:tcPr>
            <w:tcW w:w="740" w:type="dxa"/>
            <w:vAlign w:val="bottom"/>
          </w:tcPr>
          <w:p>
            <w:pPr>
              <w:jc w:val="right"/>
              <w:ind w:right="75"/>
              <w:spacing w:after="0" w:line="156" w:lineRule="exact"/>
              <w:rPr>
                <w:sz w:val="20"/>
                <w:szCs w:val="20"/>
                <w:color w:val="auto"/>
              </w:rPr>
            </w:pPr>
            <w:r>
              <w:rPr>
                <w:rFonts w:ascii="Calibri" w:cs="Calibri" w:eastAsia="Calibri" w:hAnsi="Calibri"/>
                <w:sz w:val="13"/>
                <w:szCs w:val="13"/>
                <w:b w:val="1"/>
                <w:bCs w:val="1"/>
                <w:color w:val="auto"/>
              </w:rPr>
              <w:t>Warrants</w:t>
            </w:r>
          </w:p>
        </w:tc>
        <w:tc>
          <w:tcPr>
            <w:tcW w:w="620" w:type="dxa"/>
            <w:vAlign w:val="bottom"/>
          </w:tcPr>
          <w:p>
            <w:pPr>
              <w:jc w:val="right"/>
              <w:ind w:right="35"/>
              <w:spacing w:after="0" w:line="156" w:lineRule="exact"/>
              <w:rPr>
                <w:sz w:val="20"/>
                <w:szCs w:val="20"/>
                <w:color w:val="auto"/>
              </w:rPr>
            </w:pPr>
            <w:r>
              <w:rPr>
                <w:rFonts w:ascii="Calibri" w:cs="Calibri" w:eastAsia="Calibri" w:hAnsi="Calibri"/>
                <w:sz w:val="13"/>
                <w:szCs w:val="13"/>
                <w:b w:val="1"/>
                <w:bCs w:val="1"/>
                <w:color w:val="auto"/>
              </w:rPr>
              <w:t>Optons</w:t>
            </w:r>
          </w:p>
        </w:tc>
        <w:tc>
          <w:tcPr>
            <w:tcW w:w="980" w:type="dxa"/>
            <w:vAlign w:val="bottom"/>
          </w:tcPr>
          <w:p>
            <w:pPr>
              <w:jc w:val="center"/>
              <w:spacing w:after="0" w:line="156" w:lineRule="exact"/>
              <w:rPr>
                <w:sz w:val="20"/>
                <w:szCs w:val="20"/>
                <w:color w:val="auto"/>
              </w:rPr>
            </w:pPr>
            <w:r>
              <w:rPr>
                <w:rFonts w:ascii="Calibri" w:cs="Calibri" w:eastAsia="Calibri" w:hAnsi="Calibri"/>
                <w:sz w:val="13"/>
                <w:szCs w:val="13"/>
                <w:b w:val="1"/>
                <w:bCs w:val="1"/>
                <w:color w:val="auto"/>
              </w:rPr>
              <w:t>convertble debt</w:t>
            </w:r>
          </w:p>
        </w:tc>
        <w:tc>
          <w:tcPr>
            <w:tcW w:w="760" w:type="dxa"/>
            <w:vAlign w:val="bottom"/>
          </w:tcPr>
          <w:p>
            <w:pPr>
              <w:jc w:val="center"/>
              <w:spacing w:after="0"/>
              <w:rPr>
                <w:sz w:val="20"/>
                <w:szCs w:val="20"/>
                <w:color w:val="auto"/>
              </w:rPr>
            </w:pPr>
            <w:r>
              <w:rPr>
                <w:rFonts w:ascii="Calibri" w:cs="Calibri" w:eastAsia="Calibri" w:hAnsi="Calibri"/>
                <w:sz w:val="13"/>
                <w:szCs w:val="13"/>
                <w:b w:val="1"/>
                <w:bCs w:val="1"/>
                <w:color w:val="auto"/>
                <w:w w:val="96"/>
              </w:rPr>
              <w:t>surplus</w:t>
            </w:r>
          </w:p>
        </w:tc>
        <w:tc>
          <w:tcPr>
            <w:tcW w:w="80" w:type="dxa"/>
            <w:vAlign w:val="bottom"/>
          </w:tcPr>
          <w:p>
            <w:pPr>
              <w:spacing w:after="0"/>
              <w:rPr>
                <w:sz w:val="14"/>
                <w:szCs w:val="14"/>
                <w:color w:val="auto"/>
              </w:rPr>
            </w:pPr>
          </w:p>
        </w:tc>
        <w:tc>
          <w:tcPr>
            <w:tcW w:w="700" w:type="dxa"/>
            <w:vAlign w:val="bottom"/>
          </w:tcPr>
          <w:p>
            <w:pPr>
              <w:jc w:val="right"/>
              <w:ind w:right="115"/>
              <w:spacing w:after="0" w:line="156" w:lineRule="exact"/>
              <w:rPr>
                <w:sz w:val="20"/>
                <w:szCs w:val="20"/>
                <w:color w:val="auto"/>
              </w:rPr>
            </w:pPr>
            <w:r>
              <w:rPr>
                <w:rFonts w:ascii="Calibri" w:cs="Calibri" w:eastAsia="Calibri" w:hAnsi="Calibri"/>
                <w:sz w:val="13"/>
                <w:szCs w:val="13"/>
                <w:b w:val="1"/>
                <w:bCs w:val="1"/>
                <w:color w:val="auto"/>
              </w:rPr>
              <w:t>Defcit</w:t>
            </w:r>
          </w:p>
        </w:tc>
        <w:tc>
          <w:tcPr>
            <w:tcW w:w="80" w:type="dxa"/>
            <w:vAlign w:val="bottom"/>
          </w:tcPr>
          <w:p>
            <w:pPr>
              <w:spacing w:after="0"/>
              <w:rPr>
                <w:sz w:val="14"/>
                <w:szCs w:val="14"/>
                <w:color w:val="auto"/>
              </w:rPr>
            </w:pPr>
          </w:p>
        </w:tc>
        <w:tc>
          <w:tcPr>
            <w:tcW w:w="980" w:type="dxa"/>
            <w:vAlign w:val="bottom"/>
          </w:tcPr>
          <w:p>
            <w:pPr>
              <w:jc w:val="center"/>
              <w:spacing w:after="0" w:line="156" w:lineRule="exact"/>
              <w:rPr>
                <w:sz w:val="20"/>
                <w:szCs w:val="20"/>
                <w:color w:val="auto"/>
              </w:rPr>
            </w:pPr>
            <w:r>
              <w:rPr>
                <w:rFonts w:ascii="Calibri" w:cs="Calibri" w:eastAsia="Calibri" w:hAnsi="Calibri"/>
                <w:sz w:val="13"/>
                <w:szCs w:val="13"/>
                <w:b w:val="1"/>
                <w:bCs w:val="1"/>
                <w:color w:val="auto"/>
              </w:rPr>
              <w:t>income (loss)</w:t>
            </w:r>
          </w:p>
        </w:tc>
        <w:tc>
          <w:tcPr>
            <w:tcW w:w="100" w:type="dxa"/>
            <w:vAlign w:val="bottom"/>
          </w:tcPr>
          <w:p>
            <w:pPr>
              <w:spacing w:after="0"/>
              <w:rPr>
                <w:sz w:val="14"/>
                <w:szCs w:val="14"/>
                <w:color w:val="auto"/>
              </w:rPr>
            </w:pPr>
          </w:p>
        </w:tc>
        <w:tc>
          <w:tcPr>
            <w:tcW w:w="700" w:type="dxa"/>
            <w:vAlign w:val="bottom"/>
          </w:tcPr>
          <w:p>
            <w:pPr>
              <w:jc w:val="right"/>
              <w:ind w:right="155"/>
              <w:spacing w:after="0" w:line="156" w:lineRule="exact"/>
              <w:rPr>
                <w:sz w:val="20"/>
                <w:szCs w:val="20"/>
                <w:color w:val="auto"/>
              </w:rPr>
            </w:pPr>
            <w:r>
              <w:rPr>
                <w:rFonts w:ascii="Calibri" w:cs="Calibri" w:eastAsia="Calibri" w:hAnsi="Calibri"/>
                <w:sz w:val="13"/>
                <w:szCs w:val="13"/>
                <w:b w:val="1"/>
                <w:bCs w:val="1"/>
                <w:color w:val="auto"/>
              </w:rPr>
              <w:t>Total</w:t>
            </w:r>
          </w:p>
        </w:tc>
        <w:tc>
          <w:tcPr>
            <w:tcW w:w="0" w:type="dxa"/>
            <w:vAlign w:val="bottom"/>
          </w:tcPr>
          <w:p>
            <w:pPr>
              <w:spacing w:after="0"/>
              <w:rPr>
                <w:sz w:val="1"/>
                <w:szCs w:val="1"/>
                <w:color w:val="auto"/>
              </w:rPr>
            </w:pPr>
          </w:p>
        </w:tc>
      </w:tr>
      <w:tr>
        <w:trPr>
          <w:trHeight w:val="29"/>
        </w:trPr>
        <w:tc>
          <w:tcPr>
            <w:tcW w:w="3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Calibri" w:cs="Calibri" w:eastAsia="Calibri" w:hAnsi="Calibri"/>
                <w:sz w:val="13"/>
                <w:szCs w:val="13"/>
                <w:b w:val="1"/>
                <w:bCs w:val="1"/>
                <w:color w:val="auto"/>
                <w:w w:val="91"/>
              </w:rPr>
              <w:t>#</w:t>
            </w:r>
          </w:p>
        </w:tc>
        <w:tc>
          <w:tcPr>
            <w:tcW w:w="700" w:type="dxa"/>
            <w:vAlign w:val="bottom"/>
          </w:tcPr>
          <w:p>
            <w:pPr>
              <w:jc w:val="right"/>
              <w:ind w:right="275"/>
              <w:spacing w:after="0" w:line="148" w:lineRule="exact"/>
              <w:rPr>
                <w:sz w:val="20"/>
                <w:szCs w:val="20"/>
                <w:color w:val="auto"/>
              </w:rPr>
            </w:pPr>
            <w:r>
              <w:rPr>
                <w:rFonts w:ascii="Calibri" w:cs="Calibri" w:eastAsia="Calibri" w:hAnsi="Calibri"/>
                <w:sz w:val="13"/>
                <w:szCs w:val="13"/>
                <w:b w:val="1"/>
                <w:bCs w:val="1"/>
                <w:color w:val="auto"/>
              </w:rPr>
              <w:t>$</w:t>
            </w:r>
          </w:p>
        </w:tc>
        <w:tc>
          <w:tcPr>
            <w:tcW w:w="80" w:type="dxa"/>
            <w:vAlign w:val="bottom"/>
            <w:vMerge w:val="continue"/>
          </w:tcPr>
          <w:p>
            <w:pPr>
              <w:spacing w:after="0"/>
              <w:rPr>
                <w:sz w:val="12"/>
                <w:szCs w:val="12"/>
                <w:color w:val="auto"/>
              </w:rPr>
            </w:pPr>
          </w:p>
        </w:tc>
        <w:tc>
          <w:tcPr>
            <w:tcW w:w="740" w:type="dxa"/>
            <w:vAlign w:val="bottom"/>
          </w:tcPr>
          <w:p>
            <w:pPr>
              <w:jc w:val="right"/>
              <w:ind w:right="295"/>
              <w:spacing w:after="0" w:line="148" w:lineRule="exact"/>
              <w:rPr>
                <w:sz w:val="20"/>
                <w:szCs w:val="20"/>
                <w:color w:val="auto"/>
              </w:rPr>
            </w:pPr>
            <w:r>
              <w:rPr>
                <w:rFonts w:ascii="Calibri" w:cs="Calibri" w:eastAsia="Calibri" w:hAnsi="Calibri"/>
                <w:sz w:val="13"/>
                <w:szCs w:val="13"/>
                <w:b w:val="1"/>
                <w:bCs w:val="1"/>
                <w:color w:val="auto"/>
              </w:rPr>
              <w:t>$</w:t>
            </w:r>
          </w:p>
        </w:tc>
        <w:tc>
          <w:tcPr>
            <w:tcW w:w="620" w:type="dxa"/>
            <w:vAlign w:val="bottom"/>
          </w:tcPr>
          <w:p>
            <w:pPr>
              <w:jc w:val="right"/>
              <w:ind w:right="215"/>
              <w:spacing w:after="0" w:line="148" w:lineRule="exact"/>
              <w:rPr>
                <w:sz w:val="20"/>
                <w:szCs w:val="20"/>
                <w:color w:val="auto"/>
              </w:rPr>
            </w:pPr>
            <w:r>
              <w:rPr>
                <w:rFonts w:ascii="Calibri" w:cs="Calibri" w:eastAsia="Calibri" w:hAnsi="Calibri"/>
                <w:sz w:val="13"/>
                <w:szCs w:val="13"/>
                <w:b w:val="1"/>
                <w:bCs w:val="1"/>
                <w:color w:val="auto"/>
              </w:rPr>
              <w:t>$</w:t>
            </w:r>
          </w:p>
        </w:tc>
        <w:tc>
          <w:tcPr>
            <w:tcW w:w="980" w:type="dxa"/>
            <w:vAlign w:val="bottom"/>
          </w:tcPr>
          <w:p>
            <w:pPr>
              <w:jc w:val="center"/>
              <w:spacing w:after="0" w:line="148" w:lineRule="exact"/>
              <w:rPr>
                <w:sz w:val="20"/>
                <w:szCs w:val="20"/>
                <w:color w:val="auto"/>
              </w:rPr>
            </w:pPr>
            <w:r>
              <w:rPr>
                <w:rFonts w:ascii="Calibri" w:cs="Calibri" w:eastAsia="Calibri" w:hAnsi="Calibri"/>
                <w:sz w:val="13"/>
                <w:szCs w:val="13"/>
                <w:b w:val="1"/>
                <w:bCs w:val="1"/>
                <w:color w:val="auto"/>
                <w:w w:val="90"/>
              </w:rPr>
              <w:t>$</w:t>
            </w:r>
          </w:p>
        </w:tc>
        <w:tc>
          <w:tcPr>
            <w:tcW w:w="760" w:type="dxa"/>
            <w:vAlign w:val="bottom"/>
          </w:tcPr>
          <w:p>
            <w:pPr>
              <w:jc w:val="center"/>
              <w:spacing w:after="0" w:line="148" w:lineRule="exact"/>
              <w:rPr>
                <w:sz w:val="20"/>
                <w:szCs w:val="20"/>
                <w:color w:val="auto"/>
              </w:rPr>
            </w:pPr>
            <w:r>
              <w:rPr>
                <w:rFonts w:ascii="Calibri" w:cs="Calibri" w:eastAsia="Calibri" w:hAnsi="Calibri"/>
                <w:sz w:val="13"/>
                <w:szCs w:val="13"/>
                <w:b w:val="1"/>
                <w:bCs w:val="1"/>
                <w:color w:val="auto"/>
                <w:w w:val="90"/>
              </w:rPr>
              <w:t>$</w:t>
            </w:r>
          </w:p>
        </w:tc>
        <w:tc>
          <w:tcPr>
            <w:tcW w:w="80" w:type="dxa"/>
            <w:vAlign w:val="bottom"/>
            <w:vMerge w:val="continue"/>
          </w:tcPr>
          <w:p>
            <w:pPr>
              <w:spacing w:after="0"/>
              <w:rPr>
                <w:sz w:val="12"/>
                <w:szCs w:val="12"/>
                <w:color w:val="auto"/>
              </w:rPr>
            </w:pPr>
          </w:p>
        </w:tc>
        <w:tc>
          <w:tcPr>
            <w:tcW w:w="700" w:type="dxa"/>
            <w:vAlign w:val="bottom"/>
          </w:tcPr>
          <w:p>
            <w:pPr>
              <w:jc w:val="right"/>
              <w:ind w:right="255"/>
              <w:spacing w:after="0" w:line="148" w:lineRule="exact"/>
              <w:rPr>
                <w:sz w:val="20"/>
                <w:szCs w:val="20"/>
                <w:color w:val="auto"/>
              </w:rPr>
            </w:pPr>
            <w:r>
              <w:rPr>
                <w:rFonts w:ascii="Calibri" w:cs="Calibri" w:eastAsia="Calibri" w:hAnsi="Calibri"/>
                <w:sz w:val="13"/>
                <w:szCs w:val="13"/>
                <w:b w:val="1"/>
                <w:bCs w:val="1"/>
                <w:color w:val="auto"/>
              </w:rPr>
              <w:t>$</w:t>
            </w:r>
          </w:p>
        </w:tc>
        <w:tc>
          <w:tcPr>
            <w:tcW w:w="80" w:type="dxa"/>
            <w:vAlign w:val="bottom"/>
            <w:vMerge w:val="continue"/>
          </w:tcPr>
          <w:p>
            <w:pPr>
              <w:spacing w:after="0"/>
              <w:rPr>
                <w:sz w:val="12"/>
                <w:szCs w:val="12"/>
                <w:color w:val="auto"/>
              </w:rPr>
            </w:pPr>
          </w:p>
        </w:tc>
        <w:tc>
          <w:tcPr>
            <w:tcW w:w="980" w:type="dxa"/>
            <w:vAlign w:val="bottom"/>
          </w:tcPr>
          <w:p>
            <w:pPr>
              <w:jc w:val="right"/>
              <w:ind w:right="355"/>
              <w:spacing w:after="0" w:line="148" w:lineRule="exact"/>
              <w:rPr>
                <w:sz w:val="20"/>
                <w:szCs w:val="20"/>
                <w:color w:val="auto"/>
              </w:rPr>
            </w:pPr>
            <w:r>
              <w:rPr>
                <w:rFonts w:ascii="Calibri" w:cs="Calibri" w:eastAsia="Calibri" w:hAnsi="Calibri"/>
                <w:sz w:val="13"/>
                <w:szCs w:val="13"/>
                <w:b w:val="1"/>
                <w:bCs w:val="1"/>
                <w:color w:val="auto"/>
              </w:rPr>
              <w:t>$</w:t>
            </w:r>
          </w:p>
        </w:tc>
        <w:tc>
          <w:tcPr>
            <w:tcW w:w="800" w:type="dxa"/>
            <w:vAlign w:val="bottom"/>
            <w:gridSpan w:val="2"/>
          </w:tcPr>
          <w:p>
            <w:pPr>
              <w:jc w:val="right"/>
              <w:ind w:right="255"/>
              <w:spacing w:after="0" w:line="148" w:lineRule="exact"/>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28"/>
        </w:trPr>
        <w:tc>
          <w:tcPr>
            <w:tcW w:w="3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200" w:type="dxa"/>
            <w:vAlign w:val="bottom"/>
            <w:tcBorders>
              <w:bottom w:val="single" w:sz="8" w:color="D9D9D9"/>
            </w:tcBorders>
            <w:shd w:val="clear" w:color="auto" w:fill="D9D9D9"/>
          </w:tcPr>
          <w:p>
            <w:pPr>
              <w:ind w:left="60"/>
              <w:spacing w:after="0" w:line="148" w:lineRule="exact"/>
              <w:rPr>
                <w:sz w:val="20"/>
                <w:szCs w:val="20"/>
                <w:color w:val="auto"/>
              </w:rPr>
            </w:pPr>
            <w:r>
              <w:rPr>
                <w:rFonts w:ascii="Calibri" w:cs="Calibri" w:eastAsia="Calibri" w:hAnsi="Calibri"/>
                <w:sz w:val="13"/>
                <w:szCs w:val="13"/>
                <w:b w:val="1"/>
                <w:bCs w:val="1"/>
                <w:color w:val="auto"/>
              </w:rPr>
              <w:t>Balance at March 31, 2020</w:t>
            </w:r>
          </w:p>
        </w:tc>
        <w:tc>
          <w:tcPr>
            <w:tcW w:w="600" w:type="dxa"/>
            <w:vAlign w:val="bottom"/>
            <w:tcBorders>
              <w:bottom w:val="single" w:sz="8" w:color="D9D9D9"/>
            </w:tcBorders>
            <w:shd w:val="clear" w:color="auto" w:fill="D9D9D9"/>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D9D9D9"/>
            </w:tcBorders>
            <w:shd w:val="clear" w:color="auto" w:fill="D9D9D9"/>
          </w:tcPr>
          <w:p>
            <w:pPr>
              <w:jc w:val="right"/>
              <w:ind w:right="35"/>
              <w:spacing w:after="0" w:line="148" w:lineRule="exact"/>
              <w:rPr>
                <w:sz w:val="20"/>
                <w:szCs w:val="20"/>
                <w:color w:val="auto"/>
              </w:rPr>
            </w:pPr>
            <w:r>
              <w:rPr>
                <w:rFonts w:ascii="Calibri" w:cs="Calibri" w:eastAsia="Calibri" w:hAnsi="Calibri"/>
                <w:sz w:val="13"/>
                <w:szCs w:val="13"/>
                <w:b w:val="1"/>
                <w:bCs w:val="1"/>
                <w:color w:val="auto"/>
              </w:rPr>
              <w:t>56,503,570</w:t>
            </w:r>
          </w:p>
        </w:tc>
        <w:tc>
          <w:tcPr>
            <w:tcW w:w="700" w:type="dxa"/>
            <w:vAlign w:val="bottom"/>
            <w:tcBorders>
              <w:bottom w:val="single" w:sz="8" w:color="D9D9D9"/>
            </w:tcBorders>
            <w:shd w:val="clear" w:color="auto" w:fill="D9D9D9"/>
          </w:tcPr>
          <w:p>
            <w:pPr>
              <w:jc w:val="right"/>
              <w:spacing w:after="0" w:line="148" w:lineRule="exact"/>
              <w:rPr>
                <w:sz w:val="20"/>
                <w:szCs w:val="20"/>
                <w:color w:val="auto"/>
              </w:rPr>
            </w:pPr>
            <w:r>
              <w:rPr>
                <w:rFonts w:ascii="Calibri" w:cs="Calibri" w:eastAsia="Calibri" w:hAnsi="Calibri"/>
                <w:sz w:val="13"/>
                <w:szCs w:val="13"/>
                <w:b w:val="1"/>
                <w:bCs w:val="1"/>
                <w:color w:val="auto"/>
              </w:rPr>
              <w:t>2,187</w:t>
            </w:r>
          </w:p>
        </w:tc>
        <w:tc>
          <w:tcPr>
            <w:tcW w:w="80" w:type="dxa"/>
            <w:vAlign w:val="bottom"/>
          </w:tcPr>
          <w:p>
            <w:pPr>
              <w:spacing w:after="0"/>
              <w:rPr>
                <w:sz w:val="15"/>
                <w:szCs w:val="15"/>
                <w:color w:val="auto"/>
              </w:rPr>
            </w:pPr>
          </w:p>
        </w:tc>
        <w:tc>
          <w:tcPr>
            <w:tcW w:w="740" w:type="dxa"/>
            <w:vAlign w:val="bottom"/>
            <w:tcBorders>
              <w:bottom w:val="single" w:sz="8" w:color="D9D9D9"/>
            </w:tcBorders>
            <w:shd w:val="clear" w:color="auto" w:fill="D9D9D9"/>
          </w:tcPr>
          <w:p>
            <w:pPr>
              <w:jc w:val="right"/>
              <w:ind w:right="35"/>
              <w:spacing w:after="0" w:line="148" w:lineRule="exact"/>
              <w:rPr>
                <w:sz w:val="20"/>
                <w:szCs w:val="20"/>
                <w:color w:val="auto"/>
              </w:rPr>
            </w:pPr>
            <w:r>
              <w:rPr>
                <w:rFonts w:ascii="Calibri" w:cs="Calibri" w:eastAsia="Calibri" w:hAnsi="Calibri"/>
                <w:sz w:val="13"/>
                <w:szCs w:val="13"/>
                <w:b w:val="1"/>
                <w:bCs w:val="1"/>
                <w:color w:val="auto"/>
              </w:rPr>
              <w:t>7</w:t>
            </w:r>
          </w:p>
        </w:tc>
        <w:tc>
          <w:tcPr>
            <w:tcW w:w="620" w:type="dxa"/>
            <w:vAlign w:val="bottom"/>
            <w:tcBorders>
              <w:bottom w:val="single" w:sz="8" w:color="D9D9D9"/>
            </w:tcBorders>
            <w:shd w:val="clear" w:color="auto" w:fill="D9D9D9"/>
          </w:tcPr>
          <w:p>
            <w:pPr>
              <w:jc w:val="right"/>
              <w:spacing w:after="0" w:line="148" w:lineRule="exact"/>
              <w:rPr>
                <w:sz w:val="20"/>
                <w:szCs w:val="20"/>
                <w:color w:val="auto"/>
              </w:rPr>
            </w:pPr>
            <w:r>
              <w:rPr>
                <w:rFonts w:ascii="Calibri" w:cs="Calibri" w:eastAsia="Calibri" w:hAnsi="Calibri"/>
                <w:sz w:val="13"/>
                <w:szCs w:val="13"/>
                <w:b w:val="1"/>
                <w:bCs w:val="1"/>
                <w:color w:val="auto"/>
              </w:rPr>
              <w:t>64</w:t>
            </w:r>
          </w:p>
        </w:tc>
        <w:tc>
          <w:tcPr>
            <w:tcW w:w="980" w:type="dxa"/>
            <w:vAlign w:val="bottom"/>
            <w:tcBorders>
              <w:bottom w:val="single" w:sz="8" w:color="D9D9D9"/>
            </w:tcBorders>
            <w:shd w:val="clear" w:color="auto" w:fill="D9D9D9"/>
          </w:tcPr>
          <w:p>
            <w:pPr>
              <w:jc w:val="right"/>
              <w:ind w:right="35"/>
              <w:spacing w:after="0" w:line="148" w:lineRule="exact"/>
              <w:rPr>
                <w:sz w:val="20"/>
                <w:szCs w:val="20"/>
                <w:color w:val="auto"/>
              </w:rPr>
            </w:pPr>
            <w:r>
              <w:rPr>
                <w:rFonts w:ascii="Calibri" w:cs="Calibri" w:eastAsia="Calibri" w:hAnsi="Calibri"/>
                <w:sz w:val="13"/>
                <w:szCs w:val="13"/>
                <w:color w:val="auto"/>
              </w:rPr>
              <w:t>—</w:t>
            </w:r>
          </w:p>
        </w:tc>
        <w:tc>
          <w:tcPr>
            <w:tcW w:w="760" w:type="dxa"/>
            <w:vAlign w:val="bottom"/>
            <w:tcBorders>
              <w:bottom w:val="single" w:sz="8" w:color="D9D9D9"/>
            </w:tcBorders>
            <w:shd w:val="clear" w:color="auto" w:fill="D9D9D9"/>
          </w:tcPr>
          <w:p>
            <w:pPr>
              <w:jc w:val="right"/>
              <w:spacing w:after="0" w:line="148"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Borders>
              <w:bottom w:val="single" w:sz="8" w:color="D9D9D9"/>
            </w:tcBorders>
            <w:shd w:val="clear" w:color="auto" w:fill="D9D9D9"/>
          </w:tcPr>
          <w:p>
            <w:pPr>
              <w:jc w:val="right"/>
              <w:spacing w:after="0" w:line="148" w:lineRule="exact"/>
              <w:rPr>
                <w:sz w:val="20"/>
                <w:szCs w:val="20"/>
                <w:color w:val="auto"/>
              </w:rPr>
            </w:pPr>
            <w:r>
              <w:rPr>
                <w:rFonts w:ascii="Calibri" w:cs="Calibri" w:eastAsia="Calibri" w:hAnsi="Calibri"/>
                <w:sz w:val="13"/>
                <w:szCs w:val="13"/>
                <w:b w:val="1"/>
                <w:bCs w:val="1"/>
                <w:color w:val="auto"/>
              </w:rPr>
              <w:t>(810)</w:t>
            </w:r>
          </w:p>
        </w:tc>
        <w:tc>
          <w:tcPr>
            <w:tcW w:w="80" w:type="dxa"/>
            <w:vAlign w:val="bottom"/>
          </w:tcPr>
          <w:p>
            <w:pPr>
              <w:spacing w:after="0"/>
              <w:rPr>
                <w:sz w:val="15"/>
                <w:szCs w:val="15"/>
                <w:color w:val="auto"/>
              </w:rPr>
            </w:pPr>
          </w:p>
        </w:tc>
        <w:tc>
          <w:tcPr>
            <w:tcW w:w="980" w:type="dxa"/>
            <w:vAlign w:val="bottom"/>
            <w:tcBorders>
              <w:bottom w:val="single" w:sz="8" w:color="D9D9D9"/>
            </w:tcBorders>
            <w:shd w:val="clear" w:color="auto" w:fill="D9D9D9"/>
          </w:tcPr>
          <w:p>
            <w:pPr>
              <w:jc w:val="right"/>
              <w:spacing w:after="0" w:line="148"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5"/>
                <w:szCs w:val="15"/>
                <w:color w:val="auto"/>
              </w:rPr>
            </w:pPr>
          </w:p>
        </w:tc>
        <w:tc>
          <w:tcPr>
            <w:tcW w:w="700" w:type="dxa"/>
            <w:vAlign w:val="bottom"/>
            <w:tcBorders>
              <w:bottom w:val="single" w:sz="8" w:color="D9D9D9"/>
            </w:tcBorders>
            <w:shd w:val="clear" w:color="auto" w:fill="D9D9D9"/>
          </w:tcPr>
          <w:p>
            <w:pPr>
              <w:jc w:val="right"/>
              <w:ind w:right="15"/>
              <w:spacing w:after="0" w:line="148" w:lineRule="exact"/>
              <w:rPr>
                <w:sz w:val="20"/>
                <w:szCs w:val="20"/>
                <w:color w:val="auto"/>
              </w:rPr>
            </w:pPr>
            <w:r>
              <w:rPr>
                <w:rFonts w:ascii="Calibri" w:cs="Calibri" w:eastAsia="Calibri" w:hAnsi="Calibri"/>
                <w:sz w:val="13"/>
                <w:szCs w:val="13"/>
                <w:b w:val="1"/>
                <w:bCs w:val="1"/>
                <w:color w:val="auto"/>
              </w:rPr>
              <w:t>1,448</w:t>
            </w:r>
          </w:p>
        </w:tc>
        <w:tc>
          <w:tcPr>
            <w:tcW w:w="0" w:type="dxa"/>
            <w:vAlign w:val="bottom"/>
          </w:tcPr>
          <w:p>
            <w:pPr>
              <w:spacing w:after="0"/>
              <w:rPr>
                <w:sz w:val="1"/>
                <w:szCs w:val="1"/>
                <w:color w:val="auto"/>
              </w:rPr>
            </w:pPr>
          </w:p>
        </w:tc>
      </w:tr>
      <w:tr>
        <w:trPr>
          <w:trHeight w:val="113"/>
        </w:trPr>
        <w:tc>
          <w:tcPr>
            <w:tcW w:w="3200" w:type="dxa"/>
            <w:vAlign w:val="bottom"/>
            <w:tcBorders>
              <w:top w:val="single" w:sz="8" w:color="929292"/>
            </w:tcBorders>
          </w:tcPr>
          <w:p>
            <w:pPr>
              <w:ind w:left="60"/>
              <w:spacing w:after="0" w:line="113" w:lineRule="exact"/>
              <w:rPr>
                <w:sz w:val="20"/>
                <w:szCs w:val="20"/>
                <w:color w:val="auto"/>
              </w:rPr>
            </w:pPr>
            <w:r>
              <w:rPr>
                <w:rFonts w:ascii="Calibri" w:cs="Calibri" w:eastAsia="Calibri" w:hAnsi="Calibri"/>
                <w:sz w:val="12"/>
                <w:szCs w:val="12"/>
                <w:color w:val="auto"/>
              </w:rPr>
              <w:t>Shares issued for cash net of share issuance costs – private</w:t>
            </w:r>
          </w:p>
        </w:tc>
        <w:tc>
          <w:tcPr>
            <w:tcW w:w="600" w:type="dxa"/>
            <w:vAlign w:val="bottom"/>
            <w:tcBorders>
              <w:top w:val="single" w:sz="8" w:color="929292"/>
            </w:tcBorders>
          </w:tcPr>
          <w:p>
            <w:pPr>
              <w:spacing w:after="0"/>
              <w:rPr>
                <w:sz w:val="9"/>
                <w:szCs w:val="9"/>
                <w:color w:val="auto"/>
              </w:rPr>
            </w:pPr>
          </w:p>
        </w:tc>
        <w:tc>
          <w:tcPr>
            <w:tcW w:w="940" w:type="dxa"/>
            <w:vAlign w:val="bottom"/>
            <w:tcBorders>
              <w:top w:val="single" w:sz="8" w:color="929292"/>
            </w:tcBorders>
            <w:gridSpan w:val="2"/>
            <w:vMerge w:val="restart"/>
          </w:tcPr>
          <w:p>
            <w:pPr>
              <w:jc w:val="right"/>
              <w:ind w:right="35"/>
              <w:spacing w:after="0"/>
              <w:rPr>
                <w:sz w:val="20"/>
                <w:szCs w:val="20"/>
                <w:color w:val="auto"/>
              </w:rPr>
            </w:pPr>
            <w:r>
              <w:rPr>
                <w:rFonts w:ascii="Calibri" w:cs="Calibri" w:eastAsia="Calibri" w:hAnsi="Calibri"/>
                <w:sz w:val="13"/>
                <w:szCs w:val="13"/>
                <w:color w:val="auto"/>
              </w:rPr>
              <w:t>74,246,666</w:t>
            </w:r>
          </w:p>
        </w:tc>
        <w:tc>
          <w:tcPr>
            <w:tcW w:w="700" w:type="dxa"/>
            <w:vAlign w:val="bottom"/>
            <w:tcBorders>
              <w:top w:val="single" w:sz="8" w:color="929292"/>
            </w:tcBorders>
            <w:vMerge w:val="restart"/>
          </w:tcPr>
          <w:p>
            <w:pPr>
              <w:jc w:val="right"/>
              <w:spacing w:after="0"/>
              <w:rPr>
                <w:sz w:val="20"/>
                <w:szCs w:val="20"/>
                <w:color w:val="auto"/>
              </w:rPr>
            </w:pPr>
            <w:r>
              <w:rPr>
                <w:rFonts w:ascii="Calibri" w:cs="Calibri" w:eastAsia="Calibri" w:hAnsi="Calibri"/>
                <w:sz w:val="13"/>
                <w:szCs w:val="13"/>
                <w:color w:val="auto"/>
              </w:rPr>
              <w:t>50,049</w:t>
            </w:r>
          </w:p>
        </w:tc>
        <w:tc>
          <w:tcPr>
            <w:tcW w:w="80" w:type="dxa"/>
            <w:vAlign w:val="bottom"/>
            <w:tcBorders>
              <w:top w:val="single" w:sz="8" w:color="929292"/>
            </w:tcBorders>
          </w:tcPr>
          <w:p>
            <w:pPr>
              <w:spacing w:after="0"/>
              <w:rPr>
                <w:sz w:val="9"/>
                <w:szCs w:val="9"/>
                <w:color w:val="auto"/>
              </w:rPr>
            </w:pPr>
          </w:p>
        </w:tc>
        <w:tc>
          <w:tcPr>
            <w:tcW w:w="740" w:type="dxa"/>
            <w:vAlign w:val="bottom"/>
            <w:tcBorders>
              <w:top w:val="single" w:sz="8" w:color="929292"/>
            </w:tcBorders>
            <w:vMerge w:val="restart"/>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tcBorders>
              <w:top w:val="single" w:sz="8" w:color="929292"/>
            </w:tcBorders>
            <w:vMerge w:val="restart"/>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tcBorders>
              <w:top w:val="single" w:sz="8" w:color="929292"/>
            </w:tcBorders>
            <w:vMerge w:val="restart"/>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Borders>
              <w:top w:val="single" w:sz="8" w:color="929292"/>
            </w:tcBorders>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Borders>
              <w:top w:val="single" w:sz="8" w:color="929292"/>
            </w:tcBorders>
          </w:tcPr>
          <w:p>
            <w:pPr>
              <w:spacing w:after="0"/>
              <w:rPr>
                <w:sz w:val="9"/>
                <w:szCs w:val="9"/>
                <w:color w:val="auto"/>
              </w:rPr>
            </w:pPr>
          </w:p>
        </w:tc>
        <w:tc>
          <w:tcPr>
            <w:tcW w:w="700" w:type="dxa"/>
            <w:vAlign w:val="bottom"/>
            <w:tcBorders>
              <w:top w:val="single" w:sz="8" w:color="929292"/>
            </w:tcBorders>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Borders>
              <w:top w:val="single" w:sz="8" w:color="929292"/>
            </w:tcBorders>
          </w:tcPr>
          <w:p>
            <w:pPr>
              <w:spacing w:after="0"/>
              <w:rPr>
                <w:sz w:val="9"/>
                <w:szCs w:val="9"/>
                <w:color w:val="auto"/>
              </w:rPr>
            </w:pPr>
          </w:p>
        </w:tc>
        <w:tc>
          <w:tcPr>
            <w:tcW w:w="980" w:type="dxa"/>
            <w:vAlign w:val="bottom"/>
            <w:tcBorders>
              <w:top w:val="single" w:sz="8" w:color="929292"/>
            </w:tcBorders>
            <w:vMerge w:val="restart"/>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tcBorders>
              <w:top w:val="single" w:sz="8" w:color="929292"/>
            </w:tcBorders>
            <w:gridSpan w:val="2"/>
            <w:vMerge w:val="restart"/>
          </w:tcPr>
          <w:p>
            <w:pPr>
              <w:jc w:val="right"/>
              <w:ind w:right="15"/>
              <w:spacing w:after="0"/>
              <w:rPr>
                <w:sz w:val="20"/>
                <w:szCs w:val="20"/>
                <w:color w:val="auto"/>
              </w:rPr>
            </w:pPr>
            <w:r>
              <w:rPr>
                <w:rFonts w:ascii="Calibri" w:cs="Calibri" w:eastAsia="Calibri" w:hAnsi="Calibri"/>
                <w:sz w:val="13"/>
                <w:szCs w:val="13"/>
                <w:color w:val="auto"/>
              </w:rPr>
              <w:t>50,049</w:t>
            </w:r>
          </w:p>
        </w:tc>
        <w:tc>
          <w:tcPr>
            <w:tcW w:w="0" w:type="dxa"/>
            <w:vAlign w:val="bottom"/>
          </w:tcPr>
          <w:p>
            <w:pPr>
              <w:spacing w:after="0"/>
              <w:rPr>
                <w:sz w:val="1"/>
                <w:szCs w:val="1"/>
                <w:color w:val="auto"/>
              </w:rPr>
            </w:pPr>
          </w:p>
        </w:tc>
      </w:tr>
      <w:tr>
        <w:trPr>
          <w:trHeight w:val="82"/>
        </w:trPr>
        <w:tc>
          <w:tcPr>
            <w:tcW w:w="3200" w:type="dxa"/>
            <w:vAlign w:val="bottom"/>
            <w:vMerge w:val="restart"/>
          </w:tcPr>
          <w:p>
            <w:pPr>
              <w:ind w:left="60"/>
              <w:spacing w:after="0" w:line="156" w:lineRule="exact"/>
              <w:rPr>
                <w:sz w:val="20"/>
                <w:szCs w:val="20"/>
                <w:color w:val="auto"/>
              </w:rPr>
            </w:pPr>
            <w:r>
              <w:rPr>
                <w:rFonts w:ascii="Calibri" w:cs="Calibri" w:eastAsia="Calibri" w:hAnsi="Calibri"/>
                <w:sz w:val="13"/>
                <w:szCs w:val="13"/>
                <w:color w:val="auto"/>
              </w:rPr>
              <w:t>placement</w:t>
            </w:r>
          </w:p>
        </w:tc>
        <w:tc>
          <w:tcPr>
            <w:tcW w:w="6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32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60"/>
              <w:spacing w:after="0"/>
              <w:rPr>
                <w:sz w:val="20"/>
                <w:szCs w:val="20"/>
                <w:color w:val="auto"/>
              </w:rPr>
            </w:pPr>
            <w:r>
              <w:rPr>
                <w:rFonts w:ascii="Calibri" w:cs="Calibri" w:eastAsia="Calibri" w:hAnsi="Calibri"/>
                <w:sz w:val="13"/>
                <w:szCs w:val="13"/>
                <w:color w:val="auto"/>
              </w:rPr>
              <w:t>Shares issued for amalgamaton</w:t>
            </w:r>
          </w:p>
        </w:tc>
        <w:tc>
          <w:tcPr>
            <w:tcW w:w="600" w:type="dxa"/>
            <w:vAlign w:val="bottom"/>
          </w:tcPr>
          <w:p>
            <w:pPr>
              <w:spacing w:after="0"/>
              <w:rPr>
                <w:sz w:val="14"/>
                <w:szCs w:val="14"/>
                <w:color w:val="auto"/>
              </w:rPr>
            </w:pPr>
          </w:p>
        </w:tc>
        <w:tc>
          <w:tcPr>
            <w:tcW w:w="940" w:type="dxa"/>
            <w:vAlign w:val="bottom"/>
            <w:gridSpan w:val="2"/>
          </w:tcPr>
          <w:p>
            <w:pPr>
              <w:jc w:val="right"/>
              <w:ind w:right="35"/>
              <w:spacing w:after="0"/>
              <w:rPr>
                <w:sz w:val="20"/>
                <w:szCs w:val="20"/>
                <w:color w:val="auto"/>
              </w:rPr>
            </w:pPr>
            <w:r>
              <w:rPr>
                <w:rFonts w:ascii="Calibri" w:cs="Calibri" w:eastAsia="Calibri" w:hAnsi="Calibri"/>
                <w:sz w:val="13"/>
                <w:szCs w:val="13"/>
                <w:color w:val="auto"/>
              </w:rPr>
              <w:t>2,128,295</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1,596</w:t>
            </w:r>
          </w:p>
        </w:tc>
        <w:tc>
          <w:tcPr>
            <w:tcW w:w="80" w:type="dxa"/>
            <w:vAlign w:val="bottom"/>
          </w:tcPr>
          <w:p>
            <w:pPr>
              <w:spacing w:after="0"/>
              <w:rPr>
                <w:sz w:val="14"/>
                <w:szCs w:val="14"/>
                <w:color w:val="auto"/>
              </w:rPr>
            </w:pPr>
          </w:p>
        </w:tc>
        <w:tc>
          <w:tcPr>
            <w:tcW w:w="7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23</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1,619</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Shares issued for Adelia at acquisiton</w:t>
            </w:r>
          </w:p>
        </w:tc>
        <w:tc>
          <w:tcPr>
            <w:tcW w:w="600" w:type="dxa"/>
            <w:vAlign w:val="bottom"/>
          </w:tcPr>
          <w:p>
            <w:pPr>
              <w:spacing w:after="0"/>
              <w:rPr>
                <w:sz w:val="15"/>
                <w:szCs w:val="15"/>
                <w:color w:val="auto"/>
              </w:rPr>
            </w:pPr>
          </w:p>
        </w:tc>
        <w:tc>
          <w:tcPr>
            <w:tcW w:w="940" w:type="dxa"/>
            <w:vAlign w:val="bottom"/>
            <w:gridSpan w:val="2"/>
          </w:tcPr>
          <w:p>
            <w:pPr>
              <w:jc w:val="right"/>
              <w:ind w:right="35"/>
              <w:spacing w:after="0"/>
              <w:rPr>
                <w:sz w:val="20"/>
                <w:szCs w:val="20"/>
                <w:color w:val="auto"/>
              </w:rPr>
            </w:pPr>
            <w:r>
              <w:rPr>
                <w:rFonts w:ascii="Calibri" w:cs="Calibri" w:eastAsia="Calibri" w:hAnsi="Calibri"/>
                <w:sz w:val="13"/>
                <w:szCs w:val="13"/>
                <w:color w:val="auto"/>
              </w:rPr>
              <w:t>8,688,330</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19,549</w:t>
            </w:r>
          </w:p>
        </w:tc>
        <w:tc>
          <w:tcPr>
            <w:tcW w:w="80" w:type="dxa"/>
            <w:vAlign w:val="bottom"/>
          </w:tcPr>
          <w:p>
            <w:pPr>
              <w:spacing w:after="0"/>
              <w:rPr>
                <w:sz w:val="15"/>
                <w:szCs w:val="15"/>
                <w:color w:val="auto"/>
              </w:rPr>
            </w:pPr>
          </w:p>
        </w:tc>
        <w:tc>
          <w:tcPr>
            <w:tcW w:w="7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19,549</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Shares issued on contngent liability Adelia milestones</w:t>
            </w:r>
          </w:p>
        </w:tc>
        <w:tc>
          <w:tcPr>
            <w:tcW w:w="600" w:type="dxa"/>
            <w:vAlign w:val="bottom"/>
          </w:tcPr>
          <w:p>
            <w:pPr>
              <w:spacing w:after="0"/>
              <w:rPr>
                <w:sz w:val="15"/>
                <w:szCs w:val="15"/>
                <w:color w:val="auto"/>
              </w:rPr>
            </w:pPr>
          </w:p>
        </w:tc>
        <w:tc>
          <w:tcPr>
            <w:tcW w:w="940" w:type="dxa"/>
            <w:vAlign w:val="bottom"/>
            <w:gridSpan w:val="2"/>
          </w:tcPr>
          <w:p>
            <w:pPr>
              <w:jc w:val="right"/>
              <w:ind w:right="35"/>
              <w:spacing w:after="0"/>
              <w:rPr>
                <w:sz w:val="20"/>
                <w:szCs w:val="20"/>
                <w:color w:val="auto"/>
              </w:rPr>
            </w:pPr>
            <w:r>
              <w:rPr>
                <w:rFonts w:ascii="Calibri" w:cs="Calibri" w:eastAsia="Calibri" w:hAnsi="Calibri"/>
                <w:sz w:val="13"/>
                <w:szCs w:val="13"/>
                <w:color w:val="auto"/>
              </w:rPr>
              <w:t>934,103</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1,539</w:t>
            </w:r>
          </w:p>
        </w:tc>
        <w:tc>
          <w:tcPr>
            <w:tcW w:w="80" w:type="dxa"/>
            <w:vAlign w:val="bottom"/>
          </w:tcPr>
          <w:p>
            <w:pPr>
              <w:spacing w:after="0"/>
              <w:rPr>
                <w:sz w:val="15"/>
                <w:szCs w:val="15"/>
                <w:color w:val="auto"/>
              </w:rPr>
            </w:pPr>
          </w:p>
        </w:tc>
        <w:tc>
          <w:tcPr>
            <w:tcW w:w="7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1,539</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Reversal of share subscriptons</w:t>
            </w:r>
          </w:p>
        </w:tc>
        <w:tc>
          <w:tcPr>
            <w:tcW w:w="600" w:type="dxa"/>
            <w:vAlign w:val="bottom"/>
          </w:tcPr>
          <w:p>
            <w:pPr>
              <w:spacing w:after="0"/>
              <w:rPr>
                <w:sz w:val="15"/>
                <w:szCs w:val="15"/>
                <w:color w:val="auto"/>
              </w:rPr>
            </w:pPr>
          </w:p>
        </w:tc>
        <w:tc>
          <w:tcPr>
            <w:tcW w:w="940" w:type="dxa"/>
            <w:vAlign w:val="bottom"/>
            <w:gridSpan w:val="2"/>
          </w:tcPr>
          <w:p>
            <w:pPr>
              <w:jc w:val="right"/>
              <w:ind w:right="35"/>
              <w:spacing w:after="0"/>
              <w:rPr>
                <w:sz w:val="20"/>
                <w:szCs w:val="20"/>
                <w:color w:val="auto"/>
              </w:rPr>
            </w:pPr>
            <w:r>
              <w:rPr>
                <w:rFonts w:ascii="Calibri" w:cs="Calibri" w:eastAsia="Calibri" w:hAnsi="Calibri"/>
                <w:sz w:val="13"/>
                <w:szCs w:val="13"/>
                <w:color w:val="auto"/>
              </w:rPr>
              <w:t>(2,799,982)</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(700)</w:t>
            </w:r>
          </w:p>
        </w:tc>
        <w:tc>
          <w:tcPr>
            <w:tcW w:w="80" w:type="dxa"/>
            <w:vAlign w:val="bottom"/>
          </w:tcPr>
          <w:p>
            <w:pPr>
              <w:spacing w:after="0"/>
              <w:rPr>
                <w:sz w:val="15"/>
                <w:szCs w:val="15"/>
                <w:color w:val="auto"/>
              </w:rPr>
            </w:pPr>
          </w:p>
        </w:tc>
        <w:tc>
          <w:tcPr>
            <w:tcW w:w="7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(700)</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Issuance of convertble debt</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15</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15</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Shares issued on conversion of debt</w:t>
            </w:r>
          </w:p>
        </w:tc>
        <w:tc>
          <w:tcPr>
            <w:tcW w:w="600" w:type="dxa"/>
            <w:vAlign w:val="bottom"/>
          </w:tcPr>
          <w:p>
            <w:pPr>
              <w:spacing w:after="0"/>
              <w:rPr>
                <w:sz w:val="15"/>
                <w:szCs w:val="15"/>
                <w:color w:val="auto"/>
              </w:rPr>
            </w:pPr>
          </w:p>
        </w:tc>
        <w:tc>
          <w:tcPr>
            <w:tcW w:w="940" w:type="dxa"/>
            <w:vAlign w:val="bottom"/>
            <w:gridSpan w:val="2"/>
          </w:tcPr>
          <w:p>
            <w:pPr>
              <w:jc w:val="right"/>
              <w:ind w:right="35"/>
              <w:spacing w:after="0"/>
              <w:rPr>
                <w:sz w:val="20"/>
                <w:szCs w:val="20"/>
                <w:color w:val="auto"/>
              </w:rPr>
            </w:pPr>
            <w:r>
              <w:rPr>
                <w:rFonts w:ascii="Calibri" w:cs="Calibri" w:eastAsia="Calibri" w:hAnsi="Calibri"/>
                <w:sz w:val="13"/>
                <w:szCs w:val="13"/>
                <w:color w:val="auto"/>
              </w:rPr>
              <w:t>1,200,000</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310</w:t>
            </w:r>
          </w:p>
        </w:tc>
        <w:tc>
          <w:tcPr>
            <w:tcW w:w="80" w:type="dxa"/>
            <w:vAlign w:val="bottom"/>
          </w:tcPr>
          <w:p>
            <w:pPr>
              <w:spacing w:after="0"/>
              <w:rPr>
                <w:sz w:val="15"/>
                <w:szCs w:val="15"/>
                <w:color w:val="auto"/>
              </w:rPr>
            </w:pPr>
          </w:p>
        </w:tc>
        <w:tc>
          <w:tcPr>
            <w:tcW w:w="7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(15)</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295</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Founders' round additonal capital</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164</w:t>
            </w:r>
          </w:p>
        </w:tc>
        <w:tc>
          <w:tcPr>
            <w:tcW w:w="80" w:type="dxa"/>
            <w:vAlign w:val="bottom"/>
          </w:tcPr>
          <w:p>
            <w:pPr>
              <w:spacing w:after="0"/>
              <w:rPr>
                <w:sz w:val="15"/>
                <w:szCs w:val="15"/>
                <w:color w:val="auto"/>
              </w:rPr>
            </w:pPr>
          </w:p>
        </w:tc>
        <w:tc>
          <w:tcPr>
            <w:tcW w:w="7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164</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Finders' warrants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(1,225)</w:t>
            </w:r>
          </w:p>
        </w:tc>
        <w:tc>
          <w:tcPr>
            <w:tcW w:w="820" w:type="dxa"/>
            <w:vAlign w:val="bottom"/>
            <w:gridSpan w:val="2"/>
          </w:tcPr>
          <w:p>
            <w:pPr>
              <w:jc w:val="right"/>
              <w:ind w:right="35"/>
              <w:spacing w:after="0"/>
              <w:rPr>
                <w:sz w:val="20"/>
                <w:szCs w:val="20"/>
                <w:color w:val="auto"/>
              </w:rPr>
            </w:pPr>
            <w:r>
              <w:rPr>
                <w:rFonts w:ascii="Calibri" w:cs="Calibri" w:eastAsia="Calibri" w:hAnsi="Calibri"/>
                <w:sz w:val="13"/>
                <w:szCs w:val="13"/>
                <w:color w:val="auto"/>
              </w:rPr>
              <w:t>1,225</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Warrants exercised</w:t>
            </w:r>
          </w:p>
        </w:tc>
        <w:tc>
          <w:tcPr>
            <w:tcW w:w="600" w:type="dxa"/>
            <w:vAlign w:val="bottom"/>
          </w:tcPr>
          <w:p>
            <w:pPr>
              <w:spacing w:after="0"/>
              <w:rPr>
                <w:sz w:val="15"/>
                <w:szCs w:val="15"/>
                <w:color w:val="auto"/>
              </w:rPr>
            </w:pPr>
          </w:p>
        </w:tc>
        <w:tc>
          <w:tcPr>
            <w:tcW w:w="940" w:type="dxa"/>
            <w:vAlign w:val="bottom"/>
            <w:gridSpan w:val="2"/>
          </w:tcPr>
          <w:p>
            <w:pPr>
              <w:jc w:val="right"/>
              <w:ind w:right="35"/>
              <w:spacing w:after="0"/>
              <w:rPr>
                <w:sz w:val="20"/>
                <w:szCs w:val="20"/>
                <w:color w:val="auto"/>
              </w:rPr>
            </w:pPr>
            <w:r>
              <w:rPr>
                <w:rFonts w:ascii="Calibri" w:cs="Calibri" w:eastAsia="Calibri" w:hAnsi="Calibri"/>
                <w:sz w:val="13"/>
                <w:szCs w:val="13"/>
                <w:color w:val="auto"/>
              </w:rPr>
              <w:t>815,047</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615</w:t>
            </w:r>
          </w:p>
        </w:tc>
        <w:tc>
          <w:tcPr>
            <w:tcW w:w="820" w:type="dxa"/>
            <w:vAlign w:val="bottom"/>
            <w:gridSpan w:val="2"/>
          </w:tcPr>
          <w:p>
            <w:pPr>
              <w:jc w:val="right"/>
              <w:ind w:right="35"/>
              <w:spacing w:after="0"/>
              <w:rPr>
                <w:sz w:val="20"/>
                <w:szCs w:val="20"/>
                <w:color w:val="auto"/>
              </w:rPr>
            </w:pPr>
            <w:r>
              <w:rPr>
                <w:rFonts w:ascii="Calibri" w:cs="Calibri" w:eastAsia="Calibri" w:hAnsi="Calibri"/>
                <w:sz w:val="13"/>
                <w:szCs w:val="13"/>
                <w:color w:val="auto"/>
              </w:rPr>
              <w:t>(208)</w:t>
            </w:r>
          </w:p>
        </w:tc>
        <w:tc>
          <w:tcPr>
            <w:tcW w:w="620" w:type="dxa"/>
            <w:vAlign w:val="bottom"/>
          </w:tcPr>
          <w:p>
            <w:pPr>
              <w:spacing w:after="0"/>
              <w:rPr>
                <w:sz w:val="15"/>
                <w:szCs w:val="15"/>
                <w:color w:val="auto"/>
              </w:rPr>
            </w:pP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407</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Optons exercised</w:t>
            </w:r>
          </w:p>
        </w:tc>
        <w:tc>
          <w:tcPr>
            <w:tcW w:w="600" w:type="dxa"/>
            <w:vAlign w:val="bottom"/>
          </w:tcPr>
          <w:p>
            <w:pPr>
              <w:spacing w:after="0"/>
              <w:rPr>
                <w:sz w:val="15"/>
                <w:szCs w:val="15"/>
                <w:color w:val="auto"/>
              </w:rPr>
            </w:pPr>
          </w:p>
        </w:tc>
        <w:tc>
          <w:tcPr>
            <w:tcW w:w="940" w:type="dxa"/>
            <w:vAlign w:val="bottom"/>
            <w:gridSpan w:val="2"/>
          </w:tcPr>
          <w:p>
            <w:pPr>
              <w:jc w:val="right"/>
              <w:ind w:right="35"/>
              <w:spacing w:after="0"/>
              <w:rPr>
                <w:sz w:val="20"/>
                <w:szCs w:val="20"/>
                <w:color w:val="auto"/>
              </w:rPr>
            </w:pPr>
            <w:r>
              <w:rPr>
                <w:rFonts w:ascii="Calibri" w:cs="Calibri" w:eastAsia="Calibri" w:hAnsi="Calibri"/>
                <w:sz w:val="13"/>
                <w:szCs w:val="13"/>
                <w:color w:val="auto"/>
              </w:rPr>
              <w:t>492,386</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299</w:t>
            </w:r>
          </w:p>
        </w:tc>
        <w:tc>
          <w:tcPr>
            <w:tcW w:w="80" w:type="dxa"/>
            <w:vAlign w:val="bottom"/>
          </w:tcPr>
          <w:p>
            <w:pPr>
              <w:spacing w:after="0"/>
              <w:rPr>
                <w:sz w:val="15"/>
                <w:szCs w:val="15"/>
                <w:color w:val="auto"/>
              </w:rPr>
            </w:pPr>
          </w:p>
        </w:tc>
        <w:tc>
          <w:tcPr>
            <w:tcW w:w="7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(117)</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182</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Optons forfeited</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(124)</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124</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Share-based compensaton</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20" w:type="dxa"/>
            <w:vAlign w:val="bottom"/>
            <w:gridSpan w:val="2"/>
          </w:tcPr>
          <w:p>
            <w:pPr>
              <w:jc w:val="right"/>
              <w:ind w:right="35"/>
              <w:spacing w:after="0"/>
              <w:rPr>
                <w:sz w:val="20"/>
                <w:szCs w:val="20"/>
                <w:color w:val="auto"/>
              </w:rPr>
            </w:pPr>
            <w:r>
              <w:rPr>
                <w:rFonts w:ascii="Calibri" w:cs="Calibri" w:eastAsia="Calibri" w:hAnsi="Calibri"/>
                <w:sz w:val="13"/>
                <w:szCs w:val="13"/>
                <w:color w:val="auto"/>
              </w:rPr>
              <w:t>4,242</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7,312</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11,554</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Bought deal share ofering - net of share issuance costs</w:t>
            </w:r>
          </w:p>
        </w:tc>
        <w:tc>
          <w:tcPr>
            <w:tcW w:w="600" w:type="dxa"/>
            <w:vAlign w:val="bottom"/>
          </w:tcPr>
          <w:p>
            <w:pPr>
              <w:spacing w:after="0"/>
              <w:rPr>
                <w:sz w:val="15"/>
                <w:szCs w:val="15"/>
                <w:color w:val="auto"/>
              </w:rPr>
            </w:pPr>
          </w:p>
        </w:tc>
        <w:tc>
          <w:tcPr>
            <w:tcW w:w="940" w:type="dxa"/>
            <w:vAlign w:val="bottom"/>
            <w:gridSpan w:val="2"/>
          </w:tcPr>
          <w:p>
            <w:pPr>
              <w:jc w:val="right"/>
              <w:ind w:right="35"/>
              <w:spacing w:after="0"/>
              <w:rPr>
                <w:sz w:val="20"/>
                <w:szCs w:val="20"/>
                <w:color w:val="auto"/>
              </w:rPr>
            </w:pPr>
            <w:r>
              <w:rPr>
                <w:rFonts w:ascii="Calibri" w:cs="Calibri" w:eastAsia="Calibri" w:hAnsi="Calibri"/>
                <w:sz w:val="13"/>
                <w:szCs w:val="13"/>
                <w:color w:val="auto"/>
              </w:rPr>
              <w:t>15,246,000</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26,293</w:t>
            </w:r>
          </w:p>
        </w:tc>
        <w:tc>
          <w:tcPr>
            <w:tcW w:w="820" w:type="dxa"/>
            <w:vAlign w:val="bottom"/>
            <w:gridSpan w:val="2"/>
          </w:tcPr>
          <w:p>
            <w:pPr>
              <w:jc w:val="right"/>
              <w:ind w:right="35"/>
              <w:spacing w:after="0"/>
              <w:rPr>
                <w:sz w:val="20"/>
                <w:szCs w:val="20"/>
                <w:color w:val="auto"/>
              </w:rPr>
            </w:pPr>
            <w:r>
              <w:rPr>
                <w:rFonts w:ascii="Calibri" w:cs="Calibri" w:eastAsia="Calibri" w:hAnsi="Calibri"/>
                <w:sz w:val="13"/>
                <w:szCs w:val="13"/>
                <w:color w:val="auto"/>
              </w:rPr>
              <w:t>5,900</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32,193</w:t>
            </w:r>
          </w:p>
        </w:tc>
        <w:tc>
          <w:tcPr>
            <w:tcW w:w="0" w:type="dxa"/>
            <w:vAlign w:val="bottom"/>
          </w:tcPr>
          <w:p>
            <w:pPr>
              <w:spacing w:after="0"/>
              <w:rPr>
                <w:sz w:val="1"/>
                <w:szCs w:val="1"/>
                <w:color w:val="auto"/>
              </w:rPr>
            </w:pPr>
          </w:p>
        </w:tc>
      </w:tr>
      <w:tr>
        <w:trPr>
          <w:trHeight w:val="41"/>
        </w:trPr>
        <w:tc>
          <w:tcPr>
            <w:tcW w:w="3200" w:type="dxa"/>
            <w:vAlign w:val="bottom"/>
            <w:vMerge w:val="restart"/>
          </w:tcPr>
          <w:p>
            <w:pPr>
              <w:ind w:left="60"/>
              <w:spacing w:after="0"/>
              <w:rPr>
                <w:sz w:val="20"/>
                <w:szCs w:val="20"/>
                <w:color w:val="auto"/>
              </w:rPr>
            </w:pPr>
            <w:r>
              <w:rPr>
                <w:rFonts w:ascii="Calibri" w:cs="Calibri" w:eastAsia="Calibri" w:hAnsi="Calibri"/>
                <w:sz w:val="13"/>
                <w:szCs w:val="13"/>
                <w:color w:val="auto"/>
              </w:rPr>
              <w:t>Unrealized gain on translaton of foreign operatons</w:t>
            </w: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vMerge w:val="restart"/>
          </w:tcPr>
          <w:p>
            <w:pPr>
              <w:jc w:val="right"/>
              <w:ind w:right="35"/>
              <w:spacing w:after="0"/>
              <w:rPr>
                <w:sz w:val="20"/>
                <w:szCs w:val="20"/>
                <w:color w:val="auto"/>
              </w:rPr>
            </w:pPr>
            <w:r>
              <w:rPr>
                <w:rFonts w:ascii="Calibri" w:cs="Calibri" w:eastAsia="Calibri" w:hAnsi="Calibri"/>
                <w:sz w:val="13"/>
                <w:szCs w:val="13"/>
                <w:color w:val="auto"/>
              </w:rPr>
              <w:t>—</w:t>
            </w:r>
          </w:p>
        </w:tc>
        <w:tc>
          <w:tcPr>
            <w:tcW w:w="7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3"/>
                <w:szCs w:val="3"/>
                <w:color w:val="auto"/>
              </w:rPr>
            </w:pPr>
          </w:p>
        </w:tc>
        <w:tc>
          <w:tcPr>
            <w:tcW w:w="740" w:type="dxa"/>
            <w:vAlign w:val="bottom"/>
            <w:vMerge w:val="restart"/>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vMerge w:val="restart"/>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Borders>
              <w:bottom w:val="single" w:sz="8" w:color="auto"/>
            </w:tcBorders>
          </w:tcPr>
          <w:p>
            <w:pPr>
              <w:spacing w:after="0"/>
              <w:rPr>
                <w:sz w:val="3"/>
                <w:szCs w:val="3"/>
                <w:color w:val="auto"/>
              </w:rPr>
            </w:pPr>
          </w:p>
        </w:tc>
        <w:tc>
          <w:tcPr>
            <w:tcW w:w="7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1060" w:type="dxa"/>
            <w:vAlign w:val="bottom"/>
            <w:gridSpan w:val="2"/>
            <w:vMerge w:val="restart"/>
          </w:tcPr>
          <w:p>
            <w:pPr>
              <w:jc w:val="right"/>
              <w:spacing w:after="0"/>
              <w:rPr>
                <w:sz w:val="20"/>
                <w:szCs w:val="20"/>
                <w:color w:val="auto"/>
              </w:rPr>
            </w:pPr>
            <w:r>
              <w:rPr>
                <w:rFonts w:ascii="Calibri" w:cs="Calibri" w:eastAsia="Calibri" w:hAnsi="Calibri"/>
                <w:sz w:val="13"/>
                <w:szCs w:val="13"/>
                <w:color w:val="auto"/>
              </w:rPr>
              <w:t>24</w:t>
            </w:r>
          </w:p>
        </w:tc>
        <w:tc>
          <w:tcPr>
            <w:tcW w:w="800" w:type="dxa"/>
            <w:vAlign w:val="bottom"/>
            <w:gridSpan w:val="2"/>
            <w:vMerge w:val="restart"/>
          </w:tcPr>
          <w:p>
            <w:pPr>
              <w:jc w:val="right"/>
              <w:ind w:right="15"/>
              <w:spacing w:after="0"/>
              <w:rPr>
                <w:sz w:val="20"/>
                <w:szCs w:val="20"/>
                <w:color w:val="auto"/>
              </w:rPr>
            </w:pPr>
            <w:r>
              <w:rPr>
                <w:rFonts w:ascii="Calibri" w:cs="Calibri" w:eastAsia="Calibri" w:hAnsi="Calibri"/>
                <w:sz w:val="13"/>
                <w:szCs w:val="13"/>
                <w:color w:val="auto"/>
              </w:rPr>
              <w:t>24</w:t>
            </w:r>
          </w:p>
        </w:tc>
        <w:tc>
          <w:tcPr>
            <w:tcW w:w="0" w:type="dxa"/>
            <w:vAlign w:val="bottom"/>
          </w:tcPr>
          <w:p>
            <w:pPr>
              <w:spacing w:after="0"/>
              <w:rPr>
                <w:sz w:val="1"/>
                <w:szCs w:val="1"/>
                <w:color w:val="auto"/>
              </w:rPr>
            </w:pPr>
          </w:p>
        </w:tc>
      </w:tr>
      <w:tr>
        <w:trPr>
          <w:trHeight w:val="122"/>
        </w:trPr>
        <w:tc>
          <w:tcPr>
            <w:tcW w:w="32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3200" w:type="dxa"/>
            <w:vAlign w:val="bottom"/>
            <w:vMerge w:val="restart"/>
          </w:tcPr>
          <w:p>
            <w:pPr>
              <w:ind w:left="60"/>
              <w:spacing w:after="0"/>
              <w:rPr>
                <w:sz w:val="20"/>
                <w:szCs w:val="20"/>
                <w:color w:val="auto"/>
              </w:rPr>
            </w:pPr>
            <w:r>
              <w:rPr>
                <w:rFonts w:ascii="Calibri" w:cs="Calibri" w:eastAsia="Calibri" w:hAnsi="Calibri"/>
                <w:sz w:val="13"/>
                <w:szCs w:val="13"/>
                <w:color w:val="auto"/>
              </w:rPr>
              <w:t>Net loss and comprehensive loss for the period</w:t>
            </w: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vMerge w:val="restart"/>
          </w:tcPr>
          <w:p>
            <w:pPr>
              <w:jc w:val="right"/>
              <w:ind w:right="35"/>
              <w:spacing w:after="0"/>
              <w:rPr>
                <w:sz w:val="20"/>
                <w:szCs w:val="20"/>
                <w:color w:val="auto"/>
              </w:rPr>
            </w:pPr>
            <w:r>
              <w:rPr>
                <w:rFonts w:ascii="Calibri" w:cs="Calibri" w:eastAsia="Calibri" w:hAnsi="Calibri"/>
                <w:sz w:val="13"/>
                <w:szCs w:val="13"/>
                <w:color w:val="auto"/>
              </w:rPr>
              <w:t>—</w:t>
            </w:r>
          </w:p>
        </w:tc>
        <w:tc>
          <w:tcPr>
            <w:tcW w:w="7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3"/>
                <w:szCs w:val="3"/>
                <w:color w:val="auto"/>
              </w:rPr>
            </w:pPr>
          </w:p>
        </w:tc>
        <w:tc>
          <w:tcPr>
            <w:tcW w:w="740" w:type="dxa"/>
            <w:vAlign w:val="bottom"/>
            <w:vMerge w:val="restart"/>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vMerge w:val="restart"/>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Borders>
              <w:bottom w:val="single" w:sz="8" w:color="auto"/>
            </w:tcBorders>
          </w:tcPr>
          <w:p>
            <w:pPr>
              <w:spacing w:after="0"/>
              <w:rPr>
                <w:sz w:val="3"/>
                <w:szCs w:val="3"/>
                <w:color w:val="auto"/>
              </w:rPr>
            </w:pPr>
          </w:p>
        </w:tc>
        <w:tc>
          <w:tcPr>
            <w:tcW w:w="700" w:type="dxa"/>
            <w:vAlign w:val="bottom"/>
            <w:vMerge w:val="restart"/>
          </w:tcPr>
          <w:p>
            <w:pPr>
              <w:jc w:val="right"/>
              <w:spacing w:after="0"/>
              <w:rPr>
                <w:sz w:val="20"/>
                <w:szCs w:val="20"/>
                <w:color w:val="auto"/>
              </w:rPr>
            </w:pPr>
            <w:r>
              <w:rPr>
                <w:rFonts w:ascii="Calibri" w:cs="Calibri" w:eastAsia="Calibri" w:hAnsi="Calibri"/>
                <w:sz w:val="13"/>
                <w:szCs w:val="13"/>
                <w:color w:val="auto"/>
              </w:rPr>
              <w:t>(32,220)</w:t>
            </w:r>
          </w:p>
        </w:tc>
        <w:tc>
          <w:tcPr>
            <w:tcW w:w="80" w:type="dxa"/>
            <w:vAlign w:val="bottom"/>
          </w:tcPr>
          <w:p>
            <w:pPr>
              <w:spacing w:after="0"/>
              <w:rPr>
                <w:sz w:val="3"/>
                <w:szCs w:val="3"/>
                <w:color w:val="auto"/>
              </w:rPr>
            </w:pPr>
          </w:p>
        </w:tc>
        <w:tc>
          <w:tcPr>
            <w:tcW w:w="98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gridSpan w:val="2"/>
            <w:vMerge w:val="restart"/>
          </w:tcPr>
          <w:p>
            <w:pPr>
              <w:jc w:val="right"/>
              <w:ind w:right="15"/>
              <w:spacing w:after="0"/>
              <w:rPr>
                <w:sz w:val="20"/>
                <w:szCs w:val="20"/>
                <w:color w:val="auto"/>
              </w:rPr>
            </w:pPr>
            <w:r>
              <w:rPr>
                <w:rFonts w:ascii="Calibri" w:cs="Calibri" w:eastAsia="Calibri" w:hAnsi="Calibri"/>
                <w:sz w:val="13"/>
                <w:szCs w:val="13"/>
                <w:color w:val="auto"/>
              </w:rPr>
              <w:t>(32,220)</w:t>
            </w:r>
          </w:p>
        </w:tc>
        <w:tc>
          <w:tcPr>
            <w:tcW w:w="0" w:type="dxa"/>
            <w:vAlign w:val="bottom"/>
          </w:tcPr>
          <w:p>
            <w:pPr>
              <w:spacing w:after="0"/>
              <w:rPr>
                <w:sz w:val="1"/>
                <w:szCs w:val="1"/>
                <w:color w:val="auto"/>
              </w:rPr>
            </w:pPr>
          </w:p>
        </w:tc>
      </w:tr>
      <w:tr>
        <w:trPr>
          <w:trHeight w:val="122"/>
        </w:trPr>
        <w:tc>
          <w:tcPr>
            <w:tcW w:w="32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3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3200" w:type="dxa"/>
            <w:vAlign w:val="bottom"/>
            <w:tcBorders>
              <w:bottom w:val="single" w:sz="8" w:color="D9D9D9"/>
            </w:tcBorders>
            <w:shd w:val="clear" w:color="auto" w:fill="D9D9D9"/>
          </w:tcPr>
          <w:p>
            <w:pPr>
              <w:ind w:left="60"/>
              <w:spacing w:after="0" w:line="148" w:lineRule="exact"/>
              <w:rPr>
                <w:sz w:val="20"/>
                <w:szCs w:val="20"/>
                <w:color w:val="auto"/>
              </w:rPr>
            </w:pPr>
            <w:r>
              <w:rPr>
                <w:rFonts w:ascii="Calibri" w:cs="Calibri" w:eastAsia="Calibri" w:hAnsi="Calibri"/>
                <w:sz w:val="13"/>
                <w:szCs w:val="13"/>
                <w:b w:val="1"/>
                <w:bCs w:val="1"/>
                <w:color w:val="auto"/>
              </w:rPr>
              <w:t>Balance at March 31, 2021</w:t>
            </w:r>
          </w:p>
        </w:tc>
        <w:tc>
          <w:tcPr>
            <w:tcW w:w="600" w:type="dxa"/>
            <w:vAlign w:val="bottom"/>
            <w:tcBorders>
              <w:bottom w:val="single" w:sz="8" w:color="D9D9D9"/>
            </w:tcBorders>
            <w:shd w:val="clear" w:color="auto" w:fill="D9D9D9"/>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D9D9D9"/>
            </w:tcBorders>
            <w:shd w:val="clear" w:color="auto" w:fill="D9D9D9"/>
          </w:tcPr>
          <w:p>
            <w:pPr>
              <w:jc w:val="right"/>
              <w:ind w:right="35"/>
              <w:spacing w:after="0" w:line="148" w:lineRule="exact"/>
              <w:rPr>
                <w:sz w:val="20"/>
                <w:szCs w:val="20"/>
                <w:color w:val="auto"/>
              </w:rPr>
            </w:pPr>
            <w:r>
              <w:rPr>
                <w:rFonts w:ascii="Calibri" w:cs="Calibri" w:eastAsia="Calibri" w:hAnsi="Calibri"/>
                <w:sz w:val="13"/>
                <w:szCs w:val="13"/>
                <w:b w:val="1"/>
                <w:bCs w:val="1"/>
                <w:color w:val="auto"/>
              </w:rPr>
              <w:t>157,454,415</w:t>
            </w:r>
          </w:p>
        </w:tc>
        <w:tc>
          <w:tcPr>
            <w:tcW w:w="700" w:type="dxa"/>
            <w:vAlign w:val="bottom"/>
            <w:tcBorders>
              <w:bottom w:val="single" w:sz="8" w:color="D9D9D9"/>
            </w:tcBorders>
            <w:shd w:val="clear" w:color="auto" w:fill="D9D9D9"/>
          </w:tcPr>
          <w:p>
            <w:pPr>
              <w:jc w:val="right"/>
              <w:spacing w:after="0" w:line="148" w:lineRule="exact"/>
              <w:rPr>
                <w:sz w:val="20"/>
                <w:szCs w:val="20"/>
                <w:color w:val="auto"/>
              </w:rPr>
            </w:pPr>
            <w:r>
              <w:rPr>
                <w:rFonts w:ascii="Calibri" w:cs="Calibri" w:eastAsia="Calibri" w:hAnsi="Calibri"/>
                <w:sz w:val="13"/>
                <w:szCs w:val="13"/>
                <w:b w:val="1"/>
                <w:bCs w:val="1"/>
                <w:color w:val="auto"/>
              </w:rPr>
              <w:t>100,676</w:t>
            </w:r>
          </w:p>
        </w:tc>
        <w:tc>
          <w:tcPr>
            <w:tcW w:w="820" w:type="dxa"/>
            <w:vAlign w:val="bottom"/>
            <w:tcBorders>
              <w:bottom w:val="single" w:sz="8" w:color="D9D9D9"/>
            </w:tcBorders>
            <w:gridSpan w:val="2"/>
            <w:shd w:val="clear" w:color="auto" w:fill="D9D9D9"/>
          </w:tcPr>
          <w:p>
            <w:pPr>
              <w:jc w:val="right"/>
              <w:ind w:right="35"/>
              <w:spacing w:after="0" w:line="148" w:lineRule="exact"/>
              <w:rPr>
                <w:sz w:val="20"/>
                <w:szCs w:val="20"/>
                <w:color w:val="auto"/>
              </w:rPr>
            </w:pPr>
            <w:r>
              <w:rPr>
                <w:rFonts w:ascii="Calibri" w:cs="Calibri" w:eastAsia="Calibri" w:hAnsi="Calibri"/>
                <w:sz w:val="13"/>
                <w:szCs w:val="13"/>
                <w:b w:val="1"/>
                <w:bCs w:val="1"/>
                <w:color w:val="auto"/>
              </w:rPr>
              <w:t>11,166</w:t>
            </w:r>
          </w:p>
        </w:tc>
        <w:tc>
          <w:tcPr>
            <w:tcW w:w="620" w:type="dxa"/>
            <w:vAlign w:val="bottom"/>
            <w:tcBorders>
              <w:bottom w:val="single" w:sz="8" w:color="D9D9D9"/>
            </w:tcBorders>
            <w:shd w:val="clear" w:color="auto" w:fill="D9D9D9"/>
          </w:tcPr>
          <w:p>
            <w:pPr>
              <w:jc w:val="right"/>
              <w:spacing w:after="0" w:line="148" w:lineRule="exact"/>
              <w:rPr>
                <w:sz w:val="20"/>
                <w:szCs w:val="20"/>
                <w:color w:val="auto"/>
              </w:rPr>
            </w:pPr>
            <w:r>
              <w:rPr>
                <w:rFonts w:ascii="Calibri" w:cs="Calibri" w:eastAsia="Calibri" w:hAnsi="Calibri"/>
                <w:sz w:val="13"/>
                <w:szCs w:val="13"/>
                <w:b w:val="1"/>
                <w:bCs w:val="1"/>
                <w:color w:val="auto"/>
              </w:rPr>
              <w:t>7,158</w:t>
            </w:r>
          </w:p>
        </w:tc>
        <w:tc>
          <w:tcPr>
            <w:tcW w:w="980" w:type="dxa"/>
            <w:vAlign w:val="bottom"/>
            <w:tcBorders>
              <w:bottom w:val="single" w:sz="8" w:color="D9D9D9"/>
            </w:tcBorders>
            <w:shd w:val="clear" w:color="auto" w:fill="D9D9D9"/>
          </w:tcPr>
          <w:p>
            <w:pPr>
              <w:jc w:val="right"/>
              <w:ind w:right="35"/>
              <w:spacing w:after="0" w:line="148" w:lineRule="exact"/>
              <w:rPr>
                <w:sz w:val="20"/>
                <w:szCs w:val="20"/>
                <w:color w:val="auto"/>
              </w:rPr>
            </w:pPr>
            <w:r>
              <w:rPr>
                <w:rFonts w:ascii="Calibri" w:cs="Calibri" w:eastAsia="Calibri" w:hAnsi="Calibri"/>
                <w:sz w:val="13"/>
                <w:szCs w:val="13"/>
                <w:b w:val="1"/>
                <w:bCs w:val="1"/>
                <w:color w:val="auto"/>
              </w:rPr>
              <w:t>—</w:t>
            </w:r>
          </w:p>
        </w:tc>
        <w:tc>
          <w:tcPr>
            <w:tcW w:w="760" w:type="dxa"/>
            <w:vAlign w:val="bottom"/>
            <w:tcBorders>
              <w:bottom w:val="single" w:sz="8" w:color="D9D9D9"/>
            </w:tcBorders>
            <w:shd w:val="clear" w:color="auto" w:fill="D9D9D9"/>
          </w:tcPr>
          <w:p>
            <w:pPr>
              <w:jc w:val="right"/>
              <w:spacing w:after="0" w:line="148" w:lineRule="exact"/>
              <w:rPr>
                <w:sz w:val="20"/>
                <w:szCs w:val="20"/>
                <w:color w:val="auto"/>
              </w:rPr>
            </w:pPr>
            <w:r>
              <w:rPr>
                <w:rFonts w:ascii="Calibri" w:cs="Calibri" w:eastAsia="Calibri" w:hAnsi="Calibri"/>
                <w:sz w:val="13"/>
                <w:szCs w:val="13"/>
                <w:b w:val="1"/>
                <w:bCs w:val="1"/>
                <w:color w:val="auto"/>
              </w:rPr>
              <w:t>124</w:t>
            </w:r>
          </w:p>
        </w:tc>
        <w:tc>
          <w:tcPr>
            <w:tcW w:w="80" w:type="dxa"/>
            <w:vAlign w:val="bottom"/>
          </w:tcPr>
          <w:p>
            <w:pPr>
              <w:spacing w:after="0"/>
              <w:rPr>
                <w:sz w:val="15"/>
                <w:szCs w:val="15"/>
                <w:color w:val="auto"/>
              </w:rPr>
            </w:pPr>
          </w:p>
        </w:tc>
        <w:tc>
          <w:tcPr>
            <w:tcW w:w="700" w:type="dxa"/>
            <w:vAlign w:val="bottom"/>
            <w:tcBorders>
              <w:bottom w:val="single" w:sz="8" w:color="D9D9D9"/>
            </w:tcBorders>
            <w:shd w:val="clear" w:color="auto" w:fill="D9D9D9"/>
          </w:tcPr>
          <w:p>
            <w:pPr>
              <w:jc w:val="right"/>
              <w:spacing w:after="0" w:line="148" w:lineRule="exact"/>
              <w:rPr>
                <w:sz w:val="20"/>
                <w:szCs w:val="20"/>
                <w:color w:val="auto"/>
              </w:rPr>
            </w:pPr>
            <w:r>
              <w:rPr>
                <w:rFonts w:ascii="Calibri" w:cs="Calibri" w:eastAsia="Calibri" w:hAnsi="Calibri"/>
                <w:sz w:val="13"/>
                <w:szCs w:val="13"/>
                <w:b w:val="1"/>
                <w:bCs w:val="1"/>
                <w:color w:val="auto"/>
              </w:rPr>
              <w:t>(33,030)</w:t>
            </w:r>
          </w:p>
        </w:tc>
        <w:tc>
          <w:tcPr>
            <w:tcW w:w="80" w:type="dxa"/>
            <w:vAlign w:val="bottom"/>
          </w:tcPr>
          <w:p>
            <w:pPr>
              <w:spacing w:after="0"/>
              <w:rPr>
                <w:sz w:val="15"/>
                <w:szCs w:val="15"/>
                <w:color w:val="auto"/>
              </w:rPr>
            </w:pPr>
          </w:p>
        </w:tc>
        <w:tc>
          <w:tcPr>
            <w:tcW w:w="980" w:type="dxa"/>
            <w:vAlign w:val="bottom"/>
            <w:tcBorders>
              <w:bottom w:val="single" w:sz="8" w:color="D9D9D9"/>
            </w:tcBorders>
            <w:shd w:val="clear" w:color="auto" w:fill="D9D9D9"/>
          </w:tcPr>
          <w:p>
            <w:pPr>
              <w:jc w:val="right"/>
              <w:spacing w:after="0" w:line="148" w:lineRule="exact"/>
              <w:rPr>
                <w:sz w:val="20"/>
                <w:szCs w:val="20"/>
                <w:color w:val="auto"/>
              </w:rPr>
            </w:pPr>
            <w:r>
              <w:rPr>
                <w:rFonts w:ascii="Calibri" w:cs="Calibri" w:eastAsia="Calibri" w:hAnsi="Calibri"/>
                <w:sz w:val="13"/>
                <w:szCs w:val="13"/>
                <w:b w:val="1"/>
                <w:bCs w:val="1"/>
                <w:color w:val="auto"/>
              </w:rPr>
              <w:t>24</w:t>
            </w:r>
          </w:p>
        </w:tc>
        <w:tc>
          <w:tcPr>
            <w:tcW w:w="100" w:type="dxa"/>
            <w:vAlign w:val="bottom"/>
          </w:tcPr>
          <w:p>
            <w:pPr>
              <w:spacing w:after="0"/>
              <w:rPr>
                <w:sz w:val="15"/>
                <w:szCs w:val="15"/>
                <w:color w:val="auto"/>
              </w:rPr>
            </w:pPr>
          </w:p>
        </w:tc>
        <w:tc>
          <w:tcPr>
            <w:tcW w:w="700" w:type="dxa"/>
            <w:vAlign w:val="bottom"/>
            <w:tcBorders>
              <w:bottom w:val="single" w:sz="8" w:color="D9D9D9"/>
            </w:tcBorders>
            <w:shd w:val="clear" w:color="auto" w:fill="D9D9D9"/>
          </w:tcPr>
          <w:p>
            <w:pPr>
              <w:jc w:val="right"/>
              <w:ind w:right="15"/>
              <w:spacing w:after="0" w:line="148" w:lineRule="exact"/>
              <w:rPr>
                <w:sz w:val="20"/>
                <w:szCs w:val="20"/>
                <w:color w:val="auto"/>
              </w:rPr>
            </w:pPr>
            <w:r>
              <w:rPr>
                <w:rFonts w:ascii="Calibri" w:cs="Calibri" w:eastAsia="Calibri" w:hAnsi="Calibri"/>
                <w:sz w:val="13"/>
                <w:szCs w:val="13"/>
                <w:b w:val="1"/>
                <w:bCs w:val="1"/>
                <w:color w:val="auto"/>
              </w:rPr>
              <w:t>86,118</w:t>
            </w:r>
          </w:p>
        </w:tc>
        <w:tc>
          <w:tcPr>
            <w:tcW w:w="0" w:type="dxa"/>
            <w:vAlign w:val="bottom"/>
          </w:tcPr>
          <w:p>
            <w:pPr>
              <w:spacing w:after="0"/>
              <w:rPr>
                <w:sz w:val="1"/>
                <w:szCs w:val="1"/>
                <w:color w:val="auto"/>
              </w:rPr>
            </w:pPr>
          </w:p>
        </w:tc>
      </w:tr>
      <w:tr>
        <w:trPr>
          <w:trHeight w:val="148"/>
        </w:trPr>
        <w:tc>
          <w:tcPr>
            <w:tcW w:w="3200" w:type="dxa"/>
            <w:vAlign w:val="bottom"/>
            <w:tcBorders>
              <w:top w:val="single" w:sz="8" w:color="auto"/>
            </w:tcBorders>
          </w:tcPr>
          <w:p>
            <w:pPr>
              <w:ind w:left="60"/>
              <w:spacing w:after="0" w:line="148" w:lineRule="exact"/>
              <w:rPr>
                <w:sz w:val="20"/>
                <w:szCs w:val="20"/>
                <w:color w:val="auto"/>
              </w:rPr>
            </w:pPr>
            <w:r>
              <w:rPr>
                <w:rFonts w:ascii="Calibri" w:cs="Calibri" w:eastAsia="Calibri" w:hAnsi="Calibri"/>
                <w:sz w:val="13"/>
                <w:szCs w:val="13"/>
                <w:color w:val="auto"/>
              </w:rPr>
              <w:t>Bought deal share ofering - net of share issuance costs</w:t>
            </w:r>
          </w:p>
        </w:tc>
        <w:tc>
          <w:tcPr>
            <w:tcW w:w="600" w:type="dxa"/>
            <w:vAlign w:val="bottom"/>
            <w:tcBorders>
              <w:top w:val="single" w:sz="8" w:color="auto"/>
            </w:tcBorders>
          </w:tcPr>
          <w:p>
            <w:pPr>
              <w:jc w:val="center"/>
              <w:spacing w:after="0" w:line="148" w:lineRule="exact"/>
              <w:rPr>
                <w:sz w:val="20"/>
                <w:szCs w:val="20"/>
                <w:color w:val="auto"/>
              </w:rPr>
            </w:pPr>
            <w:r>
              <w:rPr>
                <w:rFonts w:ascii="Calibri" w:cs="Calibri" w:eastAsia="Calibri" w:hAnsi="Calibri"/>
                <w:sz w:val="13"/>
                <w:szCs w:val="13"/>
                <w:color w:val="auto"/>
                <w:w w:val="90"/>
              </w:rPr>
              <w:t>10</w:t>
            </w:r>
          </w:p>
        </w:tc>
        <w:tc>
          <w:tcPr>
            <w:tcW w:w="80" w:type="dxa"/>
            <w:vAlign w:val="bottom"/>
          </w:tcPr>
          <w:p>
            <w:pPr>
              <w:spacing w:after="0"/>
              <w:rPr>
                <w:sz w:val="12"/>
                <w:szCs w:val="12"/>
                <w:color w:val="auto"/>
              </w:rPr>
            </w:pPr>
          </w:p>
        </w:tc>
        <w:tc>
          <w:tcPr>
            <w:tcW w:w="860" w:type="dxa"/>
            <w:vAlign w:val="bottom"/>
            <w:tcBorders>
              <w:top w:val="single" w:sz="8" w:color="auto"/>
            </w:tcBorders>
          </w:tcPr>
          <w:p>
            <w:pPr>
              <w:jc w:val="right"/>
              <w:ind w:right="35"/>
              <w:spacing w:after="0" w:line="148" w:lineRule="exact"/>
              <w:rPr>
                <w:sz w:val="20"/>
                <w:szCs w:val="20"/>
                <w:color w:val="auto"/>
              </w:rPr>
            </w:pPr>
            <w:r>
              <w:rPr>
                <w:rFonts w:ascii="Calibri" w:cs="Calibri" w:eastAsia="Calibri" w:hAnsi="Calibri"/>
                <w:sz w:val="13"/>
                <w:szCs w:val="13"/>
                <w:color w:val="auto"/>
              </w:rPr>
              <w:t>10,147,600</w:t>
            </w:r>
          </w:p>
        </w:tc>
        <w:tc>
          <w:tcPr>
            <w:tcW w:w="700" w:type="dxa"/>
            <w:vAlign w:val="bottom"/>
            <w:tcBorders>
              <w:top w:val="single" w:sz="8" w:color="auto"/>
            </w:tcBorders>
          </w:tcPr>
          <w:p>
            <w:pPr>
              <w:jc w:val="right"/>
              <w:spacing w:after="0" w:line="148" w:lineRule="exact"/>
              <w:rPr>
                <w:sz w:val="20"/>
                <w:szCs w:val="20"/>
                <w:color w:val="auto"/>
              </w:rPr>
            </w:pPr>
            <w:r>
              <w:rPr>
                <w:rFonts w:ascii="Calibri" w:cs="Calibri" w:eastAsia="Calibri" w:hAnsi="Calibri"/>
                <w:sz w:val="13"/>
                <w:szCs w:val="13"/>
                <w:color w:val="auto"/>
              </w:rPr>
              <w:t>31,507</w:t>
            </w: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5"/>
              <w:spacing w:after="0" w:line="148" w:lineRule="exact"/>
              <w:rPr>
                <w:sz w:val="20"/>
                <w:szCs w:val="20"/>
                <w:color w:val="auto"/>
              </w:rPr>
            </w:pPr>
            <w:r>
              <w:rPr>
                <w:rFonts w:ascii="Calibri" w:cs="Calibri" w:eastAsia="Calibri" w:hAnsi="Calibri"/>
                <w:sz w:val="13"/>
                <w:szCs w:val="13"/>
                <w:color w:val="auto"/>
              </w:rPr>
              <w:t>—</w:t>
            </w:r>
          </w:p>
        </w:tc>
        <w:tc>
          <w:tcPr>
            <w:tcW w:w="620" w:type="dxa"/>
            <w:vAlign w:val="bottom"/>
            <w:tcBorders>
              <w:top w:val="single" w:sz="8" w:color="auto"/>
            </w:tcBorders>
          </w:tcPr>
          <w:p>
            <w:pPr>
              <w:jc w:val="right"/>
              <w:spacing w:after="0" w:line="148" w:lineRule="exact"/>
              <w:rPr>
                <w:sz w:val="20"/>
                <w:szCs w:val="20"/>
                <w:color w:val="auto"/>
              </w:rPr>
            </w:pPr>
            <w:r>
              <w:rPr>
                <w:rFonts w:ascii="Calibri" w:cs="Calibri" w:eastAsia="Calibri" w:hAnsi="Calibri"/>
                <w:sz w:val="13"/>
                <w:szCs w:val="13"/>
                <w:color w:val="auto"/>
              </w:rPr>
              <w:t>—</w:t>
            </w:r>
          </w:p>
        </w:tc>
        <w:tc>
          <w:tcPr>
            <w:tcW w:w="980" w:type="dxa"/>
            <w:vAlign w:val="bottom"/>
            <w:tcBorders>
              <w:top w:val="single" w:sz="8" w:color="auto"/>
            </w:tcBorders>
          </w:tcPr>
          <w:p>
            <w:pPr>
              <w:jc w:val="right"/>
              <w:ind w:right="35"/>
              <w:spacing w:after="0" w:line="148" w:lineRule="exact"/>
              <w:rPr>
                <w:sz w:val="20"/>
                <w:szCs w:val="20"/>
                <w:color w:val="auto"/>
              </w:rPr>
            </w:pPr>
            <w:r>
              <w:rPr>
                <w:rFonts w:ascii="Calibri" w:cs="Calibri" w:eastAsia="Calibri" w:hAnsi="Calibri"/>
                <w:sz w:val="13"/>
                <w:szCs w:val="13"/>
                <w:color w:val="auto"/>
              </w:rPr>
              <w:t>—</w:t>
            </w:r>
          </w:p>
        </w:tc>
        <w:tc>
          <w:tcPr>
            <w:tcW w:w="760" w:type="dxa"/>
            <w:vAlign w:val="bottom"/>
            <w:tcBorders>
              <w:top w:val="single" w:sz="8" w:color="auto"/>
            </w:tcBorders>
          </w:tcPr>
          <w:p>
            <w:pPr>
              <w:jc w:val="right"/>
              <w:spacing w:after="0" w:line="148" w:lineRule="exact"/>
              <w:rPr>
                <w:sz w:val="20"/>
                <w:szCs w:val="20"/>
                <w:color w:val="auto"/>
              </w:rPr>
            </w:pPr>
            <w:r>
              <w:rPr>
                <w:rFonts w:ascii="Calibri" w:cs="Calibri" w:eastAsia="Calibri" w:hAnsi="Calibri"/>
                <w:sz w:val="13"/>
                <w:szCs w:val="13"/>
                <w:color w:val="auto"/>
              </w:rPr>
              <w:t>—</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8" w:lineRule="exact"/>
              <w:rPr>
                <w:sz w:val="20"/>
                <w:szCs w:val="20"/>
                <w:color w:val="auto"/>
              </w:rPr>
            </w:pPr>
            <w:r>
              <w:rPr>
                <w:rFonts w:ascii="Calibri" w:cs="Calibri" w:eastAsia="Calibri" w:hAnsi="Calibri"/>
                <w:sz w:val="13"/>
                <w:szCs w:val="13"/>
                <w:color w:val="auto"/>
              </w:rPr>
              <w:t>—</w:t>
            </w: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8" w:lineRule="exact"/>
              <w:rPr>
                <w:sz w:val="20"/>
                <w:szCs w:val="20"/>
                <w:color w:val="auto"/>
              </w:rPr>
            </w:pPr>
            <w:r>
              <w:rPr>
                <w:rFonts w:ascii="Calibri" w:cs="Calibri" w:eastAsia="Calibri" w:hAnsi="Calibri"/>
                <w:sz w:val="13"/>
                <w:szCs w:val="13"/>
                <w:color w:val="auto"/>
              </w:rPr>
              <w:t>—</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
              <w:spacing w:after="0" w:line="148" w:lineRule="exact"/>
              <w:rPr>
                <w:sz w:val="20"/>
                <w:szCs w:val="20"/>
                <w:color w:val="auto"/>
              </w:rPr>
            </w:pPr>
            <w:r>
              <w:rPr>
                <w:rFonts w:ascii="Calibri" w:cs="Calibri" w:eastAsia="Calibri" w:hAnsi="Calibri"/>
                <w:sz w:val="13"/>
                <w:szCs w:val="13"/>
                <w:color w:val="auto"/>
              </w:rPr>
              <w:t>31,507</w:t>
            </w:r>
          </w:p>
        </w:tc>
        <w:tc>
          <w:tcPr>
            <w:tcW w:w="0" w:type="dxa"/>
            <w:vAlign w:val="bottom"/>
          </w:tcPr>
          <w:p>
            <w:pPr>
              <w:spacing w:after="0"/>
              <w:rPr>
                <w:sz w:val="1"/>
                <w:szCs w:val="1"/>
                <w:color w:val="auto"/>
              </w:rPr>
            </w:pPr>
          </w:p>
        </w:tc>
      </w:tr>
      <w:tr>
        <w:trPr>
          <w:trHeight w:val="170"/>
        </w:trPr>
        <w:tc>
          <w:tcPr>
            <w:tcW w:w="3200" w:type="dxa"/>
            <w:vAlign w:val="bottom"/>
          </w:tcPr>
          <w:p>
            <w:pPr>
              <w:ind w:left="60"/>
              <w:spacing w:after="0"/>
              <w:rPr>
                <w:sz w:val="20"/>
                <w:szCs w:val="20"/>
                <w:color w:val="auto"/>
              </w:rPr>
            </w:pPr>
            <w:r>
              <w:rPr>
                <w:rFonts w:ascii="Calibri" w:cs="Calibri" w:eastAsia="Calibri" w:hAnsi="Calibri"/>
                <w:sz w:val="13"/>
                <w:szCs w:val="13"/>
                <w:color w:val="auto"/>
              </w:rPr>
              <w:t>Shares issued on Adelia milestones</w:t>
            </w:r>
          </w:p>
        </w:tc>
        <w:tc>
          <w:tcPr>
            <w:tcW w:w="600" w:type="dxa"/>
            <w:vAlign w:val="bottom"/>
          </w:tcPr>
          <w:p>
            <w:pPr>
              <w:jc w:val="center"/>
              <w:spacing w:after="0"/>
              <w:rPr>
                <w:sz w:val="20"/>
                <w:szCs w:val="20"/>
                <w:color w:val="auto"/>
              </w:rPr>
            </w:pPr>
            <w:r>
              <w:rPr>
                <w:rFonts w:ascii="Calibri" w:cs="Calibri" w:eastAsia="Calibri" w:hAnsi="Calibri"/>
                <w:sz w:val="13"/>
                <w:szCs w:val="13"/>
                <w:color w:val="auto"/>
                <w:w w:val="99"/>
              </w:rPr>
              <w:t>9, 10</w:t>
            </w:r>
          </w:p>
        </w:tc>
        <w:tc>
          <w:tcPr>
            <w:tcW w:w="940" w:type="dxa"/>
            <w:vAlign w:val="bottom"/>
            <w:gridSpan w:val="2"/>
          </w:tcPr>
          <w:p>
            <w:pPr>
              <w:jc w:val="right"/>
              <w:ind w:right="35"/>
              <w:spacing w:after="0"/>
              <w:rPr>
                <w:sz w:val="20"/>
                <w:szCs w:val="20"/>
                <w:color w:val="auto"/>
              </w:rPr>
            </w:pPr>
            <w:r>
              <w:rPr>
                <w:rFonts w:ascii="Calibri" w:cs="Calibri" w:eastAsia="Calibri" w:hAnsi="Calibri"/>
                <w:sz w:val="13"/>
                <w:szCs w:val="13"/>
                <w:color w:val="auto"/>
              </w:rPr>
              <w:t>2,690,078</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4,251</w:t>
            </w:r>
          </w:p>
        </w:tc>
        <w:tc>
          <w:tcPr>
            <w:tcW w:w="80" w:type="dxa"/>
            <w:vAlign w:val="bottom"/>
          </w:tcPr>
          <w:p>
            <w:pPr>
              <w:spacing w:after="0"/>
              <w:rPr>
                <w:sz w:val="14"/>
                <w:szCs w:val="14"/>
                <w:color w:val="auto"/>
              </w:rPr>
            </w:pPr>
          </w:p>
        </w:tc>
        <w:tc>
          <w:tcPr>
            <w:tcW w:w="7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4,251</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Warrants exercised</w:t>
            </w:r>
          </w:p>
        </w:tc>
        <w:tc>
          <w:tcPr>
            <w:tcW w:w="600" w:type="dxa"/>
            <w:vAlign w:val="bottom"/>
          </w:tcPr>
          <w:p>
            <w:pPr>
              <w:jc w:val="center"/>
              <w:spacing w:after="0"/>
              <w:rPr>
                <w:sz w:val="20"/>
                <w:szCs w:val="20"/>
                <w:color w:val="auto"/>
              </w:rPr>
            </w:pPr>
            <w:r>
              <w:rPr>
                <w:rFonts w:ascii="Calibri" w:cs="Calibri" w:eastAsia="Calibri" w:hAnsi="Calibri"/>
                <w:sz w:val="13"/>
                <w:szCs w:val="13"/>
                <w:color w:val="auto"/>
                <w:w w:val="90"/>
              </w:rPr>
              <w:t>10</w:t>
            </w:r>
          </w:p>
        </w:tc>
        <w:tc>
          <w:tcPr>
            <w:tcW w:w="940" w:type="dxa"/>
            <w:vAlign w:val="bottom"/>
            <w:gridSpan w:val="2"/>
          </w:tcPr>
          <w:p>
            <w:pPr>
              <w:jc w:val="right"/>
              <w:ind w:right="35"/>
              <w:spacing w:after="0"/>
              <w:rPr>
                <w:sz w:val="20"/>
                <w:szCs w:val="20"/>
                <w:color w:val="auto"/>
              </w:rPr>
            </w:pPr>
            <w:r>
              <w:rPr>
                <w:rFonts w:ascii="Calibri" w:cs="Calibri" w:eastAsia="Calibri" w:hAnsi="Calibri"/>
                <w:sz w:val="13"/>
                <w:szCs w:val="13"/>
                <w:color w:val="auto"/>
              </w:rPr>
              <w:t>3,231,261</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4,043</w:t>
            </w:r>
          </w:p>
        </w:tc>
        <w:tc>
          <w:tcPr>
            <w:tcW w:w="820" w:type="dxa"/>
            <w:vAlign w:val="bottom"/>
            <w:gridSpan w:val="2"/>
          </w:tcPr>
          <w:p>
            <w:pPr>
              <w:jc w:val="right"/>
              <w:ind w:right="35"/>
              <w:spacing w:after="0"/>
              <w:rPr>
                <w:sz w:val="20"/>
                <w:szCs w:val="20"/>
                <w:color w:val="auto"/>
              </w:rPr>
            </w:pPr>
            <w:r>
              <w:rPr>
                <w:rFonts w:ascii="Calibri" w:cs="Calibri" w:eastAsia="Calibri" w:hAnsi="Calibri"/>
                <w:sz w:val="13"/>
                <w:szCs w:val="13"/>
                <w:color w:val="auto"/>
              </w:rPr>
              <w:t>(1,115)</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2,928</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Optons exercised</w:t>
            </w:r>
          </w:p>
        </w:tc>
        <w:tc>
          <w:tcPr>
            <w:tcW w:w="600" w:type="dxa"/>
            <w:vAlign w:val="bottom"/>
          </w:tcPr>
          <w:p>
            <w:pPr>
              <w:jc w:val="center"/>
              <w:spacing w:after="0"/>
              <w:rPr>
                <w:sz w:val="20"/>
                <w:szCs w:val="20"/>
                <w:color w:val="auto"/>
              </w:rPr>
            </w:pPr>
            <w:r>
              <w:rPr>
                <w:rFonts w:ascii="Calibri" w:cs="Calibri" w:eastAsia="Calibri" w:hAnsi="Calibri"/>
                <w:sz w:val="13"/>
                <w:szCs w:val="13"/>
                <w:color w:val="auto"/>
                <w:w w:val="90"/>
              </w:rPr>
              <w:t>10</w:t>
            </w:r>
          </w:p>
        </w:tc>
        <w:tc>
          <w:tcPr>
            <w:tcW w:w="940" w:type="dxa"/>
            <w:vAlign w:val="bottom"/>
            <w:gridSpan w:val="2"/>
          </w:tcPr>
          <w:p>
            <w:pPr>
              <w:jc w:val="right"/>
              <w:ind w:right="35"/>
              <w:spacing w:after="0"/>
              <w:rPr>
                <w:sz w:val="20"/>
                <w:szCs w:val="20"/>
                <w:color w:val="auto"/>
              </w:rPr>
            </w:pPr>
            <w:r>
              <w:rPr>
                <w:rFonts w:ascii="Calibri" w:cs="Calibri" w:eastAsia="Calibri" w:hAnsi="Calibri"/>
                <w:sz w:val="13"/>
                <w:szCs w:val="13"/>
                <w:color w:val="auto"/>
              </w:rPr>
              <w:t>1,588,300</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2,306</w:t>
            </w:r>
          </w:p>
        </w:tc>
        <w:tc>
          <w:tcPr>
            <w:tcW w:w="80" w:type="dxa"/>
            <w:vAlign w:val="bottom"/>
          </w:tcPr>
          <w:p>
            <w:pPr>
              <w:spacing w:after="0"/>
              <w:rPr>
                <w:sz w:val="15"/>
                <w:szCs w:val="15"/>
                <w:color w:val="auto"/>
              </w:rPr>
            </w:pPr>
          </w:p>
        </w:tc>
        <w:tc>
          <w:tcPr>
            <w:tcW w:w="7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(964)</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1,342</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Optons forfeited</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(401)</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401</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Finders' warrants</w:t>
            </w:r>
          </w:p>
        </w:tc>
        <w:tc>
          <w:tcPr>
            <w:tcW w:w="600" w:type="dxa"/>
            <w:vAlign w:val="bottom"/>
          </w:tcPr>
          <w:p>
            <w:pPr>
              <w:jc w:val="center"/>
              <w:spacing w:after="0"/>
              <w:rPr>
                <w:sz w:val="20"/>
                <w:szCs w:val="20"/>
                <w:color w:val="auto"/>
              </w:rPr>
            </w:pPr>
            <w:r>
              <w:rPr>
                <w:rFonts w:ascii="Calibri" w:cs="Calibri" w:eastAsia="Calibri" w:hAnsi="Calibri"/>
                <w:sz w:val="13"/>
                <w:szCs w:val="13"/>
                <w:color w:val="auto"/>
                <w:w w:val="90"/>
              </w:rPr>
              <w:t>10</w:t>
            </w:r>
          </w:p>
        </w:tc>
        <w:tc>
          <w:tcPr>
            <w:tcW w:w="8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(1,332)</w:t>
            </w:r>
          </w:p>
        </w:tc>
        <w:tc>
          <w:tcPr>
            <w:tcW w:w="820" w:type="dxa"/>
            <w:vAlign w:val="bottom"/>
            <w:gridSpan w:val="2"/>
          </w:tcPr>
          <w:p>
            <w:pPr>
              <w:jc w:val="right"/>
              <w:ind w:right="35"/>
              <w:spacing w:after="0"/>
              <w:rPr>
                <w:sz w:val="20"/>
                <w:szCs w:val="20"/>
                <w:color w:val="auto"/>
              </w:rPr>
            </w:pPr>
            <w:r>
              <w:rPr>
                <w:rFonts w:ascii="Calibri" w:cs="Calibri" w:eastAsia="Calibri" w:hAnsi="Calibri"/>
                <w:sz w:val="13"/>
                <w:szCs w:val="13"/>
                <w:color w:val="auto"/>
              </w:rPr>
              <w:t>1,332</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Share-based compensaton</w:t>
            </w:r>
          </w:p>
        </w:tc>
        <w:tc>
          <w:tcPr>
            <w:tcW w:w="600" w:type="dxa"/>
            <w:vAlign w:val="bottom"/>
          </w:tcPr>
          <w:p>
            <w:pPr>
              <w:jc w:val="center"/>
              <w:spacing w:after="0"/>
              <w:rPr>
                <w:sz w:val="20"/>
                <w:szCs w:val="20"/>
                <w:color w:val="auto"/>
              </w:rPr>
            </w:pPr>
            <w:r>
              <w:rPr>
                <w:rFonts w:ascii="Calibri" w:cs="Calibri" w:eastAsia="Calibri" w:hAnsi="Calibri"/>
                <w:sz w:val="13"/>
                <w:szCs w:val="13"/>
                <w:color w:val="auto"/>
                <w:w w:val="98"/>
              </w:rPr>
              <w:t>10, 11</w:t>
            </w:r>
          </w:p>
        </w:tc>
        <w:tc>
          <w:tcPr>
            <w:tcW w:w="8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00" w:type="dxa"/>
            <w:vAlign w:val="bottom"/>
          </w:tcPr>
          <w:p>
            <w:pPr>
              <w:spacing w:after="0"/>
              <w:rPr>
                <w:sz w:val="15"/>
                <w:szCs w:val="15"/>
                <w:color w:val="auto"/>
              </w:rPr>
            </w:pPr>
          </w:p>
        </w:tc>
        <w:tc>
          <w:tcPr>
            <w:tcW w:w="820" w:type="dxa"/>
            <w:vAlign w:val="bottom"/>
            <w:gridSpan w:val="2"/>
          </w:tcPr>
          <w:p>
            <w:pPr>
              <w:jc w:val="right"/>
              <w:ind w:right="35"/>
              <w:spacing w:after="0"/>
              <w:rPr>
                <w:sz w:val="20"/>
                <w:szCs w:val="20"/>
                <w:color w:val="auto"/>
              </w:rPr>
            </w:pPr>
            <w:r>
              <w:rPr>
                <w:rFonts w:ascii="Calibri" w:cs="Calibri" w:eastAsia="Calibri" w:hAnsi="Calibri"/>
                <w:sz w:val="13"/>
                <w:szCs w:val="13"/>
                <w:color w:val="auto"/>
              </w:rPr>
              <w:t>40</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17,990</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18,030</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Unrealized loss on translaton of foreign operatons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1060" w:type="dxa"/>
            <w:vAlign w:val="bottom"/>
            <w:gridSpan w:val="2"/>
          </w:tcPr>
          <w:p>
            <w:pPr>
              <w:jc w:val="right"/>
              <w:spacing w:after="0"/>
              <w:rPr>
                <w:sz w:val="20"/>
                <w:szCs w:val="20"/>
                <w:color w:val="auto"/>
              </w:rPr>
            </w:pPr>
            <w:r>
              <w:rPr>
                <w:rFonts w:ascii="Calibri" w:cs="Calibri" w:eastAsia="Calibri" w:hAnsi="Calibri"/>
                <w:sz w:val="13"/>
                <w:szCs w:val="13"/>
                <w:color w:val="auto"/>
              </w:rPr>
              <w:t>(390)</w:t>
            </w: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(390)</w:t>
            </w:r>
          </w:p>
        </w:tc>
        <w:tc>
          <w:tcPr>
            <w:tcW w:w="0" w:type="dxa"/>
            <w:vAlign w:val="bottom"/>
          </w:tcPr>
          <w:p>
            <w:pPr>
              <w:spacing w:after="0"/>
              <w:rPr>
                <w:sz w:val="1"/>
                <w:szCs w:val="1"/>
                <w:color w:val="auto"/>
              </w:rPr>
            </w:pPr>
          </w:p>
        </w:tc>
      </w:tr>
      <w:tr>
        <w:trPr>
          <w:trHeight w:val="183"/>
        </w:trPr>
        <w:tc>
          <w:tcPr>
            <w:tcW w:w="3200" w:type="dxa"/>
            <w:vAlign w:val="bottom"/>
          </w:tcPr>
          <w:p>
            <w:pPr>
              <w:ind w:left="60"/>
              <w:spacing w:after="0"/>
              <w:rPr>
                <w:sz w:val="20"/>
                <w:szCs w:val="20"/>
                <w:color w:val="auto"/>
              </w:rPr>
            </w:pPr>
            <w:r>
              <w:rPr>
                <w:rFonts w:ascii="Calibri" w:cs="Calibri" w:eastAsia="Calibri" w:hAnsi="Calibri"/>
                <w:sz w:val="13"/>
                <w:szCs w:val="13"/>
                <w:color w:val="auto"/>
              </w:rPr>
              <w:t>Net loss for the period</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74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62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7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780" w:type="dxa"/>
            <w:vAlign w:val="bottom"/>
            <w:gridSpan w:val="2"/>
          </w:tcPr>
          <w:p>
            <w:pPr>
              <w:jc w:val="right"/>
              <w:spacing w:after="0"/>
              <w:rPr>
                <w:sz w:val="20"/>
                <w:szCs w:val="20"/>
                <w:color w:val="auto"/>
              </w:rPr>
            </w:pPr>
            <w:r>
              <w:rPr>
                <w:rFonts w:ascii="Calibri" w:cs="Calibri" w:eastAsia="Calibri" w:hAnsi="Calibri"/>
                <w:sz w:val="13"/>
                <w:szCs w:val="13"/>
                <w:color w:val="auto"/>
              </w:rPr>
              <w:t>(67,631)</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0" w:type="dxa"/>
            <w:vAlign w:val="bottom"/>
            <w:gridSpan w:val="2"/>
          </w:tcPr>
          <w:p>
            <w:pPr>
              <w:jc w:val="right"/>
              <w:ind w:right="15"/>
              <w:spacing w:after="0"/>
              <w:rPr>
                <w:sz w:val="20"/>
                <w:szCs w:val="20"/>
                <w:color w:val="auto"/>
              </w:rPr>
            </w:pPr>
            <w:r>
              <w:rPr>
                <w:rFonts w:ascii="Calibri" w:cs="Calibri" w:eastAsia="Calibri" w:hAnsi="Calibri"/>
                <w:sz w:val="13"/>
                <w:szCs w:val="13"/>
                <w:color w:val="auto"/>
              </w:rPr>
              <w:t>(67,631)</w:t>
            </w:r>
          </w:p>
        </w:tc>
        <w:tc>
          <w:tcPr>
            <w:tcW w:w="0" w:type="dxa"/>
            <w:vAlign w:val="bottom"/>
          </w:tcPr>
          <w:p>
            <w:pPr>
              <w:spacing w:after="0"/>
              <w:rPr>
                <w:sz w:val="1"/>
                <w:szCs w:val="1"/>
                <w:color w:val="auto"/>
              </w:rPr>
            </w:pPr>
          </w:p>
        </w:tc>
      </w:tr>
      <w:tr>
        <w:trPr>
          <w:trHeight w:val="41"/>
        </w:trPr>
        <w:tc>
          <w:tcPr>
            <w:tcW w:w="3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200" w:type="dxa"/>
            <w:vAlign w:val="bottom"/>
            <w:tcBorders>
              <w:bottom w:val="single" w:sz="8" w:color="D9D9D9"/>
            </w:tcBorders>
            <w:shd w:val="clear" w:color="auto" w:fill="D9D9D9"/>
          </w:tcPr>
          <w:p>
            <w:pPr>
              <w:ind w:left="60"/>
              <w:spacing w:after="0" w:line="148" w:lineRule="exact"/>
              <w:rPr>
                <w:sz w:val="20"/>
                <w:szCs w:val="20"/>
                <w:color w:val="auto"/>
              </w:rPr>
            </w:pPr>
            <w:r>
              <w:rPr>
                <w:rFonts w:ascii="Calibri" w:cs="Calibri" w:eastAsia="Calibri" w:hAnsi="Calibri"/>
                <w:sz w:val="13"/>
                <w:szCs w:val="13"/>
                <w:b w:val="1"/>
                <w:bCs w:val="1"/>
                <w:color w:val="auto"/>
              </w:rPr>
              <w:t>Balance at March 31, 2022</w:t>
            </w:r>
          </w:p>
        </w:tc>
        <w:tc>
          <w:tcPr>
            <w:tcW w:w="600" w:type="dxa"/>
            <w:vAlign w:val="bottom"/>
            <w:tcBorders>
              <w:bottom w:val="single" w:sz="8" w:color="D9D9D9"/>
            </w:tcBorders>
            <w:shd w:val="clear" w:color="auto" w:fill="D9D9D9"/>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D9D9D9"/>
            </w:tcBorders>
            <w:shd w:val="clear" w:color="auto" w:fill="D9D9D9"/>
          </w:tcPr>
          <w:p>
            <w:pPr>
              <w:jc w:val="right"/>
              <w:ind w:right="35"/>
              <w:spacing w:after="0" w:line="148" w:lineRule="exact"/>
              <w:rPr>
                <w:sz w:val="20"/>
                <w:szCs w:val="20"/>
                <w:color w:val="auto"/>
              </w:rPr>
            </w:pPr>
            <w:r>
              <w:rPr>
                <w:rFonts w:ascii="Calibri" w:cs="Calibri" w:eastAsia="Calibri" w:hAnsi="Calibri"/>
                <w:sz w:val="13"/>
                <w:szCs w:val="13"/>
                <w:b w:val="1"/>
                <w:bCs w:val="1"/>
                <w:color w:val="auto"/>
              </w:rPr>
              <w:t>175,111,654</w:t>
            </w:r>
          </w:p>
        </w:tc>
        <w:tc>
          <w:tcPr>
            <w:tcW w:w="700" w:type="dxa"/>
            <w:vAlign w:val="bottom"/>
            <w:tcBorders>
              <w:bottom w:val="single" w:sz="8" w:color="D9D9D9"/>
            </w:tcBorders>
            <w:shd w:val="clear" w:color="auto" w:fill="D9D9D9"/>
          </w:tcPr>
          <w:p>
            <w:pPr>
              <w:jc w:val="right"/>
              <w:spacing w:after="0" w:line="148" w:lineRule="exact"/>
              <w:rPr>
                <w:sz w:val="20"/>
                <w:szCs w:val="20"/>
                <w:color w:val="auto"/>
              </w:rPr>
            </w:pPr>
            <w:r>
              <w:rPr>
                <w:rFonts w:ascii="Calibri" w:cs="Calibri" w:eastAsia="Calibri" w:hAnsi="Calibri"/>
                <w:sz w:val="13"/>
                <w:szCs w:val="13"/>
                <w:b w:val="1"/>
                <w:bCs w:val="1"/>
                <w:color w:val="auto"/>
              </w:rPr>
              <w:t>141,451</w:t>
            </w:r>
          </w:p>
        </w:tc>
        <w:tc>
          <w:tcPr>
            <w:tcW w:w="80" w:type="dxa"/>
            <w:vAlign w:val="bottom"/>
          </w:tcPr>
          <w:p>
            <w:pPr>
              <w:spacing w:after="0"/>
              <w:rPr>
                <w:sz w:val="13"/>
                <w:szCs w:val="13"/>
                <w:color w:val="auto"/>
              </w:rPr>
            </w:pPr>
          </w:p>
        </w:tc>
        <w:tc>
          <w:tcPr>
            <w:tcW w:w="740" w:type="dxa"/>
            <w:vAlign w:val="bottom"/>
            <w:tcBorders>
              <w:bottom w:val="single" w:sz="8" w:color="D9D9D9"/>
            </w:tcBorders>
            <w:shd w:val="clear" w:color="auto" w:fill="D9D9D9"/>
          </w:tcPr>
          <w:p>
            <w:pPr>
              <w:jc w:val="right"/>
              <w:ind w:right="35"/>
              <w:spacing w:after="0" w:line="148" w:lineRule="exact"/>
              <w:rPr>
                <w:sz w:val="20"/>
                <w:szCs w:val="20"/>
                <w:color w:val="auto"/>
              </w:rPr>
            </w:pPr>
            <w:r>
              <w:rPr>
                <w:rFonts w:ascii="Calibri" w:cs="Calibri" w:eastAsia="Calibri" w:hAnsi="Calibri"/>
                <w:sz w:val="13"/>
                <w:szCs w:val="13"/>
                <w:b w:val="1"/>
                <w:bCs w:val="1"/>
                <w:color w:val="auto"/>
              </w:rPr>
              <w:t>11,423</w:t>
            </w:r>
          </w:p>
        </w:tc>
        <w:tc>
          <w:tcPr>
            <w:tcW w:w="620" w:type="dxa"/>
            <w:vAlign w:val="bottom"/>
            <w:tcBorders>
              <w:bottom w:val="single" w:sz="8" w:color="D9D9D9"/>
            </w:tcBorders>
            <w:shd w:val="clear" w:color="auto" w:fill="D9D9D9"/>
          </w:tcPr>
          <w:p>
            <w:pPr>
              <w:jc w:val="right"/>
              <w:spacing w:after="0" w:line="148" w:lineRule="exact"/>
              <w:rPr>
                <w:sz w:val="20"/>
                <w:szCs w:val="20"/>
                <w:color w:val="auto"/>
              </w:rPr>
            </w:pPr>
            <w:r>
              <w:rPr>
                <w:rFonts w:ascii="Calibri" w:cs="Calibri" w:eastAsia="Calibri" w:hAnsi="Calibri"/>
                <w:sz w:val="13"/>
                <w:szCs w:val="13"/>
                <w:b w:val="1"/>
                <w:bCs w:val="1"/>
                <w:color w:val="auto"/>
              </w:rPr>
              <w:t>23,783</w:t>
            </w:r>
          </w:p>
        </w:tc>
        <w:tc>
          <w:tcPr>
            <w:tcW w:w="980" w:type="dxa"/>
            <w:vAlign w:val="bottom"/>
            <w:tcBorders>
              <w:bottom w:val="single" w:sz="8" w:color="D9D9D9"/>
            </w:tcBorders>
            <w:shd w:val="clear" w:color="auto" w:fill="D9D9D9"/>
          </w:tcPr>
          <w:p>
            <w:pPr>
              <w:jc w:val="right"/>
              <w:ind w:right="35"/>
              <w:spacing w:after="0" w:line="148" w:lineRule="exact"/>
              <w:rPr>
                <w:sz w:val="20"/>
                <w:szCs w:val="20"/>
                <w:color w:val="auto"/>
              </w:rPr>
            </w:pPr>
            <w:r>
              <w:rPr>
                <w:rFonts w:ascii="Calibri" w:cs="Calibri" w:eastAsia="Calibri" w:hAnsi="Calibri"/>
                <w:sz w:val="13"/>
                <w:szCs w:val="13"/>
                <w:color w:val="auto"/>
              </w:rPr>
              <w:t>—</w:t>
            </w:r>
          </w:p>
        </w:tc>
        <w:tc>
          <w:tcPr>
            <w:tcW w:w="760" w:type="dxa"/>
            <w:vAlign w:val="bottom"/>
            <w:tcBorders>
              <w:bottom w:val="single" w:sz="8" w:color="D9D9D9"/>
            </w:tcBorders>
            <w:shd w:val="clear" w:color="auto" w:fill="D9D9D9"/>
          </w:tcPr>
          <w:p>
            <w:pPr>
              <w:jc w:val="right"/>
              <w:spacing w:after="0" w:line="148" w:lineRule="exact"/>
              <w:rPr>
                <w:sz w:val="20"/>
                <w:szCs w:val="20"/>
                <w:color w:val="auto"/>
              </w:rPr>
            </w:pPr>
            <w:r>
              <w:rPr>
                <w:rFonts w:ascii="Calibri" w:cs="Calibri" w:eastAsia="Calibri" w:hAnsi="Calibri"/>
                <w:sz w:val="13"/>
                <w:szCs w:val="13"/>
                <w:b w:val="1"/>
                <w:bCs w:val="1"/>
                <w:color w:val="auto"/>
              </w:rPr>
              <w:t>525</w:t>
            </w:r>
          </w:p>
        </w:tc>
        <w:tc>
          <w:tcPr>
            <w:tcW w:w="80" w:type="dxa"/>
            <w:vAlign w:val="bottom"/>
          </w:tcPr>
          <w:p>
            <w:pPr>
              <w:spacing w:after="0"/>
              <w:rPr>
                <w:sz w:val="13"/>
                <w:szCs w:val="13"/>
                <w:color w:val="auto"/>
              </w:rPr>
            </w:pPr>
          </w:p>
        </w:tc>
        <w:tc>
          <w:tcPr>
            <w:tcW w:w="700" w:type="dxa"/>
            <w:vAlign w:val="bottom"/>
            <w:tcBorders>
              <w:bottom w:val="single" w:sz="8" w:color="D9D9D9"/>
            </w:tcBorders>
            <w:shd w:val="clear" w:color="auto" w:fill="D9D9D9"/>
          </w:tcPr>
          <w:p>
            <w:pPr>
              <w:jc w:val="right"/>
              <w:spacing w:after="0" w:line="148" w:lineRule="exact"/>
              <w:rPr>
                <w:sz w:val="20"/>
                <w:szCs w:val="20"/>
                <w:color w:val="auto"/>
              </w:rPr>
            </w:pPr>
            <w:r>
              <w:rPr>
                <w:rFonts w:ascii="Calibri" w:cs="Calibri" w:eastAsia="Calibri" w:hAnsi="Calibri"/>
                <w:sz w:val="13"/>
                <w:szCs w:val="13"/>
                <w:b w:val="1"/>
                <w:bCs w:val="1"/>
                <w:color w:val="auto"/>
              </w:rPr>
              <w:t>(100,661)</w:t>
            </w:r>
          </w:p>
        </w:tc>
        <w:tc>
          <w:tcPr>
            <w:tcW w:w="80" w:type="dxa"/>
            <w:vAlign w:val="bottom"/>
          </w:tcPr>
          <w:p>
            <w:pPr>
              <w:spacing w:after="0"/>
              <w:rPr>
                <w:sz w:val="13"/>
                <w:szCs w:val="13"/>
                <w:color w:val="auto"/>
              </w:rPr>
            </w:pPr>
          </w:p>
        </w:tc>
        <w:tc>
          <w:tcPr>
            <w:tcW w:w="980" w:type="dxa"/>
            <w:vAlign w:val="bottom"/>
            <w:tcBorders>
              <w:bottom w:val="single" w:sz="8" w:color="D9D9D9"/>
            </w:tcBorders>
            <w:shd w:val="clear" w:color="auto" w:fill="D9D9D9"/>
          </w:tcPr>
          <w:p>
            <w:pPr>
              <w:jc w:val="right"/>
              <w:spacing w:after="0" w:line="148" w:lineRule="exact"/>
              <w:rPr>
                <w:sz w:val="20"/>
                <w:szCs w:val="20"/>
                <w:color w:val="auto"/>
              </w:rPr>
            </w:pPr>
            <w:r>
              <w:rPr>
                <w:rFonts w:ascii="Calibri" w:cs="Calibri" w:eastAsia="Calibri" w:hAnsi="Calibri"/>
                <w:sz w:val="13"/>
                <w:szCs w:val="13"/>
                <w:b w:val="1"/>
                <w:bCs w:val="1"/>
                <w:color w:val="auto"/>
              </w:rPr>
              <w:t>(366)</w:t>
            </w:r>
          </w:p>
        </w:tc>
        <w:tc>
          <w:tcPr>
            <w:tcW w:w="100" w:type="dxa"/>
            <w:vAlign w:val="bottom"/>
          </w:tcPr>
          <w:p>
            <w:pPr>
              <w:spacing w:after="0"/>
              <w:rPr>
                <w:sz w:val="13"/>
                <w:szCs w:val="13"/>
                <w:color w:val="auto"/>
              </w:rPr>
            </w:pPr>
          </w:p>
        </w:tc>
        <w:tc>
          <w:tcPr>
            <w:tcW w:w="700" w:type="dxa"/>
            <w:vAlign w:val="bottom"/>
            <w:tcBorders>
              <w:bottom w:val="single" w:sz="8" w:color="D9D9D9"/>
            </w:tcBorders>
            <w:shd w:val="clear" w:color="auto" w:fill="D9D9D9"/>
          </w:tcPr>
          <w:p>
            <w:pPr>
              <w:jc w:val="right"/>
              <w:ind w:right="15"/>
              <w:spacing w:after="0" w:line="148" w:lineRule="exact"/>
              <w:rPr>
                <w:sz w:val="20"/>
                <w:szCs w:val="20"/>
                <w:color w:val="auto"/>
              </w:rPr>
            </w:pPr>
            <w:r>
              <w:rPr>
                <w:rFonts w:ascii="Calibri" w:cs="Calibri" w:eastAsia="Calibri" w:hAnsi="Calibri"/>
                <w:sz w:val="13"/>
                <w:szCs w:val="13"/>
                <w:b w:val="1"/>
                <w:bCs w:val="1"/>
                <w:color w:val="auto"/>
              </w:rPr>
              <w:t>76,155</w:t>
            </w:r>
          </w:p>
        </w:tc>
        <w:tc>
          <w:tcPr>
            <w:tcW w:w="0" w:type="dxa"/>
            <w:vAlign w:val="bottom"/>
          </w:tcPr>
          <w:p>
            <w:pPr>
              <w:spacing w:after="0"/>
              <w:rPr>
                <w:sz w:val="1"/>
                <w:szCs w:val="1"/>
                <w:color w:val="auto"/>
              </w:rPr>
            </w:pPr>
          </w:p>
        </w:tc>
      </w:tr>
      <w:tr>
        <w:trPr>
          <w:trHeight w:val="20"/>
        </w:trPr>
        <w:tc>
          <w:tcPr>
            <w:tcW w:w="3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151" w:right="319" w:bottom="1440" w:gutter="0" w:footer="0" w:header="0"/>
        </w:sectPr>
      </w:pPr>
    </w:p>
    <w:bookmarkStart w:id="108" w:name="page109"/>
    <w:bookmarkEnd w:id="108"/>
    <w:p>
      <w:pPr>
        <w:ind w:left="60"/>
        <w:spacing w:after="0"/>
        <w:rPr>
          <w:sz w:val="20"/>
          <w:szCs w:val="20"/>
          <w:color w:val="auto"/>
        </w:rPr>
      </w:pPr>
      <w:r>
        <w:rPr>
          <w:rFonts w:ascii="Calibri" w:cs="Calibri" w:eastAsia="Calibri" w:hAnsi="Calibri"/>
          <w:sz w:val="20"/>
          <w:szCs w:val="20"/>
          <w:b w:val="1"/>
          <w:bCs w:val="1"/>
          <w:color w:val="auto"/>
        </w:rPr>
        <w:t>CYBIN INC.</w:t>
      </w:r>
    </w:p>
    <w:p>
      <w:pPr>
        <w:ind w:left="60"/>
        <w:spacing w:after="0" w:line="228" w:lineRule="auto"/>
        <w:rPr>
          <w:sz w:val="20"/>
          <w:szCs w:val="20"/>
          <w:color w:val="auto"/>
        </w:rPr>
      </w:pPr>
      <w:r>
        <w:rPr>
          <w:rFonts w:ascii="Calibri" w:cs="Calibri" w:eastAsia="Calibri" w:hAnsi="Calibri"/>
          <w:sz w:val="20"/>
          <w:szCs w:val="20"/>
          <w:b w:val="1"/>
          <w:bCs w:val="1"/>
          <w:color w:val="auto"/>
        </w:rPr>
        <w:t>CONSOLIDATED STATEMENT OF CASH FLOWS</w:t>
      </w:r>
    </w:p>
    <w:p>
      <w:pPr>
        <w:spacing w:after="0" w:line="5"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(All amounts expressed in thousands of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714565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Calibri" w:cs="Calibri" w:eastAsia="Calibri" w:hAnsi="Calibri"/>
                <w:sz w:val="14"/>
                <w:szCs w:val="14"/>
                <w:b w:val="1"/>
                <w:bCs w:val="1"/>
                <w:color w:val="auto"/>
              </w:rPr>
              <w:t>For the year ended March 31,</w:t>
            </w:r>
          </w:p>
        </w:tc>
        <w:tc>
          <w:tcPr>
            <w:tcW w:w="560" w:type="dxa"/>
            <w:vAlign w:val="bottom"/>
          </w:tcPr>
          <w:p>
            <w:pPr>
              <w:spacing w:after="0"/>
              <w:rPr>
                <w:sz w:val="14"/>
                <w:szCs w:val="14"/>
                <w:color w:val="auto"/>
              </w:rPr>
            </w:pPr>
          </w:p>
        </w:tc>
      </w:tr>
      <w:tr>
        <w:trPr>
          <w:trHeight w:val="183"/>
        </w:trPr>
        <w:tc>
          <w:tcPr>
            <w:tcW w:w="6340" w:type="dxa"/>
            <w:vAlign w:val="bottom"/>
          </w:tcPr>
          <w:p>
            <w:pPr>
              <w:spacing w:after="0"/>
              <w:rPr>
                <w:sz w:val="15"/>
                <w:szCs w:val="15"/>
                <w:color w:val="auto"/>
              </w:rPr>
            </w:pPr>
          </w:p>
        </w:tc>
        <w:tc>
          <w:tcPr>
            <w:tcW w:w="2060" w:type="dxa"/>
            <w:vAlign w:val="bottom"/>
          </w:tcPr>
          <w:p>
            <w:pPr>
              <w:ind w:left="1520"/>
              <w:spacing w:after="0"/>
              <w:rPr>
                <w:sz w:val="20"/>
                <w:szCs w:val="20"/>
                <w:color w:val="auto"/>
              </w:rPr>
            </w:pPr>
            <w:r>
              <w:rPr>
                <w:rFonts w:ascii="Calibri" w:cs="Calibri" w:eastAsia="Calibri" w:hAnsi="Calibri"/>
                <w:sz w:val="14"/>
                <w:szCs w:val="14"/>
                <w:b w:val="1"/>
                <w:bCs w:val="1"/>
                <w:color w:val="auto"/>
              </w:rPr>
              <w:t>Notes</w:t>
            </w: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2022</w:t>
            </w:r>
          </w:p>
        </w:tc>
        <w:tc>
          <w:tcPr>
            <w:tcW w:w="560" w:type="dxa"/>
            <w:vAlign w:val="bottom"/>
          </w:tcPr>
          <w:p>
            <w:pPr>
              <w:jc w:val="right"/>
              <w:ind w:right="11"/>
              <w:spacing w:after="0"/>
              <w:rPr>
                <w:sz w:val="20"/>
                <w:szCs w:val="20"/>
                <w:color w:val="auto"/>
              </w:rPr>
            </w:pPr>
            <w:r>
              <w:rPr>
                <w:rFonts w:ascii="Calibri" w:cs="Calibri" w:eastAsia="Calibri" w:hAnsi="Calibri"/>
                <w:sz w:val="14"/>
                <w:szCs w:val="14"/>
                <w:b w:val="1"/>
                <w:bCs w:val="1"/>
                <w:color w:val="auto"/>
              </w:rPr>
              <w:t>2021</w:t>
            </w:r>
          </w:p>
        </w:tc>
      </w:tr>
      <w:tr>
        <w:trPr>
          <w:trHeight w:val="27"/>
        </w:trPr>
        <w:tc>
          <w:tcPr>
            <w:tcW w:w="6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22"/>
        </w:trPr>
        <w:tc>
          <w:tcPr>
            <w:tcW w:w="6340" w:type="dxa"/>
            <w:vAlign w:val="bottom"/>
          </w:tcPr>
          <w:p>
            <w:pPr>
              <w:ind w:left="60"/>
              <w:spacing w:after="0"/>
              <w:rPr>
                <w:sz w:val="20"/>
                <w:szCs w:val="20"/>
                <w:color w:val="auto"/>
              </w:rPr>
            </w:pPr>
            <w:r>
              <w:rPr>
                <w:rFonts w:ascii="Calibri" w:cs="Calibri" w:eastAsia="Calibri" w:hAnsi="Calibri"/>
                <w:sz w:val="14"/>
                <w:szCs w:val="14"/>
                <w:b w:val="1"/>
                <w:bCs w:val="1"/>
                <w:color w:val="auto"/>
              </w:rPr>
              <w:t>OPERATING ACTIVITIES</w:t>
            </w:r>
          </w:p>
        </w:tc>
        <w:tc>
          <w:tcPr>
            <w:tcW w:w="20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83"/>
        </w:trPr>
        <w:tc>
          <w:tcPr>
            <w:tcW w:w="6340" w:type="dxa"/>
            <w:vAlign w:val="bottom"/>
          </w:tcPr>
          <w:p>
            <w:pPr>
              <w:ind w:left="60"/>
              <w:spacing w:after="0"/>
              <w:rPr>
                <w:sz w:val="20"/>
                <w:szCs w:val="20"/>
                <w:color w:val="auto"/>
              </w:rPr>
            </w:pPr>
            <w:r>
              <w:rPr>
                <w:rFonts w:ascii="Calibri" w:cs="Calibri" w:eastAsia="Calibri" w:hAnsi="Calibri"/>
                <w:sz w:val="14"/>
                <w:szCs w:val="14"/>
                <w:b w:val="1"/>
                <w:bCs w:val="1"/>
                <w:color w:val="auto"/>
              </w:rPr>
              <w:t>Net loss for the period</w:t>
            </w:r>
          </w:p>
        </w:tc>
        <w:tc>
          <w:tcPr>
            <w:tcW w:w="2060" w:type="dxa"/>
            <w:vAlign w:val="bottom"/>
          </w:tcPr>
          <w:p>
            <w:pPr>
              <w:spacing w:after="0"/>
              <w:rPr>
                <w:sz w:val="15"/>
                <w:szCs w:val="15"/>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(67,631)</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w w:val="96"/>
              </w:rPr>
              <w:t>(32,220)</w:t>
            </w:r>
          </w:p>
        </w:tc>
      </w:tr>
      <w:tr>
        <w:trPr>
          <w:trHeight w:val="183"/>
        </w:trPr>
        <w:tc>
          <w:tcPr>
            <w:tcW w:w="6340" w:type="dxa"/>
            <w:vAlign w:val="bottom"/>
          </w:tcPr>
          <w:p>
            <w:pPr>
              <w:ind w:left="160"/>
              <w:spacing w:after="0"/>
              <w:rPr>
                <w:sz w:val="20"/>
                <w:szCs w:val="20"/>
                <w:color w:val="auto"/>
              </w:rPr>
            </w:pPr>
            <w:r>
              <w:rPr>
                <w:rFonts w:ascii="Calibri" w:cs="Calibri" w:eastAsia="Calibri" w:hAnsi="Calibri"/>
                <w:sz w:val="14"/>
                <w:szCs w:val="14"/>
                <w:b w:val="1"/>
                <w:bCs w:val="1"/>
                <w:color w:val="auto"/>
              </w:rPr>
              <w:t>Adjustments for items not afectng cash:</w:t>
            </w:r>
          </w:p>
        </w:tc>
        <w:tc>
          <w:tcPr>
            <w:tcW w:w="20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3"/>
        </w:trPr>
        <w:tc>
          <w:tcPr>
            <w:tcW w:w="6340" w:type="dxa"/>
            <w:vAlign w:val="bottom"/>
          </w:tcPr>
          <w:p>
            <w:pPr>
              <w:ind w:left="360"/>
              <w:spacing w:after="0"/>
              <w:rPr>
                <w:sz w:val="20"/>
                <w:szCs w:val="20"/>
                <w:color w:val="auto"/>
              </w:rPr>
            </w:pPr>
            <w:r>
              <w:rPr>
                <w:rFonts w:ascii="Calibri" w:cs="Calibri" w:eastAsia="Calibri" w:hAnsi="Calibri"/>
                <w:sz w:val="14"/>
                <w:szCs w:val="14"/>
                <w:color w:val="auto"/>
              </w:rPr>
              <w:t>Interest income</w:t>
            </w:r>
          </w:p>
        </w:tc>
        <w:tc>
          <w:tcPr>
            <w:tcW w:w="2060" w:type="dxa"/>
            <w:vAlign w:val="bottom"/>
          </w:tcPr>
          <w:p>
            <w:pPr>
              <w:spacing w:after="0"/>
              <w:rPr>
                <w:sz w:val="15"/>
                <w:szCs w:val="15"/>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(21)</w:t>
            </w:r>
          </w:p>
        </w:tc>
        <w:tc>
          <w:tcPr>
            <w:tcW w:w="560" w:type="dxa"/>
            <w:vAlign w:val="bottom"/>
          </w:tcPr>
          <w:p>
            <w:pPr>
              <w:jc w:val="right"/>
              <w:ind w:right="11"/>
              <w:spacing w:after="0"/>
              <w:rPr>
                <w:sz w:val="20"/>
                <w:szCs w:val="20"/>
                <w:color w:val="auto"/>
              </w:rPr>
            </w:pPr>
            <w:r>
              <w:rPr>
                <w:rFonts w:ascii="Calibri" w:cs="Calibri" w:eastAsia="Calibri" w:hAnsi="Calibri"/>
                <w:sz w:val="14"/>
                <w:szCs w:val="14"/>
                <w:b w:val="1"/>
                <w:bCs w:val="1"/>
                <w:color w:val="auto"/>
              </w:rPr>
              <w:t>—</w:t>
            </w:r>
          </w:p>
        </w:tc>
      </w:tr>
      <w:tr>
        <w:trPr>
          <w:trHeight w:val="183"/>
        </w:trPr>
        <w:tc>
          <w:tcPr>
            <w:tcW w:w="6340" w:type="dxa"/>
            <w:vAlign w:val="bottom"/>
          </w:tcPr>
          <w:p>
            <w:pPr>
              <w:ind w:left="360"/>
              <w:spacing w:after="0"/>
              <w:rPr>
                <w:sz w:val="20"/>
                <w:szCs w:val="20"/>
                <w:color w:val="auto"/>
              </w:rPr>
            </w:pPr>
            <w:r>
              <w:rPr>
                <w:rFonts w:ascii="Calibri" w:cs="Calibri" w:eastAsia="Calibri" w:hAnsi="Calibri"/>
                <w:sz w:val="14"/>
                <w:szCs w:val="14"/>
                <w:color w:val="auto"/>
              </w:rPr>
              <w:t>Non-cash porton of listng fees</w:t>
            </w:r>
          </w:p>
        </w:tc>
        <w:tc>
          <w:tcPr>
            <w:tcW w:w="2060" w:type="dxa"/>
            <w:vAlign w:val="bottom"/>
          </w:tcPr>
          <w:p>
            <w:pPr>
              <w:spacing w:after="0"/>
              <w:rPr>
                <w:sz w:val="15"/>
                <w:szCs w:val="15"/>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1,467</w:t>
            </w:r>
          </w:p>
        </w:tc>
      </w:tr>
      <w:tr>
        <w:trPr>
          <w:trHeight w:val="220"/>
        </w:trPr>
        <w:tc>
          <w:tcPr>
            <w:tcW w:w="6340" w:type="dxa"/>
            <w:vAlign w:val="bottom"/>
          </w:tcPr>
          <w:p>
            <w:pPr>
              <w:ind w:left="60"/>
              <w:spacing w:after="0"/>
              <w:rPr>
                <w:sz w:val="20"/>
                <w:szCs w:val="20"/>
                <w:color w:val="auto"/>
              </w:rPr>
            </w:pPr>
            <w:r>
              <w:rPr>
                <w:rFonts w:ascii="Calibri" w:cs="Calibri" w:eastAsia="Calibri" w:hAnsi="Calibri"/>
                <w:sz w:val="14"/>
                <w:szCs w:val="14"/>
                <w:color w:val="auto"/>
              </w:rPr>
              <w:t>Depreciaton</w:t>
            </w:r>
          </w:p>
        </w:tc>
        <w:tc>
          <w:tcPr>
            <w:tcW w:w="2060" w:type="dxa"/>
            <w:vAlign w:val="bottom"/>
          </w:tcPr>
          <w:p>
            <w:pPr>
              <w:jc w:val="center"/>
              <w:ind w:left="1271"/>
              <w:spacing w:after="0"/>
              <w:rPr>
                <w:sz w:val="20"/>
                <w:szCs w:val="20"/>
                <w:color w:val="auto"/>
              </w:rPr>
            </w:pPr>
            <w:r>
              <w:rPr>
                <w:rFonts w:ascii="Calibri" w:cs="Calibri" w:eastAsia="Calibri" w:hAnsi="Calibri"/>
                <w:sz w:val="14"/>
                <w:szCs w:val="14"/>
                <w:i w:val="1"/>
                <w:iCs w:val="1"/>
                <w:color w:val="auto"/>
              </w:rPr>
              <w:t>6</w:t>
            </w: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168</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49</w:t>
            </w:r>
          </w:p>
        </w:tc>
      </w:tr>
      <w:tr>
        <w:trPr>
          <w:trHeight w:val="220"/>
        </w:trPr>
        <w:tc>
          <w:tcPr>
            <w:tcW w:w="6340" w:type="dxa"/>
            <w:vAlign w:val="bottom"/>
          </w:tcPr>
          <w:p>
            <w:pPr>
              <w:ind w:left="60"/>
              <w:spacing w:after="0"/>
              <w:rPr>
                <w:sz w:val="20"/>
                <w:szCs w:val="20"/>
                <w:color w:val="auto"/>
              </w:rPr>
            </w:pPr>
            <w:r>
              <w:rPr>
                <w:rFonts w:ascii="Calibri" w:cs="Calibri" w:eastAsia="Calibri" w:hAnsi="Calibri"/>
                <w:sz w:val="14"/>
                <w:szCs w:val="14"/>
                <w:color w:val="auto"/>
              </w:rPr>
              <w:t>Share-based compensaton</w:t>
            </w:r>
          </w:p>
        </w:tc>
        <w:tc>
          <w:tcPr>
            <w:tcW w:w="2060" w:type="dxa"/>
            <w:vAlign w:val="bottom"/>
          </w:tcPr>
          <w:p>
            <w:pPr>
              <w:spacing w:after="0"/>
              <w:rPr>
                <w:sz w:val="19"/>
                <w:szCs w:val="19"/>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18,030</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11,554</w:t>
            </w:r>
          </w:p>
        </w:tc>
      </w:tr>
      <w:tr>
        <w:trPr>
          <w:trHeight w:val="183"/>
        </w:trPr>
        <w:tc>
          <w:tcPr>
            <w:tcW w:w="6340" w:type="dxa"/>
            <w:vAlign w:val="bottom"/>
          </w:tcPr>
          <w:p>
            <w:pPr>
              <w:ind w:left="360"/>
              <w:spacing w:after="0"/>
              <w:rPr>
                <w:sz w:val="20"/>
                <w:szCs w:val="20"/>
                <w:color w:val="auto"/>
              </w:rPr>
            </w:pPr>
            <w:r>
              <w:rPr>
                <w:rFonts w:ascii="Calibri" w:cs="Calibri" w:eastAsia="Calibri" w:hAnsi="Calibri"/>
                <w:sz w:val="14"/>
                <w:szCs w:val="14"/>
                <w:color w:val="auto"/>
              </w:rPr>
              <w:t>Opton issuance</w:t>
            </w:r>
          </w:p>
        </w:tc>
        <w:tc>
          <w:tcPr>
            <w:tcW w:w="2060" w:type="dxa"/>
            <w:vAlign w:val="bottom"/>
          </w:tcPr>
          <w:p>
            <w:pPr>
              <w:spacing w:after="0"/>
              <w:rPr>
                <w:sz w:val="15"/>
                <w:szCs w:val="15"/>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color w:val="auto"/>
              </w:rPr>
              <w:t>—</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23</w:t>
            </w:r>
          </w:p>
        </w:tc>
      </w:tr>
      <w:tr>
        <w:trPr>
          <w:trHeight w:val="220"/>
        </w:trPr>
        <w:tc>
          <w:tcPr>
            <w:tcW w:w="6340" w:type="dxa"/>
            <w:vAlign w:val="bottom"/>
          </w:tcPr>
          <w:p>
            <w:pPr>
              <w:ind w:left="60"/>
              <w:spacing w:after="0"/>
              <w:rPr>
                <w:sz w:val="20"/>
                <w:szCs w:val="20"/>
                <w:color w:val="auto"/>
              </w:rPr>
            </w:pPr>
            <w:r>
              <w:rPr>
                <w:rFonts w:ascii="Calibri" w:cs="Calibri" w:eastAsia="Calibri" w:hAnsi="Calibri"/>
                <w:sz w:val="14"/>
                <w:szCs w:val="14"/>
                <w:color w:val="auto"/>
              </w:rPr>
              <w:t>Accreton of convertble debt</w:t>
            </w:r>
          </w:p>
        </w:tc>
        <w:tc>
          <w:tcPr>
            <w:tcW w:w="2060" w:type="dxa"/>
            <w:vAlign w:val="bottom"/>
          </w:tcPr>
          <w:p>
            <w:pPr>
              <w:spacing w:after="0"/>
              <w:rPr>
                <w:sz w:val="19"/>
                <w:szCs w:val="19"/>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color w:val="auto"/>
              </w:rPr>
              <w:t>—</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10</w:t>
            </w:r>
          </w:p>
        </w:tc>
      </w:tr>
      <w:tr>
        <w:trPr>
          <w:trHeight w:val="183"/>
        </w:trPr>
        <w:tc>
          <w:tcPr>
            <w:tcW w:w="6340" w:type="dxa"/>
            <w:vAlign w:val="bottom"/>
          </w:tcPr>
          <w:p>
            <w:pPr>
              <w:ind w:left="340"/>
              <w:spacing w:after="0"/>
              <w:rPr>
                <w:sz w:val="20"/>
                <w:szCs w:val="20"/>
                <w:color w:val="auto"/>
              </w:rPr>
            </w:pPr>
            <w:r>
              <w:rPr>
                <w:rFonts w:ascii="Calibri" w:cs="Calibri" w:eastAsia="Calibri" w:hAnsi="Calibri"/>
                <w:sz w:val="14"/>
                <w:szCs w:val="14"/>
                <w:color w:val="auto"/>
              </w:rPr>
              <w:t>Change in fair value of investments measured at fair value through proft or loss</w:t>
            </w:r>
          </w:p>
        </w:tc>
        <w:tc>
          <w:tcPr>
            <w:tcW w:w="2060" w:type="dxa"/>
            <w:vAlign w:val="bottom"/>
          </w:tcPr>
          <w:p>
            <w:pPr>
              <w:jc w:val="center"/>
              <w:ind w:left="1271"/>
              <w:spacing w:after="0"/>
              <w:rPr>
                <w:sz w:val="20"/>
                <w:szCs w:val="20"/>
                <w:color w:val="auto"/>
              </w:rPr>
            </w:pPr>
            <w:r>
              <w:rPr>
                <w:rFonts w:ascii="Calibri" w:cs="Calibri" w:eastAsia="Calibri" w:hAnsi="Calibri"/>
                <w:sz w:val="14"/>
                <w:szCs w:val="14"/>
                <w:i w:val="1"/>
                <w:iCs w:val="1"/>
                <w:color w:val="auto"/>
              </w:rPr>
              <w:t>5</w:t>
            </w: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29</w:t>
            </w:r>
          </w:p>
        </w:tc>
        <w:tc>
          <w:tcPr>
            <w:tcW w:w="560" w:type="dxa"/>
            <w:vAlign w:val="bottom"/>
          </w:tcPr>
          <w:p>
            <w:pPr>
              <w:jc w:val="right"/>
              <w:ind w:right="11"/>
              <w:spacing w:after="0"/>
              <w:rPr>
                <w:sz w:val="20"/>
                <w:szCs w:val="20"/>
                <w:color w:val="auto"/>
              </w:rPr>
            </w:pPr>
            <w:r>
              <w:rPr>
                <w:rFonts w:ascii="Calibri" w:cs="Calibri" w:eastAsia="Calibri" w:hAnsi="Calibri"/>
                <w:sz w:val="14"/>
                <w:szCs w:val="14"/>
                <w:b w:val="1"/>
                <w:bCs w:val="1"/>
                <w:color w:val="auto"/>
              </w:rPr>
              <w:t>—</w:t>
            </w:r>
          </w:p>
        </w:tc>
      </w:tr>
      <w:tr>
        <w:trPr>
          <w:trHeight w:val="220"/>
        </w:trPr>
        <w:tc>
          <w:tcPr>
            <w:tcW w:w="6340" w:type="dxa"/>
            <w:vAlign w:val="bottom"/>
          </w:tcPr>
          <w:p>
            <w:pPr>
              <w:ind w:left="60"/>
              <w:spacing w:after="0"/>
              <w:rPr>
                <w:sz w:val="20"/>
                <w:szCs w:val="20"/>
                <w:color w:val="auto"/>
              </w:rPr>
            </w:pPr>
            <w:r>
              <w:rPr>
                <w:rFonts w:ascii="Calibri" w:cs="Calibri" w:eastAsia="Calibri" w:hAnsi="Calibri"/>
                <w:sz w:val="14"/>
                <w:szCs w:val="14"/>
                <w:color w:val="auto"/>
              </w:rPr>
              <w:t>Contngent consideraton accreton</w:t>
            </w:r>
          </w:p>
        </w:tc>
        <w:tc>
          <w:tcPr>
            <w:tcW w:w="2060" w:type="dxa"/>
            <w:vAlign w:val="bottom"/>
          </w:tcPr>
          <w:p>
            <w:pPr>
              <w:jc w:val="center"/>
              <w:ind w:left="1271"/>
              <w:spacing w:after="0"/>
              <w:rPr>
                <w:sz w:val="20"/>
                <w:szCs w:val="20"/>
                <w:color w:val="auto"/>
              </w:rPr>
            </w:pPr>
            <w:r>
              <w:rPr>
                <w:rFonts w:ascii="Calibri" w:cs="Calibri" w:eastAsia="Calibri" w:hAnsi="Calibri"/>
                <w:sz w:val="14"/>
                <w:szCs w:val="14"/>
                <w:i w:val="1"/>
                <w:iCs w:val="1"/>
                <w:color w:val="auto"/>
              </w:rPr>
              <w:t>9</w:t>
            </w: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316</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482</w:t>
            </w:r>
          </w:p>
        </w:tc>
      </w:tr>
      <w:tr>
        <w:trPr>
          <w:trHeight w:val="220"/>
        </w:trPr>
        <w:tc>
          <w:tcPr>
            <w:tcW w:w="6340" w:type="dxa"/>
            <w:vAlign w:val="bottom"/>
          </w:tcPr>
          <w:p>
            <w:pPr>
              <w:ind w:left="60"/>
              <w:spacing w:after="0"/>
              <w:rPr>
                <w:sz w:val="20"/>
                <w:szCs w:val="20"/>
                <w:color w:val="auto"/>
              </w:rPr>
            </w:pPr>
            <w:r>
              <w:rPr>
                <w:rFonts w:ascii="Calibri" w:cs="Calibri" w:eastAsia="Calibri" w:hAnsi="Calibri"/>
                <w:sz w:val="14"/>
                <w:szCs w:val="14"/>
                <w:color w:val="auto"/>
              </w:rPr>
              <w:t>Change in fair value of contngent consideraton</w:t>
            </w:r>
          </w:p>
        </w:tc>
        <w:tc>
          <w:tcPr>
            <w:tcW w:w="2060" w:type="dxa"/>
            <w:vAlign w:val="bottom"/>
          </w:tcPr>
          <w:p>
            <w:pPr>
              <w:jc w:val="center"/>
              <w:ind w:left="1271"/>
              <w:spacing w:after="0"/>
              <w:rPr>
                <w:sz w:val="20"/>
                <w:szCs w:val="20"/>
                <w:color w:val="auto"/>
              </w:rPr>
            </w:pPr>
            <w:r>
              <w:rPr>
                <w:rFonts w:ascii="Calibri" w:cs="Calibri" w:eastAsia="Calibri" w:hAnsi="Calibri"/>
                <w:sz w:val="14"/>
                <w:szCs w:val="14"/>
                <w:i w:val="1"/>
                <w:iCs w:val="1"/>
                <w:color w:val="auto"/>
              </w:rPr>
              <w:t>9</w:t>
            </w: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3,380</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w:t>
            </w:r>
          </w:p>
        </w:tc>
      </w:tr>
      <w:tr>
        <w:trPr>
          <w:trHeight w:val="220"/>
        </w:trPr>
        <w:tc>
          <w:tcPr>
            <w:tcW w:w="6340" w:type="dxa"/>
            <w:vAlign w:val="bottom"/>
          </w:tcPr>
          <w:p>
            <w:pPr>
              <w:ind w:left="380"/>
              <w:spacing w:after="0"/>
              <w:rPr>
                <w:sz w:val="20"/>
                <w:szCs w:val="20"/>
                <w:color w:val="auto"/>
              </w:rPr>
            </w:pPr>
            <w:r>
              <w:rPr>
                <w:rFonts w:ascii="Calibri" w:cs="Calibri" w:eastAsia="Calibri" w:hAnsi="Calibri"/>
                <w:sz w:val="14"/>
                <w:szCs w:val="14"/>
                <w:color w:val="auto"/>
              </w:rPr>
              <w:t>Impairment of promissory note</w:t>
            </w:r>
          </w:p>
        </w:tc>
        <w:tc>
          <w:tcPr>
            <w:tcW w:w="2060" w:type="dxa"/>
            <w:vAlign w:val="bottom"/>
          </w:tcPr>
          <w:p>
            <w:pPr>
              <w:spacing w:after="0"/>
              <w:rPr>
                <w:sz w:val="19"/>
                <w:szCs w:val="19"/>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230</w:t>
            </w:r>
          </w:p>
        </w:tc>
      </w:tr>
      <w:tr>
        <w:trPr>
          <w:trHeight w:val="220"/>
        </w:trPr>
        <w:tc>
          <w:tcPr>
            <w:tcW w:w="6340" w:type="dxa"/>
            <w:vAlign w:val="bottom"/>
          </w:tcPr>
          <w:p>
            <w:pPr>
              <w:ind w:left="380"/>
              <w:spacing w:after="0"/>
              <w:rPr>
                <w:sz w:val="20"/>
                <w:szCs w:val="20"/>
                <w:color w:val="auto"/>
              </w:rPr>
            </w:pPr>
            <w:r>
              <w:rPr>
                <w:rFonts w:ascii="Calibri" w:cs="Calibri" w:eastAsia="Calibri" w:hAnsi="Calibri"/>
                <w:sz w:val="14"/>
                <w:szCs w:val="14"/>
                <w:color w:val="auto"/>
              </w:rPr>
              <w:t>Impairment of inventory</w:t>
            </w:r>
          </w:p>
        </w:tc>
        <w:tc>
          <w:tcPr>
            <w:tcW w:w="2060" w:type="dxa"/>
            <w:vAlign w:val="bottom"/>
          </w:tcPr>
          <w:p>
            <w:pPr>
              <w:spacing w:after="0"/>
              <w:rPr>
                <w:sz w:val="19"/>
                <w:szCs w:val="19"/>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511</w:t>
            </w:r>
          </w:p>
        </w:tc>
      </w:tr>
      <w:tr>
        <w:trPr>
          <w:trHeight w:val="220"/>
        </w:trPr>
        <w:tc>
          <w:tcPr>
            <w:tcW w:w="6340" w:type="dxa"/>
            <w:vAlign w:val="bottom"/>
          </w:tcPr>
          <w:p>
            <w:pPr>
              <w:ind w:left="380"/>
              <w:spacing w:after="0"/>
              <w:rPr>
                <w:sz w:val="20"/>
                <w:szCs w:val="20"/>
                <w:color w:val="auto"/>
              </w:rPr>
            </w:pPr>
            <w:r>
              <w:rPr>
                <w:rFonts w:ascii="Calibri" w:cs="Calibri" w:eastAsia="Calibri" w:hAnsi="Calibri"/>
                <w:sz w:val="14"/>
                <w:szCs w:val="14"/>
                <w:color w:val="auto"/>
              </w:rPr>
              <w:t>Impairment of investment</w:t>
            </w:r>
          </w:p>
        </w:tc>
        <w:tc>
          <w:tcPr>
            <w:tcW w:w="2060" w:type="dxa"/>
            <w:vAlign w:val="bottom"/>
          </w:tcPr>
          <w:p>
            <w:pPr>
              <w:spacing w:after="0"/>
              <w:rPr>
                <w:sz w:val="19"/>
                <w:szCs w:val="19"/>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63</w:t>
            </w:r>
          </w:p>
        </w:tc>
      </w:tr>
      <w:tr>
        <w:trPr>
          <w:trHeight w:val="220"/>
        </w:trPr>
        <w:tc>
          <w:tcPr>
            <w:tcW w:w="6340" w:type="dxa"/>
            <w:vAlign w:val="bottom"/>
          </w:tcPr>
          <w:p>
            <w:pPr>
              <w:ind w:left="380"/>
              <w:spacing w:after="0"/>
              <w:rPr>
                <w:sz w:val="20"/>
                <w:szCs w:val="20"/>
                <w:color w:val="auto"/>
              </w:rPr>
            </w:pPr>
            <w:r>
              <w:rPr>
                <w:rFonts w:ascii="Calibri" w:cs="Calibri" w:eastAsia="Calibri" w:hAnsi="Calibri"/>
                <w:sz w:val="14"/>
                <w:szCs w:val="14"/>
                <w:color w:val="auto"/>
              </w:rPr>
              <w:t>Unrealized foreign currency translaton loss</w:t>
            </w:r>
          </w:p>
        </w:tc>
        <w:tc>
          <w:tcPr>
            <w:tcW w:w="2060" w:type="dxa"/>
            <w:vAlign w:val="bottom"/>
          </w:tcPr>
          <w:p>
            <w:pPr>
              <w:spacing w:after="0"/>
              <w:rPr>
                <w:sz w:val="19"/>
                <w:szCs w:val="19"/>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309</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71</w:t>
            </w:r>
          </w:p>
        </w:tc>
      </w:tr>
      <w:tr>
        <w:trPr>
          <w:trHeight w:val="27"/>
        </w:trPr>
        <w:tc>
          <w:tcPr>
            <w:tcW w:w="6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56"/>
        </w:trPr>
        <w:tc>
          <w:tcPr>
            <w:tcW w:w="63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300" w:type="dxa"/>
            <w:vAlign w:val="bottom"/>
          </w:tcPr>
          <w:p>
            <w:pPr>
              <w:jc w:val="right"/>
              <w:ind w:right="871"/>
              <w:spacing w:after="0" w:line="156" w:lineRule="exact"/>
              <w:rPr>
                <w:sz w:val="20"/>
                <w:szCs w:val="20"/>
                <w:color w:val="auto"/>
              </w:rPr>
            </w:pPr>
            <w:r>
              <w:rPr>
                <w:rFonts w:ascii="Calibri" w:cs="Calibri" w:eastAsia="Calibri" w:hAnsi="Calibri"/>
                <w:sz w:val="14"/>
                <w:szCs w:val="14"/>
                <w:b w:val="1"/>
                <w:bCs w:val="1"/>
                <w:color w:val="auto"/>
              </w:rPr>
              <w:t>(45,420)</w:t>
            </w:r>
          </w:p>
        </w:tc>
        <w:tc>
          <w:tcPr>
            <w:tcW w:w="560" w:type="dxa"/>
            <w:vAlign w:val="bottom"/>
          </w:tcPr>
          <w:p>
            <w:pPr>
              <w:jc w:val="right"/>
              <w:ind w:right="11"/>
              <w:spacing w:after="0" w:line="156" w:lineRule="exact"/>
              <w:rPr>
                <w:sz w:val="20"/>
                <w:szCs w:val="20"/>
                <w:color w:val="auto"/>
              </w:rPr>
            </w:pPr>
            <w:r>
              <w:rPr>
                <w:rFonts w:ascii="Calibri" w:cs="Calibri" w:eastAsia="Calibri" w:hAnsi="Calibri"/>
                <w:sz w:val="14"/>
                <w:szCs w:val="14"/>
                <w:color w:val="auto"/>
                <w:w w:val="96"/>
              </w:rPr>
              <w:t>(17,760)</w:t>
            </w:r>
          </w:p>
        </w:tc>
      </w:tr>
      <w:tr>
        <w:trPr>
          <w:trHeight w:val="176"/>
        </w:trPr>
        <w:tc>
          <w:tcPr>
            <w:tcW w:w="6340" w:type="dxa"/>
            <w:vAlign w:val="bottom"/>
          </w:tcPr>
          <w:p>
            <w:pPr>
              <w:ind w:left="160"/>
              <w:spacing w:after="0"/>
              <w:rPr>
                <w:sz w:val="20"/>
                <w:szCs w:val="20"/>
                <w:color w:val="auto"/>
              </w:rPr>
            </w:pPr>
            <w:r>
              <w:rPr>
                <w:rFonts w:ascii="Calibri" w:cs="Calibri" w:eastAsia="Calibri" w:hAnsi="Calibri"/>
                <w:sz w:val="14"/>
                <w:szCs w:val="14"/>
                <w:b w:val="1"/>
                <w:bCs w:val="1"/>
                <w:color w:val="auto"/>
              </w:rPr>
              <w:t>Net changes in non-cash working capital items:</w:t>
            </w:r>
          </w:p>
        </w:tc>
        <w:tc>
          <w:tcPr>
            <w:tcW w:w="20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20"/>
        </w:trPr>
        <w:tc>
          <w:tcPr>
            <w:tcW w:w="6340" w:type="dxa"/>
            <w:vAlign w:val="bottom"/>
          </w:tcPr>
          <w:p>
            <w:pPr>
              <w:ind w:left="60"/>
              <w:spacing w:after="0"/>
              <w:rPr>
                <w:sz w:val="20"/>
                <w:szCs w:val="20"/>
                <w:color w:val="auto"/>
              </w:rPr>
            </w:pPr>
            <w:r>
              <w:rPr>
                <w:rFonts w:ascii="Calibri" w:cs="Calibri" w:eastAsia="Calibri" w:hAnsi="Calibri"/>
                <w:sz w:val="14"/>
                <w:szCs w:val="14"/>
                <w:color w:val="auto"/>
              </w:rPr>
              <w:t>Accounts receivable</w:t>
            </w:r>
          </w:p>
        </w:tc>
        <w:tc>
          <w:tcPr>
            <w:tcW w:w="2060" w:type="dxa"/>
            <w:vAlign w:val="bottom"/>
          </w:tcPr>
          <w:p>
            <w:pPr>
              <w:spacing w:after="0"/>
              <w:rPr>
                <w:sz w:val="19"/>
                <w:szCs w:val="19"/>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(773)</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(1,485)</w:t>
            </w:r>
          </w:p>
        </w:tc>
      </w:tr>
      <w:tr>
        <w:trPr>
          <w:trHeight w:val="220"/>
        </w:trPr>
        <w:tc>
          <w:tcPr>
            <w:tcW w:w="6340" w:type="dxa"/>
            <w:vAlign w:val="bottom"/>
          </w:tcPr>
          <w:p>
            <w:pPr>
              <w:ind w:left="60"/>
              <w:spacing w:after="0"/>
              <w:rPr>
                <w:sz w:val="20"/>
                <w:szCs w:val="20"/>
                <w:color w:val="auto"/>
              </w:rPr>
            </w:pPr>
            <w:r>
              <w:rPr>
                <w:rFonts w:ascii="Calibri" w:cs="Calibri" w:eastAsia="Calibri" w:hAnsi="Calibri"/>
                <w:sz w:val="14"/>
                <w:szCs w:val="14"/>
                <w:color w:val="auto"/>
              </w:rPr>
              <w:t>Prepaid expenses</w:t>
            </w:r>
          </w:p>
        </w:tc>
        <w:tc>
          <w:tcPr>
            <w:tcW w:w="2060" w:type="dxa"/>
            <w:vAlign w:val="bottom"/>
          </w:tcPr>
          <w:p>
            <w:pPr>
              <w:spacing w:after="0"/>
              <w:rPr>
                <w:sz w:val="19"/>
                <w:szCs w:val="19"/>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(142)</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(1,066)</w:t>
            </w:r>
          </w:p>
        </w:tc>
      </w:tr>
      <w:tr>
        <w:trPr>
          <w:trHeight w:val="220"/>
        </w:trPr>
        <w:tc>
          <w:tcPr>
            <w:tcW w:w="6340" w:type="dxa"/>
            <w:vAlign w:val="bottom"/>
          </w:tcPr>
          <w:p>
            <w:pPr>
              <w:ind w:left="60"/>
              <w:spacing w:after="0"/>
              <w:rPr>
                <w:sz w:val="20"/>
                <w:szCs w:val="20"/>
                <w:color w:val="auto"/>
              </w:rPr>
            </w:pPr>
            <w:r>
              <w:rPr>
                <w:rFonts w:ascii="Calibri" w:cs="Calibri" w:eastAsia="Calibri" w:hAnsi="Calibri"/>
                <w:sz w:val="14"/>
                <w:szCs w:val="14"/>
                <w:color w:val="auto"/>
              </w:rPr>
              <w:t>Inventory</w:t>
            </w:r>
          </w:p>
        </w:tc>
        <w:tc>
          <w:tcPr>
            <w:tcW w:w="2060" w:type="dxa"/>
            <w:vAlign w:val="bottom"/>
          </w:tcPr>
          <w:p>
            <w:pPr>
              <w:spacing w:after="0"/>
              <w:rPr>
                <w:sz w:val="19"/>
                <w:szCs w:val="19"/>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color w:val="auto"/>
              </w:rPr>
              <w:t>—</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(511)</w:t>
            </w:r>
          </w:p>
        </w:tc>
      </w:tr>
      <w:tr>
        <w:trPr>
          <w:trHeight w:val="183"/>
        </w:trPr>
        <w:tc>
          <w:tcPr>
            <w:tcW w:w="6340" w:type="dxa"/>
            <w:vAlign w:val="bottom"/>
          </w:tcPr>
          <w:p>
            <w:pPr>
              <w:ind w:left="60"/>
              <w:spacing w:after="0"/>
              <w:rPr>
                <w:sz w:val="20"/>
                <w:szCs w:val="20"/>
                <w:color w:val="auto"/>
              </w:rPr>
            </w:pPr>
            <w:r>
              <w:rPr>
                <w:rFonts w:ascii="Calibri" w:cs="Calibri" w:eastAsia="Calibri" w:hAnsi="Calibri"/>
                <w:sz w:val="14"/>
                <w:szCs w:val="14"/>
                <w:color w:val="auto"/>
              </w:rPr>
              <w:t>Other current assets</w:t>
            </w:r>
          </w:p>
        </w:tc>
        <w:tc>
          <w:tcPr>
            <w:tcW w:w="2060" w:type="dxa"/>
            <w:vAlign w:val="bottom"/>
          </w:tcPr>
          <w:p>
            <w:pPr>
              <w:spacing w:after="0"/>
              <w:rPr>
                <w:sz w:val="15"/>
                <w:szCs w:val="15"/>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(1,341)</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w:t>
            </w:r>
          </w:p>
        </w:tc>
      </w:tr>
      <w:tr>
        <w:trPr>
          <w:trHeight w:val="220"/>
        </w:trPr>
        <w:tc>
          <w:tcPr>
            <w:tcW w:w="6340" w:type="dxa"/>
            <w:vAlign w:val="bottom"/>
          </w:tcPr>
          <w:p>
            <w:pPr>
              <w:ind w:left="60"/>
              <w:spacing w:after="0"/>
              <w:rPr>
                <w:sz w:val="20"/>
                <w:szCs w:val="20"/>
                <w:color w:val="auto"/>
              </w:rPr>
            </w:pPr>
            <w:r>
              <w:rPr>
                <w:rFonts w:ascii="Calibri" w:cs="Calibri" w:eastAsia="Calibri" w:hAnsi="Calibri"/>
                <w:sz w:val="14"/>
                <w:szCs w:val="14"/>
                <w:color w:val="auto"/>
              </w:rPr>
              <w:t>Accounts payable and accrued liabilites</w:t>
            </w:r>
          </w:p>
        </w:tc>
        <w:tc>
          <w:tcPr>
            <w:tcW w:w="2060" w:type="dxa"/>
            <w:vAlign w:val="bottom"/>
          </w:tcPr>
          <w:p>
            <w:pPr>
              <w:spacing w:after="0"/>
              <w:rPr>
                <w:sz w:val="19"/>
                <w:szCs w:val="19"/>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2,469</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1,795</w:t>
            </w:r>
          </w:p>
        </w:tc>
      </w:tr>
      <w:tr>
        <w:trPr>
          <w:trHeight w:val="27"/>
        </w:trPr>
        <w:tc>
          <w:tcPr>
            <w:tcW w:w="6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68"/>
        </w:trPr>
        <w:tc>
          <w:tcPr>
            <w:tcW w:w="6340" w:type="dxa"/>
            <w:vAlign w:val="bottom"/>
            <w:tcBorders>
              <w:bottom w:val="single" w:sz="8" w:color="auto"/>
            </w:tcBorders>
          </w:tcPr>
          <w:p>
            <w:pPr>
              <w:ind w:left="60"/>
              <w:spacing w:after="0" w:line="164" w:lineRule="exact"/>
              <w:rPr>
                <w:sz w:val="20"/>
                <w:szCs w:val="20"/>
                <w:color w:val="auto"/>
              </w:rPr>
            </w:pPr>
            <w:r>
              <w:rPr>
                <w:rFonts w:ascii="Calibri" w:cs="Calibri" w:eastAsia="Calibri" w:hAnsi="Calibri"/>
                <w:sz w:val="14"/>
                <w:szCs w:val="14"/>
                <w:b w:val="1"/>
                <w:bCs w:val="1"/>
                <w:color w:val="auto"/>
              </w:rPr>
              <w:t>Net cash fows used in operatng actvites</w:t>
            </w:r>
          </w:p>
        </w:tc>
        <w:tc>
          <w:tcPr>
            <w:tcW w:w="20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ind w:right="871"/>
              <w:spacing w:after="0" w:line="164" w:lineRule="exact"/>
              <w:rPr>
                <w:sz w:val="20"/>
                <w:szCs w:val="20"/>
                <w:color w:val="auto"/>
              </w:rPr>
            </w:pPr>
            <w:r>
              <w:rPr>
                <w:rFonts w:ascii="Calibri" w:cs="Calibri" w:eastAsia="Calibri" w:hAnsi="Calibri"/>
                <w:sz w:val="14"/>
                <w:szCs w:val="14"/>
                <w:b w:val="1"/>
                <w:bCs w:val="1"/>
                <w:color w:val="auto"/>
              </w:rPr>
              <w:t>(45,207)</w:t>
            </w:r>
          </w:p>
        </w:tc>
        <w:tc>
          <w:tcPr>
            <w:tcW w:w="560" w:type="dxa"/>
            <w:vAlign w:val="bottom"/>
            <w:tcBorders>
              <w:bottom w:val="single" w:sz="8" w:color="auto"/>
            </w:tcBorders>
          </w:tcPr>
          <w:p>
            <w:pPr>
              <w:jc w:val="right"/>
              <w:ind w:right="11"/>
              <w:spacing w:after="0" w:line="164" w:lineRule="exact"/>
              <w:rPr>
                <w:sz w:val="20"/>
                <w:szCs w:val="20"/>
                <w:color w:val="auto"/>
              </w:rPr>
            </w:pPr>
            <w:r>
              <w:rPr>
                <w:rFonts w:ascii="Calibri" w:cs="Calibri" w:eastAsia="Calibri" w:hAnsi="Calibri"/>
                <w:sz w:val="14"/>
                <w:szCs w:val="14"/>
                <w:color w:val="auto"/>
                <w:w w:val="96"/>
              </w:rPr>
              <w:t>(19,027)</w:t>
            </w:r>
          </w:p>
        </w:tc>
      </w:tr>
      <w:tr>
        <w:trPr>
          <w:trHeight w:val="229"/>
        </w:trPr>
        <w:tc>
          <w:tcPr>
            <w:tcW w:w="6340" w:type="dxa"/>
            <w:vAlign w:val="bottom"/>
          </w:tcPr>
          <w:p>
            <w:pPr>
              <w:ind w:left="60"/>
              <w:spacing w:after="0"/>
              <w:rPr>
                <w:sz w:val="20"/>
                <w:szCs w:val="20"/>
                <w:color w:val="auto"/>
              </w:rPr>
            </w:pPr>
            <w:r>
              <w:rPr>
                <w:rFonts w:ascii="Calibri" w:cs="Calibri" w:eastAsia="Calibri" w:hAnsi="Calibri"/>
                <w:sz w:val="14"/>
                <w:szCs w:val="14"/>
                <w:b w:val="1"/>
                <w:bCs w:val="1"/>
                <w:color w:val="auto"/>
              </w:rPr>
              <w:t>INVESTING ACTIVITIES</w:t>
            </w:r>
          </w:p>
        </w:tc>
        <w:tc>
          <w:tcPr>
            <w:tcW w:w="20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83"/>
        </w:trPr>
        <w:tc>
          <w:tcPr>
            <w:tcW w:w="6340" w:type="dxa"/>
            <w:vAlign w:val="bottom"/>
          </w:tcPr>
          <w:p>
            <w:pPr>
              <w:ind w:left="340"/>
              <w:spacing w:after="0"/>
              <w:rPr>
                <w:sz w:val="20"/>
                <w:szCs w:val="20"/>
                <w:color w:val="auto"/>
              </w:rPr>
            </w:pPr>
            <w:r>
              <w:rPr>
                <w:rFonts w:ascii="Calibri" w:cs="Calibri" w:eastAsia="Calibri" w:hAnsi="Calibri"/>
                <w:sz w:val="14"/>
                <w:szCs w:val="14"/>
                <w:color w:val="auto"/>
              </w:rPr>
              <w:t>Pre-acquisiton cash advances to Adelia</w:t>
            </w:r>
          </w:p>
        </w:tc>
        <w:tc>
          <w:tcPr>
            <w:tcW w:w="2060" w:type="dxa"/>
            <w:vAlign w:val="bottom"/>
          </w:tcPr>
          <w:p>
            <w:pPr>
              <w:spacing w:after="0"/>
              <w:rPr>
                <w:sz w:val="15"/>
                <w:szCs w:val="15"/>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(958)</w:t>
            </w:r>
          </w:p>
        </w:tc>
      </w:tr>
      <w:tr>
        <w:trPr>
          <w:trHeight w:val="183"/>
        </w:trPr>
        <w:tc>
          <w:tcPr>
            <w:tcW w:w="6340" w:type="dxa"/>
            <w:vAlign w:val="bottom"/>
          </w:tcPr>
          <w:p>
            <w:pPr>
              <w:ind w:left="340"/>
              <w:spacing w:after="0"/>
              <w:rPr>
                <w:sz w:val="20"/>
                <w:szCs w:val="20"/>
                <w:color w:val="auto"/>
              </w:rPr>
            </w:pPr>
            <w:r>
              <w:rPr>
                <w:rFonts w:ascii="Calibri" w:cs="Calibri" w:eastAsia="Calibri" w:hAnsi="Calibri"/>
                <w:sz w:val="14"/>
                <w:szCs w:val="14"/>
                <w:color w:val="auto"/>
              </w:rPr>
              <w:t>Purchase of investment</w:t>
            </w:r>
          </w:p>
        </w:tc>
        <w:tc>
          <w:tcPr>
            <w:tcW w:w="2060" w:type="dxa"/>
            <w:vAlign w:val="bottom"/>
          </w:tcPr>
          <w:p>
            <w:pPr>
              <w:jc w:val="center"/>
              <w:ind w:left="1271"/>
              <w:spacing w:after="0"/>
              <w:rPr>
                <w:sz w:val="20"/>
                <w:szCs w:val="20"/>
                <w:color w:val="auto"/>
              </w:rPr>
            </w:pPr>
            <w:r>
              <w:rPr>
                <w:rFonts w:ascii="Calibri" w:cs="Calibri" w:eastAsia="Calibri" w:hAnsi="Calibri"/>
                <w:sz w:val="14"/>
                <w:szCs w:val="14"/>
                <w:i w:val="1"/>
                <w:iCs w:val="1"/>
                <w:color w:val="auto"/>
              </w:rPr>
              <w:t>5</w:t>
            </w: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(250)</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w:t>
            </w:r>
          </w:p>
        </w:tc>
      </w:tr>
      <w:tr>
        <w:trPr>
          <w:trHeight w:val="183"/>
        </w:trPr>
        <w:tc>
          <w:tcPr>
            <w:tcW w:w="6340" w:type="dxa"/>
            <w:vAlign w:val="bottom"/>
          </w:tcPr>
          <w:p>
            <w:pPr>
              <w:ind w:left="340"/>
              <w:spacing w:after="0"/>
              <w:rPr>
                <w:sz w:val="20"/>
                <w:szCs w:val="20"/>
                <w:color w:val="auto"/>
              </w:rPr>
            </w:pPr>
            <w:r>
              <w:rPr>
                <w:rFonts w:ascii="Calibri" w:cs="Calibri" w:eastAsia="Calibri" w:hAnsi="Calibri"/>
                <w:sz w:val="14"/>
                <w:szCs w:val="14"/>
                <w:color w:val="auto"/>
              </w:rPr>
              <w:t>Purchase of intangible assets</w:t>
            </w:r>
          </w:p>
        </w:tc>
        <w:tc>
          <w:tcPr>
            <w:tcW w:w="2060" w:type="dxa"/>
            <w:vAlign w:val="bottom"/>
          </w:tcPr>
          <w:p>
            <w:pPr>
              <w:jc w:val="center"/>
              <w:ind w:left="1271"/>
              <w:spacing w:after="0"/>
              <w:rPr>
                <w:sz w:val="20"/>
                <w:szCs w:val="20"/>
                <w:color w:val="auto"/>
              </w:rPr>
            </w:pPr>
            <w:r>
              <w:rPr>
                <w:rFonts w:ascii="Calibri" w:cs="Calibri" w:eastAsia="Calibri" w:hAnsi="Calibri"/>
                <w:sz w:val="14"/>
                <w:szCs w:val="14"/>
                <w:i w:val="1"/>
                <w:iCs w:val="1"/>
                <w:color w:val="auto"/>
              </w:rPr>
              <w:t>7</w:t>
            </w: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(415)</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(96)</w:t>
            </w:r>
          </w:p>
        </w:tc>
      </w:tr>
      <w:tr>
        <w:trPr>
          <w:trHeight w:val="220"/>
        </w:trPr>
        <w:tc>
          <w:tcPr>
            <w:tcW w:w="6340" w:type="dxa"/>
            <w:vAlign w:val="bottom"/>
          </w:tcPr>
          <w:p>
            <w:pPr>
              <w:ind w:left="60"/>
              <w:spacing w:after="0"/>
              <w:rPr>
                <w:sz w:val="20"/>
                <w:szCs w:val="20"/>
                <w:color w:val="auto"/>
              </w:rPr>
            </w:pPr>
            <w:r>
              <w:rPr>
                <w:rFonts w:ascii="Calibri" w:cs="Calibri" w:eastAsia="Calibri" w:hAnsi="Calibri"/>
                <w:sz w:val="14"/>
                <w:szCs w:val="14"/>
                <w:color w:val="auto"/>
              </w:rPr>
              <w:t>Purchase of equipment</w:t>
            </w:r>
          </w:p>
        </w:tc>
        <w:tc>
          <w:tcPr>
            <w:tcW w:w="2060" w:type="dxa"/>
            <w:vAlign w:val="bottom"/>
          </w:tcPr>
          <w:p>
            <w:pPr>
              <w:jc w:val="center"/>
              <w:ind w:left="1271"/>
              <w:spacing w:after="0"/>
              <w:rPr>
                <w:sz w:val="20"/>
                <w:szCs w:val="20"/>
                <w:color w:val="auto"/>
              </w:rPr>
            </w:pPr>
            <w:r>
              <w:rPr>
                <w:rFonts w:ascii="Calibri" w:cs="Calibri" w:eastAsia="Calibri" w:hAnsi="Calibri"/>
                <w:sz w:val="14"/>
                <w:szCs w:val="14"/>
                <w:i w:val="1"/>
                <w:iCs w:val="1"/>
                <w:color w:val="auto"/>
              </w:rPr>
              <w:t>6</w:t>
            </w: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(105)</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(135)</w:t>
            </w:r>
          </w:p>
        </w:tc>
      </w:tr>
      <w:tr>
        <w:trPr>
          <w:trHeight w:val="27"/>
        </w:trPr>
        <w:tc>
          <w:tcPr>
            <w:tcW w:w="6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68"/>
        </w:trPr>
        <w:tc>
          <w:tcPr>
            <w:tcW w:w="6340" w:type="dxa"/>
            <w:vAlign w:val="bottom"/>
            <w:tcBorders>
              <w:bottom w:val="single" w:sz="8" w:color="auto"/>
            </w:tcBorders>
          </w:tcPr>
          <w:p>
            <w:pPr>
              <w:ind w:left="60"/>
              <w:spacing w:after="0" w:line="164" w:lineRule="exact"/>
              <w:rPr>
                <w:sz w:val="20"/>
                <w:szCs w:val="20"/>
                <w:color w:val="auto"/>
              </w:rPr>
            </w:pPr>
            <w:r>
              <w:rPr>
                <w:rFonts w:ascii="Calibri" w:cs="Calibri" w:eastAsia="Calibri" w:hAnsi="Calibri"/>
                <w:sz w:val="14"/>
                <w:szCs w:val="14"/>
                <w:b w:val="1"/>
                <w:bCs w:val="1"/>
                <w:color w:val="auto"/>
              </w:rPr>
              <w:t>Net cash fows used in investng actvites</w:t>
            </w:r>
          </w:p>
        </w:tc>
        <w:tc>
          <w:tcPr>
            <w:tcW w:w="20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ind w:right="871"/>
              <w:spacing w:after="0" w:line="164" w:lineRule="exact"/>
              <w:rPr>
                <w:sz w:val="20"/>
                <w:szCs w:val="20"/>
                <w:color w:val="auto"/>
              </w:rPr>
            </w:pPr>
            <w:r>
              <w:rPr>
                <w:rFonts w:ascii="Calibri" w:cs="Calibri" w:eastAsia="Calibri" w:hAnsi="Calibri"/>
                <w:sz w:val="14"/>
                <w:szCs w:val="14"/>
                <w:b w:val="1"/>
                <w:bCs w:val="1"/>
                <w:color w:val="auto"/>
              </w:rPr>
              <w:t>(770)</w:t>
            </w:r>
          </w:p>
        </w:tc>
        <w:tc>
          <w:tcPr>
            <w:tcW w:w="560" w:type="dxa"/>
            <w:vAlign w:val="bottom"/>
            <w:tcBorders>
              <w:bottom w:val="single" w:sz="8" w:color="auto"/>
            </w:tcBorders>
          </w:tcPr>
          <w:p>
            <w:pPr>
              <w:jc w:val="right"/>
              <w:ind w:right="11"/>
              <w:spacing w:after="0" w:line="164" w:lineRule="exact"/>
              <w:rPr>
                <w:sz w:val="20"/>
                <w:szCs w:val="20"/>
                <w:color w:val="auto"/>
              </w:rPr>
            </w:pPr>
            <w:r>
              <w:rPr>
                <w:rFonts w:ascii="Calibri" w:cs="Calibri" w:eastAsia="Calibri" w:hAnsi="Calibri"/>
                <w:sz w:val="14"/>
                <w:szCs w:val="14"/>
                <w:color w:val="auto"/>
              </w:rPr>
              <w:t>(1,189)</w:t>
            </w:r>
          </w:p>
        </w:tc>
      </w:tr>
      <w:tr>
        <w:trPr>
          <w:trHeight w:val="229"/>
        </w:trPr>
        <w:tc>
          <w:tcPr>
            <w:tcW w:w="6340" w:type="dxa"/>
            <w:vAlign w:val="bottom"/>
          </w:tcPr>
          <w:p>
            <w:pPr>
              <w:ind w:left="60"/>
              <w:spacing w:after="0"/>
              <w:rPr>
                <w:sz w:val="20"/>
                <w:szCs w:val="20"/>
                <w:color w:val="auto"/>
              </w:rPr>
            </w:pPr>
            <w:r>
              <w:rPr>
                <w:rFonts w:ascii="Calibri" w:cs="Calibri" w:eastAsia="Calibri" w:hAnsi="Calibri"/>
                <w:sz w:val="14"/>
                <w:szCs w:val="14"/>
                <w:b w:val="1"/>
                <w:bCs w:val="1"/>
                <w:color w:val="auto"/>
              </w:rPr>
              <w:t>FINANCING ACTIVITIES</w:t>
            </w:r>
          </w:p>
        </w:tc>
        <w:tc>
          <w:tcPr>
            <w:tcW w:w="20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0"/>
        </w:trPr>
        <w:tc>
          <w:tcPr>
            <w:tcW w:w="6340" w:type="dxa"/>
            <w:vAlign w:val="bottom"/>
          </w:tcPr>
          <w:p>
            <w:pPr>
              <w:ind w:left="60"/>
              <w:spacing w:after="0"/>
              <w:rPr>
                <w:sz w:val="20"/>
                <w:szCs w:val="20"/>
                <w:color w:val="auto"/>
              </w:rPr>
            </w:pPr>
            <w:r>
              <w:rPr>
                <w:rFonts w:ascii="Calibri" w:cs="Calibri" w:eastAsia="Calibri" w:hAnsi="Calibri"/>
                <w:sz w:val="14"/>
                <w:szCs w:val="14"/>
                <w:color w:val="auto"/>
              </w:rPr>
              <w:t>Proceeds from issuance of common shares, net</w:t>
            </w:r>
          </w:p>
        </w:tc>
        <w:tc>
          <w:tcPr>
            <w:tcW w:w="2060" w:type="dxa"/>
            <w:vAlign w:val="bottom"/>
          </w:tcPr>
          <w:p>
            <w:pPr>
              <w:spacing w:after="0"/>
              <w:rPr>
                <w:sz w:val="19"/>
                <w:szCs w:val="19"/>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31,507</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76,236</w:t>
            </w:r>
          </w:p>
        </w:tc>
      </w:tr>
      <w:tr>
        <w:trPr>
          <w:trHeight w:val="220"/>
        </w:trPr>
        <w:tc>
          <w:tcPr>
            <w:tcW w:w="6340" w:type="dxa"/>
            <w:vAlign w:val="bottom"/>
          </w:tcPr>
          <w:p>
            <w:pPr>
              <w:ind w:left="320"/>
              <w:spacing w:after="0"/>
              <w:rPr>
                <w:sz w:val="20"/>
                <w:szCs w:val="20"/>
                <w:color w:val="auto"/>
              </w:rPr>
            </w:pPr>
            <w:r>
              <w:rPr>
                <w:rFonts w:ascii="Calibri" w:cs="Calibri" w:eastAsia="Calibri" w:hAnsi="Calibri"/>
                <w:sz w:val="14"/>
                <w:szCs w:val="14"/>
                <w:color w:val="auto"/>
              </w:rPr>
              <w:t>Proceeds from issuance of warrants, net</w:t>
            </w:r>
          </w:p>
        </w:tc>
        <w:tc>
          <w:tcPr>
            <w:tcW w:w="2060" w:type="dxa"/>
            <w:vAlign w:val="bottom"/>
          </w:tcPr>
          <w:p>
            <w:pPr>
              <w:spacing w:after="0"/>
              <w:rPr>
                <w:sz w:val="19"/>
                <w:szCs w:val="19"/>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5,900</w:t>
            </w:r>
          </w:p>
        </w:tc>
      </w:tr>
      <w:tr>
        <w:trPr>
          <w:trHeight w:val="220"/>
        </w:trPr>
        <w:tc>
          <w:tcPr>
            <w:tcW w:w="6340" w:type="dxa"/>
            <w:vAlign w:val="bottom"/>
          </w:tcPr>
          <w:p>
            <w:pPr>
              <w:ind w:left="60"/>
              <w:spacing w:after="0"/>
              <w:rPr>
                <w:sz w:val="20"/>
                <w:szCs w:val="20"/>
                <w:color w:val="auto"/>
              </w:rPr>
            </w:pPr>
            <w:r>
              <w:rPr>
                <w:rFonts w:ascii="Calibri" w:cs="Calibri" w:eastAsia="Calibri" w:hAnsi="Calibri"/>
                <w:sz w:val="14"/>
                <w:szCs w:val="14"/>
                <w:color w:val="auto"/>
              </w:rPr>
              <w:t>Shares issued for cash - warrant exercise</w:t>
            </w:r>
          </w:p>
        </w:tc>
        <w:tc>
          <w:tcPr>
            <w:tcW w:w="2060" w:type="dxa"/>
            <w:vAlign w:val="bottom"/>
          </w:tcPr>
          <w:p>
            <w:pPr>
              <w:jc w:val="center"/>
              <w:ind w:left="1251"/>
              <w:spacing w:after="0"/>
              <w:rPr>
                <w:sz w:val="20"/>
                <w:szCs w:val="20"/>
                <w:color w:val="auto"/>
              </w:rPr>
            </w:pPr>
            <w:r>
              <w:rPr>
                <w:rFonts w:ascii="Calibri" w:cs="Calibri" w:eastAsia="Calibri" w:hAnsi="Calibri"/>
                <w:sz w:val="14"/>
                <w:szCs w:val="14"/>
                <w:i w:val="1"/>
                <w:iCs w:val="1"/>
                <w:color w:val="auto"/>
                <w:w w:val="98"/>
              </w:rPr>
              <w:t>10</w:t>
            </w: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2,928</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407</w:t>
            </w:r>
          </w:p>
        </w:tc>
      </w:tr>
      <w:tr>
        <w:trPr>
          <w:trHeight w:val="220"/>
        </w:trPr>
        <w:tc>
          <w:tcPr>
            <w:tcW w:w="6340" w:type="dxa"/>
            <w:vAlign w:val="bottom"/>
          </w:tcPr>
          <w:p>
            <w:pPr>
              <w:ind w:left="60"/>
              <w:spacing w:after="0"/>
              <w:rPr>
                <w:sz w:val="20"/>
                <w:szCs w:val="20"/>
                <w:color w:val="auto"/>
              </w:rPr>
            </w:pPr>
            <w:r>
              <w:rPr>
                <w:rFonts w:ascii="Calibri" w:cs="Calibri" w:eastAsia="Calibri" w:hAnsi="Calibri"/>
                <w:sz w:val="14"/>
                <w:szCs w:val="14"/>
                <w:color w:val="auto"/>
              </w:rPr>
              <w:t>Shares issued for cash - optons exercise</w:t>
            </w:r>
          </w:p>
        </w:tc>
        <w:tc>
          <w:tcPr>
            <w:tcW w:w="2060" w:type="dxa"/>
            <w:vAlign w:val="bottom"/>
          </w:tcPr>
          <w:p>
            <w:pPr>
              <w:jc w:val="center"/>
              <w:ind w:left="1251"/>
              <w:spacing w:after="0"/>
              <w:rPr>
                <w:sz w:val="20"/>
                <w:szCs w:val="20"/>
                <w:color w:val="auto"/>
              </w:rPr>
            </w:pPr>
            <w:r>
              <w:rPr>
                <w:rFonts w:ascii="Calibri" w:cs="Calibri" w:eastAsia="Calibri" w:hAnsi="Calibri"/>
                <w:sz w:val="14"/>
                <w:szCs w:val="14"/>
                <w:i w:val="1"/>
                <w:iCs w:val="1"/>
                <w:color w:val="auto"/>
                <w:w w:val="98"/>
              </w:rPr>
              <w:t>10</w:t>
            </w: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1,342</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182</w:t>
            </w:r>
          </w:p>
        </w:tc>
      </w:tr>
      <w:tr>
        <w:trPr>
          <w:trHeight w:val="27"/>
        </w:trPr>
        <w:tc>
          <w:tcPr>
            <w:tcW w:w="6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68"/>
        </w:trPr>
        <w:tc>
          <w:tcPr>
            <w:tcW w:w="6340" w:type="dxa"/>
            <w:vAlign w:val="bottom"/>
            <w:tcBorders>
              <w:bottom w:val="single" w:sz="8" w:color="auto"/>
            </w:tcBorders>
          </w:tcPr>
          <w:p>
            <w:pPr>
              <w:ind w:left="60"/>
              <w:spacing w:after="0" w:line="164" w:lineRule="exact"/>
              <w:rPr>
                <w:sz w:val="20"/>
                <w:szCs w:val="20"/>
                <w:color w:val="auto"/>
              </w:rPr>
            </w:pPr>
            <w:r>
              <w:rPr>
                <w:rFonts w:ascii="Calibri" w:cs="Calibri" w:eastAsia="Calibri" w:hAnsi="Calibri"/>
                <w:sz w:val="14"/>
                <w:szCs w:val="14"/>
                <w:b w:val="1"/>
                <w:bCs w:val="1"/>
                <w:color w:val="auto"/>
              </w:rPr>
              <w:t>Net cash fows from fnancing actvites</w:t>
            </w:r>
          </w:p>
        </w:tc>
        <w:tc>
          <w:tcPr>
            <w:tcW w:w="20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ind w:right="871"/>
              <w:spacing w:after="0" w:line="164" w:lineRule="exact"/>
              <w:rPr>
                <w:sz w:val="20"/>
                <w:szCs w:val="20"/>
                <w:color w:val="auto"/>
              </w:rPr>
            </w:pPr>
            <w:r>
              <w:rPr>
                <w:rFonts w:ascii="Calibri" w:cs="Calibri" w:eastAsia="Calibri" w:hAnsi="Calibri"/>
                <w:sz w:val="14"/>
                <w:szCs w:val="14"/>
                <w:b w:val="1"/>
                <w:bCs w:val="1"/>
                <w:color w:val="auto"/>
              </w:rPr>
              <w:t>35,777</w:t>
            </w:r>
          </w:p>
        </w:tc>
        <w:tc>
          <w:tcPr>
            <w:tcW w:w="560" w:type="dxa"/>
            <w:vAlign w:val="bottom"/>
            <w:tcBorders>
              <w:bottom w:val="single" w:sz="8" w:color="auto"/>
            </w:tcBorders>
          </w:tcPr>
          <w:p>
            <w:pPr>
              <w:jc w:val="right"/>
              <w:ind w:right="11"/>
              <w:spacing w:after="0" w:line="164" w:lineRule="exact"/>
              <w:rPr>
                <w:sz w:val="20"/>
                <w:szCs w:val="20"/>
                <w:color w:val="auto"/>
              </w:rPr>
            </w:pPr>
            <w:r>
              <w:rPr>
                <w:rFonts w:ascii="Calibri" w:cs="Calibri" w:eastAsia="Calibri" w:hAnsi="Calibri"/>
                <w:sz w:val="14"/>
                <w:szCs w:val="14"/>
                <w:color w:val="auto"/>
              </w:rPr>
              <w:t>82,725</w:t>
            </w:r>
          </w:p>
        </w:tc>
      </w:tr>
      <w:tr>
        <w:trPr>
          <w:trHeight w:val="376"/>
        </w:trPr>
        <w:tc>
          <w:tcPr>
            <w:tcW w:w="6340" w:type="dxa"/>
            <w:vAlign w:val="bottom"/>
          </w:tcPr>
          <w:p>
            <w:pPr>
              <w:ind w:left="60"/>
              <w:spacing w:after="0"/>
              <w:rPr>
                <w:sz w:val="20"/>
                <w:szCs w:val="20"/>
                <w:color w:val="auto"/>
              </w:rPr>
            </w:pPr>
            <w:r>
              <w:rPr>
                <w:rFonts w:ascii="Calibri" w:cs="Calibri" w:eastAsia="Calibri" w:hAnsi="Calibri"/>
                <w:sz w:val="14"/>
                <w:szCs w:val="14"/>
                <w:b w:val="1"/>
                <w:bCs w:val="1"/>
                <w:color w:val="auto"/>
              </w:rPr>
              <w:t>Efects of exchange rate changes on cash</w:t>
            </w:r>
          </w:p>
        </w:tc>
        <w:tc>
          <w:tcPr>
            <w:tcW w:w="2060" w:type="dxa"/>
            <w:vAlign w:val="bottom"/>
          </w:tcPr>
          <w:p>
            <w:pPr>
              <w:spacing w:after="0"/>
              <w:rPr>
                <w:sz w:val="24"/>
                <w:szCs w:val="24"/>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(185)</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(28)</w:t>
            </w:r>
          </w:p>
        </w:tc>
      </w:tr>
      <w:tr>
        <w:trPr>
          <w:trHeight w:val="27"/>
        </w:trPr>
        <w:tc>
          <w:tcPr>
            <w:tcW w:w="6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368"/>
        </w:trPr>
        <w:tc>
          <w:tcPr>
            <w:tcW w:w="6340" w:type="dxa"/>
            <w:vAlign w:val="bottom"/>
          </w:tcPr>
          <w:p>
            <w:pPr>
              <w:ind w:left="60"/>
              <w:spacing w:after="0"/>
              <w:rPr>
                <w:sz w:val="20"/>
                <w:szCs w:val="20"/>
                <w:color w:val="auto"/>
              </w:rPr>
            </w:pPr>
            <w:r>
              <w:rPr>
                <w:rFonts w:ascii="Calibri" w:cs="Calibri" w:eastAsia="Calibri" w:hAnsi="Calibri"/>
                <w:sz w:val="14"/>
                <w:szCs w:val="14"/>
                <w:b w:val="1"/>
                <w:bCs w:val="1"/>
                <w:color w:val="auto"/>
              </w:rPr>
              <w:t>Change in cash</w:t>
            </w:r>
          </w:p>
        </w:tc>
        <w:tc>
          <w:tcPr>
            <w:tcW w:w="2060" w:type="dxa"/>
            <w:vAlign w:val="bottom"/>
          </w:tcPr>
          <w:p>
            <w:pPr>
              <w:spacing w:after="0"/>
              <w:rPr>
                <w:sz w:val="24"/>
                <w:szCs w:val="24"/>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(10,385)</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62,481</w:t>
            </w:r>
          </w:p>
        </w:tc>
      </w:tr>
      <w:tr>
        <w:trPr>
          <w:trHeight w:val="183"/>
        </w:trPr>
        <w:tc>
          <w:tcPr>
            <w:tcW w:w="6340" w:type="dxa"/>
            <w:vAlign w:val="bottom"/>
          </w:tcPr>
          <w:p>
            <w:pPr>
              <w:ind w:left="60"/>
              <w:spacing w:after="0"/>
              <w:rPr>
                <w:sz w:val="20"/>
                <w:szCs w:val="20"/>
                <w:color w:val="auto"/>
              </w:rPr>
            </w:pPr>
            <w:r>
              <w:rPr>
                <w:rFonts w:ascii="Calibri" w:cs="Calibri" w:eastAsia="Calibri" w:hAnsi="Calibri"/>
                <w:sz w:val="14"/>
                <w:szCs w:val="14"/>
                <w:b w:val="1"/>
                <w:bCs w:val="1"/>
                <w:color w:val="auto"/>
              </w:rPr>
              <w:t>Cash, beginning of period</w:t>
            </w:r>
          </w:p>
        </w:tc>
        <w:tc>
          <w:tcPr>
            <w:tcW w:w="2060" w:type="dxa"/>
            <w:vAlign w:val="bottom"/>
          </w:tcPr>
          <w:p>
            <w:pPr>
              <w:spacing w:after="0"/>
              <w:rPr>
                <w:sz w:val="15"/>
                <w:szCs w:val="15"/>
                <w:color w:val="auto"/>
              </w:rPr>
            </w:pPr>
          </w:p>
        </w:tc>
        <w:tc>
          <w:tcPr>
            <w:tcW w:w="2300" w:type="dxa"/>
            <w:vAlign w:val="bottom"/>
          </w:tcPr>
          <w:p>
            <w:pPr>
              <w:jc w:val="right"/>
              <w:ind w:right="871"/>
              <w:spacing w:after="0"/>
              <w:rPr>
                <w:sz w:val="20"/>
                <w:szCs w:val="20"/>
                <w:color w:val="auto"/>
              </w:rPr>
            </w:pPr>
            <w:r>
              <w:rPr>
                <w:rFonts w:ascii="Calibri" w:cs="Calibri" w:eastAsia="Calibri" w:hAnsi="Calibri"/>
                <w:sz w:val="14"/>
                <w:szCs w:val="14"/>
                <w:b w:val="1"/>
                <w:bCs w:val="1"/>
                <w:color w:val="auto"/>
              </w:rPr>
              <w:t>64,026</w:t>
            </w:r>
          </w:p>
        </w:tc>
        <w:tc>
          <w:tcPr>
            <w:tcW w:w="560" w:type="dxa"/>
            <w:vAlign w:val="bottom"/>
          </w:tcPr>
          <w:p>
            <w:pPr>
              <w:jc w:val="right"/>
              <w:ind w:right="11"/>
              <w:spacing w:after="0"/>
              <w:rPr>
                <w:sz w:val="20"/>
                <w:szCs w:val="20"/>
                <w:color w:val="auto"/>
              </w:rPr>
            </w:pPr>
            <w:r>
              <w:rPr>
                <w:rFonts w:ascii="Calibri" w:cs="Calibri" w:eastAsia="Calibri" w:hAnsi="Calibri"/>
                <w:sz w:val="14"/>
                <w:szCs w:val="14"/>
                <w:color w:val="auto"/>
              </w:rPr>
              <w:t>1,545</w:t>
            </w:r>
          </w:p>
        </w:tc>
      </w:tr>
      <w:tr>
        <w:trPr>
          <w:trHeight w:val="27"/>
        </w:trPr>
        <w:tc>
          <w:tcPr>
            <w:tcW w:w="6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300" w:type="dxa"/>
            <w:vAlign w:val="bottom"/>
            <w:tcBorders>
              <w:bottom w:val="single" w:sz="8" w:color="6D6D6D"/>
            </w:tcBorders>
          </w:tcPr>
          <w:p>
            <w:pPr>
              <w:spacing w:after="0"/>
              <w:rPr>
                <w:sz w:val="2"/>
                <w:szCs w:val="2"/>
                <w:color w:val="auto"/>
              </w:rPr>
            </w:pPr>
          </w:p>
        </w:tc>
        <w:tc>
          <w:tcPr>
            <w:tcW w:w="560" w:type="dxa"/>
            <w:vAlign w:val="bottom"/>
            <w:tcBorders>
              <w:bottom w:val="single" w:sz="8" w:color="6D6D6D"/>
            </w:tcBorders>
          </w:tcPr>
          <w:p>
            <w:pPr>
              <w:spacing w:after="0"/>
              <w:rPr>
                <w:sz w:val="2"/>
                <w:szCs w:val="2"/>
                <w:color w:val="auto"/>
              </w:rPr>
            </w:pPr>
          </w:p>
        </w:tc>
      </w:tr>
      <w:tr>
        <w:trPr>
          <w:trHeight w:val="168"/>
        </w:trPr>
        <w:tc>
          <w:tcPr>
            <w:tcW w:w="6340" w:type="dxa"/>
            <w:vAlign w:val="bottom"/>
            <w:tcBorders>
              <w:bottom w:val="single" w:sz="8" w:color="auto"/>
            </w:tcBorders>
          </w:tcPr>
          <w:p>
            <w:pPr>
              <w:ind w:left="60"/>
              <w:spacing w:after="0" w:line="164" w:lineRule="exact"/>
              <w:rPr>
                <w:sz w:val="20"/>
                <w:szCs w:val="20"/>
                <w:color w:val="auto"/>
              </w:rPr>
            </w:pPr>
            <w:r>
              <w:rPr>
                <w:rFonts w:ascii="Calibri" w:cs="Calibri" w:eastAsia="Calibri" w:hAnsi="Calibri"/>
                <w:sz w:val="14"/>
                <w:szCs w:val="14"/>
                <w:b w:val="1"/>
                <w:bCs w:val="1"/>
                <w:color w:val="auto"/>
              </w:rPr>
              <w:t>Cash, end of period</w:t>
            </w:r>
          </w:p>
        </w:tc>
        <w:tc>
          <w:tcPr>
            <w:tcW w:w="20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ind w:right="871"/>
              <w:spacing w:after="0" w:line="164" w:lineRule="exact"/>
              <w:rPr>
                <w:sz w:val="20"/>
                <w:szCs w:val="20"/>
                <w:color w:val="auto"/>
              </w:rPr>
            </w:pPr>
            <w:r>
              <w:rPr>
                <w:rFonts w:ascii="Calibri" w:cs="Calibri" w:eastAsia="Calibri" w:hAnsi="Calibri"/>
                <w:sz w:val="14"/>
                <w:szCs w:val="14"/>
                <w:b w:val="1"/>
                <w:bCs w:val="1"/>
                <w:color w:val="auto"/>
              </w:rPr>
              <w:t>53,641</w:t>
            </w:r>
          </w:p>
        </w:tc>
        <w:tc>
          <w:tcPr>
            <w:tcW w:w="560" w:type="dxa"/>
            <w:vAlign w:val="bottom"/>
            <w:tcBorders>
              <w:bottom w:val="single" w:sz="8" w:color="auto"/>
            </w:tcBorders>
          </w:tcPr>
          <w:p>
            <w:pPr>
              <w:jc w:val="right"/>
              <w:ind w:right="11"/>
              <w:spacing w:after="0" w:line="164" w:lineRule="exact"/>
              <w:rPr>
                <w:sz w:val="20"/>
                <w:szCs w:val="20"/>
                <w:color w:val="auto"/>
              </w:rPr>
            </w:pPr>
            <w:r>
              <w:rPr>
                <w:rFonts w:ascii="Calibri" w:cs="Calibri" w:eastAsia="Calibri" w:hAnsi="Calibri"/>
                <w:sz w:val="14"/>
                <w:szCs w:val="14"/>
                <w:color w:val="auto"/>
              </w:rPr>
              <w:t>64,026</w:t>
            </w:r>
          </w:p>
        </w:tc>
      </w:tr>
    </w:tbl>
    <w:p>
      <w:pPr>
        <w:spacing w:after="0" w:line="223"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consolidated fnancial statements.</w:t>
      </w:r>
    </w:p>
    <w:p>
      <w:pPr>
        <w:sectPr>
          <w:pgSz w:w="11900" w:h="16838" w:orient="portrait"/>
          <w:cols w:equalWidth="0" w:num="1">
            <w:col w:w="11260"/>
          </w:cols>
          <w:pgMar w:left="320" w:top="151" w:right="319" w:bottom="1440" w:gutter="0" w:footer="0" w:header="0"/>
        </w:sectPr>
      </w:pPr>
    </w:p>
    <w:bookmarkStart w:id="109" w:name="page110"/>
    <w:bookmarkEnd w:id="109"/>
    <w:p>
      <w:pPr>
        <w:ind w:left="60"/>
        <w:spacing w:after="0"/>
        <w:rPr>
          <w:sz w:val="20"/>
          <w:szCs w:val="20"/>
          <w:color w:val="auto"/>
        </w:rPr>
      </w:pPr>
      <w:r>
        <w:rPr>
          <w:rFonts w:ascii="Calibri" w:cs="Calibri" w:eastAsia="Calibri" w:hAnsi="Calibri"/>
          <w:sz w:val="20"/>
          <w:szCs w:val="20"/>
          <w:b w:val="1"/>
          <w:bCs w:val="1"/>
          <w:color w:val="auto"/>
        </w:rPr>
        <w:t>CYBIN INC.</w:t>
      </w:r>
    </w:p>
    <w:p>
      <w:pPr>
        <w:ind w:left="60"/>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0"/>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0"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714565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1.</w:t>
      </w:r>
      <w:r>
        <w:rPr>
          <w:sz w:val="20"/>
          <w:szCs w:val="20"/>
          <w:color w:val="auto"/>
        </w:rPr>
        <w:tab/>
      </w:r>
      <w:r>
        <w:rPr>
          <w:rFonts w:ascii="Calibri" w:cs="Calibri" w:eastAsia="Calibri" w:hAnsi="Calibri"/>
          <w:sz w:val="15"/>
          <w:szCs w:val="15"/>
          <w:b w:val="1"/>
          <w:bCs w:val="1"/>
          <w:color w:val="2D5F91"/>
        </w:rPr>
        <w:t>CORPORATE INFORMATION</w:t>
      </w:r>
    </w:p>
    <w:p>
      <w:pPr>
        <w:spacing w:after="0" w:line="172" w:lineRule="exact"/>
        <w:rPr>
          <w:sz w:val="20"/>
          <w:szCs w:val="20"/>
          <w:color w:val="auto"/>
        </w:rPr>
      </w:pPr>
    </w:p>
    <w:p>
      <w:pPr>
        <w:jc w:val="both"/>
        <w:ind w:left="300"/>
        <w:spacing w:after="0" w:line="239" w:lineRule="auto"/>
        <w:rPr>
          <w:sz w:val="20"/>
          <w:szCs w:val="20"/>
          <w:color w:val="auto"/>
        </w:rPr>
      </w:pPr>
      <w:r>
        <w:rPr>
          <w:rFonts w:ascii="Calibri" w:cs="Calibri" w:eastAsia="Calibri" w:hAnsi="Calibri"/>
          <w:sz w:val="16"/>
          <w:szCs w:val="16"/>
          <w:color w:val="auto"/>
        </w:rPr>
        <w:t>Cybin Inc. (“Cybin”), was incorporated under the Business Corporatons Act (Britsh Columbia) on October 13, 2016. These consolidated fnancial statements include the accounts of Cybin’s six subsidiaries (together, with Cybin, the “Company”): Cybin Corp., Natures Journey Inc. (“Journey”), Serenity Life Sciences Inc. (“Serenity”), Cybin US Holdings Inc. (“Cybin US”), Adelia Therapeutcs Inc. (“Adelia”) and Cybin IRL Limited. Cybin’s head ofce, principal address and registered address and records ofce is 100 King Street West, Suite 5600, Toronto, Ontario M5X 1C9.</w:t>
      </w:r>
    </w:p>
    <w:p>
      <w:pPr>
        <w:spacing w:after="0" w:line="163" w:lineRule="exact"/>
        <w:rPr>
          <w:sz w:val="20"/>
          <w:szCs w:val="20"/>
          <w:color w:val="auto"/>
        </w:rPr>
      </w:pPr>
    </w:p>
    <w:p>
      <w:pPr>
        <w:jc w:val="both"/>
        <w:ind w:left="300"/>
        <w:spacing w:after="0" w:line="239" w:lineRule="auto"/>
        <w:rPr>
          <w:sz w:val="20"/>
          <w:szCs w:val="20"/>
          <w:color w:val="auto"/>
        </w:rPr>
      </w:pPr>
      <w:r>
        <w:rPr>
          <w:rFonts w:ascii="Calibri" w:cs="Calibri" w:eastAsia="Calibri" w:hAnsi="Calibri"/>
          <w:sz w:val="16"/>
          <w:szCs w:val="16"/>
          <w:color w:val="auto"/>
        </w:rPr>
        <w:t>The Company is a biotechnology company focused on progressing psychedelic therapeutcs. The Company is structuring and supportng clinical studies in North America and other regions, through strategic academic and insttutonal partnerships and plans to launch psilocybin-based products in jurisdictons where the substance is not banned.</w:t>
      </w:r>
    </w:p>
    <w:p>
      <w:pPr>
        <w:spacing w:after="0" w:line="162" w:lineRule="exact"/>
        <w:rPr>
          <w:sz w:val="20"/>
          <w:szCs w:val="20"/>
          <w:color w:val="auto"/>
        </w:rPr>
      </w:pPr>
    </w:p>
    <w:p>
      <w:pPr>
        <w:ind w:left="300"/>
        <w:spacing w:after="0"/>
        <w:rPr>
          <w:sz w:val="20"/>
          <w:szCs w:val="20"/>
          <w:color w:val="auto"/>
        </w:rPr>
      </w:pPr>
      <w:r>
        <w:rPr>
          <w:rFonts w:ascii="Calibri" w:cs="Calibri" w:eastAsia="Calibri" w:hAnsi="Calibri"/>
          <w:sz w:val="15"/>
          <w:szCs w:val="15"/>
          <w:color w:val="auto"/>
        </w:rPr>
        <w:t>These consolidated fnancial statements as at, and for the year ended, March 31, 2022 were approved and authorized for issue by the board of directors on June 20, 2022.</w:t>
      </w:r>
    </w:p>
    <w:p>
      <w:pPr>
        <w:spacing w:after="0" w:line="182"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i w:val="1"/>
          <w:iCs w:val="1"/>
          <w:u w:val="single" w:color="auto"/>
          <w:color w:val="auto"/>
        </w:rPr>
        <w:t>COVID 19</w:t>
      </w:r>
    </w:p>
    <w:p>
      <w:pPr>
        <w:spacing w:after="0" w:line="160" w:lineRule="exact"/>
        <w:rPr>
          <w:sz w:val="20"/>
          <w:szCs w:val="20"/>
          <w:color w:val="auto"/>
        </w:rPr>
      </w:pPr>
    </w:p>
    <w:p>
      <w:pPr>
        <w:jc w:val="both"/>
        <w:ind w:left="300"/>
        <w:spacing w:after="0" w:line="239" w:lineRule="auto"/>
        <w:rPr>
          <w:sz w:val="20"/>
          <w:szCs w:val="20"/>
          <w:color w:val="auto"/>
        </w:rPr>
      </w:pPr>
      <w:r>
        <w:rPr>
          <w:rFonts w:ascii="Calibri" w:cs="Calibri" w:eastAsia="Calibri" w:hAnsi="Calibri"/>
          <w:sz w:val="16"/>
          <w:szCs w:val="16"/>
          <w:color w:val="auto"/>
        </w:rPr>
        <w:t>In March 2020, the outbreak of the novel strain of coronavirus, specifcally identfed as “COVID-19”, resulted in governments worldwide enactng emergency measures to combat the spread of the virus. These measures, which include the implementaton of travel bans, self-imposed quarantne periods and social distancing, have caused material disrupton to businesses globally resultng in an economic slowdown. Global equity markets have experienced signifcant volatlity and weakness. Governments and central banks have reacted with signifcant monetary and fscal interventons designed to stabilize economic conditons. The duraton and impact of the COVID-19 outbreak is unknown at this tme, as is the efcacy of the government and central bank interventons. It is not possible to reliably estmate the length and severity of these developments and the impact on the fnancial results and conditon of the Company in future periods.</w:t>
      </w:r>
    </w:p>
    <w:p>
      <w:pPr>
        <w:spacing w:after="0" w:line="165" w:lineRule="exact"/>
        <w:rPr>
          <w:sz w:val="20"/>
          <w:szCs w:val="20"/>
          <w:color w:val="auto"/>
        </w:rPr>
      </w:pPr>
    </w:p>
    <w:p>
      <w:pPr>
        <w:jc w:val="both"/>
        <w:ind w:left="300" w:right="20"/>
        <w:spacing w:after="0" w:line="239" w:lineRule="auto"/>
        <w:rPr>
          <w:sz w:val="20"/>
          <w:szCs w:val="20"/>
          <w:color w:val="auto"/>
        </w:rPr>
      </w:pPr>
      <w:r>
        <w:rPr>
          <w:rFonts w:ascii="Calibri" w:cs="Calibri" w:eastAsia="Calibri" w:hAnsi="Calibri"/>
          <w:sz w:val="16"/>
          <w:szCs w:val="16"/>
          <w:color w:val="auto"/>
        </w:rPr>
        <w:t>The Company is not currently aware of any changes in laws, regulatons or guidelines, including tax and accountng requirements, arising from COVID-19 which would be reasonably antcipated to materially afect the Company’s business.</w:t>
      </w:r>
    </w:p>
    <w:p>
      <w:pPr>
        <w:spacing w:after="0" w:line="172"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i w:val="1"/>
          <w:iCs w:val="1"/>
          <w:u w:val="single" w:color="auto"/>
          <w:color w:val="auto"/>
        </w:rPr>
        <w:t>Reverse takeover</w:t>
      </w:r>
    </w:p>
    <w:p>
      <w:pPr>
        <w:spacing w:after="0" w:line="160" w:lineRule="exact"/>
        <w:rPr>
          <w:sz w:val="20"/>
          <w:szCs w:val="20"/>
          <w:color w:val="auto"/>
        </w:rPr>
      </w:pPr>
    </w:p>
    <w:p>
      <w:pPr>
        <w:jc w:val="both"/>
        <w:ind w:left="300" w:right="20"/>
        <w:spacing w:after="0" w:line="239" w:lineRule="auto"/>
        <w:rPr>
          <w:sz w:val="20"/>
          <w:szCs w:val="20"/>
          <w:color w:val="auto"/>
        </w:rPr>
      </w:pPr>
      <w:r>
        <w:rPr>
          <w:rFonts w:ascii="Calibri" w:cs="Calibri" w:eastAsia="Calibri" w:hAnsi="Calibri"/>
          <w:sz w:val="16"/>
          <w:szCs w:val="16"/>
          <w:color w:val="auto"/>
        </w:rPr>
        <w:t>On November 5, 2020, Cybin completed a reverse takeover transacton (the “Reverse Takeover”) pursuant to the terms of an amalgamaton agreement dated June 26, 2020, as amended on October 21, 2020, among Cybin, Cybin Corp. and 2762898 Ontario Inc. (“SubCo”), a wholly-owned subsidiary of a listed company Clarmin Exploratons Inc. (“Clarmin”). The Reverse Takeover was completed by way of a “three-cornered” amalgamaton pursuant to the provisions of the Business Corporatons Act (Ontario) whereby Cybin Corp. amalgamated with SubCo to form an amalgamated corporaton and a wholly owned subsidiary of Cybin. Efectve November 5, 2020, Cybin completed a common share consolidaton on the basis of 6.672 old common shares into one new common share of the Company (a “Common Share”). Any relevant shares and per share amounts in these consolidated fnancial statements have been restated to refect the share consolidaton retrospectvely.</w:t>
      </w:r>
    </w:p>
    <w:p>
      <w:pPr>
        <w:spacing w:after="0" w:line="165" w:lineRule="exact"/>
        <w:rPr>
          <w:sz w:val="20"/>
          <w:szCs w:val="20"/>
          <w:color w:val="auto"/>
        </w:rPr>
      </w:pPr>
    </w:p>
    <w:p>
      <w:pPr>
        <w:jc w:val="both"/>
        <w:ind w:left="300" w:right="20"/>
        <w:spacing w:after="0" w:line="239" w:lineRule="auto"/>
        <w:rPr>
          <w:sz w:val="20"/>
          <w:szCs w:val="20"/>
          <w:color w:val="auto"/>
        </w:rPr>
      </w:pPr>
      <w:r>
        <w:rPr>
          <w:rFonts w:ascii="Calibri" w:cs="Calibri" w:eastAsia="Calibri" w:hAnsi="Calibri"/>
          <w:sz w:val="16"/>
          <w:szCs w:val="16"/>
          <w:color w:val="auto"/>
        </w:rPr>
        <w:t>In accordance with IFRS 3, Business Combinatons, the substance of the reverse takeover is a takeover of a nonoperatng company. The transacton does not consttute a business combinaton as Clarmin did not meet the defniton of a business under IFRS 3. As a result, the transacton was accounted for as a capital transacton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10 of 25</w:t>
      </w:r>
    </w:p>
    <w:p>
      <w:pPr>
        <w:sectPr>
          <w:pgSz w:w="11900" w:h="16838" w:orient="portrait"/>
          <w:cols w:equalWidth="0" w:num="1">
            <w:col w:w="11260"/>
          </w:cols>
          <w:pgMar w:left="320" w:top="151" w:right="319" w:bottom="1440" w:gutter="0" w:footer="0" w:header="0"/>
        </w:sectPr>
      </w:pPr>
    </w:p>
    <w:bookmarkStart w:id="110" w:name="page111"/>
    <w:bookmarkEnd w:id="110"/>
    <w:p>
      <w:pPr>
        <w:ind w:left="60"/>
        <w:spacing w:after="0"/>
        <w:rPr>
          <w:sz w:val="20"/>
          <w:szCs w:val="20"/>
          <w:color w:val="auto"/>
        </w:rPr>
      </w:pPr>
      <w:r>
        <w:rPr>
          <w:rFonts w:ascii="Calibri" w:cs="Calibri" w:eastAsia="Calibri" w:hAnsi="Calibri"/>
          <w:sz w:val="20"/>
          <w:szCs w:val="20"/>
          <w:b w:val="1"/>
          <w:bCs w:val="1"/>
          <w:color w:val="auto"/>
        </w:rPr>
        <w:t>CYBIN INC.</w:t>
      </w:r>
    </w:p>
    <w:p>
      <w:pPr>
        <w:ind w:left="60"/>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0"/>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0"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714565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300"/>
        <w:spacing w:after="0" w:line="239" w:lineRule="auto"/>
        <w:rPr>
          <w:sz w:val="20"/>
          <w:szCs w:val="20"/>
          <w:color w:val="auto"/>
        </w:rPr>
      </w:pPr>
      <w:r>
        <w:rPr>
          <w:rFonts w:ascii="Calibri" w:cs="Calibri" w:eastAsia="Calibri" w:hAnsi="Calibri"/>
          <w:sz w:val="16"/>
          <w:szCs w:val="16"/>
          <w:color w:val="auto"/>
        </w:rPr>
        <w:t>with Cybin being identfed as the acquirer and the equity consideraton being measured at fair value. The resultng consolidated statement fnancial statements are presented as a contnuaton of Cybin Corp.</w:t>
      </w:r>
    </w:p>
    <w:p>
      <w:pPr>
        <w:spacing w:after="0" w:line="172"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i w:val="1"/>
          <w:iCs w:val="1"/>
          <w:u w:val="single" w:color="auto"/>
          <w:color w:val="auto"/>
        </w:rPr>
        <w:t>Stock exchange listng</w:t>
      </w:r>
    </w:p>
    <w:p>
      <w:pPr>
        <w:spacing w:after="0" w:line="160" w:lineRule="exact"/>
        <w:rPr>
          <w:sz w:val="20"/>
          <w:szCs w:val="20"/>
          <w:color w:val="auto"/>
        </w:rPr>
      </w:pPr>
    </w:p>
    <w:p>
      <w:pPr>
        <w:jc w:val="both"/>
        <w:ind w:left="300"/>
        <w:spacing w:after="0" w:line="239" w:lineRule="auto"/>
        <w:rPr>
          <w:sz w:val="20"/>
          <w:szCs w:val="20"/>
          <w:color w:val="auto"/>
        </w:rPr>
      </w:pPr>
      <w:r>
        <w:rPr>
          <w:rFonts w:ascii="Calibri" w:cs="Calibri" w:eastAsia="Calibri" w:hAnsi="Calibri"/>
          <w:sz w:val="16"/>
          <w:szCs w:val="16"/>
          <w:color w:val="auto"/>
        </w:rPr>
        <w:t>Cybin’s Common Shares are listed for trading on the Neo Exchange Inc., and NYSE American LLC under the symbol “CYBN” and are quoted on the Frankfurt Stock Exchange under the symbol “R7E1”.</w:t>
      </w:r>
    </w:p>
    <w:p>
      <w:pPr>
        <w:spacing w:after="0" w:line="160"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i w:val="1"/>
          <w:iCs w:val="1"/>
          <w:u w:val="single" w:color="auto"/>
          <w:color w:val="auto"/>
        </w:rPr>
        <w:t>Acquisiton</w:t>
      </w:r>
    </w:p>
    <w:p>
      <w:pPr>
        <w:spacing w:after="0" w:line="172" w:lineRule="exact"/>
        <w:rPr>
          <w:sz w:val="20"/>
          <w:szCs w:val="20"/>
          <w:color w:val="auto"/>
        </w:rPr>
      </w:pPr>
    </w:p>
    <w:p>
      <w:pPr>
        <w:jc w:val="both"/>
        <w:ind w:left="300" w:right="20"/>
        <w:spacing w:after="0" w:line="239" w:lineRule="auto"/>
        <w:rPr>
          <w:sz w:val="20"/>
          <w:szCs w:val="20"/>
          <w:color w:val="auto"/>
        </w:rPr>
      </w:pPr>
      <w:r>
        <w:rPr>
          <w:rFonts w:ascii="Calibri" w:cs="Calibri" w:eastAsia="Calibri" w:hAnsi="Calibri"/>
          <w:sz w:val="16"/>
          <w:szCs w:val="16"/>
          <w:color w:val="auto"/>
        </w:rPr>
        <w:t>On December 14, 2020, the Company completed its acquisiton of Adelia by issuing class B common shares of Cybin US (“Class B Shares”) that are exchangeable into Common Shares (the “Adelia Transacton”) (see note 4). The Class B Shares were issued in place of Common Shares to permit the deferral of US tax by the former shareholders of Adelia (the “Former Adelia Shareholders”). These consolidated fnancial statements refect the Class B Shares as if they have already been exchanged for Common Shares.</w:t>
      </w:r>
    </w:p>
    <w:p>
      <w:pPr>
        <w:spacing w:after="0" w:line="162"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i w:val="1"/>
          <w:iCs w:val="1"/>
          <w:u w:val="single" w:color="auto"/>
          <w:color w:val="auto"/>
        </w:rPr>
        <w:t>Going Concern</w:t>
      </w:r>
    </w:p>
    <w:p>
      <w:pPr>
        <w:spacing w:after="0" w:line="148" w:lineRule="exact"/>
        <w:rPr>
          <w:sz w:val="20"/>
          <w:szCs w:val="20"/>
          <w:color w:val="auto"/>
        </w:rPr>
      </w:pPr>
    </w:p>
    <w:p>
      <w:pPr>
        <w:jc w:val="both"/>
        <w:ind w:left="300"/>
        <w:spacing w:after="0" w:line="227" w:lineRule="auto"/>
        <w:rPr>
          <w:sz w:val="20"/>
          <w:szCs w:val="20"/>
          <w:color w:val="auto"/>
        </w:rPr>
      </w:pPr>
      <w:r>
        <w:rPr>
          <w:rFonts w:ascii="Calibri" w:cs="Calibri" w:eastAsia="Calibri" w:hAnsi="Calibri"/>
          <w:sz w:val="16"/>
          <w:szCs w:val="16"/>
          <w:color w:val="auto"/>
        </w:rPr>
        <w:t>These consolidated fnancial statements are prepared on a going concern basis, which contemplates that the Company will contnue in operaton for the foreseeable future and will be able to realize its assets and discharge its liabilites in the normal course of business. At present, the Company’s operatons do not generate cash fow. The Company has incurred losses since incepton and had an accumulated defcit of $100,661 as at March 31, 2022 (March 31, 2021 - $33,030). As at March 31, 2022, the Company had a cash balance of $53,641 (2021 - $64,026) and working capital of $50,447 (2021 - $61,584). In order to contnue as a going concern and meet its corporate objectves, the Company is dependent on its ability to obtain additonal fnancing. Although the Company has been successful in the past in obtaining fnancing, there is no assurance that the Company will be able to obtain adequate fnancing in the future or that such fnancing will be on terms advantageous to the Company.</w:t>
      </w:r>
    </w:p>
    <w:p>
      <w:pPr>
        <w:spacing w:after="0" w:line="150" w:lineRule="exact"/>
        <w:rPr>
          <w:sz w:val="20"/>
          <w:szCs w:val="20"/>
          <w:color w:val="auto"/>
        </w:rPr>
      </w:pPr>
    </w:p>
    <w:p>
      <w:pPr>
        <w:jc w:val="both"/>
        <w:ind w:left="300" w:right="20"/>
        <w:spacing w:after="0" w:line="229" w:lineRule="auto"/>
        <w:rPr>
          <w:sz w:val="20"/>
          <w:szCs w:val="20"/>
          <w:color w:val="auto"/>
        </w:rPr>
      </w:pPr>
      <w:r>
        <w:rPr>
          <w:rFonts w:ascii="Calibri" w:cs="Calibri" w:eastAsia="Calibri" w:hAnsi="Calibri"/>
          <w:sz w:val="16"/>
          <w:szCs w:val="16"/>
          <w:color w:val="auto"/>
        </w:rPr>
        <w:t>These consolidated fnancial statements do not refect the adjustments or reclassifcatons of assets and liabilites which would be necessary if the Company were unable to contnue as a going concern and therefore were required to realize its assets and liquidate its liabilites and commitments in the normal course of business operatons and at amounts diferent from those in the accompanying consolidated fnancial statements.</w:t>
      </w:r>
    </w:p>
    <w:p>
      <w:pPr>
        <w:spacing w:after="0" w:line="380"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2.</w:t>
      </w:r>
      <w:r>
        <w:rPr>
          <w:sz w:val="20"/>
          <w:szCs w:val="20"/>
          <w:color w:val="auto"/>
        </w:rPr>
        <w:tab/>
      </w:r>
      <w:r>
        <w:rPr>
          <w:rFonts w:ascii="Calibri" w:cs="Calibri" w:eastAsia="Calibri" w:hAnsi="Calibri"/>
          <w:sz w:val="15"/>
          <w:szCs w:val="15"/>
          <w:b w:val="1"/>
          <w:bCs w:val="1"/>
          <w:color w:val="2D5F91"/>
        </w:rPr>
        <w:t>SIGNIFICANT ACCOUNTING POLICIES AND BASIS OF PREPARATION</w:t>
      </w:r>
    </w:p>
    <w:p>
      <w:pPr>
        <w:spacing w:after="0" w:line="208"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u w:val="single" w:color="auto"/>
          <w:color w:val="auto"/>
        </w:rPr>
        <w:t>Statement of compliance</w:t>
      </w:r>
    </w:p>
    <w:p>
      <w:pPr>
        <w:spacing w:after="0" w:line="209" w:lineRule="exact"/>
        <w:rPr>
          <w:sz w:val="20"/>
          <w:szCs w:val="20"/>
          <w:color w:val="auto"/>
        </w:rPr>
      </w:pPr>
    </w:p>
    <w:p>
      <w:pPr>
        <w:jc w:val="both"/>
        <w:ind w:left="300" w:right="20"/>
        <w:spacing w:after="0" w:line="223" w:lineRule="auto"/>
        <w:rPr>
          <w:sz w:val="20"/>
          <w:szCs w:val="20"/>
          <w:color w:val="auto"/>
        </w:rPr>
      </w:pPr>
      <w:r>
        <w:rPr>
          <w:rFonts w:ascii="Calibri" w:cs="Calibri" w:eastAsia="Calibri" w:hAnsi="Calibri"/>
          <w:sz w:val="16"/>
          <w:szCs w:val="16"/>
          <w:color w:val="auto"/>
        </w:rPr>
        <w:t>The Company’s consolidated fnancial statements have been prepared in accordance with Internatonal Financial Reportng Standards (IFRS), as issued by the Internatonal Accountng Standards Board (IASB)</w:t>
      </w:r>
      <w:r>
        <w:rPr>
          <w:rFonts w:ascii="Calibri" w:cs="Calibri" w:eastAsia="Calibri" w:hAnsi="Calibri"/>
          <w:sz w:val="19"/>
          <w:szCs w:val="19"/>
          <w:i w:val="1"/>
          <w:iCs w:val="1"/>
          <w:color w:val="auto"/>
        </w:rPr>
        <w:t>.</w:t>
      </w:r>
    </w:p>
    <w:p>
      <w:pPr>
        <w:spacing w:after="0" w:line="153" w:lineRule="exact"/>
        <w:rPr>
          <w:sz w:val="20"/>
          <w:szCs w:val="20"/>
          <w:color w:val="auto"/>
        </w:rPr>
      </w:pPr>
    </w:p>
    <w:p>
      <w:pPr>
        <w:jc w:val="both"/>
        <w:ind w:left="300"/>
        <w:spacing w:after="0" w:line="224" w:lineRule="auto"/>
        <w:rPr>
          <w:sz w:val="20"/>
          <w:szCs w:val="20"/>
          <w:color w:val="auto"/>
        </w:rPr>
      </w:pPr>
      <w:r>
        <w:rPr>
          <w:rFonts w:ascii="Calibri" w:cs="Calibri" w:eastAsia="Calibri" w:hAnsi="Calibri"/>
          <w:sz w:val="16"/>
          <w:szCs w:val="16"/>
          <w:color w:val="auto"/>
        </w:rPr>
        <w:t>The policies applied to these consolidated fnancial statements are based on IFRS, which have been applied consistently to all periods presented. These consolidated fnancial statements were issued and efectve as at June 20, 2022, the date the Board of Directors approved these consolidated fnancial statements.</w:t>
      </w:r>
    </w:p>
    <w:p>
      <w:pPr>
        <w:spacing w:after="0" w:line="196"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u w:val="single" w:color="auto"/>
          <w:color w:val="auto"/>
        </w:rPr>
        <w:t>Basis of measurement</w:t>
      </w:r>
    </w:p>
    <w:p>
      <w:pPr>
        <w:spacing w:after="0" w:line="209" w:lineRule="exact"/>
        <w:rPr>
          <w:sz w:val="20"/>
          <w:szCs w:val="20"/>
          <w:color w:val="auto"/>
        </w:rPr>
      </w:pPr>
    </w:p>
    <w:p>
      <w:pPr>
        <w:jc w:val="both"/>
        <w:ind w:left="300" w:right="20"/>
        <w:spacing w:after="0" w:line="231" w:lineRule="auto"/>
        <w:rPr>
          <w:sz w:val="20"/>
          <w:szCs w:val="20"/>
          <w:color w:val="auto"/>
        </w:rPr>
      </w:pPr>
      <w:r>
        <w:rPr>
          <w:rFonts w:ascii="Calibri" w:cs="Calibri" w:eastAsia="Calibri" w:hAnsi="Calibri"/>
          <w:sz w:val="16"/>
          <w:szCs w:val="16"/>
          <w:color w:val="auto"/>
        </w:rPr>
        <w:t>These consolidated fnancial statements have been prepared on a going concern basis, under the historical cost conventon, except for certain fnancial instruments classifed at fair value upon inital recogniton.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11 of 53</w:t>
      </w:r>
    </w:p>
    <w:p>
      <w:pPr>
        <w:sectPr>
          <w:pgSz w:w="11900" w:h="16838" w:orient="portrait"/>
          <w:cols w:equalWidth="0" w:num="1">
            <w:col w:w="11260"/>
          </w:cols>
          <w:pgMar w:left="320" w:top="151" w:right="319" w:bottom="1440" w:gutter="0" w:footer="0" w:header="0"/>
        </w:sectPr>
      </w:pPr>
    </w:p>
    <w:bookmarkStart w:id="111" w:name="page112"/>
    <w:bookmarkEnd w:id="111"/>
    <w:p>
      <w:pPr>
        <w:ind w:left="60"/>
        <w:spacing w:after="0"/>
        <w:rPr>
          <w:sz w:val="20"/>
          <w:szCs w:val="20"/>
          <w:color w:val="auto"/>
        </w:rPr>
      </w:pPr>
      <w:r>
        <w:rPr>
          <w:rFonts w:ascii="Calibri" w:cs="Calibri" w:eastAsia="Calibri" w:hAnsi="Calibri"/>
          <w:sz w:val="20"/>
          <w:szCs w:val="20"/>
          <w:b w:val="1"/>
          <w:bCs w:val="1"/>
          <w:color w:val="auto"/>
        </w:rPr>
        <w:t>CYBIN INC.</w:t>
      </w:r>
    </w:p>
    <w:p>
      <w:pPr>
        <w:ind w:left="60"/>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0"/>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0"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714565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u w:val="single" w:color="auto"/>
          <w:color w:val="auto"/>
        </w:rPr>
        <w:t>Functonal and presentaton currency</w:t>
      </w:r>
    </w:p>
    <w:p>
      <w:pPr>
        <w:spacing w:after="0" w:line="148" w:lineRule="exact"/>
        <w:rPr>
          <w:sz w:val="20"/>
          <w:szCs w:val="20"/>
          <w:color w:val="auto"/>
        </w:rPr>
      </w:pPr>
    </w:p>
    <w:p>
      <w:pPr>
        <w:jc w:val="both"/>
        <w:ind w:left="300"/>
        <w:spacing w:after="0" w:line="231" w:lineRule="auto"/>
        <w:rPr>
          <w:sz w:val="20"/>
          <w:szCs w:val="20"/>
          <w:color w:val="auto"/>
        </w:rPr>
      </w:pPr>
      <w:r>
        <w:rPr>
          <w:rFonts w:ascii="Calibri" w:cs="Calibri" w:eastAsia="Calibri" w:hAnsi="Calibri"/>
          <w:sz w:val="16"/>
          <w:szCs w:val="16"/>
          <w:color w:val="auto"/>
        </w:rPr>
        <w:t>The functonal currency of a company is the currency of the primary economic environment in which the company operates. The presentaton currency for a company is the currency in which the company chooses to present its fnancial statements.</w:t>
      </w:r>
    </w:p>
    <w:p>
      <w:pPr>
        <w:spacing w:after="0" w:line="149" w:lineRule="exact"/>
        <w:rPr>
          <w:sz w:val="20"/>
          <w:szCs w:val="20"/>
          <w:color w:val="auto"/>
        </w:rPr>
      </w:pPr>
    </w:p>
    <w:p>
      <w:pPr>
        <w:jc w:val="both"/>
        <w:ind w:left="300" w:right="20"/>
        <w:spacing w:after="0" w:line="231" w:lineRule="auto"/>
        <w:rPr>
          <w:sz w:val="20"/>
          <w:szCs w:val="20"/>
          <w:color w:val="auto"/>
        </w:rPr>
      </w:pPr>
      <w:r>
        <w:rPr>
          <w:rFonts w:ascii="Calibri" w:cs="Calibri" w:eastAsia="Calibri" w:hAnsi="Calibri"/>
          <w:sz w:val="16"/>
          <w:szCs w:val="16"/>
          <w:color w:val="auto"/>
        </w:rPr>
        <w:t>These consolidated fnancial statements are presented in Canadian dollars, the Company’s presentaton currency. The Company’s and its subsidiaries functonal currencies are as follows: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320" w:type="dxa"/>
            <w:vAlign w:val="bottom"/>
          </w:tcPr>
          <w:p>
            <w:pPr>
              <w:spacing w:after="0"/>
              <w:rPr>
                <w:sz w:val="20"/>
                <w:szCs w:val="20"/>
                <w:color w:val="auto"/>
              </w:rPr>
            </w:pPr>
            <w:r>
              <w:rPr>
                <w:rFonts w:ascii="Calibri" w:cs="Calibri" w:eastAsia="Calibri" w:hAnsi="Calibri"/>
                <w:sz w:val="16"/>
                <w:szCs w:val="16"/>
                <w:b w:val="1"/>
                <w:bCs w:val="1"/>
                <w:color w:val="auto"/>
              </w:rPr>
              <w:t>Entty</w:t>
            </w:r>
          </w:p>
        </w:tc>
        <w:tc>
          <w:tcPr>
            <w:tcW w:w="3500" w:type="dxa"/>
            <w:vAlign w:val="bottom"/>
          </w:tcPr>
          <w:p>
            <w:pPr>
              <w:ind w:left="1200"/>
              <w:spacing w:after="0"/>
              <w:rPr>
                <w:sz w:val="20"/>
                <w:szCs w:val="20"/>
                <w:color w:val="auto"/>
              </w:rPr>
            </w:pPr>
            <w:r>
              <w:rPr>
                <w:rFonts w:ascii="Calibri" w:cs="Calibri" w:eastAsia="Calibri" w:hAnsi="Calibri"/>
                <w:sz w:val="16"/>
                <w:szCs w:val="16"/>
                <w:b w:val="1"/>
                <w:bCs w:val="1"/>
                <w:color w:val="auto"/>
              </w:rPr>
              <w:t>Currency</w:t>
            </w:r>
          </w:p>
        </w:tc>
        <w:tc>
          <w:tcPr>
            <w:tcW w:w="4700" w:type="dxa"/>
            <w:vAlign w:val="bottom"/>
          </w:tcPr>
          <w:p>
            <w:pPr>
              <w:ind w:left="1220"/>
              <w:spacing w:after="0"/>
              <w:rPr>
                <w:sz w:val="20"/>
                <w:szCs w:val="20"/>
                <w:color w:val="auto"/>
              </w:rPr>
            </w:pPr>
            <w:r>
              <w:rPr>
                <w:rFonts w:ascii="Calibri" w:cs="Calibri" w:eastAsia="Calibri" w:hAnsi="Calibri"/>
                <w:sz w:val="16"/>
                <w:szCs w:val="16"/>
                <w:b w:val="1"/>
                <w:bCs w:val="1"/>
                <w:color w:val="auto"/>
              </w:rPr>
              <w:t>Ownership</w:t>
            </w:r>
          </w:p>
        </w:tc>
      </w:tr>
      <w:tr>
        <w:trPr>
          <w:trHeight w:val="21"/>
        </w:trPr>
        <w:tc>
          <w:tcPr>
            <w:tcW w:w="232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r>
      <w:tr>
        <w:trPr>
          <w:trHeight w:val="186"/>
        </w:trPr>
        <w:tc>
          <w:tcPr>
            <w:tcW w:w="2320" w:type="dxa"/>
            <w:vAlign w:val="bottom"/>
          </w:tcPr>
          <w:p>
            <w:pPr>
              <w:spacing w:after="0" w:line="186" w:lineRule="exact"/>
              <w:rPr>
                <w:sz w:val="20"/>
                <w:szCs w:val="20"/>
                <w:color w:val="auto"/>
              </w:rPr>
            </w:pPr>
            <w:r>
              <w:rPr>
                <w:rFonts w:ascii="Calibri" w:cs="Calibri" w:eastAsia="Calibri" w:hAnsi="Calibri"/>
                <w:sz w:val="16"/>
                <w:szCs w:val="16"/>
                <w:color w:val="auto"/>
              </w:rPr>
              <w:t>Cybin Corp.</w:t>
            </w:r>
          </w:p>
        </w:tc>
        <w:tc>
          <w:tcPr>
            <w:tcW w:w="3500" w:type="dxa"/>
            <w:vAlign w:val="bottom"/>
          </w:tcPr>
          <w:p>
            <w:pPr>
              <w:ind w:left="1200"/>
              <w:spacing w:after="0" w:line="186" w:lineRule="exact"/>
              <w:rPr>
                <w:sz w:val="20"/>
                <w:szCs w:val="20"/>
                <w:color w:val="auto"/>
              </w:rPr>
            </w:pPr>
            <w:r>
              <w:rPr>
                <w:rFonts w:ascii="Calibri" w:cs="Calibri" w:eastAsia="Calibri" w:hAnsi="Calibri"/>
                <w:sz w:val="16"/>
                <w:szCs w:val="16"/>
                <w:color w:val="auto"/>
              </w:rPr>
              <w:t>Canadian dollars</w:t>
            </w:r>
          </w:p>
        </w:tc>
        <w:tc>
          <w:tcPr>
            <w:tcW w:w="4700" w:type="dxa"/>
            <w:vAlign w:val="bottom"/>
          </w:tcPr>
          <w:p>
            <w:pPr>
              <w:ind w:left="1220"/>
              <w:spacing w:after="0" w:line="186" w:lineRule="exact"/>
              <w:rPr>
                <w:sz w:val="20"/>
                <w:szCs w:val="20"/>
                <w:color w:val="auto"/>
              </w:rPr>
            </w:pPr>
            <w:r>
              <w:rPr>
                <w:rFonts w:ascii="Calibri" w:cs="Calibri" w:eastAsia="Calibri" w:hAnsi="Calibri"/>
                <w:sz w:val="16"/>
                <w:szCs w:val="16"/>
                <w:color w:val="auto"/>
              </w:rPr>
              <w:t>100%</w:t>
            </w:r>
          </w:p>
        </w:tc>
      </w:tr>
      <w:tr>
        <w:trPr>
          <w:trHeight w:val="200"/>
        </w:trPr>
        <w:tc>
          <w:tcPr>
            <w:tcW w:w="2320" w:type="dxa"/>
            <w:vAlign w:val="bottom"/>
          </w:tcPr>
          <w:p>
            <w:pPr>
              <w:spacing w:after="0"/>
              <w:rPr>
                <w:sz w:val="20"/>
                <w:szCs w:val="20"/>
                <w:color w:val="auto"/>
              </w:rPr>
            </w:pPr>
            <w:r>
              <w:rPr>
                <w:rFonts w:ascii="Calibri" w:cs="Calibri" w:eastAsia="Calibri" w:hAnsi="Calibri"/>
                <w:sz w:val="16"/>
                <w:szCs w:val="16"/>
                <w:color w:val="auto"/>
              </w:rPr>
              <w:t>Journey</w:t>
            </w:r>
          </w:p>
        </w:tc>
        <w:tc>
          <w:tcPr>
            <w:tcW w:w="3500" w:type="dxa"/>
            <w:vAlign w:val="bottom"/>
          </w:tcPr>
          <w:p>
            <w:pPr>
              <w:ind w:left="1200"/>
              <w:spacing w:after="0"/>
              <w:rPr>
                <w:sz w:val="20"/>
                <w:szCs w:val="20"/>
                <w:color w:val="auto"/>
              </w:rPr>
            </w:pPr>
            <w:r>
              <w:rPr>
                <w:rFonts w:ascii="Calibri" w:cs="Calibri" w:eastAsia="Calibri" w:hAnsi="Calibri"/>
                <w:sz w:val="16"/>
                <w:szCs w:val="16"/>
                <w:color w:val="auto"/>
              </w:rPr>
              <w:t>Canadian dollars</w:t>
            </w:r>
          </w:p>
        </w:tc>
        <w:tc>
          <w:tcPr>
            <w:tcW w:w="4700" w:type="dxa"/>
            <w:vAlign w:val="bottom"/>
          </w:tcPr>
          <w:p>
            <w:pPr>
              <w:ind w:left="1220"/>
              <w:spacing w:after="0"/>
              <w:rPr>
                <w:sz w:val="20"/>
                <w:szCs w:val="20"/>
                <w:color w:val="auto"/>
              </w:rPr>
            </w:pPr>
            <w:r>
              <w:rPr>
                <w:rFonts w:ascii="Calibri" w:cs="Calibri" w:eastAsia="Calibri" w:hAnsi="Calibri"/>
                <w:sz w:val="16"/>
                <w:szCs w:val="16"/>
                <w:color w:val="auto"/>
              </w:rPr>
              <w:t>100%</w:t>
            </w:r>
          </w:p>
        </w:tc>
      </w:tr>
      <w:tr>
        <w:trPr>
          <w:trHeight w:val="208"/>
        </w:trPr>
        <w:tc>
          <w:tcPr>
            <w:tcW w:w="2320" w:type="dxa"/>
            <w:vAlign w:val="bottom"/>
          </w:tcPr>
          <w:p>
            <w:pPr>
              <w:spacing w:after="0"/>
              <w:rPr>
                <w:sz w:val="20"/>
                <w:szCs w:val="20"/>
                <w:color w:val="auto"/>
              </w:rPr>
            </w:pPr>
            <w:r>
              <w:rPr>
                <w:rFonts w:ascii="Calibri" w:cs="Calibri" w:eastAsia="Calibri" w:hAnsi="Calibri"/>
                <w:sz w:val="16"/>
                <w:szCs w:val="16"/>
                <w:color w:val="auto"/>
              </w:rPr>
              <w:t>Serenity</w:t>
            </w:r>
          </w:p>
        </w:tc>
        <w:tc>
          <w:tcPr>
            <w:tcW w:w="3500" w:type="dxa"/>
            <w:vAlign w:val="bottom"/>
          </w:tcPr>
          <w:p>
            <w:pPr>
              <w:ind w:left="1200"/>
              <w:spacing w:after="0"/>
              <w:rPr>
                <w:sz w:val="20"/>
                <w:szCs w:val="20"/>
                <w:color w:val="auto"/>
              </w:rPr>
            </w:pPr>
            <w:r>
              <w:rPr>
                <w:rFonts w:ascii="Calibri" w:cs="Calibri" w:eastAsia="Calibri" w:hAnsi="Calibri"/>
                <w:sz w:val="16"/>
                <w:szCs w:val="16"/>
                <w:color w:val="auto"/>
              </w:rPr>
              <w:t>Canadian dollars</w:t>
            </w:r>
          </w:p>
        </w:tc>
        <w:tc>
          <w:tcPr>
            <w:tcW w:w="4700" w:type="dxa"/>
            <w:vAlign w:val="bottom"/>
          </w:tcPr>
          <w:p>
            <w:pPr>
              <w:ind w:left="1220"/>
              <w:spacing w:after="0"/>
              <w:rPr>
                <w:sz w:val="20"/>
                <w:szCs w:val="20"/>
                <w:color w:val="auto"/>
              </w:rPr>
            </w:pPr>
            <w:r>
              <w:rPr>
                <w:rFonts w:ascii="Calibri" w:cs="Calibri" w:eastAsia="Calibri" w:hAnsi="Calibri"/>
                <w:sz w:val="16"/>
                <w:szCs w:val="16"/>
                <w:color w:val="auto"/>
              </w:rPr>
              <w:t>100%</w:t>
            </w:r>
          </w:p>
        </w:tc>
      </w:tr>
      <w:tr>
        <w:trPr>
          <w:trHeight w:val="258"/>
        </w:trPr>
        <w:tc>
          <w:tcPr>
            <w:tcW w:w="2320" w:type="dxa"/>
            <w:vAlign w:val="bottom"/>
          </w:tcPr>
          <w:p>
            <w:pPr>
              <w:spacing w:after="0"/>
              <w:rPr>
                <w:sz w:val="20"/>
                <w:szCs w:val="20"/>
                <w:color w:val="auto"/>
              </w:rPr>
            </w:pPr>
            <w:r>
              <w:rPr>
                <w:rFonts w:ascii="Calibri" w:cs="Calibri" w:eastAsia="Calibri" w:hAnsi="Calibri"/>
                <w:sz w:val="16"/>
                <w:szCs w:val="16"/>
                <w:color w:val="auto"/>
              </w:rPr>
              <w:t>Cybin US</w:t>
            </w:r>
          </w:p>
        </w:tc>
        <w:tc>
          <w:tcPr>
            <w:tcW w:w="3500" w:type="dxa"/>
            <w:vAlign w:val="bottom"/>
          </w:tcPr>
          <w:p>
            <w:pPr>
              <w:ind w:left="1200"/>
              <w:spacing w:after="0"/>
              <w:rPr>
                <w:sz w:val="20"/>
                <w:szCs w:val="20"/>
                <w:color w:val="auto"/>
              </w:rPr>
            </w:pPr>
            <w:r>
              <w:rPr>
                <w:rFonts w:ascii="Calibri" w:cs="Calibri" w:eastAsia="Calibri" w:hAnsi="Calibri"/>
                <w:sz w:val="16"/>
                <w:szCs w:val="16"/>
                <w:color w:val="auto"/>
              </w:rPr>
              <w:t>Canadian dollars</w:t>
            </w:r>
          </w:p>
        </w:tc>
        <w:tc>
          <w:tcPr>
            <w:tcW w:w="4700" w:type="dxa"/>
            <w:vAlign w:val="bottom"/>
          </w:tcPr>
          <w:p>
            <w:pPr>
              <w:ind w:left="1220"/>
              <w:spacing w:after="0"/>
              <w:rPr>
                <w:sz w:val="20"/>
                <w:szCs w:val="20"/>
                <w:color w:val="auto"/>
              </w:rPr>
            </w:pPr>
            <w:r>
              <w:rPr>
                <w:rFonts w:ascii="Calibri" w:cs="Calibri" w:eastAsia="Calibri" w:hAnsi="Calibri"/>
                <w:sz w:val="16"/>
                <w:szCs w:val="16"/>
                <w:color w:val="auto"/>
              </w:rPr>
              <w:t>100%</w:t>
            </w:r>
            <w:r>
              <w:rPr>
                <w:rFonts w:ascii="Calibri" w:cs="Calibri" w:eastAsia="Calibri" w:hAnsi="Calibri"/>
                <w:sz w:val="21"/>
                <w:szCs w:val="21"/>
                <w:color w:val="auto"/>
                <w:vertAlign w:val="superscript"/>
              </w:rPr>
              <w:t>1</w:t>
            </w:r>
          </w:p>
        </w:tc>
      </w:tr>
      <w:tr>
        <w:trPr>
          <w:trHeight w:val="194"/>
        </w:trPr>
        <w:tc>
          <w:tcPr>
            <w:tcW w:w="2320" w:type="dxa"/>
            <w:vAlign w:val="bottom"/>
          </w:tcPr>
          <w:p>
            <w:pPr>
              <w:spacing w:after="0" w:line="194" w:lineRule="exact"/>
              <w:rPr>
                <w:sz w:val="20"/>
                <w:szCs w:val="20"/>
                <w:color w:val="auto"/>
              </w:rPr>
            </w:pPr>
            <w:r>
              <w:rPr>
                <w:rFonts w:ascii="Calibri" w:cs="Calibri" w:eastAsia="Calibri" w:hAnsi="Calibri"/>
                <w:sz w:val="16"/>
                <w:szCs w:val="16"/>
                <w:color w:val="auto"/>
              </w:rPr>
              <w:t>Adelia</w:t>
            </w:r>
          </w:p>
        </w:tc>
        <w:tc>
          <w:tcPr>
            <w:tcW w:w="3500" w:type="dxa"/>
            <w:vAlign w:val="bottom"/>
          </w:tcPr>
          <w:p>
            <w:pPr>
              <w:ind w:left="1200"/>
              <w:spacing w:after="0" w:line="194" w:lineRule="exact"/>
              <w:rPr>
                <w:sz w:val="20"/>
                <w:szCs w:val="20"/>
                <w:color w:val="auto"/>
              </w:rPr>
            </w:pPr>
            <w:r>
              <w:rPr>
                <w:rFonts w:ascii="Calibri" w:cs="Calibri" w:eastAsia="Calibri" w:hAnsi="Calibri"/>
                <w:sz w:val="16"/>
                <w:szCs w:val="16"/>
                <w:color w:val="auto"/>
              </w:rPr>
              <w:t>U.S. dollars</w:t>
            </w:r>
          </w:p>
        </w:tc>
        <w:tc>
          <w:tcPr>
            <w:tcW w:w="4700" w:type="dxa"/>
            <w:vAlign w:val="bottom"/>
          </w:tcPr>
          <w:p>
            <w:pPr>
              <w:ind w:left="1220"/>
              <w:spacing w:after="0" w:line="194" w:lineRule="exact"/>
              <w:rPr>
                <w:sz w:val="20"/>
                <w:szCs w:val="20"/>
                <w:color w:val="auto"/>
              </w:rPr>
            </w:pPr>
            <w:r>
              <w:rPr>
                <w:rFonts w:ascii="Calibri" w:cs="Calibri" w:eastAsia="Calibri" w:hAnsi="Calibri"/>
                <w:sz w:val="16"/>
                <w:szCs w:val="16"/>
                <w:color w:val="auto"/>
              </w:rPr>
              <w:t>100%</w:t>
            </w:r>
          </w:p>
        </w:tc>
      </w:tr>
      <w:tr>
        <w:trPr>
          <w:trHeight w:val="190"/>
        </w:trPr>
        <w:tc>
          <w:tcPr>
            <w:tcW w:w="2320" w:type="dxa"/>
            <w:vAlign w:val="bottom"/>
          </w:tcPr>
          <w:p>
            <w:pPr>
              <w:spacing w:after="0" w:line="190" w:lineRule="exact"/>
              <w:rPr>
                <w:sz w:val="20"/>
                <w:szCs w:val="20"/>
                <w:color w:val="auto"/>
              </w:rPr>
            </w:pPr>
            <w:r>
              <w:rPr>
                <w:rFonts w:ascii="Calibri" w:cs="Calibri" w:eastAsia="Calibri" w:hAnsi="Calibri"/>
                <w:sz w:val="16"/>
                <w:szCs w:val="16"/>
                <w:color w:val="auto"/>
              </w:rPr>
              <w:t>Cybin IRL Limited</w:t>
            </w:r>
          </w:p>
        </w:tc>
        <w:tc>
          <w:tcPr>
            <w:tcW w:w="3500" w:type="dxa"/>
            <w:vAlign w:val="bottom"/>
          </w:tcPr>
          <w:p>
            <w:pPr>
              <w:ind w:left="1200"/>
              <w:spacing w:after="0" w:line="190" w:lineRule="exact"/>
              <w:rPr>
                <w:sz w:val="20"/>
                <w:szCs w:val="20"/>
                <w:color w:val="auto"/>
              </w:rPr>
            </w:pPr>
            <w:r>
              <w:rPr>
                <w:rFonts w:ascii="Calibri" w:cs="Calibri" w:eastAsia="Calibri" w:hAnsi="Calibri"/>
                <w:sz w:val="16"/>
                <w:szCs w:val="16"/>
                <w:color w:val="auto"/>
              </w:rPr>
              <w:t>U.S. dollars</w:t>
            </w:r>
          </w:p>
        </w:tc>
        <w:tc>
          <w:tcPr>
            <w:tcW w:w="4700" w:type="dxa"/>
            <w:vAlign w:val="bottom"/>
          </w:tcPr>
          <w:p>
            <w:pPr>
              <w:ind w:left="1220"/>
              <w:spacing w:after="0" w:line="190" w:lineRule="exact"/>
              <w:rPr>
                <w:sz w:val="20"/>
                <w:szCs w:val="20"/>
                <w:color w:val="auto"/>
              </w:rPr>
            </w:pPr>
            <w:r>
              <w:rPr>
                <w:rFonts w:ascii="Calibri" w:cs="Calibri" w:eastAsia="Calibri" w:hAnsi="Calibri"/>
                <w:sz w:val="16"/>
                <w:szCs w:val="16"/>
                <w:color w:val="auto"/>
              </w:rPr>
              <w:t>100%</w:t>
            </w:r>
          </w:p>
        </w:tc>
      </w:tr>
    </w:tbl>
    <w:p>
      <w:pPr>
        <w:ind w:left="10820"/>
        <w:spacing w:after="0" w:line="213" w:lineRule="auto"/>
        <w:rPr>
          <w:sz w:val="20"/>
          <w:szCs w:val="20"/>
          <w:color w:val="auto"/>
        </w:rPr>
      </w:pPr>
      <w:r>
        <w:rPr>
          <w:rFonts w:ascii="Calibri" w:cs="Calibri" w:eastAsia="Calibri" w:hAnsi="Calibri"/>
          <w:sz w:val="16"/>
          <w:szCs w:val="16"/>
          <w:color w:val="auto"/>
          <w:vertAlign w:val="superscript"/>
        </w:rPr>
        <w:t>1</w:t>
      </w:r>
      <w:r>
        <w:rPr>
          <w:rFonts w:ascii="Calibri" w:cs="Calibri" w:eastAsia="Calibri" w:hAnsi="Calibri"/>
          <w:sz w:val="13"/>
          <w:szCs w:val="13"/>
          <w:color w:val="auto"/>
        </w:rPr>
        <w:t xml:space="preserve"> For</w:t>
      </w:r>
    </w:p>
    <w:p>
      <w:pPr>
        <w:ind w:left="300"/>
        <w:spacing w:after="0" w:line="196" w:lineRule="auto"/>
        <w:rPr>
          <w:sz w:val="20"/>
          <w:szCs w:val="20"/>
          <w:color w:val="auto"/>
        </w:rPr>
      </w:pPr>
      <w:r>
        <w:rPr>
          <w:rFonts w:ascii="Calibri" w:cs="Calibri" w:eastAsia="Calibri" w:hAnsi="Calibri"/>
          <w:sz w:val="13"/>
          <w:szCs w:val="13"/>
          <w:color w:val="auto"/>
        </w:rPr>
        <w:t>accountng purposes, Cybin US is a wholly-owned subsidiary of Cybin. Certain Former Adelia Shareholders hold Class B Shares in Cybin US (see note 4).</w:t>
      </w:r>
    </w:p>
    <w:p>
      <w:pPr>
        <w:spacing w:after="0" w:line="228"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i w:val="1"/>
          <w:iCs w:val="1"/>
          <w:u w:val="single" w:color="auto"/>
          <w:color w:val="auto"/>
        </w:rPr>
        <w:t>Basis of consolidaton</w:t>
      </w:r>
    </w:p>
    <w:p>
      <w:pPr>
        <w:spacing w:after="0" w:line="197" w:lineRule="exact"/>
        <w:rPr>
          <w:sz w:val="20"/>
          <w:szCs w:val="20"/>
          <w:color w:val="auto"/>
        </w:rPr>
      </w:pPr>
    </w:p>
    <w:p>
      <w:pPr>
        <w:jc w:val="both"/>
        <w:ind w:left="300" w:right="20"/>
        <w:spacing w:after="0" w:line="229" w:lineRule="auto"/>
        <w:rPr>
          <w:sz w:val="20"/>
          <w:szCs w:val="20"/>
          <w:color w:val="auto"/>
        </w:rPr>
      </w:pPr>
      <w:r>
        <w:rPr>
          <w:rFonts w:ascii="Calibri" w:cs="Calibri" w:eastAsia="Calibri" w:hAnsi="Calibri"/>
          <w:sz w:val="16"/>
          <w:szCs w:val="16"/>
          <w:color w:val="auto"/>
        </w:rPr>
        <w:t>The Company consolidates enttes which it controls. Control exists when the Company has the power, directly and indirectly to govern the fnancial and operatng policies of an entty and be exposed to the variable returns from its actvites. The fnancial statements of the wholly owned subsidiaries are included in the consolidated fnancial statements from the date that control commences untl the date that control ceases.</w:t>
      </w:r>
    </w:p>
    <w:p>
      <w:pPr>
        <w:spacing w:after="0" w:line="211" w:lineRule="exact"/>
        <w:rPr>
          <w:sz w:val="20"/>
          <w:szCs w:val="20"/>
          <w:color w:val="auto"/>
        </w:rPr>
      </w:pPr>
    </w:p>
    <w:p>
      <w:pPr>
        <w:jc w:val="both"/>
        <w:ind w:left="300" w:right="20"/>
        <w:spacing w:after="0" w:line="231" w:lineRule="auto"/>
        <w:rPr>
          <w:sz w:val="20"/>
          <w:szCs w:val="20"/>
          <w:color w:val="auto"/>
        </w:rPr>
      </w:pPr>
      <w:r>
        <w:rPr>
          <w:rFonts w:ascii="Calibri" w:cs="Calibri" w:eastAsia="Calibri" w:hAnsi="Calibri"/>
          <w:sz w:val="16"/>
          <w:szCs w:val="16"/>
          <w:color w:val="auto"/>
        </w:rPr>
        <w:t>Intercompany balances, and any unrealized gains and losses or income and expenses arising from transactons with controlled enttes are eliminated to the extent of the Company’s interest in they entty.</w:t>
      </w:r>
    </w:p>
    <w:p>
      <w:pPr>
        <w:spacing w:after="0" w:line="209"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i w:val="1"/>
          <w:iCs w:val="1"/>
          <w:u w:val="single" w:color="auto"/>
          <w:color w:val="auto"/>
        </w:rPr>
        <w:t>Cash and cash equivalents</w:t>
      </w:r>
    </w:p>
    <w:p>
      <w:pPr>
        <w:spacing w:after="0" w:line="209" w:lineRule="exact"/>
        <w:rPr>
          <w:sz w:val="20"/>
          <w:szCs w:val="20"/>
          <w:color w:val="auto"/>
        </w:rPr>
      </w:pPr>
    </w:p>
    <w:p>
      <w:pPr>
        <w:jc w:val="both"/>
        <w:ind w:left="300" w:right="20"/>
        <w:spacing w:after="0" w:line="224" w:lineRule="auto"/>
        <w:rPr>
          <w:sz w:val="20"/>
          <w:szCs w:val="20"/>
          <w:color w:val="auto"/>
        </w:rPr>
      </w:pPr>
      <w:r>
        <w:rPr>
          <w:rFonts w:ascii="Calibri" w:cs="Calibri" w:eastAsia="Calibri" w:hAnsi="Calibri"/>
          <w:sz w:val="16"/>
          <w:szCs w:val="16"/>
          <w:color w:val="auto"/>
        </w:rPr>
        <w:t>Cash and cash equivalents are comprised of cash on deposit and highly liquid short-term interest-bearing variable rate investments with an original maturity of three months or less, or which are readily convertble into a known amount of cash with no signifcant changes. As at March 31, 2022 and March 31, 2021 there were no cash equivalents.</w:t>
      </w:r>
    </w:p>
    <w:p>
      <w:pPr>
        <w:spacing w:after="0" w:line="209"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u w:val="single" w:color="auto"/>
          <w:color w:val="auto"/>
        </w:rPr>
        <w:t>Inventories</w:t>
      </w:r>
    </w:p>
    <w:p>
      <w:pPr>
        <w:spacing w:after="0" w:line="209" w:lineRule="exact"/>
        <w:rPr>
          <w:sz w:val="20"/>
          <w:szCs w:val="20"/>
          <w:color w:val="auto"/>
        </w:rPr>
      </w:pPr>
    </w:p>
    <w:p>
      <w:pPr>
        <w:ind w:left="300"/>
        <w:spacing w:after="0"/>
        <w:rPr>
          <w:sz w:val="20"/>
          <w:szCs w:val="20"/>
          <w:color w:val="auto"/>
        </w:rPr>
      </w:pPr>
      <w:r>
        <w:rPr>
          <w:rFonts w:ascii="Calibri" w:cs="Calibri" w:eastAsia="Calibri" w:hAnsi="Calibri"/>
          <w:sz w:val="15"/>
          <w:szCs w:val="15"/>
          <w:color w:val="auto"/>
        </w:rPr>
        <w:t>Inventories include raw materials and fnished goods. Raw materials are stated at the lower of cost and replacement cost with cost determined on a frst-in, frst-out basis.</w:t>
      </w:r>
    </w:p>
    <w:p>
      <w:pPr>
        <w:ind w:left="300"/>
        <w:spacing w:after="0" w:line="238" w:lineRule="auto"/>
        <w:rPr>
          <w:sz w:val="20"/>
          <w:szCs w:val="20"/>
          <w:color w:val="auto"/>
        </w:rPr>
      </w:pPr>
      <w:r>
        <w:rPr>
          <w:rFonts w:ascii="Calibri" w:cs="Calibri" w:eastAsia="Calibri" w:hAnsi="Calibri"/>
          <w:sz w:val="16"/>
          <w:szCs w:val="16"/>
          <w:color w:val="auto"/>
        </w:rPr>
        <w:t>The Company monitors the shelf life and expiry of fnished goods to determine when inventory values are not recoverable and a write-down is necessary.</w:t>
      </w:r>
    </w:p>
    <w:p>
      <w:pPr>
        <w:spacing w:after="0" w:line="208"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i w:val="1"/>
          <w:iCs w:val="1"/>
          <w:u w:val="single" w:color="auto"/>
          <w:color w:val="auto"/>
        </w:rPr>
        <w:t>Equipment</w:t>
      </w:r>
    </w:p>
    <w:p>
      <w:pPr>
        <w:spacing w:after="0" w:line="209" w:lineRule="exact"/>
        <w:rPr>
          <w:sz w:val="20"/>
          <w:szCs w:val="20"/>
          <w:color w:val="auto"/>
        </w:rPr>
      </w:pPr>
    </w:p>
    <w:p>
      <w:pPr>
        <w:jc w:val="both"/>
        <w:ind w:left="300" w:right="20"/>
        <w:spacing w:after="0" w:line="231" w:lineRule="auto"/>
        <w:rPr>
          <w:sz w:val="20"/>
          <w:szCs w:val="20"/>
          <w:color w:val="auto"/>
        </w:rPr>
      </w:pPr>
      <w:r>
        <w:rPr>
          <w:rFonts w:ascii="Calibri" w:cs="Calibri" w:eastAsia="Calibri" w:hAnsi="Calibri"/>
          <w:sz w:val="16"/>
          <w:szCs w:val="16"/>
          <w:color w:val="auto"/>
        </w:rPr>
        <w:t>Equipment consists of lab equipment and computer equipment and are recorded at cost less accumulated depreciaton and accumulated impairment losses. Cost includes all expenditures incurred to bring the asset to the locaton and conditon necessary for them to be operatng in the manner intended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12 of 53</w:t>
      </w:r>
    </w:p>
    <w:p>
      <w:pPr>
        <w:sectPr>
          <w:pgSz w:w="11900" w:h="16838" w:orient="portrait"/>
          <w:cols w:equalWidth="0" w:num="1">
            <w:col w:w="11260"/>
          </w:cols>
          <w:pgMar w:left="320" w:top="151" w:right="319" w:bottom="1440" w:gutter="0" w:footer="0" w:header="0"/>
        </w:sectPr>
      </w:pPr>
    </w:p>
    <w:bookmarkStart w:id="112" w:name="page113"/>
    <w:bookmarkEnd w:id="112"/>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Depreciaton is recognized based on the cost of the item less its estmated residual value, over its estmated useful life on a straight-line basis at the following rates:</w:t>
      </w:r>
    </w:p>
    <w:p>
      <w:pPr>
        <w:spacing w:after="0" w:line="228" w:lineRule="exact"/>
        <w:rPr>
          <w:sz w:val="20"/>
          <w:szCs w:val="20"/>
          <w:color w:val="auto"/>
        </w:rPr>
      </w:pPr>
    </w:p>
    <w:p>
      <w:pPr>
        <w:ind w:left="1100" w:hanging="283"/>
        <w:spacing w:after="0"/>
        <w:tabs>
          <w:tab w:leader="none" w:pos="1100" w:val="left"/>
        </w:tabs>
        <w:numPr>
          <w:ilvl w:val="0"/>
          <w:numId w:val="68"/>
        </w:numPr>
        <w:rPr>
          <w:rFonts w:ascii="Arial" w:cs="Arial" w:eastAsia="Arial" w:hAnsi="Arial"/>
          <w:sz w:val="18"/>
          <w:szCs w:val="18"/>
          <w:color w:val="auto"/>
        </w:rPr>
      </w:pPr>
      <w:r>
        <w:rPr>
          <w:rFonts w:ascii="Calibri" w:cs="Calibri" w:eastAsia="Calibri" w:hAnsi="Calibri"/>
          <w:sz w:val="16"/>
          <w:szCs w:val="16"/>
          <w:color w:val="auto"/>
        </w:rPr>
        <w:t>Lab equipment – 5 years</w:t>
      </w:r>
    </w:p>
    <w:p>
      <w:pPr>
        <w:spacing w:after="0" w:line="18" w:lineRule="exact"/>
        <w:rPr>
          <w:rFonts w:ascii="Arial" w:cs="Arial" w:eastAsia="Arial" w:hAnsi="Arial"/>
          <w:sz w:val="18"/>
          <w:szCs w:val="18"/>
          <w:color w:val="auto"/>
        </w:rPr>
      </w:pPr>
    </w:p>
    <w:p>
      <w:pPr>
        <w:ind w:left="1100" w:hanging="283"/>
        <w:spacing w:after="0" w:line="228" w:lineRule="auto"/>
        <w:tabs>
          <w:tab w:leader="none" w:pos="1100" w:val="left"/>
        </w:tabs>
        <w:numPr>
          <w:ilvl w:val="0"/>
          <w:numId w:val="68"/>
        </w:numPr>
        <w:rPr>
          <w:rFonts w:ascii="Arial" w:cs="Arial" w:eastAsia="Arial" w:hAnsi="Arial"/>
          <w:sz w:val="18"/>
          <w:szCs w:val="18"/>
          <w:color w:val="auto"/>
        </w:rPr>
      </w:pPr>
      <w:r>
        <w:rPr>
          <w:rFonts w:ascii="Calibri" w:cs="Calibri" w:eastAsia="Calibri" w:hAnsi="Calibri"/>
          <w:sz w:val="16"/>
          <w:szCs w:val="16"/>
          <w:color w:val="auto"/>
        </w:rPr>
        <w:t>Computer equipment – 3 years</w:t>
      </w:r>
    </w:p>
    <w:p>
      <w:pPr>
        <w:spacing w:after="0" w:line="209"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An asset’s residual life, useful life and depicton method are reviewed, and adjusted if appropriate on an annual basis.</w:t>
      </w:r>
    </w:p>
    <w:p>
      <w:pPr>
        <w:spacing w:after="0" w:line="209" w:lineRule="exact"/>
        <w:rPr>
          <w:sz w:val="20"/>
          <w:szCs w:val="20"/>
          <w:color w:val="auto"/>
        </w:rPr>
      </w:pPr>
    </w:p>
    <w:p>
      <w:pPr>
        <w:jc w:val="both"/>
        <w:ind w:left="240" w:right="20"/>
        <w:spacing w:after="0" w:line="224" w:lineRule="auto"/>
        <w:rPr>
          <w:sz w:val="20"/>
          <w:szCs w:val="20"/>
          <w:color w:val="auto"/>
        </w:rPr>
      </w:pPr>
      <w:r>
        <w:rPr>
          <w:rFonts w:ascii="Calibri" w:cs="Calibri" w:eastAsia="Calibri" w:hAnsi="Calibri"/>
          <w:sz w:val="16"/>
          <w:szCs w:val="16"/>
          <w:color w:val="auto"/>
        </w:rPr>
        <w:t>An item of equipment and any signifcant part initally recognized is derecognized upon disposal or when no future economic benefts are expected from its use. Any gain or loss arising on derecogniton of the asset (calculated as the diference between the net disposal proceeds and the carrying amount of the asset) is included in the statement of loss and comprehensive loss when the asset is derecognized. The assets’ residual values, useful lives and methods of depreciaton are reviewed at each reportng date and adjusted prospectvely if appropriate.</w:t>
      </w:r>
    </w:p>
    <w:p>
      <w:pPr>
        <w:spacing w:after="0" w:line="210"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u w:val="single" w:color="auto"/>
          <w:color w:val="auto"/>
        </w:rPr>
        <w:t>Intangible Assets</w:t>
      </w:r>
    </w:p>
    <w:p>
      <w:pPr>
        <w:spacing w:after="0" w:line="209" w:lineRule="exact"/>
        <w:rPr>
          <w:sz w:val="20"/>
          <w:szCs w:val="20"/>
          <w:color w:val="auto"/>
        </w:rPr>
      </w:pPr>
    </w:p>
    <w:p>
      <w:pPr>
        <w:jc w:val="both"/>
        <w:ind w:left="240" w:right="20"/>
        <w:spacing w:after="0" w:line="227" w:lineRule="auto"/>
        <w:rPr>
          <w:sz w:val="20"/>
          <w:szCs w:val="20"/>
          <w:color w:val="auto"/>
        </w:rPr>
      </w:pPr>
      <w:r>
        <w:rPr>
          <w:rFonts w:ascii="Calibri" w:cs="Calibri" w:eastAsia="Calibri" w:hAnsi="Calibri"/>
          <w:sz w:val="16"/>
          <w:szCs w:val="16"/>
          <w:color w:val="auto"/>
        </w:rPr>
        <w:t>Intangible assets include expenditures related to obtaining patents and sofware related items. The amortzaton of sofware related items begins when the sofware is in use and will be amortzed on a straight-line basis over a period of 3 years. The amortzaton of patent costs commences when the associated products are available for commercial sale and is amortzed on a straight-line basis over its respectve legal lives or economic life, if shorter. Patents have an estmated useful life of 17 years. Amortzaton methods, useful lives, and residual values are reviewed at each reportng date and adjusted if appropriate. Expenditures on research actvites, undertaken with the prospect of gaining new scientfc or technical knowledge and understanding, are recognized in operatons as incurred. The amortzaton of sofware commences when the sofware is in use and amortzed on a straight-line basis over its useful life.</w:t>
      </w:r>
    </w:p>
    <w:p>
      <w:pPr>
        <w:spacing w:after="0" w:line="211" w:lineRule="exact"/>
        <w:rPr>
          <w:sz w:val="20"/>
          <w:szCs w:val="20"/>
          <w:color w:val="auto"/>
        </w:rPr>
      </w:pPr>
    </w:p>
    <w:p>
      <w:pPr>
        <w:jc w:val="both"/>
        <w:ind w:left="240"/>
        <w:spacing w:after="0" w:line="228" w:lineRule="auto"/>
        <w:rPr>
          <w:sz w:val="20"/>
          <w:szCs w:val="20"/>
          <w:color w:val="auto"/>
        </w:rPr>
      </w:pPr>
      <w:r>
        <w:rPr>
          <w:rFonts w:ascii="Calibri" w:cs="Calibri" w:eastAsia="Calibri" w:hAnsi="Calibri"/>
          <w:sz w:val="16"/>
          <w:szCs w:val="16"/>
          <w:color w:val="auto"/>
        </w:rPr>
        <w:t>Development actvites involve a plan or design for the producton of new, or substantally improved, products or processes related to the Company’s development of psychedelic-based therapeutcs. Development expenditures are capitalized only if the relevant IFRS criteria are met. Capitalized development expenditures are amortzed from the beginning of commercial producton and sales and are amortzed on a straight-line basis over the remaining useful life of the related patents. Development expenditures, in relaton to the Company’s psychedelic-based therapeutcs, have not satsfed the above criteria and are recognized in operatons as incurred.</w:t>
      </w:r>
    </w:p>
    <w:p>
      <w:pPr>
        <w:spacing w:after="0" w:line="210"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u w:val="single" w:color="auto"/>
          <w:color w:val="auto"/>
        </w:rPr>
        <w:t>Goodwill</w:t>
      </w:r>
    </w:p>
    <w:p>
      <w:pPr>
        <w:spacing w:after="0" w:line="197" w:lineRule="exact"/>
        <w:rPr>
          <w:sz w:val="20"/>
          <w:szCs w:val="20"/>
          <w:color w:val="auto"/>
        </w:rPr>
      </w:pPr>
    </w:p>
    <w:p>
      <w:pPr>
        <w:jc w:val="both"/>
        <w:ind w:left="240"/>
        <w:spacing w:after="0" w:line="227" w:lineRule="auto"/>
        <w:rPr>
          <w:sz w:val="20"/>
          <w:szCs w:val="20"/>
          <w:color w:val="auto"/>
        </w:rPr>
      </w:pPr>
      <w:r>
        <w:rPr>
          <w:rFonts w:ascii="Calibri" w:cs="Calibri" w:eastAsia="Calibri" w:hAnsi="Calibri"/>
          <w:sz w:val="16"/>
          <w:szCs w:val="16"/>
          <w:color w:val="auto"/>
        </w:rPr>
        <w:t>Goodwill represents the excess of the consideraton transferred for the acquisiton of an entty over the fair value of the net identfable assets. Goodwill is initally measured at cost, and subsequently recorded at cost less any accumulated impairment losses. For the purpose of impairment testng, goodwill acquired in a business combinaton is, from the acquisiton date, allocated to each of the Company’s cash-generatng units (“CGUs”) that are expected to beneft from the combinaton, irrespectve of whether other assets or liabilites of the acquiree are assigned to those CGUs. The Company tests for impairment annually, or when indicatons of impairment exist. Impairment is determined for goodwill by assessing if the carrying value of CGUs, including goodwill, exceeds its recoverable amount determined as the greater of the estmated fair value less costs of disposal and the value in use. Impairment losses recognized in respect of the CGUs are frst allocated to the carrying value of goodwill and any excess is allocated to the carrying amount of assets in the CGUs. Any goodwill impairment is recorded in the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13 of 53</w:t>
      </w:r>
    </w:p>
    <w:p>
      <w:pPr>
        <w:sectPr>
          <w:pgSz w:w="11900" w:h="16838" w:orient="portrait"/>
          <w:cols w:equalWidth="0" w:num="1">
            <w:col w:w="11200"/>
          </w:cols>
          <w:pgMar w:left="380" w:top="151" w:right="319" w:bottom="1440" w:gutter="0" w:footer="0" w:header="0"/>
        </w:sectPr>
      </w:pPr>
    </w:p>
    <w:bookmarkStart w:id="113" w:name="page114"/>
    <w:bookmarkEnd w:id="113"/>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u w:val="single" w:color="auto"/>
          <w:color w:val="auto"/>
        </w:rPr>
        <w:t>Impairment of long-lived assets</w:t>
      </w:r>
    </w:p>
    <w:p>
      <w:pPr>
        <w:spacing w:after="0" w:line="209" w:lineRule="exact"/>
        <w:rPr>
          <w:sz w:val="20"/>
          <w:szCs w:val="20"/>
          <w:color w:val="auto"/>
        </w:rPr>
      </w:pPr>
    </w:p>
    <w:p>
      <w:pPr>
        <w:jc w:val="both"/>
        <w:ind w:left="240"/>
        <w:spacing w:after="0" w:line="227" w:lineRule="auto"/>
        <w:rPr>
          <w:sz w:val="20"/>
          <w:szCs w:val="20"/>
          <w:color w:val="auto"/>
        </w:rPr>
      </w:pPr>
      <w:r>
        <w:rPr>
          <w:rFonts w:ascii="Calibri" w:cs="Calibri" w:eastAsia="Calibri" w:hAnsi="Calibri"/>
          <w:sz w:val="16"/>
          <w:szCs w:val="16"/>
          <w:color w:val="auto"/>
        </w:rPr>
        <w:t>Long-lived assets, including equipment and intangible assets, are reviewed for impairment at each statement of fnancial positon date or whenever events or changes in circumstances indicate that the carrying amount of the asset exceeds its recoverable amount. Where the carrying value of an asset exceeds its recoverable amount, which is the higher of value in use and fair value less costs to sell, the asset is writen down accordingly. Where it is not possible to estmate the recoverable amount of an individual asset, the impairment test is carried out on the asset’s cash-generatng unit, which is the lowest group of assets in which the asset belongs for which there are separate cash infows that are largely independent of the cash infows from other assets. An impairment loss is charged to operatons.</w:t>
      </w:r>
    </w:p>
    <w:p>
      <w:pPr>
        <w:spacing w:after="0" w:line="211"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u w:val="single" w:color="auto"/>
          <w:color w:val="auto"/>
        </w:rPr>
        <w:t>Financial instruments</w:t>
      </w:r>
    </w:p>
    <w:p>
      <w:pPr>
        <w:spacing w:after="0" w:line="196"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color w:val="auto"/>
        </w:rPr>
        <w:t>Recogniton and inital measurement</w:t>
      </w:r>
    </w:p>
    <w:p>
      <w:pPr>
        <w:spacing w:after="0" w:line="209" w:lineRule="exact"/>
        <w:rPr>
          <w:sz w:val="20"/>
          <w:szCs w:val="20"/>
          <w:color w:val="auto"/>
        </w:rPr>
      </w:pPr>
    </w:p>
    <w:p>
      <w:pPr>
        <w:jc w:val="both"/>
        <w:ind w:left="240" w:right="20"/>
        <w:spacing w:after="0" w:line="229" w:lineRule="auto"/>
        <w:rPr>
          <w:sz w:val="20"/>
          <w:szCs w:val="20"/>
          <w:color w:val="auto"/>
        </w:rPr>
      </w:pPr>
      <w:r>
        <w:rPr>
          <w:rFonts w:ascii="Calibri" w:cs="Calibri" w:eastAsia="Calibri" w:hAnsi="Calibri"/>
          <w:sz w:val="16"/>
          <w:szCs w:val="16"/>
          <w:color w:val="auto"/>
        </w:rPr>
        <w:t>The Company initally recognizes fnancial instruments on the trade date, which is the date on which the Company becomes a party to the contractual provisions of the instrument. A fnancial asset or fnancial liability is measured initally at fair value plus/minus, for an item not at fair value through proft or loss (“FVTPL”), transacton costs that are directly atributable to its acquisiton or use.</w:t>
      </w:r>
    </w:p>
    <w:p>
      <w:pPr>
        <w:spacing w:after="0" w:line="209"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color w:val="auto"/>
        </w:rPr>
        <w:t>Classifcaton</w:t>
      </w:r>
    </w:p>
    <w:p>
      <w:pPr>
        <w:spacing w:after="0" w:line="208" w:lineRule="exact"/>
        <w:rPr>
          <w:sz w:val="20"/>
          <w:szCs w:val="20"/>
          <w:color w:val="auto"/>
        </w:rPr>
      </w:pPr>
    </w:p>
    <w:p>
      <w:pPr>
        <w:ind w:left="240"/>
        <w:spacing w:after="0"/>
        <w:rPr>
          <w:sz w:val="20"/>
          <w:szCs w:val="20"/>
          <w:color w:val="auto"/>
        </w:rPr>
      </w:pPr>
      <w:r>
        <w:rPr>
          <w:rFonts w:ascii="Calibri" w:cs="Calibri" w:eastAsia="Calibri" w:hAnsi="Calibri"/>
          <w:sz w:val="16"/>
          <w:szCs w:val="16"/>
          <w:i w:val="1"/>
          <w:iCs w:val="1"/>
          <w:color w:val="auto"/>
        </w:rPr>
        <w:t>Financial asset</w:t>
      </w:r>
    </w:p>
    <w:p>
      <w:pPr>
        <w:spacing w:after="0" w:line="208"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On inital recogniton, a fnancial asset is classifed as measured at: amortzed cost, fair value through other comprehensive income (“FVOCI”), or FVTPL.</w:t>
      </w:r>
    </w:p>
    <w:p>
      <w:pPr>
        <w:spacing w:after="0" w:line="208"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A fnancial asset is measured at amortzed cost if it meets both of the following conditons and is not designated as at FVTPL:</w:t>
      </w:r>
    </w:p>
    <w:p>
      <w:pPr>
        <w:spacing w:after="0" w:line="228" w:lineRule="exact"/>
        <w:rPr>
          <w:sz w:val="20"/>
          <w:szCs w:val="20"/>
          <w:color w:val="auto"/>
        </w:rPr>
      </w:pPr>
    </w:p>
    <w:p>
      <w:pPr>
        <w:ind w:left="800" w:hanging="276"/>
        <w:spacing w:after="0"/>
        <w:tabs>
          <w:tab w:leader="none" w:pos="800" w:val="left"/>
        </w:tabs>
        <w:numPr>
          <w:ilvl w:val="0"/>
          <w:numId w:val="69"/>
        </w:numPr>
        <w:rPr>
          <w:rFonts w:ascii="Arial" w:cs="Arial" w:eastAsia="Arial" w:hAnsi="Arial"/>
          <w:sz w:val="18"/>
          <w:szCs w:val="18"/>
          <w:color w:val="auto"/>
        </w:rPr>
      </w:pPr>
      <w:r>
        <w:rPr>
          <w:rFonts w:ascii="Calibri" w:cs="Calibri" w:eastAsia="Calibri" w:hAnsi="Calibri"/>
          <w:sz w:val="16"/>
          <w:szCs w:val="16"/>
          <w:color w:val="auto"/>
        </w:rPr>
        <w:t>The asset is held within a business model whose objectve is to hold assets to collect contractual cash fows; and</w:t>
      </w:r>
    </w:p>
    <w:p>
      <w:pPr>
        <w:spacing w:after="0" w:line="25" w:lineRule="exact"/>
        <w:rPr>
          <w:rFonts w:ascii="Arial" w:cs="Arial" w:eastAsia="Arial" w:hAnsi="Arial"/>
          <w:sz w:val="18"/>
          <w:szCs w:val="18"/>
          <w:color w:val="auto"/>
        </w:rPr>
      </w:pPr>
    </w:p>
    <w:p>
      <w:pPr>
        <w:ind w:left="820" w:hanging="296"/>
        <w:spacing w:after="0" w:line="222" w:lineRule="auto"/>
        <w:tabs>
          <w:tab w:leader="none" w:pos="809" w:val="left"/>
        </w:tabs>
        <w:numPr>
          <w:ilvl w:val="0"/>
          <w:numId w:val="69"/>
        </w:numPr>
        <w:rPr>
          <w:rFonts w:ascii="Arial" w:cs="Arial" w:eastAsia="Arial" w:hAnsi="Arial"/>
          <w:sz w:val="18"/>
          <w:szCs w:val="18"/>
          <w:color w:val="auto"/>
        </w:rPr>
      </w:pPr>
      <w:r>
        <w:rPr>
          <w:rFonts w:ascii="Calibri" w:cs="Calibri" w:eastAsia="Calibri" w:hAnsi="Calibri"/>
          <w:sz w:val="16"/>
          <w:szCs w:val="16"/>
          <w:color w:val="auto"/>
        </w:rPr>
        <w:t>The contractual terms of the fnancial asset give rise on specifed dates to cash fows that are solely payments of principal and interest on the principal amount outstanding.</w:t>
      </w:r>
    </w:p>
    <w:p>
      <w:pPr>
        <w:spacing w:after="0" w:line="209"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The Company currently does not measure any of its fnancial assets at amortzed cost.</w:t>
      </w:r>
    </w:p>
    <w:p>
      <w:pPr>
        <w:spacing w:after="0" w:line="208"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A debt instrument is measured at FVOCI only if it meets both of the following conditons and is not designated as at FVTPL:</w:t>
      </w:r>
    </w:p>
    <w:p>
      <w:pPr>
        <w:spacing w:after="0" w:line="216" w:lineRule="exact"/>
        <w:rPr>
          <w:sz w:val="20"/>
          <w:szCs w:val="20"/>
          <w:color w:val="auto"/>
        </w:rPr>
      </w:pPr>
    </w:p>
    <w:p>
      <w:pPr>
        <w:ind w:left="800" w:hanging="276"/>
        <w:spacing w:after="0"/>
        <w:tabs>
          <w:tab w:leader="none" w:pos="800" w:val="left"/>
        </w:tabs>
        <w:numPr>
          <w:ilvl w:val="0"/>
          <w:numId w:val="70"/>
        </w:numPr>
        <w:rPr>
          <w:rFonts w:ascii="Arial" w:cs="Arial" w:eastAsia="Arial" w:hAnsi="Arial"/>
          <w:sz w:val="18"/>
          <w:szCs w:val="18"/>
          <w:color w:val="auto"/>
        </w:rPr>
      </w:pPr>
      <w:r>
        <w:rPr>
          <w:rFonts w:ascii="Calibri" w:cs="Calibri" w:eastAsia="Calibri" w:hAnsi="Calibri"/>
          <w:sz w:val="16"/>
          <w:szCs w:val="16"/>
          <w:color w:val="auto"/>
        </w:rPr>
        <w:t>The asset is held within a business model whose objectve is achieved by both collectng contractual cash fows and selling fnancial assets; and</w:t>
      </w:r>
    </w:p>
    <w:p>
      <w:pPr>
        <w:spacing w:after="0" w:line="25" w:lineRule="exact"/>
        <w:rPr>
          <w:rFonts w:ascii="Arial" w:cs="Arial" w:eastAsia="Arial" w:hAnsi="Arial"/>
          <w:sz w:val="18"/>
          <w:szCs w:val="18"/>
          <w:color w:val="auto"/>
        </w:rPr>
      </w:pPr>
    </w:p>
    <w:p>
      <w:pPr>
        <w:ind w:left="820" w:hanging="296"/>
        <w:spacing w:after="0" w:line="222" w:lineRule="auto"/>
        <w:tabs>
          <w:tab w:leader="none" w:pos="809" w:val="left"/>
        </w:tabs>
        <w:numPr>
          <w:ilvl w:val="0"/>
          <w:numId w:val="70"/>
        </w:numPr>
        <w:rPr>
          <w:rFonts w:ascii="Arial" w:cs="Arial" w:eastAsia="Arial" w:hAnsi="Arial"/>
          <w:sz w:val="18"/>
          <w:szCs w:val="18"/>
          <w:color w:val="auto"/>
        </w:rPr>
      </w:pPr>
      <w:r>
        <w:rPr>
          <w:rFonts w:ascii="Calibri" w:cs="Calibri" w:eastAsia="Calibri" w:hAnsi="Calibri"/>
          <w:sz w:val="16"/>
          <w:szCs w:val="16"/>
          <w:color w:val="auto"/>
        </w:rPr>
        <w:t>The contractual terms of the fnancial asset give rise on specifed dates to cash fows that are solely payments of principal and interest on the principal amount outstanding.</w:t>
      </w:r>
    </w:p>
    <w:p>
      <w:pPr>
        <w:spacing w:after="0" w:line="210" w:lineRule="exact"/>
        <w:rPr>
          <w:sz w:val="20"/>
          <w:szCs w:val="20"/>
          <w:color w:val="auto"/>
        </w:rPr>
      </w:pPr>
    </w:p>
    <w:p>
      <w:pPr>
        <w:ind w:left="240" w:right="20"/>
        <w:spacing w:after="0" w:line="231" w:lineRule="auto"/>
        <w:rPr>
          <w:sz w:val="20"/>
          <w:szCs w:val="20"/>
          <w:color w:val="auto"/>
        </w:rPr>
      </w:pPr>
      <w:r>
        <w:rPr>
          <w:rFonts w:ascii="Calibri" w:cs="Calibri" w:eastAsia="Calibri" w:hAnsi="Calibri"/>
          <w:sz w:val="16"/>
          <w:szCs w:val="16"/>
          <w:color w:val="auto"/>
        </w:rPr>
        <w:t>On inital recogniton of an equity investment that is not held for trading, the Company may irrevocably elect to present subsequent changes in FVOCI. This electon is made on an investment-by-investment basis. The Company has not elected to present any assets as FVOCI.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14 of 53</w:t>
      </w:r>
    </w:p>
    <w:p>
      <w:pPr>
        <w:sectPr>
          <w:pgSz w:w="11900" w:h="16838" w:orient="portrait"/>
          <w:cols w:equalWidth="0" w:num="1">
            <w:col w:w="11200"/>
          </w:cols>
          <w:pgMar w:left="380" w:top="151" w:right="319" w:bottom="1440" w:gutter="0" w:footer="0" w:header="0"/>
        </w:sectPr>
      </w:pPr>
    </w:p>
    <w:bookmarkStart w:id="114" w:name="page115"/>
    <w:bookmarkEnd w:id="114"/>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Cash is measured at FVTPL.</w:t>
      </w:r>
    </w:p>
    <w:p>
      <w:pPr>
        <w:spacing w:after="0" w:line="209" w:lineRule="exact"/>
        <w:rPr>
          <w:sz w:val="20"/>
          <w:szCs w:val="20"/>
          <w:color w:val="auto"/>
        </w:rPr>
      </w:pPr>
    </w:p>
    <w:p>
      <w:pPr>
        <w:ind w:left="240" w:right="20"/>
        <w:spacing w:after="0" w:line="231" w:lineRule="auto"/>
        <w:rPr>
          <w:sz w:val="20"/>
          <w:szCs w:val="20"/>
          <w:color w:val="auto"/>
        </w:rPr>
      </w:pPr>
      <w:r>
        <w:rPr>
          <w:rFonts w:ascii="Calibri" w:cs="Calibri" w:eastAsia="Calibri" w:hAnsi="Calibri"/>
          <w:sz w:val="16"/>
          <w:szCs w:val="16"/>
          <w:color w:val="auto"/>
        </w:rPr>
        <w:t>In additon, on inital recogniton, the Company may irrevocably designate a fnancial asset that otherwise meets the requirements to be measured at amortzed cost as FVOCI or FVTPL if doing so eliminates or signifcantly reduces an accountng mismatch that would otherwise arise.</w:t>
      </w:r>
    </w:p>
    <w:p>
      <w:pPr>
        <w:spacing w:after="0" w:line="209" w:lineRule="exact"/>
        <w:rPr>
          <w:sz w:val="20"/>
          <w:szCs w:val="20"/>
          <w:color w:val="auto"/>
        </w:rPr>
      </w:pPr>
    </w:p>
    <w:p>
      <w:pPr>
        <w:ind w:left="240"/>
        <w:spacing w:after="0"/>
        <w:rPr>
          <w:sz w:val="20"/>
          <w:szCs w:val="20"/>
          <w:color w:val="auto"/>
        </w:rPr>
      </w:pPr>
      <w:r>
        <w:rPr>
          <w:rFonts w:ascii="Calibri" w:cs="Calibri" w:eastAsia="Calibri" w:hAnsi="Calibri"/>
          <w:sz w:val="16"/>
          <w:szCs w:val="16"/>
          <w:i w:val="1"/>
          <w:iCs w:val="1"/>
          <w:color w:val="auto"/>
        </w:rPr>
        <w:t>Business model assessment</w:t>
      </w:r>
    </w:p>
    <w:p>
      <w:pPr>
        <w:spacing w:after="0" w:line="209" w:lineRule="exact"/>
        <w:rPr>
          <w:sz w:val="20"/>
          <w:szCs w:val="20"/>
          <w:color w:val="auto"/>
        </w:rPr>
      </w:pPr>
    </w:p>
    <w:p>
      <w:pPr>
        <w:ind w:left="240" w:right="20"/>
        <w:spacing w:after="0" w:line="231" w:lineRule="auto"/>
        <w:rPr>
          <w:sz w:val="20"/>
          <w:szCs w:val="20"/>
          <w:color w:val="auto"/>
        </w:rPr>
      </w:pPr>
      <w:r>
        <w:rPr>
          <w:rFonts w:ascii="Calibri" w:cs="Calibri" w:eastAsia="Calibri" w:hAnsi="Calibri"/>
          <w:sz w:val="16"/>
          <w:szCs w:val="16"/>
          <w:color w:val="auto"/>
        </w:rPr>
        <w:t>The Company makes an assessment of the objectve of a business model in which an asset is held at a portolio level because this best refects the way the business is managed and informaton is provided to management. The informaton considered includes:</w:t>
      </w:r>
    </w:p>
    <w:p>
      <w:pPr>
        <w:spacing w:after="0" w:line="247" w:lineRule="exact"/>
        <w:rPr>
          <w:sz w:val="20"/>
          <w:szCs w:val="20"/>
          <w:color w:val="auto"/>
        </w:rPr>
      </w:pPr>
    </w:p>
    <w:p>
      <w:pPr>
        <w:jc w:val="both"/>
        <w:ind w:left="820" w:hanging="296"/>
        <w:spacing w:after="0" w:line="218" w:lineRule="auto"/>
        <w:tabs>
          <w:tab w:leader="none" w:pos="809" w:val="left"/>
        </w:tabs>
        <w:numPr>
          <w:ilvl w:val="0"/>
          <w:numId w:val="71"/>
        </w:numPr>
        <w:rPr>
          <w:rFonts w:ascii="Arial" w:cs="Arial" w:eastAsia="Arial" w:hAnsi="Arial"/>
          <w:sz w:val="18"/>
          <w:szCs w:val="18"/>
          <w:color w:val="auto"/>
        </w:rPr>
      </w:pPr>
      <w:r>
        <w:rPr>
          <w:rFonts w:ascii="Calibri" w:cs="Calibri" w:eastAsia="Calibri" w:hAnsi="Calibri"/>
          <w:sz w:val="16"/>
          <w:szCs w:val="16"/>
          <w:color w:val="auto"/>
        </w:rPr>
        <w:t>The stated policies and objectves for the portolio and the operaton of those policies in practce. In partcular, whether management’s strategy focuses on earning contractual interest revenue, maintaining a partcular interest rate profle, matching the duraton of the fnancial assets to the duraton of the liabilites that are funding those assets or realizing cash fows through the sale of the assets;</w:t>
      </w:r>
    </w:p>
    <w:p>
      <w:pPr>
        <w:spacing w:after="0" w:line="9" w:lineRule="exact"/>
        <w:rPr>
          <w:rFonts w:ascii="Arial" w:cs="Arial" w:eastAsia="Arial" w:hAnsi="Arial"/>
          <w:sz w:val="18"/>
          <w:szCs w:val="18"/>
          <w:color w:val="auto"/>
        </w:rPr>
      </w:pPr>
    </w:p>
    <w:p>
      <w:pPr>
        <w:ind w:left="800" w:hanging="276"/>
        <w:spacing w:after="0"/>
        <w:tabs>
          <w:tab w:leader="none" w:pos="800" w:val="left"/>
        </w:tabs>
        <w:numPr>
          <w:ilvl w:val="0"/>
          <w:numId w:val="71"/>
        </w:numPr>
        <w:rPr>
          <w:rFonts w:ascii="Arial" w:cs="Arial" w:eastAsia="Arial" w:hAnsi="Arial"/>
          <w:sz w:val="18"/>
          <w:szCs w:val="18"/>
          <w:color w:val="auto"/>
        </w:rPr>
      </w:pPr>
      <w:r>
        <w:rPr>
          <w:rFonts w:ascii="Calibri" w:cs="Calibri" w:eastAsia="Calibri" w:hAnsi="Calibri"/>
          <w:sz w:val="16"/>
          <w:szCs w:val="16"/>
          <w:color w:val="auto"/>
        </w:rPr>
        <w:t>How the performance of the portolio is evaluated and reported to the Company’s management;</w:t>
      </w:r>
    </w:p>
    <w:p>
      <w:pPr>
        <w:spacing w:after="0" w:line="18" w:lineRule="exact"/>
        <w:rPr>
          <w:rFonts w:ascii="Arial" w:cs="Arial" w:eastAsia="Arial" w:hAnsi="Arial"/>
          <w:sz w:val="18"/>
          <w:szCs w:val="18"/>
          <w:color w:val="auto"/>
        </w:rPr>
      </w:pPr>
    </w:p>
    <w:p>
      <w:pPr>
        <w:ind w:left="800" w:hanging="276"/>
        <w:spacing w:after="0" w:line="228" w:lineRule="auto"/>
        <w:tabs>
          <w:tab w:leader="none" w:pos="800" w:val="left"/>
        </w:tabs>
        <w:numPr>
          <w:ilvl w:val="0"/>
          <w:numId w:val="71"/>
        </w:numPr>
        <w:rPr>
          <w:rFonts w:ascii="Arial" w:cs="Arial" w:eastAsia="Arial" w:hAnsi="Arial"/>
          <w:sz w:val="18"/>
          <w:szCs w:val="18"/>
          <w:color w:val="auto"/>
        </w:rPr>
      </w:pPr>
      <w:r>
        <w:rPr>
          <w:rFonts w:ascii="Calibri" w:cs="Calibri" w:eastAsia="Calibri" w:hAnsi="Calibri"/>
          <w:sz w:val="16"/>
          <w:szCs w:val="16"/>
          <w:color w:val="auto"/>
        </w:rPr>
        <w:t>The risks that afect the performance of the business model (and the fnancial assets held within that business model) and how those risks are managed;</w:t>
      </w:r>
    </w:p>
    <w:p>
      <w:pPr>
        <w:spacing w:after="0" w:line="26" w:lineRule="exact"/>
        <w:rPr>
          <w:rFonts w:ascii="Arial" w:cs="Arial" w:eastAsia="Arial" w:hAnsi="Arial"/>
          <w:sz w:val="18"/>
          <w:szCs w:val="18"/>
          <w:color w:val="auto"/>
        </w:rPr>
      </w:pPr>
    </w:p>
    <w:p>
      <w:pPr>
        <w:ind w:left="820" w:right="20" w:hanging="296"/>
        <w:spacing w:after="0" w:line="222" w:lineRule="auto"/>
        <w:tabs>
          <w:tab w:leader="none" w:pos="809" w:val="left"/>
        </w:tabs>
        <w:numPr>
          <w:ilvl w:val="0"/>
          <w:numId w:val="71"/>
        </w:numPr>
        <w:rPr>
          <w:rFonts w:ascii="Arial" w:cs="Arial" w:eastAsia="Arial" w:hAnsi="Arial"/>
          <w:sz w:val="18"/>
          <w:szCs w:val="18"/>
          <w:color w:val="auto"/>
        </w:rPr>
      </w:pPr>
      <w:r>
        <w:rPr>
          <w:rFonts w:ascii="Calibri" w:cs="Calibri" w:eastAsia="Calibri" w:hAnsi="Calibri"/>
          <w:sz w:val="16"/>
          <w:szCs w:val="16"/>
          <w:color w:val="auto"/>
        </w:rPr>
        <w:t>How managers of the business are compensated (e.g. whether compensaton is based on the fair value of the assets managed or the contractual cash fows collected); and</w:t>
      </w:r>
    </w:p>
    <w:p>
      <w:pPr>
        <w:spacing w:after="0" w:line="26" w:lineRule="exact"/>
        <w:rPr>
          <w:rFonts w:ascii="Arial" w:cs="Arial" w:eastAsia="Arial" w:hAnsi="Arial"/>
          <w:sz w:val="18"/>
          <w:szCs w:val="18"/>
          <w:color w:val="auto"/>
        </w:rPr>
      </w:pPr>
    </w:p>
    <w:p>
      <w:pPr>
        <w:jc w:val="both"/>
        <w:ind w:left="820" w:right="20" w:hanging="296"/>
        <w:spacing w:after="0" w:line="223" w:lineRule="auto"/>
        <w:tabs>
          <w:tab w:leader="none" w:pos="809" w:val="left"/>
        </w:tabs>
        <w:numPr>
          <w:ilvl w:val="0"/>
          <w:numId w:val="71"/>
        </w:numPr>
        <w:rPr>
          <w:rFonts w:ascii="Arial" w:cs="Arial" w:eastAsia="Arial" w:hAnsi="Arial"/>
          <w:sz w:val="18"/>
          <w:szCs w:val="18"/>
          <w:color w:val="auto"/>
        </w:rPr>
      </w:pPr>
      <w:r>
        <w:rPr>
          <w:rFonts w:ascii="Calibri" w:cs="Calibri" w:eastAsia="Calibri" w:hAnsi="Calibri"/>
          <w:sz w:val="16"/>
          <w:szCs w:val="16"/>
          <w:color w:val="auto"/>
        </w:rPr>
        <w:t>The frequency, volume and tming of sales in prior periods, the reasons for such sales and its expectaton about future sales actvity. However, informaton about sales actvity is not considered in isolaton, but as part of an overall assessment of the Company’s stated objectve for managing the fnancial asset is achieved and how cash fows are realized.</w:t>
      </w:r>
    </w:p>
    <w:p>
      <w:pPr>
        <w:spacing w:after="0" w:line="209" w:lineRule="exact"/>
        <w:rPr>
          <w:sz w:val="20"/>
          <w:szCs w:val="20"/>
          <w:color w:val="auto"/>
        </w:rPr>
      </w:pPr>
    </w:p>
    <w:p>
      <w:pPr>
        <w:ind w:left="240"/>
        <w:spacing w:after="0"/>
        <w:rPr>
          <w:sz w:val="20"/>
          <w:szCs w:val="20"/>
          <w:color w:val="auto"/>
        </w:rPr>
      </w:pPr>
      <w:r>
        <w:rPr>
          <w:rFonts w:ascii="Calibri" w:cs="Calibri" w:eastAsia="Calibri" w:hAnsi="Calibri"/>
          <w:sz w:val="16"/>
          <w:szCs w:val="16"/>
          <w:i w:val="1"/>
          <w:iCs w:val="1"/>
          <w:color w:val="auto"/>
        </w:rPr>
        <w:t>Assessment whether contractual cash fows are solely payments of principal and interest</w:t>
      </w:r>
    </w:p>
    <w:p>
      <w:pPr>
        <w:spacing w:after="0" w:line="209" w:lineRule="exact"/>
        <w:rPr>
          <w:sz w:val="20"/>
          <w:szCs w:val="20"/>
          <w:color w:val="auto"/>
        </w:rPr>
      </w:pPr>
    </w:p>
    <w:p>
      <w:pPr>
        <w:jc w:val="both"/>
        <w:ind w:left="240"/>
        <w:spacing w:after="0" w:line="229" w:lineRule="auto"/>
        <w:rPr>
          <w:sz w:val="20"/>
          <w:szCs w:val="20"/>
          <w:color w:val="auto"/>
        </w:rPr>
      </w:pPr>
      <w:r>
        <w:rPr>
          <w:rFonts w:ascii="Calibri" w:cs="Calibri" w:eastAsia="Calibri" w:hAnsi="Calibri"/>
          <w:sz w:val="16"/>
          <w:szCs w:val="16"/>
          <w:color w:val="auto"/>
        </w:rPr>
        <w:t>For the purpose of this assessment, ‘principal’ is defned as the fair value of the fnancial asset on inital recogniton. ‘Interest’ is defned as consideraton for the tme value of money and for the credit risk associated with the principal amount outstanding during a partcular period of tme and for other basic lending risks and costs (e.g. liquidity risk and administratve costs), as well as proft margin.</w:t>
      </w:r>
    </w:p>
    <w:p>
      <w:pPr>
        <w:spacing w:after="0" w:line="198" w:lineRule="exact"/>
        <w:rPr>
          <w:sz w:val="20"/>
          <w:szCs w:val="20"/>
          <w:color w:val="auto"/>
        </w:rPr>
      </w:pPr>
    </w:p>
    <w:p>
      <w:pPr>
        <w:jc w:val="both"/>
        <w:ind w:left="240"/>
        <w:spacing w:after="0" w:line="229" w:lineRule="auto"/>
        <w:rPr>
          <w:sz w:val="20"/>
          <w:szCs w:val="20"/>
          <w:color w:val="auto"/>
        </w:rPr>
      </w:pPr>
      <w:r>
        <w:rPr>
          <w:rFonts w:ascii="Calibri" w:cs="Calibri" w:eastAsia="Calibri" w:hAnsi="Calibri"/>
          <w:sz w:val="16"/>
          <w:szCs w:val="16"/>
          <w:color w:val="auto"/>
        </w:rPr>
        <w:t>In assessing whether the contractual cash fows are solely payments of principal and interest, the Company considers the contractual terms of the instrument. This includes assessing whether the fnancial asset contains a contractual term that could change the tming or amount of the contractual cash fows such that it would not meet this conditon. In making the assessment, the Company considers:</w:t>
      </w:r>
    </w:p>
    <w:p>
      <w:pPr>
        <w:spacing w:after="0" w:line="230" w:lineRule="exact"/>
        <w:rPr>
          <w:sz w:val="20"/>
          <w:szCs w:val="20"/>
          <w:color w:val="auto"/>
        </w:rPr>
      </w:pPr>
    </w:p>
    <w:p>
      <w:pPr>
        <w:ind w:left="800" w:hanging="276"/>
        <w:spacing w:after="0"/>
        <w:tabs>
          <w:tab w:leader="none" w:pos="800" w:val="left"/>
        </w:tabs>
        <w:numPr>
          <w:ilvl w:val="0"/>
          <w:numId w:val="72"/>
        </w:numPr>
        <w:rPr>
          <w:rFonts w:ascii="Arial" w:cs="Arial" w:eastAsia="Arial" w:hAnsi="Arial"/>
          <w:sz w:val="18"/>
          <w:szCs w:val="18"/>
          <w:color w:val="auto"/>
        </w:rPr>
      </w:pPr>
      <w:r>
        <w:rPr>
          <w:rFonts w:ascii="Calibri" w:cs="Calibri" w:eastAsia="Calibri" w:hAnsi="Calibri"/>
          <w:sz w:val="16"/>
          <w:szCs w:val="16"/>
          <w:color w:val="auto"/>
        </w:rPr>
        <w:t>contngent events that would change the amount and tming of cash fows;</w:t>
      </w:r>
    </w:p>
    <w:p>
      <w:pPr>
        <w:spacing w:after="0" w:line="17" w:lineRule="exact"/>
        <w:rPr>
          <w:rFonts w:ascii="Arial" w:cs="Arial" w:eastAsia="Arial" w:hAnsi="Arial"/>
          <w:sz w:val="18"/>
          <w:szCs w:val="18"/>
          <w:color w:val="auto"/>
        </w:rPr>
      </w:pPr>
    </w:p>
    <w:p>
      <w:pPr>
        <w:ind w:left="800" w:hanging="276"/>
        <w:spacing w:after="0" w:line="228" w:lineRule="auto"/>
        <w:tabs>
          <w:tab w:leader="none" w:pos="800" w:val="left"/>
        </w:tabs>
        <w:numPr>
          <w:ilvl w:val="0"/>
          <w:numId w:val="72"/>
        </w:numPr>
        <w:rPr>
          <w:rFonts w:ascii="Arial" w:cs="Arial" w:eastAsia="Arial" w:hAnsi="Arial"/>
          <w:sz w:val="18"/>
          <w:szCs w:val="18"/>
          <w:color w:val="auto"/>
        </w:rPr>
      </w:pPr>
      <w:r>
        <w:rPr>
          <w:rFonts w:ascii="Calibri" w:cs="Calibri" w:eastAsia="Calibri" w:hAnsi="Calibri"/>
          <w:sz w:val="16"/>
          <w:szCs w:val="16"/>
          <w:color w:val="auto"/>
        </w:rPr>
        <w:t>leverage features;</w:t>
      </w:r>
    </w:p>
    <w:p>
      <w:pPr>
        <w:spacing w:after="0" w:line="18" w:lineRule="exact"/>
        <w:rPr>
          <w:rFonts w:ascii="Arial" w:cs="Arial" w:eastAsia="Arial" w:hAnsi="Arial"/>
          <w:sz w:val="18"/>
          <w:szCs w:val="18"/>
          <w:color w:val="auto"/>
        </w:rPr>
      </w:pPr>
    </w:p>
    <w:p>
      <w:pPr>
        <w:ind w:left="800" w:hanging="276"/>
        <w:spacing w:after="0" w:line="228" w:lineRule="auto"/>
        <w:tabs>
          <w:tab w:leader="none" w:pos="800" w:val="left"/>
        </w:tabs>
        <w:numPr>
          <w:ilvl w:val="0"/>
          <w:numId w:val="72"/>
        </w:numPr>
        <w:rPr>
          <w:rFonts w:ascii="Arial" w:cs="Arial" w:eastAsia="Arial" w:hAnsi="Arial"/>
          <w:sz w:val="18"/>
          <w:szCs w:val="18"/>
          <w:color w:val="auto"/>
        </w:rPr>
      </w:pPr>
      <w:r>
        <w:rPr>
          <w:rFonts w:ascii="Calibri" w:cs="Calibri" w:eastAsia="Calibri" w:hAnsi="Calibri"/>
          <w:sz w:val="16"/>
          <w:szCs w:val="16"/>
          <w:color w:val="auto"/>
        </w:rPr>
        <w:t>prepayment and extension terms;</w:t>
      </w:r>
    </w:p>
    <w:p>
      <w:pPr>
        <w:spacing w:after="0" w:line="18" w:lineRule="exact"/>
        <w:rPr>
          <w:rFonts w:ascii="Arial" w:cs="Arial" w:eastAsia="Arial" w:hAnsi="Arial"/>
          <w:sz w:val="18"/>
          <w:szCs w:val="18"/>
          <w:color w:val="auto"/>
        </w:rPr>
      </w:pPr>
    </w:p>
    <w:p>
      <w:pPr>
        <w:ind w:left="800" w:hanging="276"/>
        <w:spacing w:after="0" w:line="228" w:lineRule="auto"/>
        <w:tabs>
          <w:tab w:leader="none" w:pos="800" w:val="left"/>
        </w:tabs>
        <w:numPr>
          <w:ilvl w:val="0"/>
          <w:numId w:val="72"/>
        </w:numPr>
        <w:rPr>
          <w:rFonts w:ascii="Arial" w:cs="Arial" w:eastAsia="Arial" w:hAnsi="Arial"/>
          <w:sz w:val="18"/>
          <w:szCs w:val="18"/>
          <w:color w:val="auto"/>
        </w:rPr>
      </w:pPr>
      <w:r>
        <w:rPr>
          <w:rFonts w:ascii="Calibri" w:cs="Calibri" w:eastAsia="Calibri" w:hAnsi="Calibri"/>
          <w:sz w:val="16"/>
          <w:szCs w:val="16"/>
          <w:color w:val="auto"/>
        </w:rPr>
        <w:t>terms that limit the Company’s claim to cash fows from specifed assets (e.g. non-recourse asset arrangements); and</w:t>
      </w:r>
    </w:p>
    <w:p>
      <w:pPr>
        <w:spacing w:after="0" w:line="18" w:lineRule="exact"/>
        <w:rPr>
          <w:rFonts w:ascii="Arial" w:cs="Arial" w:eastAsia="Arial" w:hAnsi="Arial"/>
          <w:sz w:val="18"/>
          <w:szCs w:val="18"/>
          <w:color w:val="auto"/>
        </w:rPr>
      </w:pPr>
    </w:p>
    <w:p>
      <w:pPr>
        <w:ind w:left="800" w:hanging="276"/>
        <w:spacing w:after="0" w:line="228" w:lineRule="auto"/>
        <w:tabs>
          <w:tab w:leader="none" w:pos="800" w:val="left"/>
        </w:tabs>
        <w:numPr>
          <w:ilvl w:val="0"/>
          <w:numId w:val="72"/>
        </w:numPr>
        <w:rPr>
          <w:rFonts w:ascii="Arial" w:cs="Arial" w:eastAsia="Arial" w:hAnsi="Arial"/>
          <w:sz w:val="18"/>
          <w:szCs w:val="18"/>
          <w:color w:val="auto"/>
        </w:rPr>
      </w:pPr>
      <w:r>
        <w:rPr>
          <w:rFonts w:ascii="Calibri" w:cs="Calibri" w:eastAsia="Calibri" w:hAnsi="Calibri"/>
          <w:sz w:val="16"/>
          <w:szCs w:val="16"/>
          <w:color w:val="auto"/>
        </w:rPr>
        <w:t>features that modify consideraton of the tme value of money – e.g. periodical rest of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15 of 53</w:t>
      </w:r>
    </w:p>
    <w:p>
      <w:pPr>
        <w:sectPr>
          <w:pgSz w:w="11900" w:h="16838" w:orient="portrait"/>
          <w:cols w:equalWidth="0" w:num="1">
            <w:col w:w="11200"/>
          </w:cols>
          <w:pgMar w:left="380" w:top="151" w:right="319" w:bottom="1440" w:gutter="0" w:footer="0" w:header="0"/>
        </w:sectPr>
      </w:pPr>
    </w:p>
    <w:bookmarkStart w:id="115" w:name="page116"/>
    <w:bookmarkEnd w:id="115"/>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Calibri" w:cs="Calibri" w:eastAsia="Calibri" w:hAnsi="Calibri"/>
          <w:sz w:val="16"/>
          <w:szCs w:val="16"/>
          <w:i w:val="1"/>
          <w:iCs w:val="1"/>
          <w:color w:val="auto"/>
        </w:rPr>
        <w:t>Reclassifcatons</w:t>
      </w:r>
    </w:p>
    <w:p>
      <w:pPr>
        <w:spacing w:after="0" w:line="209" w:lineRule="exact"/>
        <w:rPr>
          <w:sz w:val="20"/>
          <w:szCs w:val="20"/>
          <w:color w:val="auto"/>
        </w:rPr>
      </w:pPr>
    </w:p>
    <w:p>
      <w:pPr>
        <w:jc w:val="both"/>
        <w:ind w:left="240" w:right="20"/>
        <w:spacing w:after="0" w:line="231" w:lineRule="auto"/>
        <w:rPr>
          <w:sz w:val="20"/>
          <w:szCs w:val="20"/>
          <w:color w:val="auto"/>
        </w:rPr>
      </w:pPr>
      <w:r>
        <w:rPr>
          <w:rFonts w:ascii="Calibri" w:cs="Calibri" w:eastAsia="Calibri" w:hAnsi="Calibri"/>
          <w:sz w:val="16"/>
          <w:szCs w:val="16"/>
          <w:color w:val="auto"/>
        </w:rPr>
        <w:t>The Company would reclassify a fnancial asset when the Company changes its business model for managing the fnancial asset. All reclassifcatons are recorded at fair value at the date of the reclassifcaton, which becomes the new carrying value.</w:t>
      </w:r>
    </w:p>
    <w:p>
      <w:pPr>
        <w:spacing w:after="0" w:line="210" w:lineRule="exact"/>
        <w:rPr>
          <w:sz w:val="20"/>
          <w:szCs w:val="20"/>
          <w:color w:val="auto"/>
        </w:rPr>
      </w:pPr>
    </w:p>
    <w:p>
      <w:pPr>
        <w:jc w:val="both"/>
        <w:ind w:left="240" w:right="20"/>
        <w:spacing w:after="0" w:line="231" w:lineRule="auto"/>
        <w:rPr>
          <w:sz w:val="20"/>
          <w:szCs w:val="20"/>
          <w:color w:val="auto"/>
        </w:rPr>
      </w:pPr>
      <w:r>
        <w:rPr>
          <w:rFonts w:ascii="Calibri" w:cs="Calibri" w:eastAsia="Calibri" w:hAnsi="Calibri"/>
          <w:sz w:val="16"/>
          <w:szCs w:val="16"/>
          <w:color w:val="auto"/>
        </w:rPr>
        <w:t>Financial assets are not reclassifed subsequent to their inital recogniton, except in the period afer the Company changes its business model for managing fnancial assets.</w:t>
      </w:r>
    </w:p>
    <w:p>
      <w:pPr>
        <w:spacing w:after="0" w:line="209" w:lineRule="exact"/>
        <w:rPr>
          <w:sz w:val="20"/>
          <w:szCs w:val="20"/>
          <w:color w:val="auto"/>
        </w:rPr>
      </w:pPr>
    </w:p>
    <w:p>
      <w:pPr>
        <w:ind w:left="240"/>
        <w:spacing w:after="0"/>
        <w:rPr>
          <w:sz w:val="20"/>
          <w:szCs w:val="20"/>
          <w:color w:val="auto"/>
        </w:rPr>
      </w:pPr>
      <w:r>
        <w:rPr>
          <w:rFonts w:ascii="Calibri" w:cs="Calibri" w:eastAsia="Calibri" w:hAnsi="Calibri"/>
          <w:sz w:val="16"/>
          <w:szCs w:val="16"/>
          <w:i w:val="1"/>
          <w:iCs w:val="1"/>
          <w:color w:val="auto"/>
        </w:rPr>
        <w:t>Financial liabilites</w:t>
      </w:r>
    </w:p>
    <w:p>
      <w:pPr>
        <w:spacing w:after="0" w:line="209" w:lineRule="exact"/>
        <w:rPr>
          <w:sz w:val="20"/>
          <w:szCs w:val="20"/>
          <w:color w:val="auto"/>
        </w:rPr>
      </w:pPr>
    </w:p>
    <w:p>
      <w:pPr>
        <w:jc w:val="both"/>
        <w:ind w:left="240" w:right="20"/>
        <w:spacing w:after="0" w:line="224" w:lineRule="auto"/>
        <w:rPr>
          <w:sz w:val="20"/>
          <w:szCs w:val="20"/>
          <w:color w:val="auto"/>
        </w:rPr>
      </w:pPr>
      <w:r>
        <w:rPr>
          <w:rFonts w:ascii="Calibri" w:cs="Calibri" w:eastAsia="Calibri" w:hAnsi="Calibri"/>
          <w:sz w:val="16"/>
          <w:szCs w:val="16"/>
          <w:color w:val="auto"/>
        </w:rPr>
        <w:t>The Company classifes its fnancial liabilites at amortzed cost or FVTPL. The Company currently measures accounts payable and accrued liabilites at amortzed cost and contngent consideraton payable at FVTPL.</w:t>
      </w:r>
    </w:p>
    <w:p>
      <w:pPr>
        <w:spacing w:after="0" w:line="208"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color w:val="auto"/>
        </w:rPr>
        <w:t>Derecogniton</w:t>
      </w:r>
    </w:p>
    <w:p>
      <w:pPr>
        <w:spacing w:after="0" w:line="208" w:lineRule="exact"/>
        <w:rPr>
          <w:sz w:val="20"/>
          <w:szCs w:val="20"/>
          <w:color w:val="auto"/>
        </w:rPr>
      </w:pPr>
    </w:p>
    <w:p>
      <w:pPr>
        <w:ind w:left="240"/>
        <w:spacing w:after="0"/>
        <w:rPr>
          <w:sz w:val="20"/>
          <w:szCs w:val="20"/>
          <w:color w:val="auto"/>
        </w:rPr>
      </w:pPr>
      <w:r>
        <w:rPr>
          <w:rFonts w:ascii="Calibri" w:cs="Calibri" w:eastAsia="Calibri" w:hAnsi="Calibri"/>
          <w:sz w:val="16"/>
          <w:szCs w:val="16"/>
          <w:i w:val="1"/>
          <w:iCs w:val="1"/>
          <w:color w:val="auto"/>
        </w:rPr>
        <w:t>Financial assets</w:t>
      </w:r>
    </w:p>
    <w:p>
      <w:pPr>
        <w:spacing w:after="0" w:line="209" w:lineRule="exact"/>
        <w:rPr>
          <w:sz w:val="20"/>
          <w:szCs w:val="20"/>
          <w:color w:val="auto"/>
        </w:rPr>
      </w:pPr>
    </w:p>
    <w:p>
      <w:pPr>
        <w:jc w:val="both"/>
        <w:ind w:left="240" w:right="20"/>
        <w:spacing w:after="0" w:line="229" w:lineRule="auto"/>
        <w:rPr>
          <w:sz w:val="20"/>
          <w:szCs w:val="20"/>
          <w:color w:val="auto"/>
        </w:rPr>
      </w:pPr>
      <w:r>
        <w:rPr>
          <w:rFonts w:ascii="Calibri" w:cs="Calibri" w:eastAsia="Calibri" w:hAnsi="Calibri"/>
          <w:sz w:val="16"/>
          <w:szCs w:val="16"/>
          <w:color w:val="auto"/>
        </w:rPr>
        <w:t>The Company derecognizes a fnancial asset when the contractual rights to the cash fows from the fnancial asset expire, or it transfers the rights to receive the contractual cash fows in a transiton in which substantally all of the risks and rewards of ownership of the fnancial asset are transferred or in which the Company neither transfers nor retains substantally all of the risks and rewards of ownership and it does not retain control of the fnancial asset.</w:t>
      </w:r>
    </w:p>
    <w:p>
      <w:pPr>
        <w:spacing w:after="0" w:line="211" w:lineRule="exact"/>
        <w:rPr>
          <w:sz w:val="20"/>
          <w:szCs w:val="20"/>
          <w:color w:val="auto"/>
        </w:rPr>
      </w:pPr>
    </w:p>
    <w:p>
      <w:pPr>
        <w:jc w:val="both"/>
        <w:ind w:left="240"/>
        <w:spacing w:after="0" w:line="229" w:lineRule="auto"/>
        <w:rPr>
          <w:sz w:val="20"/>
          <w:szCs w:val="20"/>
          <w:color w:val="auto"/>
        </w:rPr>
      </w:pPr>
      <w:r>
        <w:rPr>
          <w:rFonts w:ascii="Calibri" w:cs="Calibri" w:eastAsia="Calibri" w:hAnsi="Calibri"/>
          <w:sz w:val="16"/>
          <w:szCs w:val="16"/>
          <w:color w:val="auto"/>
        </w:rPr>
        <w:t>On derecogniton of a fnancial asset, the diference between the carrying amount of the asset (or the carrying amount allocated to the porton of the asset derecognized) and the sum of (i) the consideraton received (including any new assets obtained less any new liability assumed) and (ii) cumulatve gain or loss that had been recognized in other comprehensive income is recognized in proft or loss.</w:t>
      </w:r>
    </w:p>
    <w:p>
      <w:pPr>
        <w:spacing w:after="0" w:line="209" w:lineRule="exact"/>
        <w:rPr>
          <w:sz w:val="20"/>
          <w:szCs w:val="20"/>
          <w:color w:val="auto"/>
        </w:rPr>
      </w:pPr>
    </w:p>
    <w:p>
      <w:pPr>
        <w:ind w:left="240"/>
        <w:spacing w:after="0"/>
        <w:rPr>
          <w:sz w:val="20"/>
          <w:szCs w:val="20"/>
          <w:color w:val="auto"/>
        </w:rPr>
      </w:pPr>
      <w:r>
        <w:rPr>
          <w:rFonts w:ascii="Calibri" w:cs="Calibri" w:eastAsia="Calibri" w:hAnsi="Calibri"/>
          <w:sz w:val="16"/>
          <w:szCs w:val="16"/>
          <w:i w:val="1"/>
          <w:iCs w:val="1"/>
          <w:color w:val="auto"/>
        </w:rPr>
        <w:t>Financial liabilites</w:t>
      </w:r>
    </w:p>
    <w:p>
      <w:pPr>
        <w:spacing w:after="0" w:line="208"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The Company derecognizes a fnancial liability when its contractual obligatons are discharged or cancelled, or expire.</w:t>
      </w:r>
    </w:p>
    <w:p>
      <w:pPr>
        <w:spacing w:after="0" w:line="208"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color w:val="auto"/>
        </w:rPr>
        <w:t>Modifcatons of fnancial assets and fnancial liabilites</w:t>
      </w:r>
    </w:p>
    <w:p>
      <w:pPr>
        <w:spacing w:after="0" w:line="208" w:lineRule="exact"/>
        <w:rPr>
          <w:sz w:val="20"/>
          <w:szCs w:val="20"/>
          <w:color w:val="auto"/>
        </w:rPr>
      </w:pPr>
    </w:p>
    <w:p>
      <w:pPr>
        <w:ind w:left="240"/>
        <w:spacing w:after="0"/>
        <w:rPr>
          <w:sz w:val="20"/>
          <w:szCs w:val="20"/>
          <w:color w:val="auto"/>
        </w:rPr>
      </w:pPr>
      <w:r>
        <w:rPr>
          <w:rFonts w:ascii="Calibri" w:cs="Calibri" w:eastAsia="Calibri" w:hAnsi="Calibri"/>
          <w:sz w:val="16"/>
          <w:szCs w:val="16"/>
          <w:i w:val="1"/>
          <w:iCs w:val="1"/>
          <w:color w:val="auto"/>
        </w:rPr>
        <w:t>Financial assets</w:t>
      </w:r>
    </w:p>
    <w:p>
      <w:pPr>
        <w:spacing w:after="0" w:line="197" w:lineRule="exact"/>
        <w:rPr>
          <w:sz w:val="20"/>
          <w:szCs w:val="20"/>
          <w:color w:val="auto"/>
        </w:rPr>
      </w:pPr>
    </w:p>
    <w:p>
      <w:pPr>
        <w:jc w:val="both"/>
        <w:ind w:left="240" w:right="20"/>
        <w:spacing w:after="0" w:line="229" w:lineRule="auto"/>
        <w:rPr>
          <w:sz w:val="20"/>
          <w:szCs w:val="20"/>
          <w:color w:val="auto"/>
        </w:rPr>
      </w:pPr>
      <w:r>
        <w:rPr>
          <w:rFonts w:ascii="Calibri" w:cs="Calibri" w:eastAsia="Calibri" w:hAnsi="Calibri"/>
          <w:sz w:val="16"/>
          <w:szCs w:val="16"/>
          <w:color w:val="auto"/>
        </w:rPr>
        <w:t>If the terms of a fnancial asset are modifed, the Company evaluates whether the cash fows of the modifed asset are substantally diferent. If the cash fows are substantally diferent, then the contractual rights to cash fows from the original fnancial asset are deemed to have expired. In this case, the original fnancial asset is derecognized and a new fnancial asset is recognized at fair value.</w:t>
      </w:r>
    </w:p>
    <w:p>
      <w:pPr>
        <w:spacing w:after="0" w:line="211" w:lineRule="exact"/>
        <w:rPr>
          <w:sz w:val="20"/>
          <w:szCs w:val="20"/>
          <w:color w:val="auto"/>
        </w:rPr>
      </w:pPr>
    </w:p>
    <w:p>
      <w:pPr>
        <w:jc w:val="both"/>
        <w:ind w:left="240" w:right="20"/>
        <w:spacing w:after="0" w:line="228" w:lineRule="auto"/>
        <w:rPr>
          <w:sz w:val="20"/>
          <w:szCs w:val="20"/>
          <w:color w:val="auto"/>
        </w:rPr>
      </w:pPr>
      <w:r>
        <w:rPr>
          <w:rFonts w:ascii="Calibri" w:cs="Calibri" w:eastAsia="Calibri" w:hAnsi="Calibri"/>
          <w:sz w:val="16"/>
          <w:szCs w:val="16"/>
          <w:color w:val="auto"/>
        </w:rPr>
        <w:t>If the cash fows of the modifed asset carried at amortzed cost are not substantally diferent, then the modifcaton does not result in derecogniton of the fnancial asset. In this case, the Company recalculates the gross carrying amount of the fnancial asset and recognizes the amount arising from adjustng the gross carrying amount as a modifcaton gain or loss in proft or loss. If such a modifcaton is carried out because of fnancial difcultes of the borrower, then the gain or loss is presented together with impairment losses. In other cases, it is presented as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16 of 53</w:t>
      </w:r>
    </w:p>
    <w:p>
      <w:pPr>
        <w:sectPr>
          <w:pgSz w:w="11900" w:h="16838" w:orient="portrait"/>
          <w:cols w:equalWidth="0" w:num="1">
            <w:col w:w="11200"/>
          </w:cols>
          <w:pgMar w:left="380" w:top="151" w:right="319" w:bottom="1440" w:gutter="0" w:footer="0" w:header="0"/>
        </w:sectPr>
      </w:pPr>
    </w:p>
    <w:bookmarkStart w:id="116" w:name="page117"/>
    <w:bookmarkEnd w:id="116"/>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Calibri" w:cs="Calibri" w:eastAsia="Calibri" w:hAnsi="Calibri"/>
          <w:sz w:val="16"/>
          <w:szCs w:val="16"/>
          <w:i w:val="1"/>
          <w:iCs w:val="1"/>
          <w:color w:val="auto"/>
        </w:rPr>
        <w:t>Financial liabilites</w:t>
      </w:r>
    </w:p>
    <w:p>
      <w:pPr>
        <w:spacing w:after="0" w:line="209" w:lineRule="exact"/>
        <w:rPr>
          <w:sz w:val="20"/>
          <w:szCs w:val="20"/>
          <w:color w:val="auto"/>
        </w:rPr>
      </w:pPr>
    </w:p>
    <w:p>
      <w:pPr>
        <w:jc w:val="both"/>
        <w:ind w:left="240" w:right="20"/>
        <w:spacing w:after="0" w:line="229" w:lineRule="auto"/>
        <w:rPr>
          <w:sz w:val="20"/>
          <w:szCs w:val="20"/>
          <w:color w:val="auto"/>
        </w:rPr>
      </w:pPr>
      <w:r>
        <w:rPr>
          <w:rFonts w:ascii="Calibri" w:cs="Calibri" w:eastAsia="Calibri" w:hAnsi="Calibri"/>
          <w:sz w:val="16"/>
          <w:szCs w:val="16"/>
          <w:color w:val="auto"/>
        </w:rPr>
        <w:t>The Company derecognizes a fnancial liability when its terms are modifed and the cash lows of the modifed liability are substantally diferent. In this case, a new fnancial liability based on the modifed terms is recognized at fair value. The diference between the carrying amount of the fnancial liability extnguished and the new fnancial liability with modifed terms is recognized in proft or loss.</w:t>
      </w:r>
    </w:p>
    <w:p>
      <w:pPr>
        <w:spacing w:after="0" w:line="209"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color w:val="auto"/>
        </w:rPr>
        <w:t>Ofsetng</w:t>
      </w:r>
    </w:p>
    <w:p>
      <w:pPr>
        <w:spacing w:after="0" w:line="209" w:lineRule="exact"/>
        <w:rPr>
          <w:sz w:val="20"/>
          <w:szCs w:val="20"/>
          <w:color w:val="auto"/>
        </w:rPr>
      </w:pPr>
    </w:p>
    <w:p>
      <w:pPr>
        <w:jc w:val="both"/>
        <w:ind w:left="240" w:right="20"/>
        <w:spacing w:after="0" w:line="224" w:lineRule="auto"/>
        <w:rPr>
          <w:sz w:val="20"/>
          <w:szCs w:val="20"/>
          <w:color w:val="auto"/>
        </w:rPr>
      </w:pPr>
      <w:r>
        <w:rPr>
          <w:rFonts w:ascii="Calibri" w:cs="Calibri" w:eastAsia="Calibri" w:hAnsi="Calibri"/>
          <w:sz w:val="16"/>
          <w:szCs w:val="16"/>
          <w:color w:val="auto"/>
        </w:rPr>
        <w:t>Financial assets and fnancial liabilites are ofset and the net amount presented in the consolidated statement of fnancial positon when, and only when, the Company currently has a legally enforceable right to set of the amounts and it intends either to setle them on a net basis or to realize the asset and setle the liability simultaneously.</w:t>
      </w:r>
    </w:p>
    <w:p>
      <w:pPr>
        <w:spacing w:after="0" w:line="209"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Income and expenses are presented on a net basis only when permited under IFRS, or for gains and losses arising from a group of similar transactons.</w:t>
      </w:r>
    </w:p>
    <w:p>
      <w:pPr>
        <w:spacing w:after="0" w:line="208"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color w:val="auto"/>
        </w:rPr>
        <w:t>Fair value measurement</w:t>
      </w:r>
    </w:p>
    <w:p>
      <w:pPr>
        <w:spacing w:after="0" w:line="209" w:lineRule="exact"/>
        <w:rPr>
          <w:sz w:val="20"/>
          <w:szCs w:val="20"/>
          <w:color w:val="auto"/>
        </w:rPr>
      </w:pPr>
    </w:p>
    <w:p>
      <w:pPr>
        <w:jc w:val="both"/>
        <w:ind w:left="240" w:right="20"/>
        <w:spacing w:after="0" w:line="229" w:lineRule="auto"/>
        <w:rPr>
          <w:sz w:val="20"/>
          <w:szCs w:val="20"/>
          <w:color w:val="auto"/>
        </w:rPr>
      </w:pPr>
      <w:r>
        <w:rPr>
          <w:rFonts w:ascii="Calibri" w:cs="Calibri" w:eastAsia="Calibri" w:hAnsi="Calibri"/>
          <w:sz w:val="16"/>
          <w:szCs w:val="16"/>
          <w:color w:val="auto"/>
        </w:rPr>
        <w:t>Fair value is the price that would be received to sell an asset or paid to transfer a liability in an orderly transacton between market partcipants at the measurement date in the principal or, in its absence, the most advantageous market to which the Company has access at that date. The fair value of a liability refects its non-performance risk.</w:t>
      </w:r>
    </w:p>
    <w:p>
      <w:pPr>
        <w:spacing w:after="0" w:line="211" w:lineRule="exact"/>
        <w:rPr>
          <w:sz w:val="20"/>
          <w:szCs w:val="20"/>
          <w:color w:val="auto"/>
        </w:rPr>
      </w:pPr>
    </w:p>
    <w:p>
      <w:pPr>
        <w:jc w:val="both"/>
        <w:ind w:left="240"/>
        <w:spacing w:after="0" w:line="231" w:lineRule="auto"/>
        <w:rPr>
          <w:sz w:val="20"/>
          <w:szCs w:val="20"/>
          <w:color w:val="auto"/>
        </w:rPr>
      </w:pPr>
      <w:r>
        <w:rPr>
          <w:rFonts w:ascii="Calibri" w:cs="Calibri" w:eastAsia="Calibri" w:hAnsi="Calibri"/>
          <w:sz w:val="16"/>
          <w:szCs w:val="16"/>
          <w:color w:val="auto"/>
        </w:rPr>
        <w:t>When one is available, the Company measures the fair value of an instrument using the quoted price in an actve market for that instrument. A market is regarded as actve if transactons for the asset or liability take place with sufcient frequency and volume to provide pricing informaton on an ongoing basis.</w:t>
      </w:r>
    </w:p>
    <w:p>
      <w:pPr>
        <w:spacing w:after="0" w:line="210" w:lineRule="exact"/>
        <w:rPr>
          <w:sz w:val="20"/>
          <w:szCs w:val="20"/>
          <w:color w:val="auto"/>
        </w:rPr>
      </w:pPr>
    </w:p>
    <w:p>
      <w:pPr>
        <w:jc w:val="both"/>
        <w:ind w:left="240" w:right="20"/>
        <w:spacing w:after="0" w:line="231" w:lineRule="auto"/>
        <w:rPr>
          <w:sz w:val="20"/>
          <w:szCs w:val="20"/>
          <w:color w:val="auto"/>
        </w:rPr>
      </w:pPr>
      <w:r>
        <w:rPr>
          <w:rFonts w:ascii="Calibri" w:cs="Calibri" w:eastAsia="Calibri" w:hAnsi="Calibri"/>
          <w:sz w:val="16"/>
          <w:szCs w:val="16"/>
          <w:color w:val="auto"/>
        </w:rPr>
        <w:t>If there is no quoted price in an actve market, then the Company uses valuaton techniques that maximize the use of relevant observable inputs and minimize the use of unobservable inputs. The chosen valuaton technique incorporates all of the factors that market partcipants would take into account in pricing a transacton.</w:t>
      </w:r>
    </w:p>
    <w:p>
      <w:pPr>
        <w:spacing w:after="0" w:line="210" w:lineRule="exact"/>
        <w:rPr>
          <w:sz w:val="20"/>
          <w:szCs w:val="20"/>
          <w:color w:val="auto"/>
        </w:rPr>
      </w:pPr>
    </w:p>
    <w:p>
      <w:pPr>
        <w:jc w:val="both"/>
        <w:ind w:left="240"/>
        <w:spacing w:after="0" w:line="224" w:lineRule="auto"/>
        <w:rPr>
          <w:sz w:val="20"/>
          <w:szCs w:val="20"/>
          <w:color w:val="auto"/>
        </w:rPr>
      </w:pPr>
      <w:r>
        <w:rPr>
          <w:rFonts w:ascii="Calibri" w:cs="Calibri" w:eastAsia="Calibri" w:hAnsi="Calibri"/>
          <w:sz w:val="16"/>
          <w:szCs w:val="16"/>
          <w:color w:val="auto"/>
        </w:rPr>
        <w:t>The best evidence of the fair value of a fnancial instrument on inital recogniton is normally the transacton price (i.e. the fair value of the consideraton given or received). If the Company determines that the fair value on inital recogniton difers from the transacton price and the fair value is evidenced neither by a quoted price in an actve market for an identcal asset or liability nor based on a valuaton technique for which any observable inputs are judged to be insignifcant in relaton to the measurement, then the fnancial instrument is initally measured at fair value, adjusted to defer the diference between the fair value on inital recogniton and the transacton price. Subsequently, that diference is recognized in proft or loss on an appropriate basis over the life of the instrument but no later than when the valuaton is wholly supported by observable market data or the transacton is closed out.</w:t>
      </w:r>
    </w:p>
    <w:p>
      <w:pPr>
        <w:spacing w:after="0" w:line="214" w:lineRule="exact"/>
        <w:rPr>
          <w:sz w:val="20"/>
          <w:szCs w:val="20"/>
          <w:color w:val="auto"/>
        </w:rPr>
      </w:pPr>
    </w:p>
    <w:p>
      <w:pPr>
        <w:jc w:val="both"/>
        <w:ind w:left="240" w:right="20"/>
        <w:spacing w:after="0" w:line="231" w:lineRule="auto"/>
        <w:rPr>
          <w:sz w:val="20"/>
          <w:szCs w:val="20"/>
          <w:color w:val="auto"/>
        </w:rPr>
      </w:pPr>
      <w:r>
        <w:rPr>
          <w:rFonts w:ascii="Calibri" w:cs="Calibri" w:eastAsia="Calibri" w:hAnsi="Calibri"/>
          <w:sz w:val="16"/>
          <w:szCs w:val="16"/>
          <w:color w:val="auto"/>
        </w:rPr>
        <w:t>If an asset or a liability at fair value has a bid price and an ask price, then the Company measures assets and long positons at bid price and liabilites and short positons at an ask price.</w:t>
      </w:r>
    </w:p>
    <w:p>
      <w:pPr>
        <w:spacing w:after="0" w:line="210" w:lineRule="exact"/>
        <w:rPr>
          <w:sz w:val="20"/>
          <w:szCs w:val="20"/>
          <w:color w:val="auto"/>
        </w:rPr>
      </w:pPr>
    </w:p>
    <w:p>
      <w:pPr>
        <w:jc w:val="both"/>
        <w:ind w:left="240" w:right="20"/>
        <w:spacing w:after="0" w:line="229" w:lineRule="auto"/>
        <w:rPr>
          <w:sz w:val="20"/>
          <w:szCs w:val="20"/>
          <w:color w:val="auto"/>
        </w:rPr>
      </w:pPr>
      <w:r>
        <w:rPr>
          <w:rFonts w:ascii="Calibri" w:cs="Calibri" w:eastAsia="Calibri" w:hAnsi="Calibri"/>
          <w:sz w:val="16"/>
          <w:szCs w:val="16"/>
          <w:color w:val="auto"/>
        </w:rPr>
        <w:t>Portolio of fnancial assets and fnancial liabilites that are exposed to market risk and credit risk that are managed by the Company on the basis of the net exposure to either market or credit risk are measured on the basis of a price that would be received to sell a net long positon (or paid to transfer a net short positon) for the partcular risk exposure. Portolio-level adjustment e.g. bid-ask adjustment or credit risk adjustments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17 of 53</w:t>
      </w:r>
    </w:p>
    <w:p>
      <w:pPr>
        <w:sectPr>
          <w:pgSz w:w="11900" w:h="16838" w:orient="portrait"/>
          <w:cols w:equalWidth="0" w:num="1">
            <w:col w:w="11200"/>
          </w:cols>
          <w:pgMar w:left="380" w:top="151" w:right="319" w:bottom="1440" w:gutter="0" w:footer="0" w:header="0"/>
        </w:sectPr>
      </w:pPr>
    </w:p>
    <w:bookmarkStart w:id="117" w:name="page118"/>
    <w:bookmarkEnd w:id="117"/>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240"/>
        <w:spacing w:after="0" w:line="231" w:lineRule="auto"/>
        <w:rPr>
          <w:sz w:val="20"/>
          <w:szCs w:val="20"/>
          <w:color w:val="auto"/>
        </w:rPr>
      </w:pPr>
      <w:r>
        <w:rPr>
          <w:rFonts w:ascii="Calibri" w:cs="Calibri" w:eastAsia="Calibri" w:hAnsi="Calibri"/>
          <w:sz w:val="16"/>
          <w:szCs w:val="16"/>
          <w:color w:val="auto"/>
        </w:rPr>
        <w:t>refect the measurement on the basis of the net exposure are allocated to the individual assets and liabilites on the basis of the relatve risk adjustment of each of the individual instruments in the portolio.</w:t>
      </w:r>
    </w:p>
    <w:p>
      <w:pPr>
        <w:spacing w:after="0" w:line="210" w:lineRule="exact"/>
        <w:rPr>
          <w:sz w:val="20"/>
          <w:szCs w:val="20"/>
          <w:color w:val="auto"/>
        </w:rPr>
      </w:pPr>
    </w:p>
    <w:p>
      <w:pPr>
        <w:jc w:val="both"/>
        <w:ind w:left="240"/>
        <w:spacing w:after="0" w:line="229" w:lineRule="auto"/>
        <w:rPr>
          <w:sz w:val="20"/>
          <w:szCs w:val="20"/>
          <w:color w:val="auto"/>
        </w:rPr>
      </w:pPr>
      <w:r>
        <w:rPr>
          <w:rFonts w:ascii="Calibri" w:cs="Calibri" w:eastAsia="Calibri" w:hAnsi="Calibri"/>
          <w:sz w:val="16"/>
          <w:szCs w:val="16"/>
          <w:color w:val="auto"/>
        </w:rPr>
        <w:t>The fair value of a fnancial liability with a demand feature is not less than the amount payable on demand, discounted from the frst date on which the amount could be required to be paid. The Company recognizes transfers between levels of the fair value hierarchy as of the end of the reportng period during which the change has occurred.</w:t>
      </w:r>
    </w:p>
    <w:p>
      <w:pPr>
        <w:spacing w:after="0" w:line="209"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color w:val="auto"/>
        </w:rPr>
        <w:t>Impairment</w:t>
      </w:r>
    </w:p>
    <w:p>
      <w:pPr>
        <w:spacing w:after="0" w:line="208" w:lineRule="exact"/>
        <w:rPr>
          <w:sz w:val="20"/>
          <w:szCs w:val="20"/>
          <w:color w:val="auto"/>
        </w:rPr>
      </w:pPr>
    </w:p>
    <w:p>
      <w:pPr>
        <w:ind w:left="240"/>
        <w:spacing w:after="0"/>
        <w:rPr>
          <w:sz w:val="20"/>
          <w:szCs w:val="20"/>
          <w:color w:val="auto"/>
        </w:rPr>
      </w:pPr>
      <w:r>
        <w:rPr>
          <w:rFonts w:ascii="Calibri" w:cs="Calibri" w:eastAsia="Calibri" w:hAnsi="Calibri"/>
          <w:sz w:val="16"/>
          <w:szCs w:val="16"/>
          <w:i w:val="1"/>
          <w:iCs w:val="1"/>
          <w:color w:val="auto"/>
        </w:rPr>
        <w:t>Credit-impaired fnancial assets</w:t>
      </w:r>
    </w:p>
    <w:p>
      <w:pPr>
        <w:spacing w:after="0" w:line="197" w:lineRule="exact"/>
        <w:rPr>
          <w:sz w:val="20"/>
          <w:szCs w:val="20"/>
          <w:color w:val="auto"/>
        </w:rPr>
      </w:pPr>
    </w:p>
    <w:p>
      <w:pPr>
        <w:jc w:val="both"/>
        <w:ind w:left="240" w:right="20"/>
        <w:spacing w:after="0" w:line="231" w:lineRule="auto"/>
        <w:rPr>
          <w:sz w:val="20"/>
          <w:szCs w:val="20"/>
          <w:color w:val="auto"/>
        </w:rPr>
      </w:pPr>
      <w:r>
        <w:rPr>
          <w:rFonts w:ascii="Calibri" w:cs="Calibri" w:eastAsia="Calibri" w:hAnsi="Calibri"/>
          <w:sz w:val="16"/>
          <w:szCs w:val="16"/>
          <w:color w:val="auto"/>
        </w:rPr>
        <w:t>At each reportng date, the Company assesses whether fnancial assets carried at amortzed costs and debt fnancial assets carried at FVOCI are credit-impaired. A fnancial asset is ‘credit-impaired’ when one or more events that have a detrimental impact on the estmated future cash fows of the fnancial asset have occurred.</w:t>
      </w:r>
    </w:p>
    <w:p>
      <w:pPr>
        <w:spacing w:after="0" w:line="209"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Evidence that a fnancial asset is credit-impaired includes the following observable data:</w:t>
      </w:r>
    </w:p>
    <w:p>
      <w:pPr>
        <w:spacing w:after="0" w:line="228" w:lineRule="exact"/>
        <w:rPr>
          <w:sz w:val="20"/>
          <w:szCs w:val="20"/>
          <w:color w:val="auto"/>
        </w:rPr>
      </w:pPr>
    </w:p>
    <w:p>
      <w:pPr>
        <w:ind w:left="800" w:hanging="276"/>
        <w:spacing w:after="0"/>
        <w:tabs>
          <w:tab w:leader="none" w:pos="800" w:val="left"/>
        </w:tabs>
        <w:numPr>
          <w:ilvl w:val="0"/>
          <w:numId w:val="73"/>
        </w:numPr>
        <w:rPr>
          <w:rFonts w:ascii="Arial" w:cs="Arial" w:eastAsia="Arial" w:hAnsi="Arial"/>
          <w:sz w:val="18"/>
          <w:szCs w:val="18"/>
          <w:color w:val="auto"/>
        </w:rPr>
      </w:pPr>
      <w:r>
        <w:rPr>
          <w:rFonts w:ascii="Calibri" w:cs="Calibri" w:eastAsia="Calibri" w:hAnsi="Calibri"/>
          <w:sz w:val="16"/>
          <w:szCs w:val="16"/>
          <w:color w:val="auto"/>
        </w:rPr>
        <w:t>Signifcant fnancial difculty of the borrower or issuer;</w:t>
      </w:r>
    </w:p>
    <w:p>
      <w:pPr>
        <w:spacing w:after="0" w:line="18" w:lineRule="exact"/>
        <w:rPr>
          <w:rFonts w:ascii="Arial" w:cs="Arial" w:eastAsia="Arial" w:hAnsi="Arial"/>
          <w:sz w:val="18"/>
          <w:szCs w:val="18"/>
          <w:color w:val="auto"/>
        </w:rPr>
      </w:pPr>
    </w:p>
    <w:p>
      <w:pPr>
        <w:ind w:left="800" w:hanging="276"/>
        <w:spacing w:after="0" w:line="228" w:lineRule="auto"/>
        <w:tabs>
          <w:tab w:leader="none" w:pos="800" w:val="left"/>
        </w:tabs>
        <w:numPr>
          <w:ilvl w:val="0"/>
          <w:numId w:val="73"/>
        </w:numPr>
        <w:rPr>
          <w:rFonts w:ascii="Arial" w:cs="Arial" w:eastAsia="Arial" w:hAnsi="Arial"/>
          <w:sz w:val="18"/>
          <w:szCs w:val="18"/>
          <w:color w:val="auto"/>
        </w:rPr>
      </w:pPr>
      <w:r>
        <w:rPr>
          <w:rFonts w:ascii="Calibri" w:cs="Calibri" w:eastAsia="Calibri" w:hAnsi="Calibri"/>
          <w:sz w:val="16"/>
          <w:szCs w:val="16"/>
          <w:color w:val="auto"/>
        </w:rPr>
        <w:t>A breach of contract such as a default of past due event;</w:t>
      </w:r>
    </w:p>
    <w:p>
      <w:pPr>
        <w:spacing w:after="0" w:line="18" w:lineRule="exact"/>
        <w:rPr>
          <w:rFonts w:ascii="Arial" w:cs="Arial" w:eastAsia="Arial" w:hAnsi="Arial"/>
          <w:sz w:val="18"/>
          <w:szCs w:val="18"/>
          <w:color w:val="auto"/>
        </w:rPr>
      </w:pPr>
    </w:p>
    <w:p>
      <w:pPr>
        <w:ind w:left="800" w:hanging="276"/>
        <w:spacing w:after="0" w:line="228" w:lineRule="auto"/>
        <w:tabs>
          <w:tab w:leader="none" w:pos="800" w:val="left"/>
        </w:tabs>
        <w:numPr>
          <w:ilvl w:val="0"/>
          <w:numId w:val="73"/>
        </w:numPr>
        <w:rPr>
          <w:rFonts w:ascii="Arial" w:cs="Arial" w:eastAsia="Arial" w:hAnsi="Arial"/>
          <w:sz w:val="18"/>
          <w:szCs w:val="18"/>
          <w:color w:val="auto"/>
        </w:rPr>
      </w:pPr>
      <w:r>
        <w:rPr>
          <w:rFonts w:ascii="Calibri" w:cs="Calibri" w:eastAsia="Calibri" w:hAnsi="Calibri"/>
          <w:sz w:val="16"/>
          <w:szCs w:val="16"/>
          <w:color w:val="auto"/>
        </w:rPr>
        <w:t>The restructuring of a loan or advance by the Company on terms that the Company would not consider otherwise;</w:t>
      </w:r>
    </w:p>
    <w:p>
      <w:pPr>
        <w:spacing w:after="0" w:line="18" w:lineRule="exact"/>
        <w:rPr>
          <w:rFonts w:ascii="Arial" w:cs="Arial" w:eastAsia="Arial" w:hAnsi="Arial"/>
          <w:sz w:val="18"/>
          <w:szCs w:val="18"/>
          <w:color w:val="auto"/>
        </w:rPr>
      </w:pPr>
    </w:p>
    <w:p>
      <w:pPr>
        <w:ind w:left="800" w:hanging="276"/>
        <w:spacing w:after="0" w:line="228" w:lineRule="auto"/>
        <w:tabs>
          <w:tab w:leader="none" w:pos="800" w:val="left"/>
        </w:tabs>
        <w:numPr>
          <w:ilvl w:val="0"/>
          <w:numId w:val="73"/>
        </w:numPr>
        <w:rPr>
          <w:rFonts w:ascii="Arial" w:cs="Arial" w:eastAsia="Arial" w:hAnsi="Arial"/>
          <w:sz w:val="18"/>
          <w:szCs w:val="18"/>
          <w:color w:val="auto"/>
        </w:rPr>
      </w:pPr>
      <w:r>
        <w:rPr>
          <w:rFonts w:ascii="Calibri" w:cs="Calibri" w:eastAsia="Calibri" w:hAnsi="Calibri"/>
          <w:sz w:val="16"/>
          <w:szCs w:val="16"/>
          <w:color w:val="auto"/>
        </w:rPr>
        <w:t>It is becoming probable that the borrower will enter bankruptcy or other fnancial reorganizaton; or</w:t>
      </w:r>
    </w:p>
    <w:p>
      <w:pPr>
        <w:spacing w:after="0" w:line="18" w:lineRule="exact"/>
        <w:rPr>
          <w:rFonts w:ascii="Arial" w:cs="Arial" w:eastAsia="Arial" w:hAnsi="Arial"/>
          <w:sz w:val="18"/>
          <w:szCs w:val="18"/>
          <w:color w:val="auto"/>
        </w:rPr>
      </w:pPr>
    </w:p>
    <w:p>
      <w:pPr>
        <w:ind w:left="800" w:hanging="276"/>
        <w:spacing w:after="0" w:line="228" w:lineRule="auto"/>
        <w:tabs>
          <w:tab w:leader="none" w:pos="800" w:val="left"/>
        </w:tabs>
        <w:numPr>
          <w:ilvl w:val="0"/>
          <w:numId w:val="73"/>
        </w:numPr>
        <w:rPr>
          <w:rFonts w:ascii="Arial" w:cs="Arial" w:eastAsia="Arial" w:hAnsi="Arial"/>
          <w:sz w:val="18"/>
          <w:szCs w:val="18"/>
          <w:color w:val="auto"/>
        </w:rPr>
      </w:pPr>
      <w:r>
        <w:rPr>
          <w:rFonts w:ascii="Calibri" w:cs="Calibri" w:eastAsia="Calibri" w:hAnsi="Calibri"/>
          <w:sz w:val="16"/>
          <w:szCs w:val="16"/>
          <w:color w:val="auto"/>
        </w:rPr>
        <w:t>The disappearance of an actve market for a security because of fnancial difcultes.</w:t>
      </w:r>
    </w:p>
    <w:p>
      <w:pPr>
        <w:spacing w:after="0" w:line="210" w:lineRule="exact"/>
        <w:rPr>
          <w:sz w:val="20"/>
          <w:szCs w:val="20"/>
          <w:color w:val="auto"/>
        </w:rPr>
      </w:pPr>
    </w:p>
    <w:p>
      <w:pPr>
        <w:jc w:val="both"/>
        <w:ind w:left="240" w:right="20"/>
        <w:spacing w:after="0" w:line="231" w:lineRule="auto"/>
        <w:rPr>
          <w:sz w:val="20"/>
          <w:szCs w:val="20"/>
          <w:color w:val="auto"/>
        </w:rPr>
      </w:pPr>
      <w:r>
        <w:rPr>
          <w:rFonts w:ascii="Calibri" w:cs="Calibri" w:eastAsia="Calibri" w:hAnsi="Calibri"/>
          <w:sz w:val="16"/>
          <w:szCs w:val="16"/>
          <w:color w:val="auto"/>
        </w:rPr>
        <w:t>A loan that has been renegotated due to a deterioraton in the borrower’s conditon is usually considered to be credit-impaired unless there is evidence that the risk of not receiving contractual cash fows has reduced signifcantly and there are no other indicators of impairment.</w:t>
      </w:r>
    </w:p>
    <w:p>
      <w:pPr>
        <w:spacing w:after="0" w:line="209" w:lineRule="exact"/>
        <w:rPr>
          <w:sz w:val="20"/>
          <w:szCs w:val="20"/>
          <w:color w:val="auto"/>
        </w:rPr>
      </w:pPr>
    </w:p>
    <w:p>
      <w:pPr>
        <w:ind w:left="240"/>
        <w:spacing w:after="0"/>
        <w:rPr>
          <w:sz w:val="20"/>
          <w:szCs w:val="20"/>
          <w:color w:val="auto"/>
        </w:rPr>
      </w:pPr>
      <w:r>
        <w:rPr>
          <w:rFonts w:ascii="Calibri" w:cs="Calibri" w:eastAsia="Calibri" w:hAnsi="Calibri"/>
          <w:sz w:val="16"/>
          <w:szCs w:val="16"/>
          <w:i w:val="1"/>
          <w:iCs w:val="1"/>
          <w:color w:val="auto"/>
        </w:rPr>
        <w:t>Recogniton of allowance of expected credit losses (“ECL”) in the consolidated statement of fnancial positon</w:t>
      </w:r>
    </w:p>
    <w:p>
      <w:pPr>
        <w:spacing w:after="0" w:line="209" w:lineRule="exact"/>
        <w:rPr>
          <w:sz w:val="20"/>
          <w:szCs w:val="20"/>
          <w:color w:val="auto"/>
        </w:rPr>
      </w:pPr>
    </w:p>
    <w:p>
      <w:pPr>
        <w:jc w:val="both"/>
        <w:ind w:left="240" w:right="20"/>
        <w:spacing w:after="0" w:line="224" w:lineRule="auto"/>
        <w:rPr>
          <w:sz w:val="20"/>
          <w:szCs w:val="20"/>
          <w:color w:val="auto"/>
        </w:rPr>
      </w:pPr>
      <w:r>
        <w:rPr>
          <w:rFonts w:ascii="Calibri" w:cs="Calibri" w:eastAsia="Calibri" w:hAnsi="Calibri"/>
          <w:sz w:val="16"/>
          <w:szCs w:val="16"/>
          <w:color w:val="auto"/>
        </w:rPr>
        <w:t>The Company recognizes a loss allowance for ECL on trade receivables that are measured at amortzed cost. The Company’s applied the simplifed approach for trade receivables and recognizes the lifetme ECL for these assets. The ECL on trade receivables is estmated using a provision matrix based on the Company’s historical credit loss experience, adjusted for factors that are specifc to the customers, general economic conditons and an assessment of both the current as well as the forecast directon of conditons at the reportng date, including tme value of money where appropriate.</w:t>
      </w:r>
    </w:p>
    <w:p>
      <w:pPr>
        <w:spacing w:after="0" w:line="212" w:lineRule="exact"/>
        <w:rPr>
          <w:sz w:val="20"/>
          <w:szCs w:val="20"/>
          <w:color w:val="auto"/>
        </w:rPr>
      </w:pPr>
    </w:p>
    <w:p>
      <w:pPr>
        <w:jc w:val="both"/>
        <w:ind w:left="240" w:right="20"/>
        <w:spacing w:after="0" w:line="229" w:lineRule="auto"/>
        <w:rPr>
          <w:sz w:val="20"/>
          <w:szCs w:val="20"/>
          <w:color w:val="auto"/>
        </w:rPr>
      </w:pPr>
      <w:r>
        <w:rPr>
          <w:rFonts w:ascii="Calibri" w:cs="Calibri" w:eastAsia="Calibri" w:hAnsi="Calibri"/>
          <w:sz w:val="16"/>
          <w:szCs w:val="16"/>
          <w:color w:val="auto"/>
        </w:rPr>
        <w:t>For all other fnancial assets measured at amortzed cost of FVOCI, the Company recognizes lifetme ECL only when there has been a signifcant increase in credit risk since inital recogniton. If the credit risk on such fnancial instruments has not increased signifcantly since inital recogniton, the Company measures the loss allowance on those fnancial instruments at an amount equal to 12-months ECL.</w:t>
      </w:r>
    </w:p>
    <w:p>
      <w:pPr>
        <w:spacing w:after="0" w:line="211" w:lineRule="exact"/>
        <w:rPr>
          <w:sz w:val="20"/>
          <w:szCs w:val="20"/>
          <w:color w:val="auto"/>
        </w:rPr>
      </w:pPr>
    </w:p>
    <w:p>
      <w:pPr>
        <w:jc w:val="both"/>
        <w:ind w:left="240" w:right="20"/>
        <w:spacing w:after="0" w:line="228" w:lineRule="auto"/>
        <w:rPr>
          <w:sz w:val="20"/>
          <w:szCs w:val="20"/>
          <w:color w:val="auto"/>
        </w:rPr>
      </w:pPr>
      <w:r>
        <w:rPr>
          <w:rFonts w:ascii="Calibri" w:cs="Calibri" w:eastAsia="Calibri" w:hAnsi="Calibri"/>
          <w:sz w:val="16"/>
          <w:szCs w:val="16"/>
          <w:color w:val="auto"/>
        </w:rPr>
        <w:t>Lifetme ECL represents the ECL that will result from all possible default events over the expected life of a fnancial asset. In contrast, 12-month ECL represents the porton of lifetme ECL that is expected to result from default events on a fnancial asset that are possible within 12 months afer the reportng date. In assessing whether the credit risk on a fnancial asset has increased signifcantly since inital recogniton, the Company compares the risk of default occurring on the fnancial asset at the reportng date with the risk of default occurring at the inital recogniton. The Company considers both quanttatve and qualitatve factors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18 of 53</w:t>
      </w:r>
    </w:p>
    <w:p>
      <w:pPr>
        <w:sectPr>
          <w:pgSz w:w="11900" w:h="16838" w:orient="portrait"/>
          <w:cols w:equalWidth="0" w:num="1">
            <w:col w:w="11200"/>
          </w:cols>
          <w:pgMar w:left="380" w:top="151" w:right="319" w:bottom="1440" w:gutter="0" w:footer="0" w:header="0"/>
        </w:sectPr>
      </w:pPr>
    </w:p>
    <w:bookmarkStart w:id="118" w:name="page119"/>
    <w:bookmarkEnd w:id="118"/>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supportable, including historical experience and forward-looking informaton that is available without undue cost or efort.</w:t>
      </w:r>
    </w:p>
    <w:p>
      <w:pPr>
        <w:spacing w:after="0" w:line="209" w:lineRule="exact"/>
        <w:rPr>
          <w:sz w:val="20"/>
          <w:szCs w:val="20"/>
          <w:color w:val="auto"/>
        </w:rPr>
      </w:pPr>
    </w:p>
    <w:p>
      <w:pPr>
        <w:jc w:val="both"/>
        <w:ind w:left="240" w:right="20"/>
        <w:spacing w:after="0" w:line="228" w:lineRule="auto"/>
        <w:rPr>
          <w:sz w:val="20"/>
          <w:szCs w:val="20"/>
          <w:color w:val="auto"/>
        </w:rPr>
      </w:pPr>
      <w:r>
        <w:rPr>
          <w:rFonts w:ascii="Calibri" w:cs="Calibri" w:eastAsia="Calibri" w:hAnsi="Calibri"/>
          <w:sz w:val="16"/>
          <w:szCs w:val="16"/>
          <w:color w:val="auto"/>
        </w:rPr>
        <w:t>Irrespectve of the above assessment, the Company presumes that the credit risk on a fnancial asset has increased signifcantly since inital recogniton when contractual payments are more than 30 days past due, unless the Company has reasonable and supportable informaton that demonstrates otherwise. Despite the foregoing, the Company presumes that the credit risk on a fnancial asset has not increased signifcantly since inital recogniton if the fnancial asset is determined to have low credit risk at the reportng date.</w:t>
      </w:r>
    </w:p>
    <w:p>
      <w:pPr>
        <w:spacing w:after="0" w:line="211" w:lineRule="exact"/>
        <w:rPr>
          <w:sz w:val="20"/>
          <w:szCs w:val="20"/>
          <w:color w:val="auto"/>
        </w:rPr>
      </w:pPr>
    </w:p>
    <w:p>
      <w:pPr>
        <w:jc w:val="both"/>
        <w:ind w:left="240" w:right="20"/>
        <w:spacing w:after="0" w:line="231" w:lineRule="auto"/>
        <w:rPr>
          <w:sz w:val="20"/>
          <w:szCs w:val="20"/>
          <w:color w:val="auto"/>
        </w:rPr>
      </w:pPr>
      <w:r>
        <w:rPr>
          <w:rFonts w:ascii="Calibri" w:cs="Calibri" w:eastAsia="Calibri" w:hAnsi="Calibri"/>
          <w:sz w:val="16"/>
          <w:szCs w:val="16"/>
          <w:color w:val="auto"/>
        </w:rPr>
        <w:t>The Company regularly monitors the efectveness of the criteria used to identfy whether there has been a signifcant increase in credit risk and revises them as appropriate to ensure that the criteria are capable of identfying signifcant increase in credit risk before the amount becomes pas due.</w:t>
      </w:r>
    </w:p>
    <w:p>
      <w:pPr>
        <w:spacing w:after="0" w:line="197" w:lineRule="exact"/>
        <w:rPr>
          <w:sz w:val="20"/>
          <w:szCs w:val="20"/>
          <w:color w:val="auto"/>
        </w:rPr>
      </w:pPr>
    </w:p>
    <w:p>
      <w:pPr>
        <w:ind w:left="240"/>
        <w:spacing w:after="0"/>
        <w:rPr>
          <w:sz w:val="20"/>
          <w:szCs w:val="20"/>
          <w:color w:val="auto"/>
        </w:rPr>
      </w:pPr>
      <w:r>
        <w:rPr>
          <w:rFonts w:ascii="Calibri" w:cs="Calibri" w:eastAsia="Calibri" w:hAnsi="Calibri"/>
          <w:sz w:val="16"/>
          <w:szCs w:val="16"/>
          <w:i w:val="1"/>
          <w:iCs w:val="1"/>
          <w:color w:val="auto"/>
        </w:rPr>
        <w:t>Defniton of default:</w:t>
      </w:r>
    </w:p>
    <w:p>
      <w:pPr>
        <w:spacing w:after="0" w:line="209" w:lineRule="exact"/>
        <w:rPr>
          <w:sz w:val="20"/>
          <w:szCs w:val="20"/>
          <w:color w:val="auto"/>
        </w:rPr>
      </w:pPr>
    </w:p>
    <w:p>
      <w:pPr>
        <w:jc w:val="both"/>
        <w:ind w:left="240" w:right="20"/>
        <w:spacing w:after="0" w:line="231" w:lineRule="auto"/>
        <w:rPr>
          <w:sz w:val="20"/>
          <w:szCs w:val="20"/>
          <w:color w:val="auto"/>
        </w:rPr>
      </w:pPr>
      <w:r>
        <w:rPr>
          <w:rFonts w:ascii="Calibri" w:cs="Calibri" w:eastAsia="Calibri" w:hAnsi="Calibri"/>
          <w:sz w:val="16"/>
          <w:szCs w:val="16"/>
          <w:color w:val="auto"/>
        </w:rPr>
        <w:t>For internal credit risk management purposes, the Company considers a fnancial asset not recoverable if the customer balance owing is 180 days past due and informaton obtained from the customer and other external factors indicate that the customer is unlikely to pay its creditors in full.</w:t>
      </w:r>
    </w:p>
    <w:p>
      <w:pPr>
        <w:spacing w:after="0" w:line="209" w:lineRule="exact"/>
        <w:rPr>
          <w:sz w:val="20"/>
          <w:szCs w:val="20"/>
          <w:color w:val="auto"/>
        </w:rPr>
      </w:pPr>
    </w:p>
    <w:p>
      <w:pPr>
        <w:ind w:left="240"/>
        <w:spacing w:after="0"/>
        <w:rPr>
          <w:sz w:val="20"/>
          <w:szCs w:val="20"/>
          <w:color w:val="auto"/>
        </w:rPr>
      </w:pPr>
      <w:r>
        <w:rPr>
          <w:rFonts w:ascii="Calibri" w:cs="Calibri" w:eastAsia="Calibri" w:hAnsi="Calibri"/>
          <w:sz w:val="16"/>
          <w:szCs w:val="16"/>
          <w:i w:val="1"/>
          <w:iCs w:val="1"/>
          <w:color w:val="auto"/>
        </w:rPr>
        <w:t>Write-of</w:t>
      </w:r>
    </w:p>
    <w:p>
      <w:pPr>
        <w:spacing w:after="0" w:line="209" w:lineRule="exact"/>
        <w:rPr>
          <w:sz w:val="20"/>
          <w:szCs w:val="20"/>
          <w:color w:val="auto"/>
        </w:rPr>
      </w:pPr>
    </w:p>
    <w:p>
      <w:pPr>
        <w:jc w:val="both"/>
        <w:ind w:left="240" w:right="20"/>
        <w:spacing w:after="0" w:line="229" w:lineRule="auto"/>
        <w:rPr>
          <w:sz w:val="20"/>
          <w:szCs w:val="20"/>
          <w:color w:val="auto"/>
        </w:rPr>
      </w:pPr>
      <w:r>
        <w:rPr>
          <w:rFonts w:ascii="Calibri" w:cs="Calibri" w:eastAsia="Calibri" w:hAnsi="Calibri"/>
          <w:sz w:val="16"/>
          <w:szCs w:val="16"/>
          <w:color w:val="auto"/>
        </w:rPr>
        <w:t>Financial assets are writen of (either partally or in full) when there is no realistc prospect of recovery. This is generally the case when the Company determines that the counterparty does not have assets or sources of income that could general sufcient cash fows to repay the amounts subject to the write-of. However, fnancial assets that are writen of could stll be subject to enforcement actvites in order to comply with the Company’s procedures for recovery of amounts due.</w:t>
      </w:r>
    </w:p>
    <w:p>
      <w:pPr>
        <w:spacing w:after="0" w:line="209"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u w:val="single" w:color="auto"/>
          <w:color w:val="auto"/>
        </w:rPr>
        <w:t>Taxaton</w:t>
      </w:r>
    </w:p>
    <w:p>
      <w:pPr>
        <w:spacing w:after="0" w:line="209" w:lineRule="exact"/>
        <w:rPr>
          <w:sz w:val="20"/>
          <w:szCs w:val="20"/>
          <w:color w:val="auto"/>
        </w:rPr>
      </w:pPr>
    </w:p>
    <w:p>
      <w:pPr>
        <w:jc w:val="both"/>
        <w:ind w:left="240" w:right="20"/>
        <w:spacing w:after="0" w:line="231" w:lineRule="auto"/>
        <w:rPr>
          <w:sz w:val="20"/>
          <w:szCs w:val="20"/>
          <w:color w:val="auto"/>
        </w:rPr>
      </w:pPr>
      <w:r>
        <w:rPr>
          <w:rFonts w:ascii="Calibri" w:cs="Calibri" w:eastAsia="Calibri" w:hAnsi="Calibri"/>
          <w:sz w:val="16"/>
          <w:szCs w:val="16"/>
          <w:color w:val="auto"/>
        </w:rPr>
        <w:t>Income tax comprises current and deferred tax. Income tax is recognized in the consolidated statement of loss and comprehensive loss except to the extent that it relates to items recognized directly in equity, in which case the income tax is also recognized directly in equity.</w:t>
      </w:r>
    </w:p>
    <w:p>
      <w:pPr>
        <w:spacing w:after="0" w:line="210" w:lineRule="exact"/>
        <w:rPr>
          <w:sz w:val="20"/>
          <w:szCs w:val="20"/>
          <w:color w:val="auto"/>
        </w:rPr>
      </w:pPr>
    </w:p>
    <w:p>
      <w:pPr>
        <w:jc w:val="both"/>
        <w:ind w:left="240" w:right="20"/>
        <w:spacing w:after="0" w:line="231" w:lineRule="auto"/>
        <w:rPr>
          <w:sz w:val="20"/>
          <w:szCs w:val="20"/>
          <w:color w:val="auto"/>
        </w:rPr>
      </w:pPr>
      <w:r>
        <w:rPr>
          <w:rFonts w:ascii="Calibri" w:cs="Calibri" w:eastAsia="Calibri" w:hAnsi="Calibri"/>
          <w:sz w:val="16"/>
          <w:szCs w:val="16"/>
          <w:color w:val="auto"/>
        </w:rPr>
        <w:t>Current income tax is the expected tax payable on the taxable income for the year, using tax rates enacted or substantvely enacted, at the end of the reportng period, and any adjustment to tax payable in respect of previous years.</w:t>
      </w:r>
    </w:p>
    <w:p>
      <w:pPr>
        <w:spacing w:after="0" w:line="210" w:lineRule="exact"/>
        <w:rPr>
          <w:sz w:val="20"/>
          <w:szCs w:val="20"/>
          <w:color w:val="auto"/>
        </w:rPr>
      </w:pPr>
    </w:p>
    <w:p>
      <w:pPr>
        <w:jc w:val="both"/>
        <w:ind w:left="240"/>
        <w:spacing w:after="0" w:line="224" w:lineRule="auto"/>
        <w:rPr>
          <w:sz w:val="20"/>
          <w:szCs w:val="20"/>
          <w:color w:val="auto"/>
        </w:rPr>
      </w:pPr>
      <w:r>
        <w:rPr>
          <w:rFonts w:ascii="Calibri" w:cs="Calibri" w:eastAsia="Calibri" w:hAnsi="Calibri"/>
          <w:sz w:val="16"/>
          <w:szCs w:val="16"/>
          <w:color w:val="auto"/>
        </w:rPr>
        <w:t>Provisions for taxes are made using the best estmate of the amount expected to be paid based on a qualitatve assessment of all relevant factors. The Company reviews the adequacy of these provisions at the end of the reportng period. However, it is possible that at some future date an additonal liability could result from audits by taxing authorites. Where the outcome of these tax-related maters is diferent from the amounts that were initally recorded, such diferences will afect the tax provisions in the period in which such determinaton is made.</w:t>
      </w:r>
    </w:p>
    <w:p>
      <w:pPr>
        <w:spacing w:after="0" w:line="212" w:lineRule="exact"/>
        <w:rPr>
          <w:sz w:val="20"/>
          <w:szCs w:val="20"/>
          <w:color w:val="auto"/>
        </w:rPr>
      </w:pPr>
    </w:p>
    <w:p>
      <w:pPr>
        <w:jc w:val="both"/>
        <w:ind w:left="240"/>
        <w:spacing w:after="0" w:line="228" w:lineRule="auto"/>
        <w:rPr>
          <w:sz w:val="20"/>
          <w:szCs w:val="20"/>
          <w:color w:val="auto"/>
        </w:rPr>
      </w:pPr>
      <w:r>
        <w:rPr>
          <w:rFonts w:ascii="Calibri" w:cs="Calibri" w:eastAsia="Calibri" w:hAnsi="Calibri"/>
          <w:sz w:val="16"/>
          <w:szCs w:val="16"/>
          <w:color w:val="auto"/>
        </w:rPr>
        <w:t>Deferred income tax is recorded using the asset and liability method, providing for temporary diferences between the carrying amounts of assets and liabilites for fnancial reportng purposes and the amounts used for taxaton purposes. The following temporary diferences do not result in deferred tax assets or liabilites: the inital recognized of assets or liabilites that afect neither accountng or taxable loss; or diference relatng to investment in subsidiaries to the extent that they will probably not reverse in the foreseeable future. The amount of deferred tax provided is based on the expected manner of realizaton or setlement of the carrying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19 of 53</w:t>
      </w:r>
    </w:p>
    <w:p>
      <w:pPr>
        <w:sectPr>
          <w:pgSz w:w="11900" w:h="16838" w:orient="portrait"/>
          <w:cols w:equalWidth="0" w:num="1">
            <w:col w:w="11200"/>
          </w:cols>
          <w:pgMar w:left="380" w:top="151" w:right="319" w:bottom="1440" w:gutter="0" w:footer="0" w:header="0"/>
        </w:sectPr>
      </w:pPr>
    </w:p>
    <w:bookmarkStart w:id="119" w:name="page120"/>
    <w:bookmarkEnd w:id="119"/>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amount of assets and liabilites, using tax rates enacted or substantvely enacted at the statement of fnancial positon date.</w:t>
      </w:r>
    </w:p>
    <w:p>
      <w:pPr>
        <w:spacing w:after="0" w:line="208"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A deferred tax asset is recognized only to the extent that it is probable that future taxable profts will be available against which the asset can be utlized.</w:t>
      </w:r>
    </w:p>
    <w:p>
      <w:pPr>
        <w:spacing w:after="0" w:line="209" w:lineRule="exact"/>
        <w:rPr>
          <w:sz w:val="20"/>
          <w:szCs w:val="20"/>
          <w:color w:val="auto"/>
        </w:rPr>
      </w:pPr>
    </w:p>
    <w:p>
      <w:pPr>
        <w:jc w:val="both"/>
        <w:ind w:left="240" w:right="20"/>
        <w:spacing w:after="0" w:line="231" w:lineRule="auto"/>
        <w:rPr>
          <w:sz w:val="20"/>
          <w:szCs w:val="20"/>
          <w:color w:val="auto"/>
        </w:rPr>
      </w:pPr>
      <w:r>
        <w:rPr>
          <w:rFonts w:ascii="Calibri" w:cs="Calibri" w:eastAsia="Calibri" w:hAnsi="Calibri"/>
          <w:sz w:val="16"/>
          <w:szCs w:val="16"/>
          <w:color w:val="auto"/>
        </w:rPr>
        <w:t>Deferred tax assets and liabilites are ofset when there is a legally enforceable right to set of current tax assets against current tax liabilites and when they relate to income taxes levied by the same taxaton authority and the Company intends to setle its correct tax assets and liabilites on a net basis.</w:t>
      </w:r>
    </w:p>
    <w:p>
      <w:pPr>
        <w:spacing w:after="0" w:line="222"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u w:val="single" w:color="auto"/>
          <w:color w:val="auto"/>
        </w:rPr>
        <w:t>Share capital</w:t>
      </w:r>
    </w:p>
    <w:p>
      <w:pPr>
        <w:spacing w:after="0" w:line="197" w:lineRule="exact"/>
        <w:rPr>
          <w:sz w:val="20"/>
          <w:szCs w:val="20"/>
          <w:color w:val="auto"/>
        </w:rPr>
      </w:pPr>
    </w:p>
    <w:p>
      <w:pPr>
        <w:jc w:val="both"/>
        <w:ind w:left="240" w:right="20"/>
        <w:spacing w:after="0" w:line="229" w:lineRule="auto"/>
        <w:rPr>
          <w:sz w:val="20"/>
          <w:szCs w:val="20"/>
          <w:color w:val="auto"/>
        </w:rPr>
      </w:pPr>
      <w:r>
        <w:rPr>
          <w:rFonts w:ascii="Calibri" w:cs="Calibri" w:eastAsia="Calibri" w:hAnsi="Calibri"/>
          <w:sz w:val="16"/>
          <w:szCs w:val="16"/>
          <w:color w:val="auto"/>
        </w:rPr>
        <w:t>Equity instruments are contracts that give a residual interest in the net assets of the Company. Financial instruments issued by the Company are classifed as equity only to the extent that they do not meet the defniton of a fnancial liability or fnancial asset. The Common Shares and the Company’s Common Share purchase warrants, and optons are classifed as equity instruments.</w:t>
      </w:r>
    </w:p>
    <w:p>
      <w:pPr>
        <w:spacing w:after="0" w:line="209"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Incremental costs directly atributable to the issue of new Common Shares or optons are shown in equity as a deducton, net of tax, from the proceeds.</w:t>
      </w:r>
    </w:p>
    <w:p>
      <w:pPr>
        <w:spacing w:after="0" w:line="208"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u w:val="single" w:color="auto"/>
          <w:color w:val="auto"/>
        </w:rPr>
        <w:t>Share-based compensaton</w:t>
      </w:r>
    </w:p>
    <w:p>
      <w:pPr>
        <w:spacing w:after="0" w:line="209" w:lineRule="exact"/>
        <w:rPr>
          <w:sz w:val="20"/>
          <w:szCs w:val="20"/>
          <w:color w:val="auto"/>
        </w:rPr>
      </w:pPr>
    </w:p>
    <w:p>
      <w:pPr>
        <w:jc w:val="both"/>
        <w:ind w:left="240" w:right="20"/>
        <w:spacing w:after="0" w:line="224" w:lineRule="auto"/>
        <w:rPr>
          <w:sz w:val="20"/>
          <w:szCs w:val="20"/>
          <w:color w:val="auto"/>
        </w:rPr>
      </w:pPr>
      <w:r>
        <w:rPr>
          <w:rFonts w:ascii="Calibri" w:cs="Calibri" w:eastAsia="Calibri" w:hAnsi="Calibri"/>
          <w:sz w:val="16"/>
          <w:szCs w:val="16"/>
          <w:color w:val="auto"/>
        </w:rPr>
        <w:t>Under the Company’s stock opton plan, all stock optons granted have graded vestng periods and are exercisable up to a maximum of 10 years form the date of grant. Each tranche of an award with graded vestng periods is considered a separate grant at each grant date for the calculaton of fair value, and the resultng fair value is amortzed over the vestng period of the respectve tranches. The fair value of the optons granted is measured using the Black-Scholes opton pricing model taking into account the terms and conditons upon which the optons were granted, the estmated volatlity, estmated risk free rate and estmated forfeitures.</w:t>
      </w:r>
    </w:p>
    <w:p>
      <w:pPr>
        <w:spacing w:after="0" w:line="212" w:lineRule="exact"/>
        <w:rPr>
          <w:sz w:val="20"/>
          <w:szCs w:val="20"/>
          <w:color w:val="auto"/>
        </w:rPr>
      </w:pPr>
    </w:p>
    <w:p>
      <w:pPr>
        <w:jc w:val="both"/>
        <w:ind w:left="240" w:right="20"/>
        <w:spacing w:after="0" w:line="229" w:lineRule="auto"/>
        <w:rPr>
          <w:sz w:val="20"/>
          <w:szCs w:val="20"/>
          <w:color w:val="auto"/>
        </w:rPr>
      </w:pPr>
      <w:r>
        <w:rPr>
          <w:rFonts w:ascii="Calibri" w:cs="Calibri" w:eastAsia="Calibri" w:hAnsi="Calibri"/>
          <w:sz w:val="16"/>
          <w:szCs w:val="16"/>
          <w:color w:val="auto"/>
        </w:rPr>
        <w:t>If a grant of the share-based payments is cancelled or setled during the vestng period (other than a grant cancelled by forfeiture when the vestng conditons are not satsfed), the Company accounts for the cancellaton or setlement as an acceleraton of vestng, and recognized immediately the amount that otherwise would have been recognized for services over the remainder of the vestng period.</w:t>
      </w:r>
    </w:p>
    <w:p>
      <w:pPr>
        <w:spacing w:after="0" w:line="211" w:lineRule="exact"/>
        <w:rPr>
          <w:sz w:val="20"/>
          <w:szCs w:val="20"/>
          <w:color w:val="auto"/>
        </w:rPr>
      </w:pPr>
    </w:p>
    <w:p>
      <w:pPr>
        <w:jc w:val="both"/>
        <w:ind w:left="240"/>
        <w:spacing w:after="0" w:line="228" w:lineRule="auto"/>
        <w:rPr>
          <w:sz w:val="20"/>
          <w:szCs w:val="20"/>
          <w:color w:val="auto"/>
        </w:rPr>
      </w:pPr>
      <w:r>
        <w:rPr>
          <w:rFonts w:ascii="Calibri" w:cs="Calibri" w:eastAsia="Calibri" w:hAnsi="Calibri"/>
          <w:sz w:val="16"/>
          <w:szCs w:val="16"/>
          <w:color w:val="auto"/>
        </w:rPr>
        <w:t>The amount recognized for goods or services received during the vestng period are based on the best available estmate of the number of equity instruments antcipated to vest. The Company revises that estmate, if necessary, if subsequent informaton indicates that the number of share optons antcipated to vest difers from previous estmates. On vestng date, the Company revises the estmate to equal the number of equity instrument that ultmately vested. Afer vestng date, the Company makes no subsequent adjustment to total equity for goods or services received if the share optons are later forfeited or they expire at the end of the share opton’s life.</w:t>
      </w:r>
    </w:p>
    <w:p>
      <w:pPr>
        <w:spacing w:after="0" w:line="235" w:lineRule="exact"/>
        <w:rPr>
          <w:sz w:val="20"/>
          <w:szCs w:val="20"/>
          <w:color w:val="auto"/>
        </w:rPr>
      </w:pPr>
    </w:p>
    <w:p>
      <w:pPr>
        <w:jc w:val="both"/>
        <w:ind w:left="240"/>
        <w:spacing w:after="0" w:line="232" w:lineRule="auto"/>
        <w:rPr>
          <w:sz w:val="20"/>
          <w:szCs w:val="20"/>
          <w:color w:val="auto"/>
        </w:rPr>
      </w:pPr>
      <w:r>
        <w:rPr>
          <w:rFonts w:ascii="Calibri" w:cs="Calibri" w:eastAsia="Calibri" w:hAnsi="Calibri"/>
          <w:sz w:val="16"/>
          <w:szCs w:val="16"/>
          <w:color w:val="auto"/>
        </w:rPr>
        <w:t>If a grant of the share based payment is modifed during the vestng period (other than a grant cancelled by forfeiture when the vestng conditons are not satsfed) and the fair value of the new instruments is higher than the fair value of the original instrument, the incremental fair value granted is included in the measurement of the amount recognized for services received over the period from modifcaton date untl the date when the modifed equity instruments vests, in additon to the amount based on the grant date fair value of the original equity instruments, which is recognized over the remainder of the original vestng period of the original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20 of 53</w:t>
      </w:r>
    </w:p>
    <w:p>
      <w:pPr>
        <w:sectPr>
          <w:pgSz w:w="11900" w:h="16838" w:orient="portrait"/>
          <w:cols w:equalWidth="0" w:num="1">
            <w:col w:w="11200"/>
          </w:cols>
          <w:pgMar w:left="380" w:top="151" w:right="319" w:bottom="1440" w:gutter="0" w:footer="0" w:header="0"/>
        </w:sectPr>
      </w:pPr>
    </w:p>
    <w:bookmarkStart w:id="120" w:name="page121"/>
    <w:bookmarkEnd w:id="120"/>
    <w:p>
      <w:pPr>
        <w:ind w:left="60"/>
        <w:spacing w:after="0"/>
        <w:rPr>
          <w:sz w:val="20"/>
          <w:szCs w:val="20"/>
          <w:color w:val="auto"/>
        </w:rPr>
      </w:pPr>
      <w:r>
        <w:rPr>
          <w:rFonts w:ascii="Calibri" w:cs="Calibri" w:eastAsia="Calibri" w:hAnsi="Calibri"/>
          <w:sz w:val="20"/>
          <w:szCs w:val="20"/>
          <w:b w:val="1"/>
          <w:bCs w:val="1"/>
          <w:color w:val="auto"/>
        </w:rPr>
        <w:t>CYBIN INC.</w:t>
      </w:r>
    </w:p>
    <w:p>
      <w:pPr>
        <w:ind w:left="60"/>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0"/>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0"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714565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i w:val="1"/>
          <w:iCs w:val="1"/>
          <w:u w:val="single" w:color="auto"/>
          <w:color w:val="auto"/>
        </w:rPr>
        <w:t>Warrants</w:t>
      </w:r>
    </w:p>
    <w:p>
      <w:pPr>
        <w:spacing w:after="0" w:line="209" w:lineRule="exact"/>
        <w:rPr>
          <w:sz w:val="20"/>
          <w:szCs w:val="20"/>
          <w:color w:val="auto"/>
        </w:rPr>
      </w:pPr>
    </w:p>
    <w:p>
      <w:pPr>
        <w:jc w:val="both"/>
        <w:ind w:left="300"/>
        <w:spacing w:after="0" w:line="224" w:lineRule="auto"/>
        <w:rPr>
          <w:sz w:val="20"/>
          <w:szCs w:val="20"/>
          <w:color w:val="auto"/>
        </w:rPr>
      </w:pPr>
      <w:r>
        <w:rPr>
          <w:rFonts w:ascii="Calibri" w:cs="Calibri" w:eastAsia="Calibri" w:hAnsi="Calibri"/>
          <w:sz w:val="16"/>
          <w:szCs w:val="16"/>
          <w:color w:val="auto"/>
        </w:rPr>
        <w:t>The Company follows the relatve fair value method with respect to the measurement of Common Shares and warrants issued as units. The proceeds from the issuance of units are allocated between share capital and warrants. The warrant component is recorded in equity reserve. Unit proceeds are allocated to Common Shares and warrants using the Black-Scholes opton pricing model and the share price at the tme of fnancing. If and when the warrants are exercised, consideraton paid by the warrant holder, together with the amount previously recognized in warrant reserve, is recorded as an increase to share capital. A forfeiture rate is estmated on the grant date and is adjusted to refect the actual number of warrants that vest. When stock optons or warrants are cancelled, they are treated as if they have vested on the date of collaton and any cost not yet recognized in proft or loss is immediately expensed. Upon expiraton of warrants, the amount applicable to expired warrants is moved to contributed surplus.</w:t>
      </w:r>
    </w:p>
    <w:p>
      <w:pPr>
        <w:spacing w:after="0" w:line="226"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u w:val="single" w:color="auto"/>
          <w:color w:val="auto"/>
        </w:rPr>
        <w:t>Loss per share</w:t>
      </w:r>
    </w:p>
    <w:p>
      <w:pPr>
        <w:spacing w:after="0" w:line="209" w:lineRule="exact"/>
        <w:rPr>
          <w:sz w:val="20"/>
          <w:szCs w:val="20"/>
          <w:color w:val="auto"/>
        </w:rPr>
      </w:pPr>
    </w:p>
    <w:p>
      <w:pPr>
        <w:jc w:val="both"/>
        <w:ind w:left="300" w:right="20"/>
        <w:spacing w:after="0" w:line="229" w:lineRule="auto"/>
        <w:rPr>
          <w:sz w:val="20"/>
          <w:szCs w:val="20"/>
          <w:color w:val="auto"/>
        </w:rPr>
      </w:pPr>
      <w:r>
        <w:rPr>
          <w:rFonts w:ascii="Calibri" w:cs="Calibri" w:eastAsia="Calibri" w:hAnsi="Calibri"/>
          <w:sz w:val="16"/>
          <w:szCs w:val="16"/>
          <w:color w:val="auto"/>
        </w:rPr>
        <w:t>Basic loss per share is calculated using the weighted-average number of shares outstanding during the period. The diluted earnings (loss) per share refects the potental diluton of Common Share equivalents, such as outstanding stock optons and warrants, in the weighted average number of Common Shares outstanding during the period, if they are dilutve.</w:t>
      </w:r>
    </w:p>
    <w:p>
      <w:pPr>
        <w:spacing w:after="0" w:line="197"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u w:val="single" w:color="auto"/>
          <w:color w:val="auto"/>
        </w:rPr>
        <w:t>Currency translaton</w:t>
      </w:r>
    </w:p>
    <w:p>
      <w:pPr>
        <w:spacing w:after="0" w:line="208"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All fgures presented in the consolidated fnancial statements are refected in Canadian dollars unless otherwise noted.</w:t>
      </w:r>
    </w:p>
    <w:p>
      <w:pPr>
        <w:spacing w:after="0" w:line="209" w:lineRule="exact"/>
        <w:rPr>
          <w:sz w:val="20"/>
          <w:szCs w:val="20"/>
          <w:color w:val="auto"/>
        </w:rPr>
      </w:pPr>
    </w:p>
    <w:p>
      <w:pPr>
        <w:jc w:val="both"/>
        <w:ind w:left="300" w:right="20"/>
        <w:spacing w:after="0" w:line="229" w:lineRule="auto"/>
        <w:rPr>
          <w:sz w:val="20"/>
          <w:szCs w:val="20"/>
          <w:color w:val="auto"/>
        </w:rPr>
      </w:pPr>
      <w:r>
        <w:rPr>
          <w:rFonts w:ascii="Calibri" w:cs="Calibri" w:eastAsia="Calibri" w:hAnsi="Calibri"/>
          <w:sz w:val="16"/>
          <w:szCs w:val="16"/>
          <w:color w:val="auto"/>
        </w:rPr>
        <w:t>Foreign currency transactons are translated into Canadian dollars at exchange rates in efect on the date of the transactons. Monetary assets and liabilites denominated in foreign currencies at the statement of fnancial positon date are translated to Canadian dollars at the foreign exchange rate applicable as that date. Realized and unrealized exchange gains and losses are recognized through proft or loss.</w:t>
      </w:r>
    </w:p>
    <w:p>
      <w:pPr>
        <w:spacing w:after="0" w:line="211" w:lineRule="exact"/>
        <w:rPr>
          <w:sz w:val="20"/>
          <w:szCs w:val="20"/>
          <w:color w:val="auto"/>
        </w:rPr>
      </w:pPr>
    </w:p>
    <w:p>
      <w:pPr>
        <w:jc w:val="both"/>
        <w:ind w:left="300" w:right="20"/>
        <w:spacing w:after="0" w:line="229" w:lineRule="auto"/>
        <w:rPr>
          <w:sz w:val="20"/>
          <w:szCs w:val="20"/>
          <w:color w:val="auto"/>
        </w:rPr>
      </w:pPr>
      <w:r>
        <w:rPr>
          <w:rFonts w:ascii="Calibri" w:cs="Calibri" w:eastAsia="Calibri" w:hAnsi="Calibri"/>
          <w:sz w:val="16"/>
          <w:szCs w:val="16"/>
          <w:color w:val="auto"/>
        </w:rPr>
        <w:t>The assets and liabilites of foreign operatons are translated into Canadian dollars at period-end exchange rates. Income and expenses, and cash fows of foreign operatons are translated into Canadian dollars using average exchange rates. Exchange diferences resultng from translatng foreign operatons are recognized in other comprehensive income (loss) and accumulated in shareholders’ equity.</w:t>
      </w:r>
    </w:p>
    <w:p>
      <w:pPr>
        <w:spacing w:after="0" w:line="211" w:lineRule="exact"/>
        <w:rPr>
          <w:sz w:val="20"/>
          <w:szCs w:val="20"/>
          <w:color w:val="auto"/>
        </w:rPr>
      </w:pPr>
    </w:p>
    <w:p>
      <w:pPr>
        <w:jc w:val="both"/>
        <w:ind w:left="300" w:right="20"/>
        <w:spacing w:after="0" w:line="229" w:lineRule="auto"/>
        <w:rPr>
          <w:sz w:val="20"/>
          <w:szCs w:val="20"/>
          <w:color w:val="auto"/>
        </w:rPr>
      </w:pPr>
      <w:r>
        <w:rPr>
          <w:rFonts w:ascii="Calibri" w:cs="Calibri" w:eastAsia="Calibri" w:hAnsi="Calibri"/>
          <w:sz w:val="16"/>
          <w:szCs w:val="16"/>
          <w:color w:val="auto"/>
        </w:rPr>
        <w:t>Foreign currency translaton gains or losses arising from a monetary item receivable or payable to a foreign operaton, the setlement of which is neither planned nor likely to occur in the foreseeable future and which in substance is considered to form part of the net investment in the foreign operaton, are recognized in other comprehensive income (loss) in the translaton reserve.</w:t>
      </w:r>
    </w:p>
    <w:p>
      <w:pPr>
        <w:spacing w:after="0" w:line="209"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i w:val="1"/>
          <w:iCs w:val="1"/>
          <w:u w:val="single" w:color="auto"/>
          <w:color w:val="auto"/>
        </w:rPr>
        <w:t>Provisions</w:t>
      </w:r>
    </w:p>
    <w:p>
      <w:pPr>
        <w:spacing w:after="0" w:line="209" w:lineRule="exact"/>
        <w:rPr>
          <w:sz w:val="20"/>
          <w:szCs w:val="20"/>
          <w:color w:val="auto"/>
        </w:rPr>
      </w:pPr>
    </w:p>
    <w:p>
      <w:pPr>
        <w:jc w:val="both"/>
        <w:ind w:left="300"/>
        <w:spacing w:after="0" w:line="224" w:lineRule="auto"/>
        <w:rPr>
          <w:sz w:val="20"/>
          <w:szCs w:val="20"/>
          <w:color w:val="auto"/>
        </w:rPr>
      </w:pPr>
      <w:r>
        <w:rPr>
          <w:rFonts w:ascii="Calibri" w:cs="Calibri" w:eastAsia="Calibri" w:hAnsi="Calibri"/>
          <w:sz w:val="16"/>
          <w:szCs w:val="16"/>
          <w:color w:val="auto"/>
        </w:rPr>
        <w:t>Provisions are recorded when a present legal or constructve obligaton exists as a result of past events where it is probable that an outlow of resources embodying economic benefts will be required to setle the obligaton, and a reliable estmate of the amount of the obligaton can be made.</w:t>
      </w:r>
    </w:p>
    <w:p>
      <w:pPr>
        <w:spacing w:after="0" w:line="210" w:lineRule="exact"/>
        <w:rPr>
          <w:sz w:val="20"/>
          <w:szCs w:val="20"/>
          <w:color w:val="auto"/>
        </w:rPr>
      </w:pPr>
    </w:p>
    <w:p>
      <w:pPr>
        <w:jc w:val="both"/>
        <w:ind w:left="300"/>
        <w:spacing w:after="0" w:line="229" w:lineRule="auto"/>
        <w:rPr>
          <w:sz w:val="20"/>
          <w:szCs w:val="20"/>
          <w:color w:val="auto"/>
        </w:rPr>
      </w:pPr>
      <w:r>
        <w:rPr>
          <w:rFonts w:ascii="Calibri" w:cs="Calibri" w:eastAsia="Calibri" w:hAnsi="Calibri"/>
          <w:sz w:val="16"/>
          <w:szCs w:val="16"/>
          <w:color w:val="auto"/>
        </w:rPr>
        <w:t>The amount recognized as a provision is the best estmate of the consideraton required to setle the present obligaton at the statement of fnancial positon date, taking into account the risks and uncertaintes surrounding the obligaton. Where a provision is measured using the cash fows estmated to setle the present obligaton, its carrying amount is the present value of those cash fows. When some or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21 of 53</w:t>
      </w:r>
    </w:p>
    <w:p>
      <w:pPr>
        <w:sectPr>
          <w:pgSz w:w="11900" w:h="16838" w:orient="portrait"/>
          <w:cols w:equalWidth="0" w:num="1">
            <w:col w:w="11260"/>
          </w:cols>
          <w:pgMar w:left="320" w:top="151" w:right="319" w:bottom="1440" w:gutter="0" w:footer="0" w:header="0"/>
        </w:sectPr>
      </w:pPr>
    </w:p>
    <w:bookmarkStart w:id="121" w:name="page122"/>
    <w:bookmarkEnd w:id="121"/>
    <w:p>
      <w:pPr>
        <w:ind w:left="62"/>
        <w:spacing w:after="0"/>
        <w:rPr>
          <w:sz w:val="20"/>
          <w:szCs w:val="20"/>
          <w:color w:val="auto"/>
        </w:rPr>
      </w:pPr>
      <w:r>
        <w:rPr>
          <w:rFonts w:ascii="Calibri" w:cs="Calibri" w:eastAsia="Calibri" w:hAnsi="Calibri"/>
          <w:sz w:val="20"/>
          <w:szCs w:val="20"/>
          <w:b w:val="1"/>
          <w:bCs w:val="1"/>
          <w:color w:val="auto"/>
        </w:rPr>
        <w:t>CYBIN INC.</w:t>
      </w:r>
    </w:p>
    <w:p>
      <w:pPr>
        <w:ind w:left="62"/>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2"/>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2"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4565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2" w:right="20"/>
        <w:spacing w:after="0" w:line="231" w:lineRule="auto"/>
        <w:rPr>
          <w:sz w:val="20"/>
          <w:szCs w:val="20"/>
          <w:color w:val="auto"/>
        </w:rPr>
      </w:pPr>
      <w:r>
        <w:rPr>
          <w:rFonts w:ascii="Calibri" w:cs="Calibri" w:eastAsia="Calibri" w:hAnsi="Calibri"/>
          <w:sz w:val="16"/>
          <w:szCs w:val="16"/>
          <w:color w:val="auto"/>
        </w:rPr>
        <w:t>economic benefts required to setle, a provision is expected to be recovered from a third party, the receivable is recognized as an asset if it is virtually certain that reimbursement will be received and the amount receivable can be measured reliably.</w:t>
      </w:r>
    </w:p>
    <w:p>
      <w:pPr>
        <w:spacing w:after="0" w:line="209" w:lineRule="exact"/>
        <w:rPr>
          <w:sz w:val="20"/>
          <w:szCs w:val="20"/>
          <w:color w:val="auto"/>
        </w:rPr>
      </w:pPr>
    </w:p>
    <w:p>
      <w:pPr>
        <w:ind w:left="302"/>
        <w:spacing w:after="0"/>
        <w:rPr>
          <w:sz w:val="20"/>
          <w:szCs w:val="20"/>
          <w:color w:val="auto"/>
        </w:rPr>
      </w:pPr>
      <w:r>
        <w:rPr>
          <w:rFonts w:ascii="Calibri" w:cs="Calibri" w:eastAsia="Calibri" w:hAnsi="Calibri"/>
          <w:sz w:val="16"/>
          <w:szCs w:val="16"/>
          <w:b w:val="1"/>
          <w:bCs w:val="1"/>
          <w:i w:val="1"/>
          <w:iCs w:val="1"/>
          <w:u w:val="single" w:color="auto"/>
          <w:color w:val="auto"/>
        </w:rPr>
        <w:t>New standards and interpretatons not yet adopted</w:t>
      </w:r>
    </w:p>
    <w:p>
      <w:pPr>
        <w:spacing w:after="0" w:line="209" w:lineRule="exact"/>
        <w:rPr>
          <w:sz w:val="20"/>
          <w:szCs w:val="20"/>
          <w:color w:val="auto"/>
        </w:rPr>
      </w:pPr>
    </w:p>
    <w:p>
      <w:pPr>
        <w:ind w:left="302"/>
        <w:spacing w:after="0" w:line="231" w:lineRule="auto"/>
        <w:rPr>
          <w:sz w:val="20"/>
          <w:szCs w:val="20"/>
          <w:color w:val="auto"/>
        </w:rPr>
      </w:pPr>
      <w:r>
        <w:rPr>
          <w:rFonts w:ascii="Calibri" w:cs="Calibri" w:eastAsia="Calibri" w:hAnsi="Calibri"/>
          <w:sz w:val="16"/>
          <w:szCs w:val="16"/>
          <w:color w:val="auto"/>
        </w:rPr>
        <w:t>A number of new standards, amendments to standards and interpretatons are not yet efectve at March 31, 2022, and have not been applied in preparing these consolidated fnancial statements. Management has determined that none of these will have a signifcant efect on consolidated fnancial statements of the Company.</w:t>
      </w:r>
    </w:p>
    <w:p>
      <w:pPr>
        <w:spacing w:after="0" w:line="160" w:lineRule="exact"/>
        <w:rPr>
          <w:sz w:val="20"/>
          <w:szCs w:val="20"/>
          <w:color w:val="auto"/>
        </w:rPr>
      </w:pPr>
    </w:p>
    <w:p>
      <w:pPr>
        <w:ind w:left="282" w:hanging="282"/>
        <w:spacing w:after="0"/>
        <w:tabs>
          <w:tab w:leader="none" w:pos="282" w:val="left"/>
        </w:tabs>
        <w:numPr>
          <w:ilvl w:val="0"/>
          <w:numId w:val="74"/>
        </w:numPr>
        <w:rPr>
          <w:rFonts w:ascii="Calibri" w:cs="Calibri" w:eastAsia="Calibri" w:hAnsi="Calibri"/>
          <w:sz w:val="16"/>
          <w:szCs w:val="16"/>
          <w:b w:val="1"/>
          <w:bCs w:val="1"/>
          <w:color w:val="2D5F91"/>
        </w:rPr>
      </w:pPr>
      <w:r>
        <w:rPr>
          <w:rFonts w:ascii="Calibri" w:cs="Calibri" w:eastAsia="Calibri" w:hAnsi="Calibri"/>
          <w:sz w:val="16"/>
          <w:szCs w:val="16"/>
          <w:b w:val="1"/>
          <w:bCs w:val="1"/>
          <w:color w:val="2D5F91"/>
        </w:rPr>
        <w:t>CRITICAL ACCOUNTING ESTIMATES AND JUDGEMENTS</w:t>
      </w:r>
    </w:p>
    <w:p>
      <w:pPr>
        <w:spacing w:after="0" w:line="209" w:lineRule="exact"/>
        <w:rPr>
          <w:rFonts w:ascii="Calibri" w:cs="Calibri" w:eastAsia="Calibri" w:hAnsi="Calibri"/>
          <w:sz w:val="16"/>
          <w:szCs w:val="16"/>
          <w:b w:val="1"/>
          <w:bCs w:val="1"/>
          <w:color w:val="2D5F91"/>
        </w:rPr>
      </w:pPr>
    </w:p>
    <w:p>
      <w:pPr>
        <w:jc w:val="both"/>
        <w:ind w:left="302"/>
        <w:spacing w:after="0" w:line="227" w:lineRule="auto"/>
        <w:rPr>
          <w:rFonts w:ascii="Calibri" w:cs="Calibri" w:eastAsia="Calibri" w:hAnsi="Calibri"/>
          <w:sz w:val="16"/>
          <w:szCs w:val="16"/>
          <w:b w:val="1"/>
          <w:bCs w:val="1"/>
          <w:color w:val="2D5F91"/>
        </w:rPr>
      </w:pPr>
      <w:r>
        <w:rPr>
          <w:rFonts w:ascii="Calibri" w:cs="Calibri" w:eastAsia="Calibri" w:hAnsi="Calibri"/>
          <w:sz w:val="16"/>
          <w:szCs w:val="16"/>
          <w:color w:val="auto"/>
        </w:rPr>
        <w:t>The preparaton of these consolidated fnancial statements requires management to make certain estmates, judgments and assumptons that afect the reported amounts of assets and liabilites at the date of the consolidated fnancial statements and reported amounts of expenses during the reportng year. Actual outcomes could difer from these estmates. These Consolidated Financial Statements include estmates which, by their nature, are uncertain. The impacts of such estmates are pervasive throughout the consolidated fnancial statements and may require accountng adjustments based on future occurrences. Revisions to accountng estmates are recognized in the year in which the estmate is revised and future years if the revision afects both current and future years. These estmates are based on historical experience, current and future economic conditons and other factors, including expectatons of future events that are believed to be reasonable under the circumstances.</w:t>
      </w:r>
    </w:p>
    <w:p>
      <w:pPr>
        <w:spacing w:after="0" w:line="198" w:lineRule="exact"/>
        <w:rPr>
          <w:rFonts w:ascii="Calibri" w:cs="Calibri" w:eastAsia="Calibri" w:hAnsi="Calibri"/>
          <w:sz w:val="16"/>
          <w:szCs w:val="16"/>
          <w:b w:val="1"/>
          <w:bCs w:val="1"/>
          <w:color w:val="2D5F91"/>
        </w:rPr>
      </w:pPr>
    </w:p>
    <w:p>
      <w:pPr>
        <w:ind w:left="302" w:right="20"/>
        <w:spacing w:after="0" w:line="231" w:lineRule="auto"/>
        <w:rPr>
          <w:rFonts w:ascii="Calibri" w:cs="Calibri" w:eastAsia="Calibri" w:hAnsi="Calibri"/>
          <w:sz w:val="16"/>
          <w:szCs w:val="16"/>
          <w:b w:val="1"/>
          <w:bCs w:val="1"/>
          <w:color w:val="2D5F91"/>
        </w:rPr>
      </w:pPr>
      <w:r>
        <w:rPr>
          <w:rFonts w:ascii="Calibri" w:cs="Calibri" w:eastAsia="Calibri" w:hAnsi="Calibri"/>
          <w:sz w:val="16"/>
          <w:szCs w:val="16"/>
          <w:color w:val="auto"/>
        </w:rPr>
        <w:t>Judgments, estmates and assumptons that have the most signifcant efect on the amounts recognized in the consolidated fnancial statements include warrants and fair value of share-based payments (note 10) and the fair value of fnancial instruments (note 15).</w:t>
      </w:r>
    </w:p>
    <w:p>
      <w:pPr>
        <w:spacing w:after="0" w:line="209" w:lineRule="exact"/>
        <w:rPr>
          <w:rFonts w:ascii="Calibri" w:cs="Calibri" w:eastAsia="Calibri" w:hAnsi="Calibri"/>
          <w:sz w:val="16"/>
          <w:szCs w:val="16"/>
          <w:b w:val="1"/>
          <w:bCs w:val="1"/>
          <w:color w:val="2D5F91"/>
        </w:rPr>
      </w:pPr>
    </w:p>
    <w:p>
      <w:pPr>
        <w:ind w:left="302"/>
        <w:spacing w:after="0"/>
        <w:rPr>
          <w:rFonts w:ascii="Calibri" w:cs="Calibri" w:eastAsia="Calibri" w:hAnsi="Calibri"/>
          <w:sz w:val="16"/>
          <w:szCs w:val="16"/>
          <w:b w:val="1"/>
          <w:bCs w:val="1"/>
          <w:color w:val="2D5F91"/>
        </w:rPr>
      </w:pPr>
      <w:r>
        <w:rPr>
          <w:rFonts w:ascii="Calibri" w:cs="Calibri" w:eastAsia="Calibri" w:hAnsi="Calibri"/>
          <w:sz w:val="16"/>
          <w:szCs w:val="16"/>
          <w:b w:val="1"/>
          <w:bCs w:val="1"/>
          <w:i w:val="1"/>
          <w:iCs w:val="1"/>
          <w:color w:val="auto"/>
        </w:rPr>
        <w:t>Ability to contnue as a going concern</w:t>
      </w:r>
    </w:p>
    <w:p>
      <w:pPr>
        <w:spacing w:after="0" w:line="209" w:lineRule="exact"/>
        <w:rPr>
          <w:rFonts w:ascii="Calibri" w:cs="Calibri" w:eastAsia="Calibri" w:hAnsi="Calibri"/>
          <w:sz w:val="16"/>
          <w:szCs w:val="16"/>
          <w:b w:val="1"/>
          <w:bCs w:val="1"/>
          <w:color w:val="2D5F91"/>
        </w:rPr>
      </w:pPr>
    </w:p>
    <w:p>
      <w:pPr>
        <w:ind w:left="302" w:right="20"/>
        <w:spacing w:after="0" w:line="231" w:lineRule="auto"/>
        <w:rPr>
          <w:rFonts w:ascii="Calibri" w:cs="Calibri" w:eastAsia="Calibri" w:hAnsi="Calibri"/>
          <w:sz w:val="16"/>
          <w:szCs w:val="16"/>
          <w:b w:val="1"/>
          <w:bCs w:val="1"/>
          <w:color w:val="2D5F91"/>
        </w:rPr>
      </w:pPr>
      <w:r>
        <w:rPr>
          <w:rFonts w:ascii="Calibri" w:cs="Calibri" w:eastAsia="Calibri" w:hAnsi="Calibri"/>
          <w:sz w:val="16"/>
          <w:szCs w:val="16"/>
          <w:color w:val="auto"/>
        </w:rPr>
        <w:t>In order to assess whether it is appropriate for the Company to contnue as a going concern, management is required to apply judgment and make estmates with respect to future cash fow projectons.</w:t>
      </w:r>
    </w:p>
    <w:p>
      <w:pPr>
        <w:spacing w:after="0" w:line="210" w:lineRule="exact"/>
        <w:rPr>
          <w:sz w:val="20"/>
          <w:szCs w:val="20"/>
          <w:color w:val="auto"/>
        </w:rPr>
      </w:pPr>
    </w:p>
    <w:p>
      <w:pPr>
        <w:jc w:val="both"/>
        <w:ind w:left="302" w:right="20"/>
        <w:spacing w:after="0" w:line="231" w:lineRule="auto"/>
        <w:rPr>
          <w:sz w:val="20"/>
          <w:szCs w:val="20"/>
          <w:color w:val="auto"/>
        </w:rPr>
      </w:pPr>
      <w:r>
        <w:rPr>
          <w:rFonts w:ascii="Calibri" w:cs="Calibri" w:eastAsia="Calibri" w:hAnsi="Calibri"/>
          <w:sz w:val="16"/>
          <w:szCs w:val="16"/>
          <w:color w:val="auto"/>
        </w:rPr>
        <w:t>In arriving at this judgment, there were a number of assumptons and estmates involved in calculatng these future cash fow projectons. This includes making estmates regarding the tming and amounts of future expenditures and the ability and tming of raising additonal fnancing.</w:t>
      </w:r>
    </w:p>
    <w:p>
      <w:pPr>
        <w:spacing w:after="0" w:line="209" w:lineRule="exact"/>
        <w:rPr>
          <w:sz w:val="20"/>
          <w:szCs w:val="20"/>
          <w:color w:val="auto"/>
        </w:rPr>
      </w:pPr>
    </w:p>
    <w:p>
      <w:pPr>
        <w:ind w:left="2"/>
        <w:spacing w:after="0"/>
        <w:rPr>
          <w:sz w:val="20"/>
          <w:szCs w:val="20"/>
          <w:color w:val="auto"/>
        </w:rPr>
      </w:pPr>
      <w:r>
        <w:rPr>
          <w:rFonts w:ascii="Calibri" w:cs="Calibri" w:eastAsia="Calibri" w:hAnsi="Calibri"/>
          <w:sz w:val="16"/>
          <w:szCs w:val="16"/>
          <w:b w:val="1"/>
          <w:bCs w:val="1"/>
          <w:i w:val="1"/>
          <w:iCs w:val="1"/>
          <w:color w:val="auto"/>
        </w:rPr>
        <w:t>Business combinatons</w:t>
      </w:r>
    </w:p>
    <w:p>
      <w:pPr>
        <w:spacing w:after="0" w:line="209" w:lineRule="exact"/>
        <w:rPr>
          <w:sz w:val="20"/>
          <w:szCs w:val="20"/>
          <w:color w:val="auto"/>
        </w:rPr>
      </w:pPr>
    </w:p>
    <w:p>
      <w:pPr>
        <w:jc w:val="both"/>
        <w:ind w:left="302"/>
        <w:spacing w:after="0" w:line="227" w:lineRule="auto"/>
        <w:rPr>
          <w:sz w:val="20"/>
          <w:szCs w:val="20"/>
          <w:color w:val="auto"/>
        </w:rPr>
      </w:pPr>
      <w:r>
        <w:rPr>
          <w:rFonts w:ascii="Calibri" w:cs="Calibri" w:eastAsia="Calibri" w:hAnsi="Calibri"/>
          <w:sz w:val="16"/>
          <w:szCs w:val="16"/>
          <w:color w:val="auto"/>
        </w:rPr>
        <w:t>A business combinaton is a transacton or event in which an acquirer obtains control of one or more businesses and is accounted for using the acquisiton method. The total consideraton paid for the acquisiton is the aggregate of the fair values of assets given, liabilites incurred or assumed, and equity instruments issued in exchange for control of the acquiree at the acquisiton date. The acquisiton date is the date where the Company obtains control of the acquiree. The identfable assets acquired and liabilites assumed are recognized at their acquisiton date fair values, except for deferred taxes and share-based payment awards where IFRS provides exceptons to recording the amounts at fair value. Acquisiton costs are expensed to proft or loss.</w:t>
      </w:r>
    </w:p>
    <w:p>
      <w:pPr>
        <w:spacing w:after="0" w:line="200" w:lineRule="exact"/>
        <w:rPr>
          <w:sz w:val="20"/>
          <w:szCs w:val="20"/>
          <w:color w:val="auto"/>
        </w:rPr>
      </w:pPr>
    </w:p>
    <w:p>
      <w:pPr>
        <w:jc w:val="both"/>
        <w:ind w:left="302" w:right="20"/>
        <w:spacing w:after="0" w:line="231" w:lineRule="auto"/>
        <w:rPr>
          <w:sz w:val="20"/>
          <w:szCs w:val="20"/>
          <w:color w:val="auto"/>
        </w:rPr>
      </w:pPr>
      <w:r>
        <w:rPr>
          <w:rFonts w:ascii="Calibri" w:cs="Calibri" w:eastAsia="Calibri" w:hAnsi="Calibri"/>
          <w:sz w:val="16"/>
          <w:szCs w:val="16"/>
          <w:color w:val="auto"/>
        </w:rPr>
        <w:t>Contngent consideraton is measured at its acquisiton-date fair value and included as part of the consideraton transferred in a business combinaton. Contngent consideraton that is classifed as equity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
        <w:spacing w:after="0"/>
        <w:rPr>
          <w:sz w:val="20"/>
          <w:szCs w:val="20"/>
          <w:color w:val="auto"/>
        </w:rPr>
      </w:pPr>
      <w:r>
        <w:rPr>
          <w:rFonts w:ascii="Calibri" w:cs="Calibri" w:eastAsia="Calibri" w:hAnsi="Calibri"/>
          <w:sz w:val="16"/>
          <w:szCs w:val="16"/>
          <w:b w:val="1"/>
          <w:bCs w:val="1"/>
          <w:color w:val="auto"/>
        </w:rPr>
        <w:t>Page 22 of 53</w:t>
      </w:r>
    </w:p>
    <w:p>
      <w:pPr>
        <w:sectPr>
          <w:pgSz w:w="11900" w:h="16838" w:orient="portrait"/>
          <w:cols w:equalWidth="0" w:num="1">
            <w:col w:w="11262"/>
          </w:cols>
          <w:pgMar w:left="318" w:top="151" w:right="319" w:bottom="1440" w:gutter="0" w:footer="0" w:header="0"/>
        </w:sectPr>
      </w:pPr>
    </w:p>
    <w:bookmarkStart w:id="122" w:name="page123"/>
    <w:bookmarkEnd w:id="122"/>
    <w:p>
      <w:pPr>
        <w:ind w:left="60"/>
        <w:spacing w:after="0"/>
        <w:rPr>
          <w:sz w:val="20"/>
          <w:szCs w:val="20"/>
          <w:color w:val="auto"/>
        </w:rPr>
      </w:pPr>
      <w:r>
        <w:rPr>
          <w:rFonts w:ascii="Calibri" w:cs="Calibri" w:eastAsia="Calibri" w:hAnsi="Calibri"/>
          <w:sz w:val="20"/>
          <w:szCs w:val="20"/>
          <w:b w:val="1"/>
          <w:bCs w:val="1"/>
          <w:color w:val="auto"/>
        </w:rPr>
        <w:t>CYBIN INC.</w:t>
      </w:r>
    </w:p>
    <w:p>
      <w:pPr>
        <w:ind w:left="60"/>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0"/>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0"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714565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300" w:right="20"/>
        <w:spacing w:after="0" w:line="229" w:lineRule="auto"/>
        <w:rPr>
          <w:sz w:val="20"/>
          <w:szCs w:val="20"/>
          <w:color w:val="auto"/>
        </w:rPr>
      </w:pPr>
      <w:r>
        <w:rPr>
          <w:rFonts w:ascii="Calibri" w:cs="Calibri" w:eastAsia="Calibri" w:hAnsi="Calibri"/>
          <w:sz w:val="16"/>
          <w:szCs w:val="16"/>
          <w:color w:val="auto"/>
        </w:rPr>
        <w:t>remeasured at subsequent reportng dates and its subsequent setlement is accounted for within equity. Contngent consideraton that is classifed as an asset or a liability is remeasured at subsequent reportng dates in accordance with IFRS 9, or IAS 37 Provisions, Contngent Liabilites and Contngent Assets, as appropriate, with the corresponding gain or loss being recognized in proft or loss.</w:t>
      </w:r>
    </w:p>
    <w:p>
      <w:pPr>
        <w:spacing w:after="0" w:line="211" w:lineRule="exact"/>
        <w:rPr>
          <w:sz w:val="20"/>
          <w:szCs w:val="20"/>
          <w:color w:val="auto"/>
        </w:rPr>
      </w:pPr>
    </w:p>
    <w:p>
      <w:pPr>
        <w:jc w:val="both"/>
        <w:ind w:left="300"/>
        <w:spacing w:after="0" w:line="229" w:lineRule="auto"/>
        <w:rPr>
          <w:sz w:val="20"/>
          <w:szCs w:val="20"/>
          <w:color w:val="auto"/>
        </w:rPr>
      </w:pPr>
      <w:r>
        <w:rPr>
          <w:rFonts w:ascii="Calibri" w:cs="Calibri" w:eastAsia="Calibri" w:hAnsi="Calibri"/>
          <w:sz w:val="16"/>
          <w:szCs w:val="16"/>
          <w:color w:val="auto"/>
        </w:rPr>
        <w:t>Non-controlling interest in the acquiree, if any, is recognized either at fair value or at the non-controlling interest’s proportonate share of the acquiree’s net assets, determined on an acquisiton-by-acquisiton basis. For each acquisiton, the excess of total consideraton, the fair value of previously held equity interest prior to obtaining control and the non-controlling interest in the acquiree, over the fair value of the identfable net asset acquired, is recorded as goodwill.</w:t>
      </w:r>
    </w:p>
    <w:p>
      <w:pPr>
        <w:spacing w:after="0" w:line="211" w:lineRule="exact"/>
        <w:rPr>
          <w:sz w:val="20"/>
          <w:szCs w:val="20"/>
          <w:color w:val="auto"/>
        </w:rPr>
      </w:pPr>
    </w:p>
    <w:p>
      <w:pPr>
        <w:jc w:val="both"/>
        <w:ind w:left="300"/>
        <w:spacing w:after="0" w:line="224" w:lineRule="auto"/>
        <w:rPr>
          <w:sz w:val="20"/>
          <w:szCs w:val="20"/>
          <w:color w:val="auto"/>
        </w:rPr>
      </w:pPr>
      <w:r>
        <w:rPr>
          <w:rFonts w:ascii="Calibri" w:cs="Calibri" w:eastAsia="Calibri" w:hAnsi="Calibri"/>
          <w:sz w:val="16"/>
          <w:szCs w:val="16"/>
          <w:color w:val="auto"/>
        </w:rPr>
        <w:t>Certain fair values may be estmated at the acquisiton date pending confrmaton or completon of the valuaton process. Where provisional values are used in accountng for a business combinaton, they may be adjusted retrospectvely in subsequent periods. The measurement period is the period from the acquisiton date to the date complete informaton about facts and circumstances that existed as of the acquisiton date is received. However, the measurement period does not exceed one year from the acquisiton date.</w:t>
      </w:r>
    </w:p>
    <w:p>
      <w:pPr>
        <w:spacing w:after="0" w:line="212" w:lineRule="exact"/>
        <w:rPr>
          <w:sz w:val="20"/>
          <w:szCs w:val="20"/>
          <w:color w:val="auto"/>
        </w:rPr>
      </w:pPr>
    </w:p>
    <w:p>
      <w:pPr>
        <w:jc w:val="both"/>
        <w:ind w:left="300" w:right="20"/>
        <w:spacing w:after="0" w:line="231" w:lineRule="auto"/>
        <w:rPr>
          <w:sz w:val="20"/>
          <w:szCs w:val="20"/>
          <w:color w:val="auto"/>
        </w:rPr>
      </w:pPr>
      <w:r>
        <w:rPr>
          <w:rFonts w:ascii="Calibri" w:cs="Calibri" w:eastAsia="Calibri" w:hAnsi="Calibri"/>
          <w:sz w:val="16"/>
          <w:szCs w:val="16"/>
          <w:color w:val="auto"/>
        </w:rPr>
        <w:t>Acquisitons that do not meet the defniton of a business combinaton are accounted for as an asset acquisiton. Consideraton paid for an asset acquisiton is allocated to the individual identfable assets acquired and liabilites assumed based on their relatve fair values.</w:t>
      </w:r>
    </w:p>
    <w:p>
      <w:pPr>
        <w:spacing w:after="0" w:line="209"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Share based payments</w:t>
      </w:r>
    </w:p>
    <w:p>
      <w:pPr>
        <w:spacing w:after="0" w:line="209" w:lineRule="exact"/>
        <w:rPr>
          <w:sz w:val="20"/>
          <w:szCs w:val="20"/>
          <w:color w:val="auto"/>
        </w:rPr>
      </w:pPr>
    </w:p>
    <w:p>
      <w:pPr>
        <w:jc w:val="both"/>
        <w:ind w:left="300" w:right="20"/>
        <w:spacing w:after="0" w:line="231" w:lineRule="auto"/>
        <w:rPr>
          <w:sz w:val="20"/>
          <w:szCs w:val="20"/>
          <w:color w:val="auto"/>
        </w:rPr>
      </w:pPr>
      <w:r>
        <w:rPr>
          <w:rFonts w:ascii="Calibri" w:cs="Calibri" w:eastAsia="Calibri" w:hAnsi="Calibri"/>
          <w:sz w:val="16"/>
          <w:szCs w:val="16"/>
          <w:color w:val="auto"/>
        </w:rPr>
        <w:t>The fair value of share-based compensaton expenses are estmated using the Black-Scholes opton pricing model and rely on a number of estmates, such as the expected life of the opton, the volatlity of the underlying share price, the risk-free rate of return, and the estmated rate of forfeiture of optons or warrants granted.</w:t>
      </w:r>
    </w:p>
    <w:p>
      <w:pPr>
        <w:spacing w:after="0" w:line="209"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i w:val="1"/>
          <w:iCs w:val="1"/>
          <w:color w:val="auto"/>
        </w:rPr>
        <w:t>Impairment of non-fnancial assets</w:t>
      </w:r>
    </w:p>
    <w:p>
      <w:pPr>
        <w:spacing w:after="0" w:line="209" w:lineRule="exact"/>
        <w:rPr>
          <w:sz w:val="20"/>
          <w:szCs w:val="20"/>
          <w:color w:val="auto"/>
        </w:rPr>
      </w:pPr>
    </w:p>
    <w:p>
      <w:pPr>
        <w:jc w:val="both"/>
        <w:ind w:left="300"/>
        <w:spacing w:after="0" w:line="224" w:lineRule="auto"/>
        <w:rPr>
          <w:sz w:val="20"/>
          <w:szCs w:val="20"/>
          <w:color w:val="auto"/>
        </w:rPr>
      </w:pPr>
      <w:r>
        <w:rPr>
          <w:rFonts w:ascii="Calibri" w:cs="Calibri" w:eastAsia="Calibri" w:hAnsi="Calibri"/>
          <w:sz w:val="16"/>
          <w:szCs w:val="16"/>
          <w:color w:val="auto"/>
        </w:rPr>
        <w:t>Impairment exists when the carrying value of an asset or cash generatng unit exceeds its recoverable amount, which is the higher of its fair value less costs of disposal and its value in use. The fair value less costs of disposal calculaton is based on available data from binding sales transactons, conducted at arm’s length, for similar assets or observable market prices less incremental costs of disposing of the asset. The value in use calculaton is based on a discounted cash fow (“DCF”) model. The cash fows are derived from the forecast for the next ten years and do not include restructuring actvites that the Company is not yet commited to or signifcant future investments that will enhance the performance of the assets of the CGU being tested. The determinaton of the Company’s CGUs is based on management’s judgement. The recoverable amount is sensitve to the discount rate used for the DCF model as well as the expected future cash-infows and the growth rate used for extrapolaton purposes. These estmates are most relevant to goodwill and other intangibles with indefnite useful lives recognised by the Company. Future events could cause the assumptons used in the impairment review to change with a consequental adverse efect on the results of the Company.</w:t>
      </w:r>
    </w:p>
    <w:p>
      <w:pPr>
        <w:spacing w:after="0" w:line="214"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color w:val="auto"/>
        </w:rPr>
        <w:t>Income Taxes</w:t>
      </w:r>
    </w:p>
    <w:p>
      <w:pPr>
        <w:spacing w:after="0" w:line="209" w:lineRule="exact"/>
        <w:rPr>
          <w:sz w:val="20"/>
          <w:szCs w:val="20"/>
          <w:color w:val="auto"/>
        </w:rPr>
      </w:pPr>
    </w:p>
    <w:p>
      <w:pPr>
        <w:jc w:val="both"/>
        <w:ind w:left="300" w:right="20"/>
        <w:spacing w:after="0" w:line="228" w:lineRule="auto"/>
        <w:rPr>
          <w:sz w:val="20"/>
          <w:szCs w:val="20"/>
          <w:color w:val="auto"/>
        </w:rPr>
      </w:pPr>
      <w:r>
        <w:rPr>
          <w:rFonts w:ascii="Calibri" w:cs="Calibri" w:eastAsia="Calibri" w:hAnsi="Calibri"/>
          <w:sz w:val="16"/>
          <w:szCs w:val="16"/>
          <w:color w:val="auto"/>
        </w:rPr>
        <w:t>The Company computed an income tax provision in accordance with the applicable income tax laws. However, actual amounts of income tax expense only become fnal upon fling and acceptance of the tax return by the relevant authorites, which occurs subsequent to the issuance of the consolidated fnancial statements. Additonally, estmaton of income taxes includes evaluaton the recoverability of deferred tax assets based on an assessment of the ability to use the underlying future tax deductons before they expire against future taxable income. The assessment is based upon existng tax laws and estmates of future taxable income.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23 of 53</w:t>
      </w:r>
    </w:p>
    <w:p>
      <w:pPr>
        <w:sectPr>
          <w:pgSz w:w="11900" w:h="16838" w:orient="portrait"/>
          <w:cols w:equalWidth="0" w:num="1">
            <w:col w:w="11260"/>
          </w:cols>
          <w:pgMar w:left="320" w:top="151" w:right="319" w:bottom="1440" w:gutter="0" w:footer="0" w:header="0"/>
        </w:sectPr>
      </w:pPr>
    </w:p>
    <w:bookmarkStart w:id="123" w:name="page124"/>
    <w:bookmarkEnd w:id="123"/>
    <w:p>
      <w:pPr>
        <w:ind w:left="62"/>
        <w:spacing w:after="0"/>
        <w:rPr>
          <w:sz w:val="20"/>
          <w:szCs w:val="20"/>
          <w:color w:val="auto"/>
        </w:rPr>
      </w:pPr>
      <w:r>
        <w:rPr>
          <w:rFonts w:ascii="Calibri" w:cs="Calibri" w:eastAsia="Calibri" w:hAnsi="Calibri"/>
          <w:sz w:val="20"/>
          <w:szCs w:val="20"/>
          <w:b w:val="1"/>
          <w:bCs w:val="1"/>
          <w:color w:val="auto"/>
        </w:rPr>
        <w:t>CYBIN INC.</w:t>
      </w:r>
    </w:p>
    <w:p>
      <w:pPr>
        <w:ind w:left="62"/>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2"/>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2"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4565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2" w:right="20"/>
        <w:spacing w:after="0" w:line="231" w:lineRule="auto"/>
        <w:rPr>
          <w:sz w:val="20"/>
          <w:szCs w:val="20"/>
          <w:color w:val="auto"/>
        </w:rPr>
      </w:pPr>
      <w:r>
        <w:rPr>
          <w:rFonts w:ascii="Calibri" w:cs="Calibri" w:eastAsia="Calibri" w:hAnsi="Calibri"/>
          <w:sz w:val="16"/>
          <w:szCs w:val="16"/>
          <w:color w:val="auto"/>
        </w:rPr>
        <w:t>income tax provision is based on estmates of full-year earnings by jurisdicton. The average annual efectve income tax rates are re-estmated at the end of each reportng period. To the extent that estmates and forecasts difer from actual results, adjustments are recorded in subsequent periods.</w:t>
      </w:r>
    </w:p>
    <w:p>
      <w:pPr>
        <w:spacing w:after="0" w:line="209" w:lineRule="exact"/>
        <w:rPr>
          <w:sz w:val="20"/>
          <w:szCs w:val="20"/>
          <w:color w:val="auto"/>
        </w:rPr>
      </w:pPr>
    </w:p>
    <w:p>
      <w:pPr>
        <w:ind w:left="162" w:hanging="162"/>
        <w:spacing w:after="0"/>
        <w:tabs>
          <w:tab w:leader="none" w:pos="162" w:val="left"/>
        </w:tabs>
        <w:numPr>
          <w:ilvl w:val="0"/>
          <w:numId w:val="75"/>
        </w:numPr>
        <w:rPr>
          <w:rFonts w:ascii="Calibri" w:cs="Calibri" w:eastAsia="Calibri" w:hAnsi="Calibri"/>
          <w:sz w:val="16"/>
          <w:szCs w:val="16"/>
          <w:b w:val="1"/>
          <w:bCs w:val="1"/>
          <w:color w:val="365F91"/>
        </w:rPr>
      </w:pPr>
      <w:r>
        <w:rPr>
          <w:rFonts w:ascii="Calibri" w:cs="Calibri" w:eastAsia="Calibri" w:hAnsi="Calibri"/>
          <w:sz w:val="16"/>
          <w:szCs w:val="16"/>
          <w:b w:val="1"/>
          <w:bCs w:val="1"/>
          <w:color w:val="2D5F91"/>
        </w:rPr>
        <w:t>ACQUISITIONS</w:t>
      </w:r>
    </w:p>
    <w:p>
      <w:pPr>
        <w:spacing w:after="0" w:line="209" w:lineRule="exact"/>
        <w:rPr>
          <w:sz w:val="20"/>
          <w:szCs w:val="20"/>
          <w:color w:val="auto"/>
        </w:rPr>
      </w:pPr>
    </w:p>
    <w:p>
      <w:pPr>
        <w:jc w:val="both"/>
        <w:ind w:left="302" w:right="20"/>
        <w:spacing w:after="0" w:line="228" w:lineRule="auto"/>
        <w:rPr>
          <w:sz w:val="20"/>
          <w:szCs w:val="20"/>
          <w:color w:val="auto"/>
        </w:rPr>
      </w:pPr>
      <w:r>
        <w:rPr>
          <w:rFonts w:ascii="Calibri" w:cs="Calibri" w:eastAsia="Calibri" w:hAnsi="Calibri"/>
          <w:sz w:val="16"/>
          <w:szCs w:val="16"/>
          <w:color w:val="auto"/>
        </w:rPr>
        <w:t>On August 21, 2020, Cybin Corp. entered into a non-binding leter of intent (“LOI”) to acquire 51% of the fully diluted common shares of Adelia. The LOI included providing Adelia with the working capital needed for ongoing operatons untl completon of the Adelia Transacton. In this respect, on September 3, 2020 US$500 was advanced bearing interest at 10% per annum, compounded daily, commencing on January 1, 2021 and, on November 16, 2020, Cybin Corp. advanced an additonal US$215 to Adelia. The total advances were approximately $912.</w:t>
      </w:r>
    </w:p>
    <w:p>
      <w:pPr>
        <w:spacing w:after="0" w:line="199" w:lineRule="exact"/>
        <w:rPr>
          <w:sz w:val="20"/>
          <w:szCs w:val="20"/>
          <w:color w:val="auto"/>
        </w:rPr>
      </w:pPr>
    </w:p>
    <w:p>
      <w:pPr>
        <w:jc w:val="both"/>
        <w:ind w:left="302"/>
        <w:spacing w:after="0" w:line="228" w:lineRule="auto"/>
        <w:rPr>
          <w:sz w:val="20"/>
          <w:szCs w:val="20"/>
          <w:color w:val="auto"/>
        </w:rPr>
      </w:pPr>
      <w:r>
        <w:rPr>
          <w:rFonts w:ascii="Calibri" w:cs="Calibri" w:eastAsia="Calibri" w:hAnsi="Calibri"/>
          <w:sz w:val="16"/>
          <w:szCs w:val="16"/>
          <w:color w:val="auto"/>
        </w:rPr>
        <w:t>On December 4, 2020, Cybin entered into a contributon agreement (the “Contributon Agreement”) with Cybin Corp., Cybin US, a newly formed fully-controlled subsidiary of Cybin created for the purposes of the Adelia Transacton, and all of the shareholders of Adelia (the “Adelia Shareholders”) whereby Cybin US agreed to purchase from the Adelia Shareholders all of the issued and outstanding common shares of Adelia (the “Adelia Shares”) in exchange for Class B Shares. The Adelia Transacton closed on December 14, 2020 (the “Closing”).</w:t>
      </w:r>
    </w:p>
    <w:p>
      <w:pPr>
        <w:spacing w:after="0" w:line="211" w:lineRule="exact"/>
        <w:rPr>
          <w:sz w:val="20"/>
          <w:szCs w:val="20"/>
          <w:color w:val="auto"/>
        </w:rPr>
      </w:pPr>
    </w:p>
    <w:p>
      <w:pPr>
        <w:jc w:val="both"/>
        <w:ind w:left="302"/>
        <w:spacing w:after="0" w:line="229" w:lineRule="auto"/>
        <w:rPr>
          <w:sz w:val="20"/>
          <w:szCs w:val="20"/>
          <w:color w:val="auto"/>
        </w:rPr>
      </w:pPr>
      <w:r>
        <w:rPr>
          <w:rFonts w:ascii="Calibri" w:cs="Calibri" w:eastAsia="Calibri" w:hAnsi="Calibri"/>
          <w:sz w:val="16"/>
          <w:szCs w:val="16"/>
          <w:color w:val="auto"/>
        </w:rPr>
        <w:t>Pursuant to the Contributon Agreement, the Adelia Shareholders contributed all of the Adelia Shares to Cybin US as a capital contributon in exchange for Cybin US issuing to them, in the aggregate, 868,833 Class B Shares in accordance with their respectve pro rata percentages at a price per Class B Share equal to $12.40. The aggregate fair value of the Class B Shares to be issued to the Adelia Shareholders on the Closing was $19,549.</w:t>
      </w:r>
    </w:p>
    <w:p>
      <w:pPr>
        <w:spacing w:after="0" w:line="211" w:lineRule="exact"/>
        <w:rPr>
          <w:sz w:val="20"/>
          <w:szCs w:val="20"/>
          <w:color w:val="auto"/>
        </w:rPr>
      </w:pPr>
    </w:p>
    <w:p>
      <w:pPr>
        <w:jc w:val="both"/>
        <w:ind w:left="302"/>
        <w:spacing w:after="0" w:line="224" w:lineRule="auto"/>
        <w:rPr>
          <w:sz w:val="20"/>
          <w:szCs w:val="20"/>
          <w:color w:val="auto"/>
        </w:rPr>
      </w:pPr>
      <w:r>
        <w:rPr>
          <w:rFonts w:ascii="Calibri" w:cs="Calibri" w:eastAsia="Calibri" w:hAnsi="Calibri"/>
          <w:sz w:val="16"/>
          <w:szCs w:val="16"/>
          <w:color w:val="auto"/>
        </w:rPr>
        <w:t>The Class B Shares issued by Cybin US to the Adelia Shareholders are exchangeable for Common Shares on a 10 Common Shares for 1 Class B Share basis, at the opton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are exchangeable prior to the frst anniversary of the Closing and not more than: (i) 33 1/3% of the Class B Shares are to be exchangeable prior to the second anniversary of Closing; (ii) 66 2/3% of the Class B Shares are to be exchangeable prior to the third anniversary of Closing; and (iii) thereafer, 100% of the Class B Shares are to be exchangeable ((i), (ii) and (iii), (collectvely, the “Hold Periods”). The Class B Shares issued to the Adelia Shareholders upon the Closing are exchangeable for a total of 8,688,330 Common Shares, resultng in an efectve issue price of $1.24 per Common Share.</w:t>
      </w:r>
    </w:p>
    <w:p>
      <w:pPr>
        <w:spacing w:after="0" w:line="214" w:lineRule="exact"/>
        <w:rPr>
          <w:sz w:val="20"/>
          <w:szCs w:val="20"/>
          <w:color w:val="auto"/>
        </w:rPr>
      </w:pPr>
    </w:p>
    <w:p>
      <w:pPr>
        <w:jc w:val="both"/>
        <w:ind w:left="302"/>
        <w:spacing w:after="0" w:line="226" w:lineRule="auto"/>
        <w:rPr>
          <w:sz w:val="20"/>
          <w:szCs w:val="20"/>
          <w:color w:val="auto"/>
        </w:rPr>
      </w:pPr>
      <w:r>
        <w:rPr>
          <w:rFonts w:ascii="Calibri" w:cs="Calibri" w:eastAsia="Calibri" w:hAnsi="Calibri"/>
          <w:sz w:val="16"/>
          <w:szCs w:val="16"/>
          <w:color w:val="auto"/>
        </w:rPr>
        <w:t>On the occurrence of certain milestones as set out in the Contributon Agreement (each a “Milestone”), Cybin US is to issue to the Adelia Shareholders in accordance with their pro rata percentage, on or before the 2nd business day following the relevant date at which the Company issues a press release announcing the achievement of the Milestone (the “Milestone Determinaton Date”), such number of Class B Shares as shall be determined by dividing the applicable milestone consideraton, as set out in the Contributon Agreement (or where some, but not all, of such sub-Milestone’s in the relevant fscal quarter are achieved, such lesser poton of such milestone consideraton) as is determined in accordance with applicable Milestone, by the greater of: (i) $7.50; and (ii) ten tmes the greater of (x) the 10 day volume weighted average price of the Common Shares; and (y) the closing market price of the Common Shares, in each case, on the close of business on the last business day preceding the Milestone Determinaton Date. If a partcular Milestone has not been achieved by the close of the quarter immediately following the quarter in which such Milestone is scheduled for completon pursuant to the Contributon Agreement, Cybin US’s obligaton to issue Class B Shares on the occurrence of the applicable Milestone shall expire. The total value of the Class B Shares issuable pursuant to the Milestones is approximately $9,388, assuming all Milestones are met prior to the applicable deadlines.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
        <w:spacing w:after="0"/>
        <w:rPr>
          <w:sz w:val="20"/>
          <w:szCs w:val="20"/>
          <w:color w:val="auto"/>
        </w:rPr>
      </w:pPr>
      <w:r>
        <w:rPr>
          <w:rFonts w:ascii="Calibri" w:cs="Calibri" w:eastAsia="Calibri" w:hAnsi="Calibri"/>
          <w:sz w:val="16"/>
          <w:szCs w:val="16"/>
          <w:b w:val="1"/>
          <w:bCs w:val="1"/>
          <w:color w:val="auto"/>
        </w:rPr>
        <w:t>Page 24 of 53</w:t>
      </w:r>
    </w:p>
    <w:p>
      <w:pPr>
        <w:sectPr>
          <w:pgSz w:w="11900" w:h="16838" w:orient="portrait"/>
          <w:cols w:equalWidth="0" w:num="1">
            <w:col w:w="11262"/>
          </w:cols>
          <w:pgMar w:left="318" w:top="151" w:right="319" w:bottom="1440" w:gutter="0" w:footer="0" w:header="0"/>
        </w:sectPr>
      </w:pPr>
    </w:p>
    <w:bookmarkStart w:id="124" w:name="page125"/>
    <w:bookmarkEnd w:id="124"/>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240"/>
        <w:spacing w:after="0" w:line="227" w:lineRule="auto"/>
        <w:rPr>
          <w:sz w:val="20"/>
          <w:szCs w:val="20"/>
          <w:color w:val="auto"/>
        </w:rPr>
      </w:pPr>
      <w:r>
        <w:rPr>
          <w:rFonts w:ascii="Calibri" w:cs="Calibri" w:eastAsia="Calibri" w:hAnsi="Calibri"/>
          <w:sz w:val="16"/>
          <w:szCs w:val="16"/>
          <w:color w:val="auto"/>
        </w:rPr>
        <w:t>of March 31, 2022, 362,418.1 Class B Shares had been issued on the achievement of Milestones. Pursuant to the Contributon Agreement, Cybin, Cybin US, and the Adelia Shareholders also entered into a support agreement dated December 14, 2020 (the “Support Agreement”), which for the purpose of Canadian securites law, is deemed a “security” as it is a document evidencing an interest in or to a security (i.e. the Common Shares), and, as such, consttutes a security of Cybin. Upon the signing of the Support Agreement, given that each of the Adelia Shareholders are an “accredited investor”, the prescribed restricted period (of (4) months and one (1) day afer the date of issuance) as required under Canadian securites law on the Common Shares (which are exchangeable for Class B Shares at a future date) will commence. Therefore, upon the exchange of the Class B Shares for the Common Shares, subject to the Hold Periods, such Common Shares will no longer be within a restrictve period as prescribed under applicable securites law and free trading securites.</w:t>
      </w:r>
    </w:p>
    <w:p>
      <w:pPr>
        <w:spacing w:after="0" w:line="197" w:lineRule="exact"/>
        <w:rPr>
          <w:sz w:val="20"/>
          <w:szCs w:val="20"/>
          <w:color w:val="auto"/>
        </w:rPr>
      </w:pPr>
    </w:p>
    <w:p>
      <w:pPr>
        <w:jc w:val="both"/>
        <w:ind w:left="240" w:right="20"/>
        <w:spacing w:after="0" w:line="228" w:lineRule="auto"/>
        <w:rPr>
          <w:sz w:val="20"/>
          <w:szCs w:val="20"/>
          <w:color w:val="auto"/>
        </w:rPr>
      </w:pPr>
      <w:r>
        <w:rPr>
          <w:rFonts w:ascii="Calibri" w:cs="Calibri" w:eastAsia="Calibri" w:hAnsi="Calibri"/>
          <w:sz w:val="16"/>
          <w:szCs w:val="16"/>
          <w:color w:val="auto"/>
        </w:rPr>
        <w:t>Pursuant to the Contributon Agreement certain Adelia Shareholders entered into advisory and/or executve employment arrangements with Cybin upon the Closing and, in such capacity, received, in the aggregate, a grant of optons to purchase up to 2,244,100 to acquire Common Shares, pursuant to Cybin’s equity incentve plan, exercisable for a period of fve (5) years and subject to vestng, at an exercise price of $1.74 per Common Share. An additonal 555,900 optons to acquire Common Shares were issued to eligible partcipants at the directon of the Adelia Shareholders following the Closing.</w:t>
      </w:r>
    </w:p>
    <w:p>
      <w:pPr>
        <w:spacing w:after="0" w:line="211" w:lineRule="exact"/>
        <w:rPr>
          <w:sz w:val="20"/>
          <w:szCs w:val="20"/>
          <w:color w:val="auto"/>
        </w:rPr>
      </w:pPr>
    </w:p>
    <w:p>
      <w:pPr>
        <w:jc w:val="both"/>
        <w:ind w:left="240"/>
        <w:spacing w:after="0" w:line="231" w:lineRule="auto"/>
        <w:rPr>
          <w:sz w:val="20"/>
          <w:szCs w:val="20"/>
          <w:color w:val="auto"/>
        </w:rPr>
      </w:pPr>
      <w:r>
        <w:rPr>
          <w:rFonts w:ascii="Calibri" w:cs="Calibri" w:eastAsia="Calibri" w:hAnsi="Calibri"/>
          <w:sz w:val="16"/>
          <w:szCs w:val="16"/>
          <w:color w:val="auto"/>
        </w:rPr>
        <w:t>In accordance with the measurement period permited under IFRS 3 - Business Combinatons, the fair value of the assets acquired, and liabilites assumed have been determined. Value is atributable to the patents, intellectual property, workforce, and other intangible assets that the Company acquired.</w:t>
      </w:r>
    </w:p>
    <w:p>
      <w:pPr>
        <w:spacing w:after="0" w:line="258"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2780" w:type="dxa"/>
            <w:vAlign w:val="bottom"/>
          </w:tcPr>
          <w:p>
            <w:pPr>
              <w:spacing w:after="0"/>
              <w:rPr>
                <w:sz w:val="20"/>
                <w:szCs w:val="20"/>
                <w:color w:val="auto"/>
              </w:rPr>
            </w:pPr>
            <w:r>
              <w:rPr>
                <w:rFonts w:ascii="Calibri" w:cs="Calibri" w:eastAsia="Calibri" w:hAnsi="Calibri"/>
                <w:sz w:val="16"/>
                <w:szCs w:val="16"/>
                <w:b w:val="1"/>
                <w:bCs w:val="1"/>
                <w:color w:val="auto"/>
              </w:rPr>
              <w:t>Acquisiton Summary</w:t>
            </w:r>
          </w:p>
        </w:tc>
        <w:tc>
          <w:tcPr>
            <w:tcW w:w="4380" w:type="dxa"/>
            <w:vAlign w:val="bottom"/>
          </w:tcPr>
          <w:p>
            <w:pPr>
              <w:spacing w:after="0"/>
              <w:rPr>
                <w:sz w:val="16"/>
                <w:szCs w:val="16"/>
                <w:color w:val="auto"/>
              </w:rPr>
            </w:pPr>
          </w:p>
        </w:tc>
        <w:tc>
          <w:tcPr>
            <w:tcW w:w="3360" w:type="dxa"/>
            <w:vAlign w:val="bottom"/>
          </w:tcPr>
          <w:p>
            <w:pPr>
              <w:jc w:val="right"/>
              <w:spacing w:after="0"/>
              <w:rPr>
                <w:sz w:val="20"/>
                <w:szCs w:val="20"/>
                <w:color w:val="auto"/>
              </w:rPr>
            </w:pPr>
            <w:r>
              <w:rPr>
                <w:rFonts w:ascii="Calibri" w:cs="Calibri" w:eastAsia="Calibri" w:hAnsi="Calibri"/>
                <w:sz w:val="16"/>
                <w:szCs w:val="16"/>
                <w:b w:val="1"/>
                <w:bCs w:val="1"/>
                <w:color w:val="auto"/>
              </w:rPr>
              <w:t>$000’s</w:t>
            </w:r>
          </w:p>
        </w:tc>
        <w:tc>
          <w:tcPr>
            <w:tcW w:w="20" w:type="dxa"/>
            <w:vAlign w:val="bottom"/>
          </w:tcPr>
          <w:p>
            <w:pPr>
              <w:spacing w:after="0"/>
              <w:rPr>
                <w:sz w:val="16"/>
                <w:szCs w:val="16"/>
                <w:color w:val="auto"/>
              </w:rPr>
            </w:pPr>
          </w:p>
        </w:tc>
      </w:tr>
      <w:tr>
        <w:trPr>
          <w:trHeight w:val="46"/>
        </w:trPr>
        <w:tc>
          <w:tcPr>
            <w:tcW w:w="278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86"/>
        </w:trPr>
        <w:tc>
          <w:tcPr>
            <w:tcW w:w="2780" w:type="dxa"/>
            <w:vAlign w:val="bottom"/>
          </w:tcPr>
          <w:p>
            <w:pPr>
              <w:spacing w:after="0" w:line="186" w:lineRule="exact"/>
              <w:rPr>
                <w:sz w:val="20"/>
                <w:szCs w:val="20"/>
                <w:color w:val="auto"/>
              </w:rPr>
            </w:pPr>
            <w:r>
              <w:rPr>
                <w:rFonts w:ascii="Calibri" w:cs="Calibri" w:eastAsia="Calibri" w:hAnsi="Calibri"/>
                <w:sz w:val="16"/>
                <w:szCs w:val="16"/>
                <w:color w:val="auto"/>
              </w:rPr>
              <w:t>Pre-acquisiton cash advances to Adelia</w:t>
            </w:r>
          </w:p>
        </w:tc>
        <w:tc>
          <w:tcPr>
            <w:tcW w:w="4380" w:type="dxa"/>
            <w:vAlign w:val="bottom"/>
          </w:tcPr>
          <w:p>
            <w:pPr>
              <w:spacing w:after="0"/>
              <w:rPr>
                <w:sz w:val="16"/>
                <w:szCs w:val="16"/>
                <w:color w:val="auto"/>
              </w:rPr>
            </w:pPr>
          </w:p>
        </w:tc>
        <w:tc>
          <w:tcPr>
            <w:tcW w:w="3360" w:type="dxa"/>
            <w:vAlign w:val="bottom"/>
          </w:tcPr>
          <w:p>
            <w:pPr>
              <w:jc w:val="right"/>
              <w:spacing w:after="0" w:line="186" w:lineRule="exact"/>
              <w:rPr>
                <w:sz w:val="20"/>
                <w:szCs w:val="20"/>
                <w:color w:val="auto"/>
              </w:rPr>
            </w:pPr>
            <w:r>
              <w:rPr>
                <w:rFonts w:ascii="Calibri" w:cs="Calibri" w:eastAsia="Calibri" w:hAnsi="Calibri"/>
                <w:sz w:val="16"/>
                <w:szCs w:val="16"/>
                <w:color w:val="auto"/>
              </w:rPr>
              <w:t>912</w:t>
            </w:r>
          </w:p>
        </w:tc>
        <w:tc>
          <w:tcPr>
            <w:tcW w:w="20" w:type="dxa"/>
            <w:vAlign w:val="bottom"/>
          </w:tcPr>
          <w:p>
            <w:pPr>
              <w:spacing w:after="0"/>
              <w:rPr>
                <w:sz w:val="16"/>
                <w:szCs w:val="16"/>
                <w:color w:val="auto"/>
              </w:rPr>
            </w:pPr>
          </w:p>
        </w:tc>
      </w:tr>
      <w:tr>
        <w:trPr>
          <w:trHeight w:val="225"/>
        </w:trPr>
        <w:tc>
          <w:tcPr>
            <w:tcW w:w="2780" w:type="dxa"/>
            <w:vAlign w:val="bottom"/>
          </w:tcPr>
          <w:p>
            <w:pPr>
              <w:spacing w:after="0"/>
              <w:rPr>
                <w:sz w:val="20"/>
                <w:szCs w:val="20"/>
                <w:color w:val="auto"/>
              </w:rPr>
            </w:pPr>
            <w:r>
              <w:rPr>
                <w:rFonts w:ascii="Calibri" w:cs="Calibri" w:eastAsia="Calibri" w:hAnsi="Calibri"/>
                <w:sz w:val="16"/>
                <w:szCs w:val="16"/>
                <w:color w:val="auto"/>
              </w:rPr>
              <w:t>Share consideraton</w:t>
            </w:r>
          </w:p>
        </w:tc>
        <w:tc>
          <w:tcPr>
            <w:tcW w:w="438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Calibri" w:cs="Calibri" w:eastAsia="Calibri" w:hAnsi="Calibri"/>
                <w:sz w:val="16"/>
                <w:szCs w:val="16"/>
                <w:color w:val="auto"/>
              </w:rPr>
              <w:t>19,549</w:t>
            </w:r>
          </w:p>
        </w:tc>
        <w:tc>
          <w:tcPr>
            <w:tcW w:w="20" w:type="dxa"/>
            <w:vAlign w:val="bottom"/>
          </w:tcPr>
          <w:p>
            <w:pPr>
              <w:spacing w:after="0"/>
              <w:rPr>
                <w:sz w:val="19"/>
                <w:szCs w:val="19"/>
                <w:color w:val="auto"/>
              </w:rPr>
            </w:pPr>
          </w:p>
        </w:tc>
      </w:tr>
      <w:tr>
        <w:trPr>
          <w:trHeight w:val="232"/>
        </w:trPr>
        <w:tc>
          <w:tcPr>
            <w:tcW w:w="2780" w:type="dxa"/>
            <w:vAlign w:val="bottom"/>
          </w:tcPr>
          <w:p>
            <w:pPr>
              <w:spacing w:after="0"/>
              <w:rPr>
                <w:sz w:val="20"/>
                <w:szCs w:val="20"/>
                <w:color w:val="auto"/>
              </w:rPr>
            </w:pPr>
            <w:r>
              <w:rPr>
                <w:rFonts w:ascii="Calibri" w:cs="Calibri" w:eastAsia="Calibri" w:hAnsi="Calibri"/>
                <w:sz w:val="16"/>
                <w:szCs w:val="16"/>
                <w:color w:val="auto"/>
              </w:rPr>
              <w:t>Contngent consideraton</w:t>
            </w:r>
          </w:p>
        </w:tc>
        <w:tc>
          <w:tcPr>
            <w:tcW w:w="4380" w:type="dxa"/>
            <w:vAlign w:val="bottom"/>
          </w:tcPr>
          <w:p>
            <w:pPr>
              <w:spacing w:after="0"/>
              <w:rPr>
                <w:sz w:val="20"/>
                <w:szCs w:val="20"/>
                <w:color w:val="auto"/>
              </w:rPr>
            </w:pPr>
          </w:p>
        </w:tc>
        <w:tc>
          <w:tcPr>
            <w:tcW w:w="3360" w:type="dxa"/>
            <w:vAlign w:val="bottom"/>
          </w:tcPr>
          <w:p>
            <w:pPr>
              <w:jc w:val="right"/>
              <w:spacing w:after="0"/>
              <w:rPr>
                <w:sz w:val="20"/>
                <w:szCs w:val="20"/>
                <w:color w:val="auto"/>
              </w:rPr>
            </w:pPr>
            <w:r>
              <w:rPr>
                <w:rFonts w:ascii="Calibri" w:cs="Calibri" w:eastAsia="Calibri" w:hAnsi="Calibri"/>
                <w:sz w:val="16"/>
                <w:szCs w:val="16"/>
                <w:color w:val="auto"/>
              </w:rPr>
              <w:t>4,257</w:t>
            </w:r>
          </w:p>
        </w:tc>
        <w:tc>
          <w:tcPr>
            <w:tcW w:w="20" w:type="dxa"/>
            <w:vAlign w:val="bottom"/>
          </w:tcPr>
          <w:p>
            <w:pPr>
              <w:spacing w:after="0"/>
              <w:rPr>
                <w:sz w:val="20"/>
                <w:szCs w:val="20"/>
                <w:color w:val="auto"/>
              </w:rPr>
            </w:pPr>
          </w:p>
        </w:tc>
      </w:tr>
      <w:tr>
        <w:trPr>
          <w:trHeight w:val="46"/>
        </w:trPr>
        <w:tc>
          <w:tcPr>
            <w:tcW w:w="278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86"/>
        </w:trPr>
        <w:tc>
          <w:tcPr>
            <w:tcW w:w="2780" w:type="dxa"/>
            <w:vAlign w:val="bottom"/>
          </w:tcPr>
          <w:p>
            <w:pPr>
              <w:spacing w:after="0" w:line="186" w:lineRule="exact"/>
              <w:rPr>
                <w:sz w:val="20"/>
                <w:szCs w:val="20"/>
                <w:color w:val="auto"/>
              </w:rPr>
            </w:pPr>
            <w:r>
              <w:rPr>
                <w:rFonts w:ascii="Calibri" w:cs="Calibri" w:eastAsia="Calibri" w:hAnsi="Calibri"/>
                <w:sz w:val="16"/>
                <w:szCs w:val="16"/>
                <w:b w:val="1"/>
                <w:bCs w:val="1"/>
                <w:color w:val="auto"/>
              </w:rPr>
              <w:t>Fair value of purchase consideraton</w:t>
            </w:r>
          </w:p>
        </w:tc>
        <w:tc>
          <w:tcPr>
            <w:tcW w:w="4380" w:type="dxa"/>
            <w:vAlign w:val="bottom"/>
          </w:tcPr>
          <w:p>
            <w:pPr>
              <w:spacing w:after="0"/>
              <w:rPr>
                <w:sz w:val="16"/>
                <w:szCs w:val="16"/>
                <w:color w:val="auto"/>
              </w:rPr>
            </w:pPr>
          </w:p>
        </w:tc>
        <w:tc>
          <w:tcPr>
            <w:tcW w:w="336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24,718</w:t>
            </w:r>
          </w:p>
        </w:tc>
        <w:tc>
          <w:tcPr>
            <w:tcW w:w="20" w:type="dxa"/>
            <w:vAlign w:val="bottom"/>
          </w:tcPr>
          <w:p>
            <w:pPr>
              <w:spacing w:after="0"/>
              <w:rPr>
                <w:sz w:val="16"/>
                <w:szCs w:val="16"/>
                <w:color w:val="auto"/>
              </w:rPr>
            </w:pPr>
          </w:p>
        </w:tc>
      </w:tr>
      <w:tr>
        <w:trPr>
          <w:trHeight w:val="38"/>
        </w:trPr>
        <w:tc>
          <w:tcPr>
            <w:tcW w:w="278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86"/>
        </w:trPr>
        <w:tc>
          <w:tcPr>
            <w:tcW w:w="2780" w:type="dxa"/>
            <w:vAlign w:val="bottom"/>
          </w:tcPr>
          <w:p>
            <w:pPr>
              <w:spacing w:after="0" w:line="186" w:lineRule="exact"/>
              <w:rPr>
                <w:sz w:val="20"/>
                <w:szCs w:val="20"/>
                <w:color w:val="auto"/>
              </w:rPr>
            </w:pPr>
            <w:r>
              <w:rPr>
                <w:rFonts w:ascii="Calibri" w:cs="Calibri" w:eastAsia="Calibri" w:hAnsi="Calibri"/>
                <w:sz w:val="16"/>
                <w:szCs w:val="16"/>
                <w:i w:val="1"/>
                <w:iCs w:val="1"/>
                <w:color w:val="auto"/>
              </w:rPr>
              <w:t>Less:</w:t>
            </w:r>
          </w:p>
        </w:tc>
        <w:tc>
          <w:tcPr>
            <w:tcW w:w="4380" w:type="dxa"/>
            <w:vAlign w:val="bottom"/>
          </w:tcPr>
          <w:p>
            <w:pPr>
              <w:ind w:left="220"/>
              <w:spacing w:after="0" w:line="186" w:lineRule="exact"/>
              <w:rPr>
                <w:sz w:val="20"/>
                <w:szCs w:val="20"/>
                <w:color w:val="auto"/>
              </w:rPr>
            </w:pPr>
            <w:r>
              <w:rPr>
                <w:rFonts w:ascii="Calibri" w:cs="Calibri" w:eastAsia="Calibri" w:hAnsi="Calibri"/>
                <w:sz w:val="16"/>
                <w:szCs w:val="16"/>
                <w:color w:val="auto"/>
              </w:rPr>
              <w:t>Cash at closing</w:t>
            </w:r>
          </w:p>
        </w:tc>
        <w:tc>
          <w:tcPr>
            <w:tcW w:w="3360" w:type="dxa"/>
            <w:vAlign w:val="bottom"/>
          </w:tcPr>
          <w:p>
            <w:pPr>
              <w:jc w:val="right"/>
              <w:spacing w:after="0" w:line="186" w:lineRule="exact"/>
              <w:rPr>
                <w:sz w:val="20"/>
                <w:szCs w:val="20"/>
                <w:color w:val="auto"/>
              </w:rPr>
            </w:pPr>
            <w:r>
              <w:rPr>
                <w:rFonts w:ascii="Calibri" w:cs="Calibri" w:eastAsia="Calibri" w:hAnsi="Calibri"/>
                <w:sz w:val="16"/>
                <w:szCs w:val="16"/>
                <w:color w:val="auto"/>
              </w:rPr>
              <w:t>(65)</w:t>
            </w:r>
          </w:p>
        </w:tc>
        <w:tc>
          <w:tcPr>
            <w:tcW w:w="20" w:type="dxa"/>
            <w:vAlign w:val="bottom"/>
          </w:tcPr>
          <w:p>
            <w:pPr>
              <w:spacing w:after="0"/>
              <w:rPr>
                <w:sz w:val="16"/>
                <w:szCs w:val="16"/>
                <w:color w:val="auto"/>
              </w:rPr>
            </w:pPr>
          </w:p>
        </w:tc>
      </w:tr>
      <w:tr>
        <w:trPr>
          <w:trHeight w:val="225"/>
        </w:trPr>
        <w:tc>
          <w:tcPr>
            <w:tcW w:w="2780" w:type="dxa"/>
            <w:vAlign w:val="bottom"/>
          </w:tcPr>
          <w:p>
            <w:pPr>
              <w:spacing w:after="0"/>
              <w:rPr>
                <w:sz w:val="20"/>
                <w:szCs w:val="20"/>
                <w:color w:val="auto"/>
              </w:rPr>
            </w:pPr>
            <w:r>
              <w:rPr>
                <w:rFonts w:ascii="Calibri" w:cs="Calibri" w:eastAsia="Calibri" w:hAnsi="Calibri"/>
                <w:sz w:val="16"/>
                <w:szCs w:val="16"/>
                <w:i w:val="1"/>
                <w:iCs w:val="1"/>
                <w:color w:val="auto"/>
              </w:rPr>
              <w:t>Plus:</w:t>
            </w:r>
          </w:p>
        </w:tc>
        <w:tc>
          <w:tcPr>
            <w:tcW w:w="4380" w:type="dxa"/>
            <w:vAlign w:val="bottom"/>
          </w:tcPr>
          <w:p>
            <w:pPr>
              <w:ind w:left="220"/>
              <w:spacing w:after="0"/>
              <w:rPr>
                <w:sz w:val="20"/>
                <w:szCs w:val="20"/>
                <w:color w:val="auto"/>
              </w:rPr>
            </w:pPr>
            <w:r>
              <w:rPr>
                <w:rFonts w:ascii="Calibri" w:cs="Calibri" w:eastAsia="Calibri" w:hAnsi="Calibri"/>
                <w:sz w:val="16"/>
                <w:szCs w:val="16"/>
                <w:color w:val="auto"/>
              </w:rPr>
              <w:t>Total debt assumed</w:t>
            </w:r>
          </w:p>
        </w:tc>
        <w:tc>
          <w:tcPr>
            <w:tcW w:w="3360" w:type="dxa"/>
            <w:vAlign w:val="bottom"/>
          </w:tcPr>
          <w:p>
            <w:pPr>
              <w:jc w:val="right"/>
              <w:spacing w:after="0"/>
              <w:rPr>
                <w:sz w:val="20"/>
                <w:szCs w:val="20"/>
                <w:color w:val="auto"/>
              </w:rPr>
            </w:pPr>
            <w:r>
              <w:rPr>
                <w:rFonts w:ascii="Calibri" w:cs="Calibri" w:eastAsia="Calibri" w:hAnsi="Calibri"/>
                <w:sz w:val="16"/>
                <w:szCs w:val="16"/>
                <w:color w:val="auto"/>
              </w:rPr>
              <w:t>111</w:t>
            </w:r>
          </w:p>
        </w:tc>
        <w:tc>
          <w:tcPr>
            <w:tcW w:w="20" w:type="dxa"/>
            <w:vAlign w:val="bottom"/>
          </w:tcPr>
          <w:p>
            <w:pPr>
              <w:spacing w:after="0"/>
              <w:rPr>
                <w:sz w:val="19"/>
                <w:szCs w:val="19"/>
                <w:color w:val="auto"/>
              </w:rPr>
            </w:pPr>
          </w:p>
        </w:tc>
      </w:tr>
      <w:tr>
        <w:trPr>
          <w:trHeight w:val="46"/>
        </w:trPr>
        <w:tc>
          <w:tcPr>
            <w:tcW w:w="278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86"/>
        </w:trPr>
        <w:tc>
          <w:tcPr>
            <w:tcW w:w="2780" w:type="dxa"/>
            <w:vAlign w:val="bottom"/>
          </w:tcPr>
          <w:p>
            <w:pPr>
              <w:spacing w:after="0" w:line="186" w:lineRule="exact"/>
              <w:rPr>
                <w:sz w:val="20"/>
                <w:szCs w:val="20"/>
                <w:color w:val="auto"/>
              </w:rPr>
            </w:pPr>
            <w:r>
              <w:rPr>
                <w:rFonts w:ascii="Calibri" w:cs="Calibri" w:eastAsia="Calibri" w:hAnsi="Calibri"/>
                <w:sz w:val="16"/>
                <w:szCs w:val="16"/>
                <w:b w:val="1"/>
                <w:bCs w:val="1"/>
                <w:color w:val="auto"/>
              </w:rPr>
              <w:t>Enterprise value</w:t>
            </w:r>
          </w:p>
        </w:tc>
        <w:tc>
          <w:tcPr>
            <w:tcW w:w="4380" w:type="dxa"/>
            <w:vAlign w:val="bottom"/>
          </w:tcPr>
          <w:p>
            <w:pPr>
              <w:spacing w:after="0"/>
              <w:rPr>
                <w:sz w:val="16"/>
                <w:szCs w:val="16"/>
                <w:color w:val="auto"/>
              </w:rPr>
            </w:pPr>
          </w:p>
        </w:tc>
        <w:tc>
          <w:tcPr>
            <w:tcW w:w="336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24,764</w:t>
            </w:r>
          </w:p>
        </w:tc>
        <w:tc>
          <w:tcPr>
            <w:tcW w:w="20" w:type="dxa"/>
            <w:vAlign w:val="bottom"/>
          </w:tcPr>
          <w:p>
            <w:pPr>
              <w:spacing w:after="0"/>
              <w:rPr>
                <w:sz w:val="16"/>
                <w:szCs w:val="16"/>
                <w:color w:val="auto"/>
              </w:rPr>
            </w:pPr>
          </w:p>
        </w:tc>
      </w:tr>
      <w:tr>
        <w:trPr>
          <w:trHeight w:val="38"/>
        </w:trPr>
        <w:tc>
          <w:tcPr>
            <w:tcW w:w="278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509"/>
        </w:trPr>
        <w:tc>
          <w:tcPr>
            <w:tcW w:w="2780" w:type="dxa"/>
            <w:vAlign w:val="bottom"/>
          </w:tcPr>
          <w:p>
            <w:pPr>
              <w:spacing w:after="0"/>
              <w:rPr>
                <w:sz w:val="20"/>
                <w:szCs w:val="20"/>
                <w:color w:val="auto"/>
              </w:rPr>
            </w:pPr>
            <w:r>
              <w:rPr>
                <w:rFonts w:ascii="Calibri" w:cs="Calibri" w:eastAsia="Calibri" w:hAnsi="Calibri"/>
                <w:sz w:val="16"/>
                <w:szCs w:val="16"/>
                <w:b w:val="1"/>
                <w:bCs w:val="1"/>
                <w:color w:val="auto"/>
              </w:rPr>
              <w:t>Allocaton of purchase price:</w:t>
            </w:r>
          </w:p>
        </w:tc>
        <w:tc>
          <w:tcPr>
            <w:tcW w:w="4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2780" w:type="dxa"/>
            <w:vAlign w:val="bottom"/>
          </w:tcPr>
          <w:p>
            <w:pPr>
              <w:ind w:left="380"/>
              <w:spacing w:after="0"/>
              <w:rPr>
                <w:sz w:val="20"/>
                <w:szCs w:val="20"/>
                <w:color w:val="auto"/>
              </w:rPr>
            </w:pPr>
            <w:r>
              <w:rPr>
                <w:rFonts w:ascii="Calibri" w:cs="Calibri" w:eastAsia="Calibri" w:hAnsi="Calibri"/>
                <w:sz w:val="16"/>
                <w:szCs w:val="16"/>
                <w:color w:val="auto"/>
              </w:rPr>
              <w:t>Current assets</w:t>
            </w:r>
          </w:p>
        </w:tc>
        <w:tc>
          <w:tcPr>
            <w:tcW w:w="4380" w:type="dxa"/>
            <w:vAlign w:val="bottom"/>
          </w:tcPr>
          <w:p>
            <w:pPr>
              <w:spacing w:after="0"/>
              <w:rPr>
                <w:sz w:val="20"/>
                <w:szCs w:val="20"/>
                <w:color w:val="auto"/>
              </w:rPr>
            </w:pPr>
          </w:p>
        </w:tc>
        <w:tc>
          <w:tcPr>
            <w:tcW w:w="3360" w:type="dxa"/>
            <w:vAlign w:val="bottom"/>
          </w:tcPr>
          <w:p>
            <w:pPr>
              <w:jc w:val="right"/>
              <w:spacing w:after="0"/>
              <w:rPr>
                <w:sz w:val="20"/>
                <w:szCs w:val="20"/>
                <w:color w:val="auto"/>
              </w:rPr>
            </w:pPr>
            <w:r>
              <w:rPr>
                <w:rFonts w:ascii="Calibri" w:cs="Calibri" w:eastAsia="Calibri" w:hAnsi="Calibri"/>
                <w:sz w:val="16"/>
                <w:szCs w:val="16"/>
                <w:color w:val="auto"/>
              </w:rPr>
              <w:t>43</w:t>
            </w:r>
          </w:p>
        </w:tc>
        <w:tc>
          <w:tcPr>
            <w:tcW w:w="20" w:type="dxa"/>
            <w:vAlign w:val="bottom"/>
          </w:tcPr>
          <w:p>
            <w:pPr>
              <w:spacing w:after="0"/>
              <w:rPr>
                <w:sz w:val="20"/>
                <w:szCs w:val="20"/>
                <w:color w:val="auto"/>
              </w:rPr>
            </w:pPr>
          </w:p>
        </w:tc>
      </w:tr>
      <w:tr>
        <w:trPr>
          <w:trHeight w:val="232"/>
        </w:trPr>
        <w:tc>
          <w:tcPr>
            <w:tcW w:w="2780" w:type="dxa"/>
            <w:vAlign w:val="bottom"/>
          </w:tcPr>
          <w:p>
            <w:pPr>
              <w:ind w:left="380"/>
              <w:spacing w:after="0"/>
              <w:rPr>
                <w:sz w:val="20"/>
                <w:szCs w:val="20"/>
                <w:color w:val="auto"/>
              </w:rPr>
            </w:pPr>
            <w:r>
              <w:rPr>
                <w:rFonts w:ascii="Calibri" w:cs="Calibri" w:eastAsia="Calibri" w:hAnsi="Calibri"/>
                <w:sz w:val="16"/>
                <w:szCs w:val="16"/>
                <w:color w:val="auto"/>
              </w:rPr>
              <w:t>Net Equipment</w:t>
            </w:r>
          </w:p>
        </w:tc>
        <w:tc>
          <w:tcPr>
            <w:tcW w:w="4380" w:type="dxa"/>
            <w:vAlign w:val="bottom"/>
          </w:tcPr>
          <w:p>
            <w:pPr>
              <w:spacing w:after="0"/>
              <w:rPr>
                <w:sz w:val="20"/>
                <w:szCs w:val="20"/>
                <w:color w:val="auto"/>
              </w:rPr>
            </w:pPr>
          </w:p>
        </w:tc>
        <w:tc>
          <w:tcPr>
            <w:tcW w:w="3360" w:type="dxa"/>
            <w:vAlign w:val="bottom"/>
          </w:tcPr>
          <w:p>
            <w:pPr>
              <w:jc w:val="right"/>
              <w:spacing w:after="0"/>
              <w:rPr>
                <w:sz w:val="20"/>
                <w:szCs w:val="20"/>
                <w:color w:val="auto"/>
              </w:rPr>
            </w:pPr>
            <w:r>
              <w:rPr>
                <w:rFonts w:ascii="Calibri" w:cs="Calibri" w:eastAsia="Calibri" w:hAnsi="Calibri"/>
                <w:sz w:val="16"/>
                <w:szCs w:val="16"/>
                <w:color w:val="auto"/>
              </w:rPr>
              <w:t>480</w:t>
            </w:r>
          </w:p>
        </w:tc>
        <w:tc>
          <w:tcPr>
            <w:tcW w:w="20" w:type="dxa"/>
            <w:vAlign w:val="bottom"/>
          </w:tcPr>
          <w:p>
            <w:pPr>
              <w:spacing w:after="0"/>
              <w:rPr>
                <w:sz w:val="20"/>
                <w:szCs w:val="20"/>
                <w:color w:val="auto"/>
              </w:rPr>
            </w:pPr>
          </w:p>
        </w:tc>
      </w:tr>
      <w:tr>
        <w:trPr>
          <w:trHeight w:val="232"/>
        </w:trPr>
        <w:tc>
          <w:tcPr>
            <w:tcW w:w="2780" w:type="dxa"/>
            <w:vAlign w:val="bottom"/>
          </w:tcPr>
          <w:p>
            <w:pPr>
              <w:ind w:left="380"/>
              <w:spacing w:after="0"/>
              <w:rPr>
                <w:sz w:val="20"/>
                <w:szCs w:val="20"/>
                <w:color w:val="auto"/>
              </w:rPr>
            </w:pPr>
            <w:r>
              <w:rPr>
                <w:rFonts w:ascii="Calibri" w:cs="Calibri" w:eastAsia="Calibri" w:hAnsi="Calibri"/>
                <w:sz w:val="16"/>
                <w:szCs w:val="16"/>
                <w:color w:val="auto"/>
              </w:rPr>
              <w:t>Patents</w:t>
            </w:r>
          </w:p>
        </w:tc>
        <w:tc>
          <w:tcPr>
            <w:tcW w:w="4380" w:type="dxa"/>
            <w:vAlign w:val="bottom"/>
          </w:tcPr>
          <w:p>
            <w:pPr>
              <w:spacing w:after="0"/>
              <w:rPr>
                <w:sz w:val="20"/>
                <w:szCs w:val="20"/>
                <w:color w:val="auto"/>
              </w:rPr>
            </w:pPr>
          </w:p>
        </w:tc>
        <w:tc>
          <w:tcPr>
            <w:tcW w:w="3360" w:type="dxa"/>
            <w:vAlign w:val="bottom"/>
          </w:tcPr>
          <w:p>
            <w:pPr>
              <w:jc w:val="right"/>
              <w:spacing w:after="0"/>
              <w:rPr>
                <w:sz w:val="20"/>
                <w:szCs w:val="20"/>
                <w:color w:val="auto"/>
              </w:rPr>
            </w:pPr>
            <w:r>
              <w:rPr>
                <w:rFonts w:ascii="Calibri" w:cs="Calibri" w:eastAsia="Calibri" w:hAnsi="Calibri"/>
                <w:sz w:val="16"/>
                <w:szCs w:val="16"/>
                <w:color w:val="auto"/>
              </w:rPr>
              <w:t>1,606</w:t>
            </w:r>
          </w:p>
        </w:tc>
        <w:tc>
          <w:tcPr>
            <w:tcW w:w="20" w:type="dxa"/>
            <w:vAlign w:val="bottom"/>
          </w:tcPr>
          <w:p>
            <w:pPr>
              <w:spacing w:after="0"/>
              <w:rPr>
                <w:sz w:val="20"/>
                <w:szCs w:val="20"/>
                <w:color w:val="auto"/>
              </w:rPr>
            </w:pPr>
          </w:p>
        </w:tc>
      </w:tr>
      <w:tr>
        <w:trPr>
          <w:trHeight w:val="232"/>
        </w:trPr>
        <w:tc>
          <w:tcPr>
            <w:tcW w:w="2780" w:type="dxa"/>
            <w:vAlign w:val="bottom"/>
          </w:tcPr>
          <w:p>
            <w:pPr>
              <w:ind w:left="380"/>
              <w:spacing w:after="0"/>
              <w:rPr>
                <w:sz w:val="20"/>
                <w:szCs w:val="20"/>
                <w:color w:val="auto"/>
              </w:rPr>
            </w:pPr>
            <w:r>
              <w:rPr>
                <w:rFonts w:ascii="Calibri" w:cs="Calibri" w:eastAsia="Calibri" w:hAnsi="Calibri"/>
                <w:sz w:val="16"/>
                <w:szCs w:val="16"/>
                <w:color w:val="auto"/>
              </w:rPr>
              <w:t>Liabilites assumed</w:t>
            </w:r>
          </w:p>
        </w:tc>
        <w:tc>
          <w:tcPr>
            <w:tcW w:w="4380" w:type="dxa"/>
            <w:vAlign w:val="bottom"/>
          </w:tcPr>
          <w:p>
            <w:pPr>
              <w:spacing w:after="0"/>
              <w:rPr>
                <w:sz w:val="20"/>
                <w:szCs w:val="20"/>
                <w:color w:val="auto"/>
              </w:rPr>
            </w:pPr>
          </w:p>
        </w:tc>
        <w:tc>
          <w:tcPr>
            <w:tcW w:w="3360" w:type="dxa"/>
            <w:vAlign w:val="bottom"/>
          </w:tcPr>
          <w:p>
            <w:pPr>
              <w:jc w:val="right"/>
              <w:spacing w:after="0"/>
              <w:rPr>
                <w:sz w:val="20"/>
                <w:szCs w:val="20"/>
                <w:color w:val="auto"/>
              </w:rPr>
            </w:pPr>
            <w:r>
              <w:rPr>
                <w:rFonts w:ascii="Calibri" w:cs="Calibri" w:eastAsia="Calibri" w:hAnsi="Calibri"/>
                <w:sz w:val="16"/>
                <w:szCs w:val="16"/>
                <w:color w:val="auto"/>
              </w:rPr>
              <w:t>(735)</w:t>
            </w:r>
          </w:p>
        </w:tc>
        <w:tc>
          <w:tcPr>
            <w:tcW w:w="20" w:type="dxa"/>
            <w:vAlign w:val="bottom"/>
          </w:tcPr>
          <w:p>
            <w:pPr>
              <w:spacing w:after="0"/>
              <w:rPr>
                <w:sz w:val="20"/>
                <w:szCs w:val="20"/>
                <w:color w:val="auto"/>
              </w:rPr>
            </w:pPr>
          </w:p>
        </w:tc>
      </w:tr>
      <w:tr>
        <w:trPr>
          <w:trHeight w:val="232"/>
        </w:trPr>
        <w:tc>
          <w:tcPr>
            <w:tcW w:w="2780" w:type="dxa"/>
            <w:vAlign w:val="bottom"/>
          </w:tcPr>
          <w:p>
            <w:pPr>
              <w:ind w:left="380"/>
              <w:spacing w:after="0"/>
              <w:rPr>
                <w:sz w:val="20"/>
                <w:szCs w:val="20"/>
                <w:color w:val="auto"/>
              </w:rPr>
            </w:pPr>
            <w:r>
              <w:rPr>
                <w:rFonts w:ascii="Calibri" w:cs="Calibri" w:eastAsia="Calibri" w:hAnsi="Calibri"/>
                <w:sz w:val="16"/>
                <w:szCs w:val="16"/>
                <w:color w:val="auto"/>
              </w:rPr>
              <w:t>Goodwill</w:t>
            </w:r>
          </w:p>
        </w:tc>
        <w:tc>
          <w:tcPr>
            <w:tcW w:w="4380" w:type="dxa"/>
            <w:vAlign w:val="bottom"/>
          </w:tcPr>
          <w:p>
            <w:pPr>
              <w:spacing w:after="0"/>
              <w:rPr>
                <w:sz w:val="20"/>
                <w:szCs w:val="20"/>
                <w:color w:val="auto"/>
              </w:rPr>
            </w:pPr>
          </w:p>
        </w:tc>
        <w:tc>
          <w:tcPr>
            <w:tcW w:w="3360" w:type="dxa"/>
            <w:vAlign w:val="bottom"/>
          </w:tcPr>
          <w:p>
            <w:pPr>
              <w:jc w:val="right"/>
              <w:spacing w:after="0"/>
              <w:rPr>
                <w:sz w:val="20"/>
                <w:szCs w:val="20"/>
                <w:color w:val="auto"/>
              </w:rPr>
            </w:pPr>
            <w:r>
              <w:rPr>
                <w:rFonts w:ascii="Calibri" w:cs="Calibri" w:eastAsia="Calibri" w:hAnsi="Calibri"/>
                <w:sz w:val="16"/>
                <w:szCs w:val="16"/>
                <w:color w:val="auto"/>
              </w:rPr>
              <w:t>23,370</w:t>
            </w:r>
          </w:p>
        </w:tc>
        <w:tc>
          <w:tcPr>
            <w:tcW w:w="20" w:type="dxa"/>
            <w:vAlign w:val="bottom"/>
          </w:tcPr>
          <w:p>
            <w:pPr>
              <w:spacing w:after="0"/>
              <w:rPr>
                <w:sz w:val="20"/>
                <w:szCs w:val="20"/>
                <w:color w:val="auto"/>
              </w:rPr>
            </w:pPr>
          </w:p>
        </w:tc>
      </w:tr>
      <w:tr>
        <w:trPr>
          <w:trHeight w:val="46"/>
        </w:trPr>
        <w:tc>
          <w:tcPr>
            <w:tcW w:w="278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86"/>
        </w:trPr>
        <w:tc>
          <w:tcPr>
            <w:tcW w:w="2780" w:type="dxa"/>
            <w:vAlign w:val="bottom"/>
          </w:tcPr>
          <w:p>
            <w:pPr>
              <w:spacing w:after="0" w:line="186" w:lineRule="exact"/>
              <w:rPr>
                <w:sz w:val="20"/>
                <w:szCs w:val="20"/>
                <w:color w:val="auto"/>
              </w:rPr>
            </w:pPr>
            <w:r>
              <w:rPr>
                <w:rFonts w:ascii="Calibri" w:cs="Calibri" w:eastAsia="Calibri" w:hAnsi="Calibri"/>
                <w:sz w:val="16"/>
                <w:szCs w:val="16"/>
                <w:b w:val="1"/>
                <w:bCs w:val="1"/>
                <w:color w:val="auto"/>
              </w:rPr>
              <w:t>Total allocaton of purchase price</w:t>
            </w:r>
          </w:p>
        </w:tc>
        <w:tc>
          <w:tcPr>
            <w:tcW w:w="4380" w:type="dxa"/>
            <w:vAlign w:val="bottom"/>
          </w:tcPr>
          <w:p>
            <w:pPr>
              <w:spacing w:after="0"/>
              <w:rPr>
                <w:sz w:val="16"/>
                <w:szCs w:val="16"/>
                <w:color w:val="auto"/>
              </w:rPr>
            </w:pPr>
          </w:p>
        </w:tc>
        <w:tc>
          <w:tcPr>
            <w:tcW w:w="336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24,764</w:t>
            </w:r>
          </w:p>
        </w:tc>
        <w:tc>
          <w:tcPr>
            <w:tcW w:w="20" w:type="dxa"/>
            <w:vAlign w:val="bottom"/>
          </w:tcPr>
          <w:p>
            <w:pPr>
              <w:spacing w:after="0"/>
              <w:rPr>
                <w:sz w:val="16"/>
                <w:szCs w:val="16"/>
                <w:color w:val="auto"/>
              </w:rPr>
            </w:pPr>
          </w:p>
        </w:tc>
      </w:tr>
      <w:tr>
        <w:trPr>
          <w:trHeight w:val="38"/>
        </w:trPr>
        <w:tc>
          <w:tcPr>
            <w:tcW w:w="278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25 of 53</w:t>
      </w:r>
    </w:p>
    <w:p>
      <w:pPr>
        <w:sectPr>
          <w:pgSz w:w="11900" w:h="16838" w:orient="portrait"/>
          <w:cols w:equalWidth="0" w:num="1">
            <w:col w:w="11200"/>
          </w:cols>
          <w:pgMar w:left="380" w:top="151" w:right="319" w:bottom="1440" w:gutter="0" w:footer="0" w:header="0"/>
        </w:sectPr>
      </w:pPr>
    </w:p>
    <w:bookmarkStart w:id="125" w:name="page126"/>
    <w:bookmarkEnd w:id="125"/>
    <w:p>
      <w:pPr>
        <w:ind w:left="60"/>
        <w:spacing w:after="0"/>
        <w:rPr>
          <w:sz w:val="20"/>
          <w:szCs w:val="20"/>
          <w:color w:val="auto"/>
        </w:rPr>
      </w:pPr>
      <w:r>
        <w:rPr>
          <w:rFonts w:ascii="Calibri" w:cs="Calibri" w:eastAsia="Calibri" w:hAnsi="Calibri"/>
          <w:sz w:val="20"/>
          <w:szCs w:val="20"/>
          <w:b w:val="1"/>
          <w:bCs w:val="1"/>
          <w:color w:val="auto"/>
        </w:rPr>
        <w:t>CYBIN INC.</w:t>
      </w:r>
    </w:p>
    <w:p>
      <w:pPr>
        <w:ind w:left="60"/>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0"/>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0"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714565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300" w:right="20"/>
        <w:spacing w:after="0" w:line="231" w:lineRule="auto"/>
        <w:rPr>
          <w:sz w:val="20"/>
          <w:szCs w:val="20"/>
          <w:color w:val="auto"/>
        </w:rPr>
      </w:pPr>
      <w:r>
        <w:rPr>
          <w:rFonts w:ascii="Calibri" w:cs="Calibri" w:eastAsia="Calibri" w:hAnsi="Calibri"/>
          <w:sz w:val="16"/>
          <w:szCs w:val="16"/>
          <w:color w:val="auto"/>
        </w:rPr>
        <w:t>The following revenue and net income (loss) atributable subsequent to the Adelia Transacton are included in the Company’s consolidated fnancial statements for the year ended March 31, 2021:</w:t>
      </w: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5220" w:type="dxa"/>
            <w:vAlign w:val="bottom"/>
          </w:tcPr>
          <w:p>
            <w:pPr>
              <w:jc w:val="right"/>
              <w:spacing w:after="0"/>
              <w:rPr>
                <w:sz w:val="20"/>
                <w:szCs w:val="20"/>
                <w:color w:val="auto"/>
              </w:rPr>
            </w:pPr>
            <w:r>
              <w:rPr>
                <w:rFonts w:ascii="Calibri" w:cs="Calibri" w:eastAsia="Calibri" w:hAnsi="Calibri"/>
                <w:sz w:val="16"/>
                <w:szCs w:val="16"/>
                <w:b w:val="1"/>
                <w:bCs w:val="1"/>
                <w:color w:val="auto"/>
              </w:rPr>
              <w:t>$000’s</w:t>
            </w:r>
          </w:p>
        </w:tc>
      </w:tr>
      <w:tr>
        <w:trPr>
          <w:trHeight w:val="46"/>
        </w:trPr>
        <w:tc>
          <w:tcPr>
            <w:tcW w:w="5300" w:type="dxa"/>
            <w:vAlign w:val="bottom"/>
            <w:tcBorders>
              <w:bottom w:val="single" w:sz="8" w:color="auto"/>
            </w:tcBorders>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r>
      <w:tr>
        <w:trPr>
          <w:trHeight w:val="186"/>
        </w:trPr>
        <w:tc>
          <w:tcPr>
            <w:tcW w:w="5300" w:type="dxa"/>
            <w:vAlign w:val="bottom"/>
          </w:tcPr>
          <w:p>
            <w:pPr>
              <w:spacing w:after="0" w:line="186" w:lineRule="exact"/>
              <w:rPr>
                <w:sz w:val="20"/>
                <w:szCs w:val="20"/>
                <w:color w:val="auto"/>
              </w:rPr>
            </w:pPr>
            <w:r>
              <w:rPr>
                <w:rFonts w:ascii="Calibri" w:cs="Calibri" w:eastAsia="Calibri" w:hAnsi="Calibri"/>
                <w:sz w:val="16"/>
                <w:szCs w:val="16"/>
                <w:color w:val="auto"/>
              </w:rPr>
              <w:t>Revenue</w:t>
            </w:r>
          </w:p>
        </w:tc>
        <w:tc>
          <w:tcPr>
            <w:tcW w:w="5220" w:type="dxa"/>
            <w:vAlign w:val="bottom"/>
          </w:tcPr>
          <w:p>
            <w:pPr>
              <w:jc w:val="right"/>
              <w:spacing w:after="0" w:line="186" w:lineRule="exact"/>
              <w:rPr>
                <w:sz w:val="20"/>
                <w:szCs w:val="20"/>
                <w:color w:val="auto"/>
              </w:rPr>
            </w:pPr>
            <w:r>
              <w:rPr>
                <w:rFonts w:ascii="Calibri" w:cs="Calibri" w:eastAsia="Calibri" w:hAnsi="Calibri"/>
                <w:sz w:val="16"/>
                <w:szCs w:val="16"/>
                <w:color w:val="auto"/>
              </w:rPr>
              <w:t>—</w:t>
            </w:r>
          </w:p>
        </w:tc>
      </w:tr>
      <w:tr>
        <w:trPr>
          <w:trHeight w:val="225"/>
        </w:trPr>
        <w:tc>
          <w:tcPr>
            <w:tcW w:w="5300" w:type="dxa"/>
            <w:vAlign w:val="bottom"/>
          </w:tcPr>
          <w:p>
            <w:pPr>
              <w:spacing w:after="0"/>
              <w:rPr>
                <w:sz w:val="20"/>
                <w:szCs w:val="20"/>
                <w:color w:val="auto"/>
              </w:rPr>
            </w:pPr>
            <w:r>
              <w:rPr>
                <w:rFonts w:ascii="Calibri" w:cs="Calibri" w:eastAsia="Calibri" w:hAnsi="Calibri"/>
                <w:sz w:val="16"/>
                <w:szCs w:val="16"/>
                <w:color w:val="auto"/>
              </w:rPr>
              <w:t>Net loss</w:t>
            </w:r>
          </w:p>
        </w:tc>
        <w:tc>
          <w:tcPr>
            <w:tcW w:w="5220" w:type="dxa"/>
            <w:vAlign w:val="bottom"/>
          </w:tcPr>
          <w:p>
            <w:pPr>
              <w:jc w:val="right"/>
              <w:spacing w:after="0"/>
              <w:rPr>
                <w:sz w:val="20"/>
                <w:szCs w:val="20"/>
                <w:color w:val="auto"/>
              </w:rPr>
            </w:pPr>
            <w:r>
              <w:rPr>
                <w:rFonts w:ascii="Calibri" w:cs="Calibri" w:eastAsia="Calibri" w:hAnsi="Calibri"/>
                <w:sz w:val="16"/>
                <w:szCs w:val="16"/>
                <w:color w:val="auto"/>
              </w:rPr>
              <w:t>(1,876)</w:t>
            </w:r>
          </w:p>
        </w:tc>
      </w:tr>
      <w:tr>
        <w:trPr>
          <w:trHeight w:val="46"/>
        </w:trPr>
        <w:tc>
          <w:tcPr>
            <w:tcW w:w="5300" w:type="dxa"/>
            <w:vAlign w:val="bottom"/>
            <w:tcBorders>
              <w:bottom w:val="single" w:sz="8" w:color="auto"/>
            </w:tcBorders>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r>
    </w:tbl>
    <w:p>
      <w:pPr>
        <w:spacing w:after="0" w:line="272"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Had the acquisiton occurred on April 1, 2020, the Company estmates that it would have reported the following consolidated revenue and net loss for the year ended</w:t>
      </w:r>
    </w:p>
    <w:tbl>
      <w:tblPr>
        <w:tblLayout w:type="fixed"/>
        <w:tblInd w:w="300" w:type="dxa"/>
        <w:tblCellMar>
          <w:top w:w="0" w:type="dxa"/>
          <w:left w:w="0" w:type="dxa"/>
          <w:bottom w:w="0" w:type="dxa"/>
          <w:right w:w="0" w:type="dxa"/>
        </w:tblCellMar>
      </w:tblPr>
      <w:tr>
        <w:trPr>
          <w:trHeight w:val="195"/>
        </w:trPr>
        <w:tc>
          <w:tcPr>
            <w:tcW w:w="2980" w:type="dxa"/>
            <w:vAlign w:val="bottom"/>
          </w:tcPr>
          <w:p>
            <w:pPr>
              <w:spacing w:after="0"/>
              <w:rPr>
                <w:sz w:val="20"/>
                <w:szCs w:val="20"/>
                <w:color w:val="auto"/>
              </w:rPr>
            </w:pPr>
            <w:r>
              <w:rPr>
                <w:rFonts w:ascii="Calibri" w:cs="Calibri" w:eastAsia="Calibri" w:hAnsi="Calibri"/>
                <w:sz w:val="16"/>
                <w:szCs w:val="16"/>
                <w:color w:val="auto"/>
              </w:rPr>
              <w:t>March</w:t>
            </w:r>
          </w:p>
        </w:tc>
        <w:tc>
          <w:tcPr>
            <w:tcW w:w="4840" w:type="dxa"/>
            <w:vAlign w:val="bottom"/>
          </w:tcPr>
          <w:p>
            <w:pPr>
              <w:jc w:val="right"/>
              <w:ind w:right="2139"/>
              <w:spacing w:after="0"/>
              <w:rPr>
                <w:sz w:val="20"/>
                <w:szCs w:val="20"/>
                <w:color w:val="auto"/>
              </w:rPr>
            </w:pPr>
            <w:r>
              <w:rPr>
                <w:rFonts w:ascii="Calibri" w:cs="Calibri" w:eastAsia="Calibri" w:hAnsi="Calibri"/>
                <w:sz w:val="16"/>
                <w:szCs w:val="16"/>
                <w:color w:val="auto"/>
              </w:rPr>
              <w:t>31,</w:t>
            </w:r>
          </w:p>
        </w:tc>
        <w:tc>
          <w:tcPr>
            <w:tcW w:w="3120" w:type="dxa"/>
            <w:vAlign w:val="bottom"/>
            <w:gridSpan w:val="2"/>
          </w:tcPr>
          <w:p>
            <w:pPr>
              <w:jc w:val="right"/>
              <w:spacing w:after="0"/>
              <w:rPr>
                <w:sz w:val="20"/>
                <w:szCs w:val="20"/>
                <w:color w:val="auto"/>
              </w:rPr>
            </w:pPr>
            <w:r>
              <w:rPr>
                <w:rFonts w:ascii="Calibri" w:cs="Calibri" w:eastAsia="Calibri" w:hAnsi="Calibri"/>
                <w:sz w:val="16"/>
                <w:szCs w:val="16"/>
                <w:color w:val="auto"/>
              </w:rPr>
              <w:t>2021:</w:t>
            </w:r>
          </w:p>
        </w:tc>
      </w:tr>
      <w:tr>
        <w:trPr>
          <w:trHeight w:val="452"/>
        </w:trPr>
        <w:tc>
          <w:tcPr>
            <w:tcW w:w="29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120" w:type="dxa"/>
            <w:vAlign w:val="bottom"/>
            <w:gridSpan w:val="2"/>
          </w:tcPr>
          <w:p>
            <w:pPr>
              <w:jc w:val="right"/>
              <w:ind w:right="440"/>
              <w:spacing w:after="0"/>
              <w:rPr>
                <w:sz w:val="20"/>
                <w:szCs w:val="20"/>
                <w:color w:val="auto"/>
              </w:rPr>
            </w:pPr>
            <w:r>
              <w:rPr>
                <w:rFonts w:ascii="Calibri" w:cs="Calibri" w:eastAsia="Calibri" w:hAnsi="Calibri"/>
                <w:sz w:val="16"/>
                <w:szCs w:val="16"/>
                <w:b w:val="1"/>
                <w:bCs w:val="1"/>
                <w:color w:val="auto"/>
              </w:rPr>
              <w:t>$000’s</w:t>
            </w:r>
          </w:p>
        </w:tc>
      </w:tr>
      <w:tr>
        <w:trPr>
          <w:trHeight w:val="46"/>
        </w:trPr>
        <w:tc>
          <w:tcPr>
            <w:tcW w:w="2980" w:type="dxa"/>
            <w:vAlign w:val="bottom"/>
          </w:tcPr>
          <w:p>
            <w:pPr>
              <w:spacing w:after="0"/>
              <w:rPr>
                <w:sz w:val="3"/>
                <w:szCs w:val="3"/>
                <w:color w:val="auto"/>
              </w:rPr>
            </w:pPr>
          </w:p>
        </w:tc>
        <w:tc>
          <w:tcPr>
            <w:tcW w:w="4840" w:type="dxa"/>
            <w:vAlign w:val="bottom"/>
          </w:tcPr>
          <w:p>
            <w:pPr>
              <w:spacing w:after="0"/>
              <w:rPr>
                <w:sz w:val="3"/>
                <w:szCs w:val="3"/>
                <w:color w:val="auto"/>
              </w:rPr>
            </w:pPr>
          </w:p>
        </w:tc>
        <w:tc>
          <w:tcPr>
            <w:tcW w:w="3120" w:type="dxa"/>
            <w:vAlign w:val="bottom"/>
            <w:gridSpan w:val="2"/>
          </w:tcPr>
          <w:p>
            <w:pPr>
              <w:spacing w:after="0"/>
              <w:rPr>
                <w:sz w:val="3"/>
                <w:szCs w:val="3"/>
                <w:color w:val="auto"/>
              </w:rPr>
            </w:pPr>
          </w:p>
        </w:tc>
      </w:tr>
      <w:tr>
        <w:trPr>
          <w:trHeight w:val="186"/>
        </w:trPr>
        <w:tc>
          <w:tcPr>
            <w:tcW w:w="2980" w:type="dxa"/>
            <w:vAlign w:val="bottom"/>
            <w:tcBorders>
              <w:top w:val="single" w:sz="8" w:color="auto"/>
            </w:tcBorders>
          </w:tcPr>
          <w:p>
            <w:pPr>
              <w:spacing w:after="0" w:line="186" w:lineRule="exact"/>
              <w:rPr>
                <w:sz w:val="20"/>
                <w:szCs w:val="20"/>
                <w:color w:val="auto"/>
              </w:rPr>
            </w:pPr>
            <w:r>
              <w:rPr>
                <w:rFonts w:ascii="Calibri" w:cs="Calibri" w:eastAsia="Calibri" w:hAnsi="Calibri"/>
                <w:sz w:val="16"/>
                <w:szCs w:val="16"/>
                <w:color w:val="auto"/>
              </w:rPr>
              <w:t>Revenue</w:t>
            </w:r>
          </w:p>
        </w:tc>
        <w:tc>
          <w:tcPr>
            <w:tcW w:w="484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tcPr>
          <w:p>
            <w:pPr>
              <w:jc w:val="right"/>
              <w:spacing w:after="0" w:line="186" w:lineRule="exact"/>
              <w:rPr>
                <w:sz w:val="20"/>
                <w:szCs w:val="20"/>
                <w:color w:val="auto"/>
              </w:rPr>
            </w:pPr>
            <w:r>
              <w:rPr>
                <w:rFonts w:ascii="Calibri" w:cs="Calibri" w:eastAsia="Calibri" w:hAnsi="Calibri"/>
                <w:sz w:val="16"/>
                <w:szCs w:val="16"/>
                <w:color w:val="auto"/>
              </w:rPr>
              <w:t>—</w:t>
            </w:r>
          </w:p>
        </w:tc>
        <w:tc>
          <w:tcPr>
            <w:tcW w:w="420" w:type="dxa"/>
            <w:vAlign w:val="bottom"/>
          </w:tcPr>
          <w:p>
            <w:pPr>
              <w:spacing w:after="0"/>
              <w:rPr>
                <w:sz w:val="16"/>
                <w:szCs w:val="16"/>
                <w:color w:val="auto"/>
              </w:rPr>
            </w:pPr>
          </w:p>
        </w:tc>
      </w:tr>
      <w:tr>
        <w:trPr>
          <w:trHeight w:val="225"/>
        </w:trPr>
        <w:tc>
          <w:tcPr>
            <w:tcW w:w="2980" w:type="dxa"/>
            <w:vAlign w:val="bottom"/>
          </w:tcPr>
          <w:p>
            <w:pPr>
              <w:spacing w:after="0"/>
              <w:rPr>
                <w:sz w:val="20"/>
                <w:szCs w:val="20"/>
                <w:color w:val="auto"/>
              </w:rPr>
            </w:pPr>
            <w:r>
              <w:rPr>
                <w:rFonts w:ascii="Calibri" w:cs="Calibri" w:eastAsia="Calibri" w:hAnsi="Calibri"/>
                <w:sz w:val="16"/>
                <w:szCs w:val="16"/>
                <w:color w:val="auto"/>
              </w:rPr>
              <w:t>Net loss</w:t>
            </w:r>
          </w:p>
        </w:tc>
        <w:tc>
          <w:tcPr>
            <w:tcW w:w="484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Calibri" w:cs="Calibri" w:eastAsia="Calibri" w:hAnsi="Calibri"/>
                <w:sz w:val="16"/>
                <w:szCs w:val="16"/>
                <w:color w:val="auto"/>
              </w:rPr>
              <w:t>(3,191)</w:t>
            </w:r>
          </w:p>
        </w:tc>
        <w:tc>
          <w:tcPr>
            <w:tcW w:w="420" w:type="dxa"/>
            <w:vAlign w:val="bottom"/>
          </w:tcPr>
          <w:p>
            <w:pPr>
              <w:spacing w:after="0"/>
              <w:rPr>
                <w:sz w:val="19"/>
                <w:szCs w:val="19"/>
                <w:color w:val="auto"/>
              </w:rPr>
            </w:pPr>
          </w:p>
        </w:tc>
      </w:tr>
      <w:tr>
        <w:trPr>
          <w:trHeight w:val="46"/>
        </w:trPr>
        <w:tc>
          <w:tcPr>
            <w:tcW w:w="2980" w:type="dxa"/>
            <w:vAlign w:val="bottom"/>
            <w:tcBorders>
              <w:bottom w:val="single" w:sz="8" w:color="auto"/>
            </w:tcBorders>
          </w:tcPr>
          <w:p>
            <w:pPr>
              <w:spacing w:after="0"/>
              <w:rPr>
                <w:sz w:val="3"/>
                <w:szCs w:val="3"/>
                <w:color w:val="auto"/>
              </w:rPr>
            </w:pPr>
          </w:p>
        </w:tc>
        <w:tc>
          <w:tcPr>
            <w:tcW w:w="484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5.</w:t>
      </w:r>
      <w:r>
        <w:rPr>
          <w:sz w:val="20"/>
          <w:szCs w:val="20"/>
          <w:color w:val="auto"/>
        </w:rPr>
        <w:tab/>
      </w:r>
      <w:r>
        <w:rPr>
          <w:rFonts w:ascii="Calibri" w:cs="Calibri" w:eastAsia="Calibri" w:hAnsi="Calibri"/>
          <w:sz w:val="15"/>
          <w:szCs w:val="15"/>
          <w:b w:val="1"/>
          <w:bCs w:val="1"/>
          <w:color w:val="2D5F91"/>
        </w:rPr>
        <w:t>INVESTMENTS</w:t>
      </w:r>
    </w:p>
    <w:p>
      <w:pPr>
        <w:spacing w:after="0" w:line="221" w:lineRule="exact"/>
        <w:rPr>
          <w:sz w:val="20"/>
          <w:szCs w:val="20"/>
          <w:color w:val="auto"/>
        </w:rPr>
      </w:pPr>
    </w:p>
    <w:p>
      <w:pPr>
        <w:jc w:val="both"/>
        <w:ind w:left="300"/>
        <w:spacing w:after="0" w:line="230" w:lineRule="auto"/>
        <w:rPr>
          <w:sz w:val="20"/>
          <w:szCs w:val="20"/>
          <w:color w:val="auto"/>
        </w:rPr>
      </w:pPr>
      <w:r>
        <w:rPr>
          <w:rFonts w:ascii="Calibri" w:cs="Calibri" w:eastAsia="Calibri" w:hAnsi="Calibri"/>
          <w:sz w:val="16"/>
          <w:szCs w:val="16"/>
          <w:color w:val="auto"/>
        </w:rPr>
        <w:t>On June 8, 2021, the Company entered into a subscripton agreement with RxLive Limited (“RxLive”) whereby the Company purchased $250 of 10.0% unsecured convertble redeemable debentures (the “Rx Debentures”). RxLive is a UK-based online platorm that connects pharmacists and patents through a secure app that allows for pharmacist consultatons, inital or renewal prescripton fulflment and delivery of prescripton medicaton. The Rx Debentures mature and become due on June 8, 2022. The Rx Debentures were to be exchangeable or convertble into units at a price of equal to 80% of the ofering price of any equity fnancing completed by 1301376 B.C. Ltd. (“Finco”) concurrent with a go public transacton. Each unit was to consist of one common share of Finco (a “Finco Share”) and one Finco Share purchase warrant, with each warrant being exercisable to acquire one Finco Share at a price equal to 125% of the conversion price (the “Rx Conversion Feature”). As a result of the transacton, the Company recorded a hybrid fnancial instrument representng the Rx Debentures and the Rx Conversion Feature (the “Rx Hybrid Instrument”). The inital fair value of the Rx Hybrid Instrument was $250 determined by the sum of the fair values of the Rx Debenture and Rx Conversion Feature derived respectvely using the discounted cash fow approach and the Black-Scholes model. The go public transacton did not occur, and as a result the debentures did not convert into units. As at March 31, 2022, the amount of $242 was determined to represent the fair value of the Rx Debentures. Subsequent to March 31, 2022, the Company began negotatng the terms of the Rx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26 of 53</w:t>
      </w:r>
    </w:p>
    <w:p>
      <w:pPr>
        <w:sectPr>
          <w:pgSz w:w="11900" w:h="16838" w:orient="portrait"/>
          <w:cols w:equalWidth="0" w:num="1">
            <w:col w:w="11260"/>
          </w:cols>
          <w:pgMar w:left="320" w:top="151" w:right="319" w:bottom="1440" w:gutter="0" w:footer="0" w:header="0"/>
        </w:sectPr>
      </w:pPr>
    </w:p>
    <w:bookmarkStart w:id="126" w:name="page127"/>
    <w:bookmarkEnd w:id="126"/>
    <w:p>
      <w:pPr>
        <w:ind w:left="60"/>
        <w:spacing w:after="0"/>
        <w:rPr>
          <w:sz w:val="20"/>
          <w:szCs w:val="20"/>
          <w:color w:val="auto"/>
        </w:rPr>
      </w:pPr>
      <w:r>
        <w:rPr>
          <w:rFonts w:ascii="Calibri" w:cs="Calibri" w:eastAsia="Calibri" w:hAnsi="Calibri"/>
          <w:sz w:val="20"/>
          <w:szCs w:val="20"/>
          <w:b w:val="1"/>
          <w:bCs w:val="1"/>
          <w:color w:val="auto"/>
        </w:rPr>
        <w:t>CYBIN INC.</w:t>
      </w:r>
    </w:p>
    <w:p>
      <w:pPr>
        <w:ind w:left="60"/>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0"/>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714565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 w:type="dxa"/>
            <w:vAlign w:val="bottom"/>
          </w:tcPr>
          <w:p>
            <w:pPr>
              <w:jc w:val="right"/>
              <w:spacing w:after="0"/>
              <w:rPr>
                <w:sz w:val="20"/>
                <w:szCs w:val="20"/>
                <w:color w:val="auto"/>
              </w:rPr>
            </w:pPr>
            <w:r>
              <w:rPr>
                <w:rFonts w:ascii="Calibri" w:cs="Calibri" w:eastAsia="Calibri" w:hAnsi="Calibri"/>
                <w:sz w:val="16"/>
                <w:szCs w:val="16"/>
                <w:b w:val="1"/>
                <w:bCs w:val="1"/>
                <w:color w:val="2D5F91"/>
                <w:w w:val="80"/>
              </w:rPr>
              <w:t>6.</w:t>
            </w:r>
          </w:p>
        </w:tc>
        <w:tc>
          <w:tcPr>
            <w:tcW w:w="4000" w:type="dxa"/>
            <w:vAlign w:val="bottom"/>
            <w:gridSpan w:val="2"/>
          </w:tcPr>
          <w:p>
            <w:pPr>
              <w:ind w:left="60"/>
              <w:spacing w:after="0"/>
              <w:rPr>
                <w:sz w:val="20"/>
                <w:szCs w:val="20"/>
                <w:color w:val="auto"/>
              </w:rPr>
            </w:pPr>
            <w:r>
              <w:rPr>
                <w:rFonts w:ascii="Calibri" w:cs="Calibri" w:eastAsia="Calibri" w:hAnsi="Calibri"/>
                <w:sz w:val="16"/>
                <w:szCs w:val="16"/>
                <w:b w:val="1"/>
                <w:bCs w:val="1"/>
                <w:color w:val="2D5F91"/>
              </w:rPr>
              <w:t>EQUIPMENT</w:t>
            </w:r>
          </w:p>
        </w:tc>
        <w:tc>
          <w:tcPr>
            <w:tcW w:w="3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67"/>
        </w:trPr>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Calibri" w:cs="Calibri" w:eastAsia="Calibri" w:hAnsi="Calibri"/>
                <w:sz w:val="16"/>
                <w:szCs w:val="16"/>
                <w:color w:val="auto"/>
              </w:rPr>
              <w:t>Equipment consists as follows:</w:t>
            </w:r>
          </w:p>
        </w:tc>
        <w:tc>
          <w:tcPr>
            <w:tcW w:w="3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Calibri" w:cs="Calibri" w:eastAsia="Calibri" w:hAnsi="Calibri"/>
                <w:sz w:val="16"/>
                <w:szCs w:val="16"/>
                <w:b w:val="1"/>
                <w:bCs w:val="1"/>
                <w:color w:val="auto"/>
              </w:rPr>
              <w:t>Cost</w:t>
            </w:r>
          </w:p>
        </w:tc>
        <w:tc>
          <w:tcPr>
            <w:tcW w:w="3100" w:type="dxa"/>
            <w:vAlign w:val="bottom"/>
          </w:tcPr>
          <w:p>
            <w:pPr>
              <w:jc w:val="right"/>
              <w:ind w:right="539"/>
              <w:spacing w:after="0"/>
              <w:rPr>
                <w:sz w:val="20"/>
                <w:szCs w:val="20"/>
                <w:color w:val="auto"/>
              </w:rPr>
            </w:pPr>
            <w:r>
              <w:rPr>
                <w:rFonts w:ascii="Calibri" w:cs="Calibri" w:eastAsia="Calibri" w:hAnsi="Calibri"/>
                <w:sz w:val="16"/>
                <w:szCs w:val="16"/>
                <w:b w:val="1"/>
                <w:bCs w:val="1"/>
                <w:color w:val="auto"/>
              </w:rPr>
              <w:t>Lab Equipment</w:t>
            </w:r>
          </w:p>
        </w:tc>
        <w:tc>
          <w:tcPr>
            <w:tcW w:w="2380" w:type="dxa"/>
            <w:vAlign w:val="bottom"/>
          </w:tcPr>
          <w:p>
            <w:pPr>
              <w:jc w:val="right"/>
              <w:ind w:right="579"/>
              <w:spacing w:after="0"/>
              <w:rPr>
                <w:sz w:val="20"/>
                <w:szCs w:val="20"/>
                <w:color w:val="auto"/>
              </w:rPr>
            </w:pPr>
            <w:r>
              <w:rPr>
                <w:rFonts w:ascii="Calibri" w:cs="Calibri" w:eastAsia="Calibri" w:hAnsi="Calibri"/>
                <w:sz w:val="16"/>
                <w:szCs w:val="16"/>
                <w:b w:val="1"/>
                <w:bCs w:val="1"/>
                <w:color w:val="auto"/>
              </w:rPr>
              <w:t>Computer Equipment</w:t>
            </w:r>
          </w:p>
        </w:tc>
        <w:tc>
          <w:tcPr>
            <w:tcW w:w="1220" w:type="dxa"/>
            <w:vAlign w:val="bottom"/>
            <w:gridSpan w:val="2"/>
          </w:tcPr>
          <w:p>
            <w:pPr>
              <w:jc w:val="right"/>
              <w:ind w:right="60"/>
              <w:spacing w:after="0"/>
              <w:rPr>
                <w:sz w:val="20"/>
                <w:szCs w:val="20"/>
                <w:color w:val="auto"/>
              </w:rPr>
            </w:pPr>
            <w:r>
              <w:rPr>
                <w:rFonts w:ascii="Calibri" w:cs="Calibri" w:eastAsia="Calibri" w:hAnsi="Calibri"/>
                <w:sz w:val="16"/>
                <w:szCs w:val="16"/>
                <w:b w:val="1"/>
                <w:bCs w:val="1"/>
                <w:color w:val="auto"/>
              </w:rPr>
              <w:t>Total</w:t>
            </w:r>
          </w:p>
        </w:tc>
      </w:tr>
      <w:tr>
        <w:trPr>
          <w:trHeight w:val="208"/>
        </w:trPr>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100" w:type="dxa"/>
            <w:vAlign w:val="bottom"/>
          </w:tcPr>
          <w:p>
            <w:pPr>
              <w:jc w:val="right"/>
              <w:ind w:right="539"/>
              <w:spacing w:after="0"/>
              <w:rPr>
                <w:sz w:val="20"/>
                <w:szCs w:val="20"/>
                <w:color w:val="auto"/>
              </w:rPr>
            </w:pPr>
            <w:r>
              <w:rPr>
                <w:rFonts w:ascii="Calibri" w:cs="Calibri" w:eastAsia="Calibri" w:hAnsi="Calibri"/>
                <w:sz w:val="16"/>
                <w:szCs w:val="16"/>
                <w:b w:val="1"/>
                <w:bCs w:val="1"/>
                <w:color w:val="auto"/>
              </w:rPr>
              <w:t>$000’s</w:t>
            </w:r>
          </w:p>
        </w:tc>
        <w:tc>
          <w:tcPr>
            <w:tcW w:w="2380" w:type="dxa"/>
            <w:vAlign w:val="bottom"/>
          </w:tcPr>
          <w:p>
            <w:pPr>
              <w:jc w:val="right"/>
              <w:ind w:right="579"/>
              <w:spacing w:after="0"/>
              <w:rPr>
                <w:sz w:val="20"/>
                <w:szCs w:val="20"/>
                <w:color w:val="auto"/>
              </w:rPr>
            </w:pPr>
            <w:r>
              <w:rPr>
                <w:rFonts w:ascii="Calibri" w:cs="Calibri" w:eastAsia="Calibri" w:hAnsi="Calibri"/>
                <w:sz w:val="16"/>
                <w:szCs w:val="16"/>
                <w:b w:val="1"/>
                <w:bCs w:val="1"/>
                <w:color w:val="auto"/>
              </w:rPr>
              <w:t>$000’s</w:t>
            </w:r>
          </w:p>
        </w:tc>
        <w:tc>
          <w:tcPr>
            <w:tcW w:w="1220" w:type="dxa"/>
            <w:vAlign w:val="bottom"/>
            <w:gridSpan w:val="2"/>
          </w:tcPr>
          <w:p>
            <w:pPr>
              <w:jc w:val="right"/>
              <w:ind w:right="60"/>
              <w:spacing w:after="0"/>
              <w:rPr>
                <w:sz w:val="20"/>
                <w:szCs w:val="20"/>
                <w:color w:val="auto"/>
              </w:rPr>
            </w:pPr>
            <w:r>
              <w:rPr>
                <w:rFonts w:ascii="Calibri" w:cs="Calibri" w:eastAsia="Calibri" w:hAnsi="Calibri"/>
                <w:sz w:val="16"/>
                <w:szCs w:val="16"/>
                <w:b w:val="1"/>
                <w:bCs w:val="1"/>
                <w:color w:val="auto"/>
              </w:rPr>
              <w:t>$000’s</w:t>
            </w:r>
          </w:p>
        </w:tc>
      </w:tr>
      <w:tr>
        <w:trPr>
          <w:trHeight w:val="21"/>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86"/>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Pr>
          <w:p>
            <w:pPr>
              <w:spacing w:after="0" w:line="186" w:lineRule="exact"/>
              <w:rPr>
                <w:sz w:val="20"/>
                <w:szCs w:val="20"/>
                <w:color w:val="auto"/>
              </w:rPr>
            </w:pPr>
            <w:r>
              <w:rPr>
                <w:rFonts w:ascii="Calibri" w:cs="Calibri" w:eastAsia="Calibri" w:hAnsi="Calibri"/>
                <w:sz w:val="16"/>
                <w:szCs w:val="16"/>
                <w:b w:val="1"/>
                <w:bCs w:val="1"/>
                <w:color w:val="auto"/>
              </w:rPr>
              <w:t>Balance as at March 31, 2020</w:t>
            </w:r>
          </w:p>
        </w:tc>
        <w:tc>
          <w:tcPr>
            <w:tcW w:w="3100" w:type="dxa"/>
            <w:vAlign w:val="bottom"/>
          </w:tcPr>
          <w:p>
            <w:pPr>
              <w:jc w:val="right"/>
              <w:ind w:right="539"/>
              <w:spacing w:after="0" w:line="186" w:lineRule="exact"/>
              <w:rPr>
                <w:sz w:val="20"/>
                <w:szCs w:val="20"/>
                <w:color w:val="auto"/>
              </w:rPr>
            </w:pPr>
            <w:r>
              <w:rPr>
                <w:rFonts w:ascii="Calibri" w:cs="Calibri" w:eastAsia="Calibri" w:hAnsi="Calibri"/>
                <w:sz w:val="16"/>
                <w:szCs w:val="16"/>
                <w:color w:val="auto"/>
              </w:rPr>
              <w:t>—</w:t>
            </w:r>
          </w:p>
        </w:tc>
        <w:tc>
          <w:tcPr>
            <w:tcW w:w="2380" w:type="dxa"/>
            <w:vAlign w:val="bottom"/>
          </w:tcPr>
          <w:p>
            <w:pPr>
              <w:jc w:val="right"/>
              <w:ind w:right="559"/>
              <w:spacing w:after="0" w:line="186" w:lineRule="exact"/>
              <w:rPr>
                <w:sz w:val="20"/>
                <w:szCs w:val="20"/>
                <w:color w:val="auto"/>
              </w:rPr>
            </w:pPr>
            <w:r>
              <w:rPr>
                <w:rFonts w:ascii="Calibri" w:cs="Calibri" w:eastAsia="Calibri" w:hAnsi="Calibri"/>
                <w:sz w:val="16"/>
                <w:szCs w:val="16"/>
                <w:color w:val="auto"/>
              </w:rPr>
              <w:t>—</w:t>
            </w:r>
          </w:p>
        </w:tc>
        <w:tc>
          <w:tcPr>
            <w:tcW w:w="1220" w:type="dxa"/>
            <w:vAlign w:val="bottom"/>
            <w:gridSpan w:val="2"/>
          </w:tcPr>
          <w:p>
            <w:pPr>
              <w:jc w:val="right"/>
              <w:ind w:right="60"/>
              <w:spacing w:after="0" w:line="186" w:lineRule="exact"/>
              <w:rPr>
                <w:sz w:val="20"/>
                <w:szCs w:val="20"/>
                <w:color w:val="auto"/>
              </w:rPr>
            </w:pPr>
            <w:r>
              <w:rPr>
                <w:rFonts w:ascii="Calibri" w:cs="Calibri" w:eastAsia="Calibri" w:hAnsi="Calibri"/>
                <w:sz w:val="16"/>
                <w:szCs w:val="16"/>
                <w:color w:val="auto"/>
              </w:rPr>
              <w:t>—</w:t>
            </w:r>
          </w:p>
        </w:tc>
      </w:tr>
      <w:tr>
        <w:trPr>
          <w:trHeight w:val="200"/>
        </w:trPr>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Calibri" w:cs="Calibri" w:eastAsia="Calibri" w:hAnsi="Calibri"/>
                <w:sz w:val="16"/>
                <w:szCs w:val="16"/>
                <w:color w:val="auto"/>
              </w:rPr>
              <w:t>Additons</w:t>
            </w:r>
          </w:p>
        </w:tc>
        <w:tc>
          <w:tcPr>
            <w:tcW w:w="3100" w:type="dxa"/>
            <w:vAlign w:val="bottom"/>
          </w:tcPr>
          <w:p>
            <w:pPr>
              <w:jc w:val="right"/>
              <w:ind w:right="539"/>
              <w:spacing w:after="0"/>
              <w:rPr>
                <w:sz w:val="20"/>
                <w:szCs w:val="20"/>
                <w:color w:val="auto"/>
              </w:rPr>
            </w:pPr>
            <w:r>
              <w:rPr>
                <w:rFonts w:ascii="Calibri" w:cs="Calibri" w:eastAsia="Calibri" w:hAnsi="Calibri"/>
                <w:sz w:val="16"/>
                <w:szCs w:val="16"/>
                <w:color w:val="auto"/>
              </w:rPr>
              <w:t>478</w:t>
            </w:r>
          </w:p>
        </w:tc>
        <w:tc>
          <w:tcPr>
            <w:tcW w:w="2380" w:type="dxa"/>
            <w:vAlign w:val="bottom"/>
          </w:tcPr>
          <w:p>
            <w:pPr>
              <w:jc w:val="right"/>
              <w:ind w:right="579"/>
              <w:spacing w:after="0"/>
              <w:rPr>
                <w:sz w:val="20"/>
                <w:szCs w:val="20"/>
                <w:color w:val="auto"/>
              </w:rPr>
            </w:pPr>
            <w:r>
              <w:rPr>
                <w:rFonts w:ascii="Calibri" w:cs="Calibri" w:eastAsia="Calibri" w:hAnsi="Calibri"/>
                <w:sz w:val="16"/>
                <w:szCs w:val="16"/>
                <w:color w:val="auto"/>
              </w:rPr>
              <w:t>141</w:t>
            </w:r>
          </w:p>
        </w:tc>
        <w:tc>
          <w:tcPr>
            <w:tcW w:w="1220" w:type="dxa"/>
            <w:vAlign w:val="bottom"/>
            <w:gridSpan w:val="2"/>
          </w:tcPr>
          <w:p>
            <w:pPr>
              <w:jc w:val="right"/>
              <w:ind w:right="60"/>
              <w:spacing w:after="0"/>
              <w:rPr>
                <w:sz w:val="20"/>
                <w:szCs w:val="20"/>
                <w:color w:val="auto"/>
              </w:rPr>
            </w:pPr>
            <w:r>
              <w:rPr>
                <w:rFonts w:ascii="Calibri" w:cs="Calibri" w:eastAsia="Calibri" w:hAnsi="Calibri"/>
                <w:sz w:val="16"/>
                <w:szCs w:val="16"/>
                <w:color w:val="auto"/>
              </w:rPr>
              <w:t>619</w:t>
            </w:r>
          </w:p>
        </w:tc>
      </w:tr>
      <w:tr>
        <w:trPr>
          <w:trHeight w:val="208"/>
        </w:trPr>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Calibri" w:cs="Calibri" w:eastAsia="Calibri" w:hAnsi="Calibri"/>
                <w:sz w:val="16"/>
                <w:szCs w:val="16"/>
                <w:color w:val="auto"/>
              </w:rPr>
              <w:t>Efect of foreign exchange</w:t>
            </w:r>
          </w:p>
        </w:tc>
        <w:tc>
          <w:tcPr>
            <w:tcW w:w="3100" w:type="dxa"/>
            <w:vAlign w:val="bottom"/>
          </w:tcPr>
          <w:p>
            <w:pPr>
              <w:jc w:val="right"/>
              <w:ind w:right="559"/>
              <w:spacing w:after="0"/>
              <w:rPr>
                <w:sz w:val="20"/>
                <w:szCs w:val="20"/>
                <w:color w:val="auto"/>
              </w:rPr>
            </w:pPr>
            <w:r>
              <w:rPr>
                <w:rFonts w:ascii="Calibri" w:cs="Calibri" w:eastAsia="Calibri" w:hAnsi="Calibri"/>
                <w:sz w:val="16"/>
                <w:szCs w:val="16"/>
                <w:color w:val="auto"/>
              </w:rPr>
              <w:t>(8)</w:t>
            </w:r>
          </w:p>
        </w:tc>
        <w:tc>
          <w:tcPr>
            <w:tcW w:w="238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220" w:type="dxa"/>
            <w:vAlign w:val="bottom"/>
            <w:gridSpan w:val="2"/>
          </w:tcPr>
          <w:p>
            <w:pPr>
              <w:jc w:val="right"/>
              <w:ind w:right="60"/>
              <w:spacing w:after="0"/>
              <w:rPr>
                <w:sz w:val="20"/>
                <w:szCs w:val="20"/>
                <w:color w:val="auto"/>
              </w:rPr>
            </w:pPr>
            <w:r>
              <w:rPr>
                <w:rFonts w:ascii="Calibri" w:cs="Calibri" w:eastAsia="Calibri" w:hAnsi="Calibri"/>
                <w:sz w:val="16"/>
                <w:szCs w:val="16"/>
                <w:color w:val="auto"/>
              </w:rPr>
              <w:t>(8)</w:t>
            </w:r>
          </w:p>
        </w:tc>
      </w:tr>
      <w:tr>
        <w:trPr>
          <w:trHeight w:val="21"/>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86"/>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Pr>
          <w:p>
            <w:pPr>
              <w:spacing w:after="0" w:line="186" w:lineRule="exact"/>
              <w:rPr>
                <w:sz w:val="20"/>
                <w:szCs w:val="20"/>
                <w:color w:val="auto"/>
              </w:rPr>
            </w:pPr>
            <w:r>
              <w:rPr>
                <w:rFonts w:ascii="Calibri" w:cs="Calibri" w:eastAsia="Calibri" w:hAnsi="Calibri"/>
                <w:sz w:val="16"/>
                <w:szCs w:val="16"/>
                <w:b w:val="1"/>
                <w:bCs w:val="1"/>
                <w:color w:val="auto"/>
              </w:rPr>
              <w:t>Balance as at March 31, 2021</w:t>
            </w:r>
          </w:p>
        </w:tc>
        <w:tc>
          <w:tcPr>
            <w:tcW w:w="3100" w:type="dxa"/>
            <w:vAlign w:val="bottom"/>
          </w:tcPr>
          <w:p>
            <w:pPr>
              <w:jc w:val="right"/>
              <w:ind w:right="539"/>
              <w:spacing w:after="0" w:line="186" w:lineRule="exact"/>
              <w:rPr>
                <w:sz w:val="20"/>
                <w:szCs w:val="20"/>
                <w:color w:val="auto"/>
              </w:rPr>
            </w:pPr>
            <w:r>
              <w:rPr>
                <w:rFonts w:ascii="Calibri" w:cs="Calibri" w:eastAsia="Calibri" w:hAnsi="Calibri"/>
                <w:sz w:val="16"/>
                <w:szCs w:val="16"/>
                <w:b w:val="1"/>
                <w:bCs w:val="1"/>
                <w:color w:val="auto"/>
              </w:rPr>
              <w:t>470</w:t>
            </w:r>
          </w:p>
        </w:tc>
        <w:tc>
          <w:tcPr>
            <w:tcW w:w="2380" w:type="dxa"/>
            <w:vAlign w:val="bottom"/>
          </w:tcPr>
          <w:p>
            <w:pPr>
              <w:jc w:val="right"/>
              <w:ind w:right="579"/>
              <w:spacing w:after="0" w:line="186" w:lineRule="exact"/>
              <w:rPr>
                <w:sz w:val="20"/>
                <w:szCs w:val="20"/>
                <w:color w:val="auto"/>
              </w:rPr>
            </w:pPr>
            <w:r>
              <w:rPr>
                <w:rFonts w:ascii="Calibri" w:cs="Calibri" w:eastAsia="Calibri" w:hAnsi="Calibri"/>
                <w:sz w:val="16"/>
                <w:szCs w:val="16"/>
                <w:b w:val="1"/>
                <w:bCs w:val="1"/>
                <w:color w:val="auto"/>
              </w:rPr>
              <w:t>141</w:t>
            </w:r>
          </w:p>
        </w:tc>
        <w:tc>
          <w:tcPr>
            <w:tcW w:w="1220" w:type="dxa"/>
            <w:vAlign w:val="bottom"/>
            <w:gridSpan w:val="2"/>
          </w:tcPr>
          <w:p>
            <w:pPr>
              <w:jc w:val="right"/>
              <w:ind w:right="60"/>
              <w:spacing w:after="0" w:line="186" w:lineRule="exact"/>
              <w:rPr>
                <w:sz w:val="20"/>
                <w:szCs w:val="20"/>
                <w:color w:val="auto"/>
              </w:rPr>
            </w:pPr>
            <w:r>
              <w:rPr>
                <w:rFonts w:ascii="Calibri" w:cs="Calibri" w:eastAsia="Calibri" w:hAnsi="Calibri"/>
                <w:sz w:val="16"/>
                <w:szCs w:val="16"/>
                <w:b w:val="1"/>
                <w:bCs w:val="1"/>
                <w:color w:val="auto"/>
              </w:rPr>
              <w:t>611</w:t>
            </w:r>
          </w:p>
        </w:tc>
      </w:tr>
      <w:tr>
        <w:trPr>
          <w:trHeight w:val="200"/>
        </w:trPr>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Calibri" w:cs="Calibri" w:eastAsia="Calibri" w:hAnsi="Calibri"/>
                <w:sz w:val="16"/>
                <w:szCs w:val="16"/>
                <w:color w:val="auto"/>
              </w:rPr>
              <w:t>Additons</w:t>
            </w:r>
          </w:p>
        </w:tc>
        <w:tc>
          <w:tcPr>
            <w:tcW w:w="3100" w:type="dxa"/>
            <w:vAlign w:val="bottom"/>
          </w:tcPr>
          <w:p>
            <w:pPr>
              <w:jc w:val="right"/>
              <w:ind w:right="539"/>
              <w:spacing w:after="0"/>
              <w:rPr>
                <w:sz w:val="20"/>
                <w:szCs w:val="20"/>
                <w:color w:val="auto"/>
              </w:rPr>
            </w:pPr>
            <w:r>
              <w:rPr>
                <w:rFonts w:ascii="Calibri" w:cs="Calibri" w:eastAsia="Calibri" w:hAnsi="Calibri"/>
                <w:sz w:val="16"/>
                <w:szCs w:val="16"/>
                <w:color w:val="auto"/>
              </w:rPr>
              <w:t>8</w:t>
            </w:r>
          </w:p>
        </w:tc>
        <w:tc>
          <w:tcPr>
            <w:tcW w:w="2380" w:type="dxa"/>
            <w:vAlign w:val="bottom"/>
          </w:tcPr>
          <w:p>
            <w:pPr>
              <w:jc w:val="right"/>
              <w:ind w:right="579"/>
              <w:spacing w:after="0"/>
              <w:rPr>
                <w:sz w:val="20"/>
                <w:szCs w:val="20"/>
                <w:color w:val="auto"/>
              </w:rPr>
            </w:pPr>
            <w:r>
              <w:rPr>
                <w:rFonts w:ascii="Calibri" w:cs="Calibri" w:eastAsia="Calibri" w:hAnsi="Calibri"/>
                <w:sz w:val="16"/>
                <w:szCs w:val="16"/>
                <w:color w:val="auto"/>
              </w:rPr>
              <w:t>97</w:t>
            </w:r>
          </w:p>
        </w:tc>
        <w:tc>
          <w:tcPr>
            <w:tcW w:w="1220" w:type="dxa"/>
            <w:vAlign w:val="bottom"/>
            <w:gridSpan w:val="2"/>
          </w:tcPr>
          <w:p>
            <w:pPr>
              <w:jc w:val="right"/>
              <w:ind w:right="60"/>
              <w:spacing w:after="0"/>
              <w:rPr>
                <w:sz w:val="20"/>
                <w:szCs w:val="20"/>
                <w:color w:val="auto"/>
              </w:rPr>
            </w:pPr>
            <w:r>
              <w:rPr>
                <w:rFonts w:ascii="Calibri" w:cs="Calibri" w:eastAsia="Calibri" w:hAnsi="Calibri"/>
                <w:sz w:val="16"/>
                <w:szCs w:val="16"/>
                <w:color w:val="auto"/>
              </w:rPr>
              <w:t>105</w:t>
            </w:r>
          </w:p>
        </w:tc>
      </w:tr>
      <w:tr>
        <w:trPr>
          <w:trHeight w:val="208"/>
        </w:trPr>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Calibri" w:cs="Calibri" w:eastAsia="Calibri" w:hAnsi="Calibri"/>
                <w:sz w:val="16"/>
                <w:szCs w:val="16"/>
                <w:color w:val="auto"/>
              </w:rPr>
              <w:t>Efect of foreign exchange</w:t>
            </w:r>
          </w:p>
        </w:tc>
        <w:tc>
          <w:tcPr>
            <w:tcW w:w="3100" w:type="dxa"/>
            <w:vAlign w:val="bottom"/>
          </w:tcPr>
          <w:p>
            <w:pPr>
              <w:jc w:val="right"/>
              <w:ind w:right="559"/>
              <w:spacing w:after="0"/>
              <w:rPr>
                <w:sz w:val="20"/>
                <w:szCs w:val="20"/>
                <w:color w:val="auto"/>
              </w:rPr>
            </w:pPr>
            <w:r>
              <w:rPr>
                <w:rFonts w:ascii="Calibri" w:cs="Calibri" w:eastAsia="Calibri" w:hAnsi="Calibri"/>
                <w:sz w:val="16"/>
                <w:szCs w:val="16"/>
                <w:color w:val="auto"/>
              </w:rPr>
              <w:t>(3)</w:t>
            </w:r>
          </w:p>
        </w:tc>
        <w:tc>
          <w:tcPr>
            <w:tcW w:w="238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220" w:type="dxa"/>
            <w:vAlign w:val="bottom"/>
            <w:gridSpan w:val="2"/>
          </w:tcPr>
          <w:p>
            <w:pPr>
              <w:jc w:val="right"/>
              <w:ind w:right="60"/>
              <w:spacing w:after="0"/>
              <w:rPr>
                <w:sz w:val="20"/>
                <w:szCs w:val="20"/>
                <w:color w:val="auto"/>
              </w:rPr>
            </w:pPr>
            <w:r>
              <w:rPr>
                <w:rFonts w:ascii="Calibri" w:cs="Calibri" w:eastAsia="Calibri" w:hAnsi="Calibri"/>
                <w:sz w:val="16"/>
                <w:szCs w:val="16"/>
                <w:color w:val="auto"/>
              </w:rPr>
              <w:t>(3)</w:t>
            </w:r>
          </w:p>
        </w:tc>
      </w:tr>
      <w:tr>
        <w:trPr>
          <w:trHeight w:val="21"/>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93"/>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Borders>
              <w:bottom w:val="single" w:sz="8" w:color="auto"/>
            </w:tcBorders>
          </w:tcPr>
          <w:p>
            <w:pPr>
              <w:spacing w:after="0" w:line="193" w:lineRule="exact"/>
              <w:rPr>
                <w:sz w:val="20"/>
                <w:szCs w:val="20"/>
                <w:color w:val="auto"/>
              </w:rPr>
            </w:pPr>
            <w:r>
              <w:rPr>
                <w:rFonts w:ascii="Calibri" w:cs="Calibri" w:eastAsia="Calibri" w:hAnsi="Calibri"/>
                <w:sz w:val="16"/>
                <w:szCs w:val="16"/>
                <w:b w:val="1"/>
                <w:bCs w:val="1"/>
                <w:color w:val="auto"/>
              </w:rPr>
              <w:t>Balance as at March 31, 2022</w:t>
            </w:r>
          </w:p>
        </w:tc>
        <w:tc>
          <w:tcPr>
            <w:tcW w:w="3100" w:type="dxa"/>
            <w:vAlign w:val="bottom"/>
            <w:tcBorders>
              <w:bottom w:val="single" w:sz="8" w:color="auto"/>
            </w:tcBorders>
          </w:tcPr>
          <w:p>
            <w:pPr>
              <w:jc w:val="right"/>
              <w:ind w:right="539"/>
              <w:spacing w:after="0" w:line="193" w:lineRule="exact"/>
              <w:rPr>
                <w:sz w:val="20"/>
                <w:szCs w:val="20"/>
                <w:color w:val="auto"/>
              </w:rPr>
            </w:pPr>
            <w:r>
              <w:rPr>
                <w:rFonts w:ascii="Calibri" w:cs="Calibri" w:eastAsia="Calibri" w:hAnsi="Calibri"/>
                <w:sz w:val="16"/>
                <w:szCs w:val="16"/>
                <w:b w:val="1"/>
                <w:bCs w:val="1"/>
                <w:color w:val="auto"/>
              </w:rPr>
              <w:t>475</w:t>
            </w:r>
          </w:p>
        </w:tc>
        <w:tc>
          <w:tcPr>
            <w:tcW w:w="2380" w:type="dxa"/>
            <w:vAlign w:val="bottom"/>
            <w:tcBorders>
              <w:bottom w:val="single" w:sz="8" w:color="auto"/>
            </w:tcBorders>
          </w:tcPr>
          <w:p>
            <w:pPr>
              <w:jc w:val="right"/>
              <w:ind w:right="579"/>
              <w:spacing w:after="0" w:line="193" w:lineRule="exact"/>
              <w:rPr>
                <w:sz w:val="20"/>
                <w:szCs w:val="20"/>
                <w:color w:val="auto"/>
              </w:rPr>
            </w:pPr>
            <w:r>
              <w:rPr>
                <w:rFonts w:ascii="Calibri" w:cs="Calibri" w:eastAsia="Calibri" w:hAnsi="Calibri"/>
                <w:sz w:val="16"/>
                <w:szCs w:val="16"/>
                <w:b w:val="1"/>
                <w:bCs w:val="1"/>
                <w:color w:val="auto"/>
              </w:rPr>
              <w:t>238</w:t>
            </w:r>
          </w:p>
        </w:tc>
        <w:tc>
          <w:tcPr>
            <w:tcW w:w="1220" w:type="dxa"/>
            <w:vAlign w:val="bottom"/>
            <w:tcBorders>
              <w:bottom w:val="single" w:sz="8" w:color="auto"/>
            </w:tcBorders>
            <w:gridSpan w:val="2"/>
          </w:tcPr>
          <w:p>
            <w:pPr>
              <w:jc w:val="right"/>
              <w:ind w:right="60"/>
              <w:spacing w:after="0" w:line="193" w:lineRule="exact"/>
              <w:rPr>
                <w:sz w:val="20"/>
                <w:szCs w:val="20"/>
                <w:color w:val="auto"/>
              </w:rPr>
            </w:pPr>
            <w:r>
              <w:rPr>
                <w:rFonts w:ascii="Calibri" w:cs="Calibri" w:eastAsia="Calibri" w:hAnsi="Calibri"/>
                <w:sz w:val="16"/>
                <w:szCs w:val="16"/>
                <w:b w:val="1"/>
                <w:bCs w:val="1"/>
                <w:color w:val="auto"/>
              </w:rPr>
              <w:t>713</w:t>
            </w:r>
          </w:p>
        </w:tc>
      </w:tr>
      <w:tr>
        <w:trPr>
          <w:trHeight w:val="406"/>
        </w:trPr>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Calibri" w:cs="Calibri" w:eastAsia="Calibri" w:hAnsi="Calibri"/>
                <w:sz w:val="16"/>
                <w:szCs w:val="16"/>
                <w:b w:val="1"/>
                <w:bCs w:val="1"/>
                <w:color w:val="auto"/>
              </w:rPr>
              <w:t>Accumulated Depreciaton</w:t>
            </w:r>
          </w:p>
        </w:tc>
        <w:tc>
          <w:tcPr>
            <w:tcW w:w="3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86"/>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Pr>
          <w:p>
            <w:pPr>
              <w:spacing w:after="0" w:line="186" w:lineRule="exact"/>
              <w:rPr>
                <w:sz w:val="20"/>
                <w:szCs w:val="20"/>
                <w:color w:val="auto"/>
              </w:rPr>
            </w:pPr>
            <w:r>
              <w:rPr>
                <w:rFonts w:ascii="Calibri" w:cs="Calibri" w:eastAsia="Calibri" w:hAnsi="Calibri"/>
                <w:sz w:val="16"/>
                <w:szCs w:val="16"/>
                <w:b w:val="1"/>
                <w:bCs w:val="1"/>
                <w:color w:val="auto"/>
              </w:rPr>
              <w:t>Balance as at March 31, 2020</w:t>
            </w:r>
          </w:p>
        </w:tc>
        <w:tc>
          <w:tcPr>
            <w:tcW w:w="3100" w:type="dxa"/>
            <w:vAlign w:val="bottom"/>
          </w:tcPr>
          <w:p>
            <w:pPr>
              <w:jc w:val="right"/>
              <w:ind w:right="539"/>
              <w:spacing w:after="0" w:line="186" w:lineRule="exact"/>
              <w:rPr>
                <w:sz w:val="20"/>
                <w:szCs w:val="20"/>
                <w:color w:val="auto"/>
              </w:rPr>
            </w:pPr>
            <w:r>
              <w:rPr>
                <w:rFonts w:ascii="Calibri" w:cs="Calibri" w:eastAsia="Calibri" w:hAnsi="Calibri"/>
                <w:sz w:val="16"/>
                <w:szCs w:val="16"/>
                <w:color w:val="auto"/>
              </w:rPr>
              <w:t>—</w:t>
            </w:r>
          </w:p>
        </w:tc>
        <w:tc>
          <w:tcPr>
            <w:tcW w:w="2380" w:type="dxa"/>
            <w:vAlign w:val="bottom"/>
          </w:tcPr>
          <w:p>
            <w:pPr>
              <w:jc w:val="right"/>
              <w:ind w:right="559"/>
              <w:spacing w:after="0" w:line="186" w:lineRule="exact"/>
              <w:rPr>
                <w:sz w:val="20"/>
                <w:szCs w:val="20"/>
                <w:color w:val="auto"/>
              </w:rPr>
            </w:pPr>
            <w:r>
              <w:rPr>
                <w:rFonts w:ascii="Calibri" w:cs="Calibri" w:eastAsia="Calibri" w:hAnsi="Calibri"/>
                <w:sz w:val="16"/>
                <w:szCs w:val="16"/>
                <w:color w:val="auto"/>
              </w:rPr>
              <w:t>—</w:t>
            </w:r>
          </w:p>
        </w:tc>
        <w:tc>
          <w:tcPr>
            <w:tcW w:w="1220" w:type="dxa"/>
            <w:vAlign w:val="bottom"/>
            <w:gridSpan w:val="2"/>
          </w:tcPr>
          <w:p>
            <w:pPr>
              <w:jc w:val="right"/>
              <w:ind w:right="60"/>
              <w:spacing w:after="0" w:line="186" w:lineRule="exact"/>
              <w:rPr>
                <w:sz w:val="20"/>
                <w:szCs w:val="20"/>
                <w:color w:val="auto"/>
              </w:rPr>
            </w:pPr>
            <w:r>
              <w:rPr>
                <w:rFonts w:ascii="Calibri" w:cs="Calibri" w:eastAsia="Calibri" w:hAnsi="Calibri"/>
                <w:sz w:val="16"/>
                <w:szCs w:val="16"/>
                <w:color w:val="auto"/>
              </w:rPr>
              <w:t>—</w:t>
            </w:r>
          </w:p>
        </w:tc>
      </w:tr>
      <w:tr>
        <w:trPr>
          <w:trHeight w:val="200"/>
        </w:trPr>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Calibri" w:cs="Calibri" w:eastAsia="Calibri" w:hAnsi="Calibri"/>
                <w:sz w:val="16"/>
                <w:szCs w:val="16"/>
                <w:color w:val="auto"/>
              </w:rPr>
              <w:t>Depreciaton charge</w:t>
            </w:r>
          </w:p>
        </w:tc>
        <w:tc>
          <w:tcPr>
            <w:tcW w:w="3100" w:type="dxa"/>
            <w:vAlign w:val="bottom"/>
          </w:tcPr>
          <w:p>
            <w:pPr>
              <w:jc w:val="right"/>
              <w:ind w:right="539"/>
              <w:spacing w:after="0"/>
              <w:rPr>
                <w:sz w:val="20"/>
                <w:szCs w:val="20"/>
                <w:color w:val="auto"/>
              </w:rPr>
            </w:pPr>
            <w:r>
              <w:rPr>
                <w:rFonts w:ascii="Calibri" w:cs="Calibri" w:eastAsia="Calibri" w:hAnsi="Calibri"/>
                <w:sz w:val="16"/>
                <w:szCs w:val="16"/>
                <w:color w:val="auto"/>
              </w:rPr>
              <w:t>34</w:t>
            </w:r>
          </w:p>
        </w:tc>
        <w:tc>
          <w:tcPr>
            <w:tcW w:w="2380" w:type="dxa"/>
            <w:vAlign w:val="bottom"/>
          </w:tcPr>
          <w:p>
            <w:pPr>
              <w:jc w:val="right"/>
              <w:ind w:right="579"/>
              <w:spacing w:after="0"/>
              <w:rPr>
                <w:sz w:val="20"/>
                <w:szCs w:val="20"/>
                <w:color w:val="auto"/>
              </w:rPr>
            </w:pPr>
            <w:r>
              <w:rPr>
                <w:rFonts w:ascii="Calibri" w:cs="Calibri" w:eastAsia="Calibri" w:hAnsi="Calibri"/>
                <w:sz w:val="16"/>
                <w:szCs w:val="16"/>
                <w:color w:val="auto"/>
              </w:rPr>
              <w:t>15</w:t>
            </w:r>
          </w:p>
        </w:tc>
        <w:tc>
          <w:tcPr>
            <w:tcW w:w="1220" w:type="dxa"/>
            <w:vAlign w:val="bottom"/>
            <w:gridSpan w:val="2"/>
          </w:tcPr>
          <w:p>
            <w:pPr>
              <w:jc w:val="right"/>
              <w:ind w:right="60"/>
              <w:spacing w:after="0"/>
              <w:rPr>
                <w:sz w:val="20"/>
                <w:szCs w:val="20"/>
                <w:color w:val="auto"/>
              </w:rPr>
            </w:pPr>
            <w:r>
              <w:rPr>
                <w:rFonts w:ascii="Calibri" w:cs="Calibri" w:eastAsia="Calibri" w:hAnsi="Calibri"/>
                <w:sz w:val="16"/>
                <w:szCs w:val="16"/>
                <w:color w:val="auto"/>
              </w:rPr>
              <w:t>49</w:t>
            </w:r>
          </w:p>
        </w:tc>
      </w:tr>
      <w:tr>
        <w:trPr>
          <w:trHeight w:val="208"/>
        </w:trPr>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Calibri" w:cs="Calibri" w:eastAsia="Calibri" w:hAnsi="Calibri"/>
                <w:sz w:val="16"/>
                <w:szCs w:val="16"/>
                <w:color w:val="auto"/>
              </w:rPr>
              <w:t>Efect of foreign exchange</w:t>
            </w:r>
          </w:p>
        </w:tc>
        <w:tc>
          <w:tcPr>
            <w:tcW w:w="3100" w:type="dxa"/>
            <w:vAlign w:val="bottom"/>
          </w:tcPr>
          <w:p>
            <w:pPr>
              <w:jc w:val="right"/>
              <w:ind w:right="539"/>
              <w:spacing w:after="0"/>
              <w:rPr>
                <w:sz w:val="20"/>
                <w:szCs w:val="20"/>
                <w:color w:val="auto"/>
              </w:rPr>
            </w:pPr>
            <w:r>
              <w:rPr>
                <w:rFonts w:ascii="Calibri" w:cs="Calibri" w:eastAsia="Calibri" w:hAnsi="Calibri"/>
                <w:sz w:val="16"/>
                <w:szCs w:val="16"/>
                <w:color w:val="auto"/>
              </w:rPr>
              <w:t>5</w:t>
            </w:r>
          </w:p>
        </w:tc>
        <w:tc>
          <w:tcPr>
            <w:tcW w:w="238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220" w:type="dxa"/>
            <w:vAlign w:val="bottom"/>
            <w:gridSpan w:val="2"/>
          </w:tcPr>
          <w:p>
            <w:pPr>
              <w:jc w:val="right"/>
              <w:ind w:right="60"/>
              <w:spacing w:after="0"/>
              <w:rPr>
                <w:sz w:val="20"/>
                <w:szCs w:val="20"/>
                <w:color w:val="auto"/>
              </w:rPr>
            </w:pPr>
            <w:r>
              <w:rPr>
                <w:rFonts w:ascii="Calibri" w:cs="Calibri" w:eastAsia="Calibri" w:hAnsi="Calibri"/>
                <w:sz w:val="16"/>
                <w:szCs w:val="16"/>
                <w:color w:val="auto"/>
              </w:rPr>
              <w:t>5</w:t>
            </w:r>
          </w:p>
        </w:tc>
      </w:tr>
      <w:tr>
        <w:trPr>
          <w:trHeight w:val="21"/>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86"/>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Pr>
          <w:p>
            <w:pPr>
              <w:spacing w:after="0" w:line="186" w:lineRule="exact"/>
              <w:rPr>
                <w:sz w:val="20"/>
                <w:szCs w:val="20"/>
                <w:color w:val="auto"/>
              </w:rPr>
            </w:pPr>
            <w:r>
              <w:rPr>
                <w:rFonts w:ascii="Calibri" w:cs="Calibri" w:eastAsia="Calibri" w:hAnsi="Calibri"/>
                <w:sz w:val="16"/>
                <w:szCs w:val="16"/>
                <w:b w:val="1"/>
                <w:bCs w:val="1"/>
                <w:color w:val="auto"/>
              </w:rPr>
              <w:t>Balance as at March 31, 2021</w:t>
            </w:r>
          </w:p>
        </w:tc>
        <w:tc>
          <w:tcPr>
            <w:tcW w:w="3100" w:type="dxa"/>
            <w:vAlign w:val="bottom"/>
          </w:tcPr>
          <w:p>
            <w:pPr>
              <w:jc w:val="right"/>
              <w:ind w:right="539"/>
              <w:spacing w:after="0" w:line="186" w:lineRule="exact"/>
              <w:rPr>
                <w:sz w:val="20"/>
                <w:szCs w:val="20"/>
                <w:color w:val="auto"/>
              </w:rPr>
            </w:pPr>
            <w:r>
              <w:rPr>
                <w:rFonts w:ascii="Calibri" w:cs="Calibri" w:eastAsia="Calibri" w:hAnsi="Calibri"/>
                <w:sz w:val="16"/>
                <w:szCs w:val="16"/>
                <w:b w:val="1"/>
                <w:bCs w:val="1"/>
                <w:color w:val="auto"/>
              </w:rPr>
              <w:t>39</w:t>
            </w:r>
          </w:p>
        </w:tc>
        <w:tc>
          <w:tcPr>
            <w:tcW w:w="2380" w:type="dxa"/>
            <w:vAlign w:val="bottom"/>
          </w:tcPr>
          <w:p>
            <w:pPr>
              <w:jc w:val="right"/>
              <w:ind w:right="579"/>
              <w:spacing w:after="0" w:line="186" w:lineRule="exact"/>
              <w:rPr>
                <w:sz w:val="20"/>
                <w:szCs w:val="20"/>
                <w:color w:val="auto"/>
              </w:rPr>
            </w:pPr>
            <w:r>
              <w:rPr>
                <w:rFonts w:ascii="Calibri" w:cs="Calibri" w:eastAsia="Calibri" w:hAnsi="Calibri"/>
                <w:sz w:val="16"/>
                <w:szCs w:val="16"/>
                <w:b w:val="1"/>
                <w:bCs w:val="1"/>
                <w:color w:val="auto"/>
              </w:rPr>
              <w:t>15</w:t>
            </w:r>
          </w:p>
        </w:tc>
        <w:tc>
          <w:tcPr>
            <w:tcW w:w="1220" w:type="dxa"/>
            <w:vAlign w:val="bottom"/>
            <w:gridSpan w:val="2"/>
          </w:tcPr>
          <w:p>
            <w:pPr>
              <w:jc w:val="right"/>
              <w:ind w:right="60"/>
              <w:spacing w:after="0" w:line="186" w:lineRule="exact"/>
              <w:rPr>
                <w:sz w:val="20"/>
                <w:szCs w:val="20"/>
                <w:color w:val="auto"/>
              </w:rPr>
            </w:pPr>
            <w:r>
              <w:rPr>
                <w:rFonts w:ascii="Calibri" w:cs="Calibri" w:eastAsia="Calibri" w:hAnsi="Calibri"/>
                <w:sz w:val="16"/>
                <w:szCs w:val="16"/>
                <w:b w:val="1"/>
                <w:bCs w:val="1"/>
                <w:color w:val="auto"/>
              </w:rPr>
              <w:t>54</w:t>
            </w:r>
          </w:p>
        </w:tc>
      </w:tr>
      <w:tr>
        <w:trPr>
          <w:trHeight w:val="200"/>
        </w:trPr>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Calibri" w:cs="Calibri" w:eastAsia="Calibri" w:hAnsi="Calibri"/>
                <w:sz w:val="16"/>
                <w:szCs w:val="16"/>
                <w:color w:val="auto"/>
              </w:rPr>
              <w:t>Depreciaton charge</w:t>
            </w:r>
          </w:p>
        </w:tc>
        <w:tc>
          <w:tcPr>
            <w:tcW w:w="3100" w:type="dxa"/>
            <w:vAlign w:val="bottom"/>
          </w:tcPr>
          <w:p>
            <w:pPr>
              <w:jc w:val="right"/>
              <w:ind w:right="539"/>
              <w:spacing w:after="0"/>
              <w:rPr>
                <w:sz w:val="20"/>
                <w:szCs w:val="20"/>
                <w:color w:val="auto"/>
              </w:rPr>
            </w:pPr>
            <w:r>
              <w:rPr>
                <w:rFonts w:ascii="Calibri" w:cs="Calibri" w:eastAsia="Calibri" w:hAnsi="Calibri"/>
                <w:sz w:val="16"/>
                <w:szCs w:val="16"/>
                <w:color w:val="auto"/>
              </w:rPr>
              <w:t>100</w:t>
            </w:r>
          </w:p>
        </w:tc>
        <w:tc>
          <w:tcPr>
            <w:tcW w:w="2380" w:type="dxa"/>
            <w:vAlign w:val="bottom"/>
          </w:tcPr>
          <w:p>
            <w:pPr>
              <w:jc w:val="right"/>
              <w:ind w:right="579"/>
              <w:spacing w:after="0"/>
              <w:rPr>
                <w:sz w:val="20"/>
                <w:szCs w:val="20"/>
                <w:color w:val="auto"/>
              </w:rPr>
            </w:pPr>
            <w:r>
              <w:rPr>
                <w:rFonts w:ascii="Calibri" w:cs="Calibri" w:eastAsia="Calibri" w:hAnsi="Calibri"/>
                <w:sz w:val="16"/>
                <w:szCs w:val="16"/>
                <w:color w:val="auto"/>
              </w:rPr>
              <w:t>68</w:t>
            </w:r>
          </w:p>
        </w:tc>
        <w:tc>
          <w:tcPr>
            <w:tcW w:w="1220" w:type="dxa"/>
            <w:vAlign w:val="bottom"/>
            <w:gridSpan w:val="2"/>
          </w:tcPr>
          <w:p>
            <w:pPr>
              <w:jc w:val="right"/>
              <w:ind w:right="60"/>
              <w:spacing w:after="0"/>
              <w:rPr>
                <w:sz w:val="20"/>
                <w:szCs w:val="20"/>
                <w:color w:val="auto"/>
              </w:rPr>
            </w:pPr>
            <w:r>
              <w:rPr>
                <w:rFonts w:ascii="Calibri" w:cs="Calibri" w:eastAsia="Calibri" w:hAnsi="Calibri"/>
                <w:sz w:val="16"/>
                <w:szCs w:val="16"/>
                <w:color w:val="auto"/>
              </w:rPr>
              <w:t>168</w:t>
            </w:r>
          </w:p>
        </w:tc>
      </w:tr>
      <w:tr>
        <w:trPr>
          <w:trHeight w:val="208"/>
        </w:trPr>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Calibri" w:cs="Calibri" w:eastAsia="Calibri" w:hAnsi="Calibri"/>
                <w:sz w:val="16"/>
                <w:szCs w:val="16"/>
                <w:color w:val="auto"/>
              </w:rPr>
              <w:t>Efect of foreign exchange</w:t>
            </w:r>
          </w:p>
        </w:tc>
        <w:tc>
          <w:tcPr>
            <w:tcW w:w="3100" w:type="dxa"/>
            <w:vAlign w:val="bottom"/>
          </w:tcPr>
          <w:p>
            <w:pPr>
              <w:jc w:val="right"/>
              <w:ind w:right="559"/>
              <w:spacing w:after="0"/>
              <w:rPr>
                <w:sz w:val="20"/>
                <w:szCs w:val="20"/>
                <w:color w:val="auto"/>
              </w:rPr>
            </w:pPr>
            <w:r>
              <w:rPr>
                <w:rFonts w:ascii="Calibri" w:cs="Calibri" w:eastAsia="Calibri" w:hAnsi="Calibri"/>
                <w:sz w:val="16"/>
                <w:szCs w:val="16"/>
                <w:color w:val="auto"/>
              </w:rPr>
              <w:t>(1)</w:t>
            </w:r>
          </w:p>
        </w:tc>
        <w:tc>
          <w:tcPr>
            <w:tcW w:w="2380" w:type="dxa"/>
            <w:vAlign w:val="bottom"/>
          </w:tcPr>
          <w:p>
            <w:pPr>
              <w:jc w:val="right"/>
              <w:ind w:right="579"/>
              <w:spacing w:after="0"/>
              <w:rPr>
                <w:sz w:val="20"/>
                <w:szCs w:val="20"/>
                <w:color w:val="auto"/>
              </w:rPr>
            </w:pPr>
            <w:r>
              <w:rPr>
                <w:rFonts w:ascii="Calibri" w:cs="Calibri" w:eastAsia="Calibri" w:hAnsi="Calibri"/>
                <w:sz w:val="16"/>
                <w:szCs w:val="16"/>
                <w:color w:val="auto"/>
              </w:rPr>
              <w:t>1</w:t>
            </w:r>
          </w:p>
        </w:tc>
        <w:tc>
          <w:tcPr>
            <w:tcW w:w="1220" w:type="dxa"/>
            <w:vAlign w:val="bottom"/>
            <w:gridSpan w:val="2"/>
          </w:tcPr>
          <w:p>
            <w:pPr>
              <w:jc w:val="right"/>
              <w:ind w:right="60"/>
              <w:spacing w:after="0"/>
              <w:rPr>
                <w:sz w:val="20"/>
                <w:szCs w:val="20"/>
                <w:color w:val="auto"/>
              </w:rPr>
            </w:pPr>
            <w:r>
              <w:rPr>
                <w:rFonts w:ascii="Calibri" w:cs="Calibri" w:eastAsia="Calibri" w:hAnsi="Calibri"/>
                <w:sz w:val="16"/>
                <w:szCs w:val="16"/>
                <w:color w:val="auto"/>
              </w:rPr>
              <w:t>—</w:t>
            </w:r>
          </w:p>
        </w:tc>
      </w:tr>
      <w:tr>
        <w:trPr>
          <w:trHeight w:val="21"/>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93"/>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Borders>
              <w:bottom w:val="single" w:sz="8" w:color="auto"/>
            </w:tcBorders>
          </w:tcPr>
          <w:p>
            <w:pPr>
              <w:spacing w:after="0" w:line="193" w:lineRule="exact"/>
              <w:rPr>
                <w:sz w:val="20"/>
                <w:szCs w:val="20"/>
                <w:color w:val="auto"/>
              </w:rPr>
            </w:pPr>
            <w:r>
              <w:rPr>
                <w:rFonts w:ascii="Calibri" w:cs="Calibri" w:eastAsia="Calibri" w:hAnsi="Calibri"/>
                <w:sz w:val="16"/>
                <w:szCs w:val="16"/>
                <w:b w:val="1"/>
                <w:bCs w:val="1"/>
                <w:color w:val="auto"/>
              </w:rPr>
              <w:t>Balance as at March 31, 2022</w:t>
            </w:r>
          </w:p>
        </w:tc>
        <w:tc>
          <w:tcPr>
            <w:tcW w:w="3100" w:type="dxa"/>
            <w:vAlign w:val="bottom"/>
            <w:tcBorders>
              <w:bottom w:val="single" w:sz="8" w:color="auto"/>
            </w:tcBorders>
          </w:tcPr>
          <w:p>
            <w:pPr>
              <w:jc w:val="right"/>
              <w:ind w:right="539"/>
              <w:spacing w:after="0" w:line="193" w:lineRule="exact"/>
              <w:rPr>
                <w:sz w:val="20"/>
                <w:szCs w:val="20"/>
                <w:color w:val="auto"/>
              </w:rPr>
            </w:pPr>
            <w:r>
              <w:rPr>
                <w:rFonts w:ascii="Calibri" w:cs="Calibri" w:eastAsia="Calibri" w:hAnsi="Calibri"/>
                <w:sz w:val="16"/>
                <w:szCs w:val="16"/>
                <w:b w:val="1"/>
                <w:bCs w:val="1"/>
                <w:color w:val="auto"/>
              </w:rPr>
              <w:t>138</w:t>
            </w:r>
          </w:p>
        </w:tc>
        <w:tc>
          <w:tcPr>
            <w:tcW w:w="2380" w:type="dxa"/>
            <w:vAlign w:val="bottom"/>
            <w:tcBorders>
              <w:bottom w:val="single" w:sz="8" w:color="auto"/>
            </w:tcBorders>
          </w:tcPr>
          <w:p>
            <w:pPr>
              <w:jc w:val="right"/>
              <w:ind w:right="579"/>
              <w:spacing w:after="0" w:line="193" w:lineRule="exact"/>
              <w:rPr>
                <w:sz w:val="20"/>
                <w:szCs w:val="20"/>
                <w:color w:val="auto"/>
              </w:rPr>
            </w:pPr>
            <w:r>
              <w:rPr>
                <w:rFonts w:ascii="Calibri" w:cs="Calibri" w:eastAsia="Calibri" w:hAnsi="Calibri"/>
                <w:sz w:val="16"/>
                <w:szCs w:val="16"/>
                <w:b w:val="1"/>
                <w:bCs w:val="1"/>
                <w:color w:val="auto"/>
              </w:rPr>
              <w:t>84</w:t>
            </w:r>
          </w:p>
        </w:tc>
        <w:tc>
          <w:tcPr>
            <w:tcW w:w="1220" w:type="dxa"/>
            <w:vAlign w:val="bottom"/>
            <w:tcBorders>
              <w:bottom w:val="single" w:sz="8" w:color="auto"/>
            </w:tcBorders>
            <w:gridSpan w:val="2"/>
          </w:tcPr>
          <w:p>
            <w:pPr>
              <w:jc w:val="right"/>
              <w:ind w:right="60"/>
              <w:spacing w:after="0" w:line="193" w:lineRule="exact"/>
              <w:rPr>
                <w:sz w:val="20"/>
                <w:szCs w:val="20"/>
                <w:color w:val="auto"/>
              </w:rPr>
            </w:pPr>
            <w:r>
              <w:rPr>
                <w:rFonts w:ascii="Calibri" w:cs="Calibri" w:eastAsia="Calibri" w:hAnsi="Calibri"/>
                <w:sz w:val="16"/>
                <w:szCs w:val="16"/>
                <w:b w:val="1"/>
                <w:bCs w:val="1"/>
                <w:color w:val="auto"/>
              </w:rPr>
              <w:t>222</w:t>
            </w:r>
          </w:p>
        </w:tc>
      </w:tr>
      <w:tr>
        <w:trPr>
          <w:trHeight w:val="219"/>
        </w:trPr>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193"/>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Borders>
              <w:bottom w:val="single" w:sz="8" w:color="auto"/>
            </w:tcBorders>
          </w:tcPr>
          <w:p>
            <w:pPr>
              <w:spacing w:after="0" w:line="193" w:lineRule="exact"/>
              <w:rPr>
                <w:sz w:val="20"/>
                <w:szCs w:val="20"/>
                <w:color w:val="auto"/>
              </w:rPr>
            </w:pPr>
            <w:r>
              <w:rPr>
                <w:rFonts w:ascii="Calibri" w:cs="Calibri" w:eastAsia="Calibri" w:hAnsi="Calibri"/>
                <w:sz w:val="16"/>
                <w:szCs w:val="16"/>
                <w:b w:val="1"/>
                <w:bCs w:val="1"/>
                <w:color w:val="auto"/>
              </w:rPr>
              <w:t>Net book value as at March 31, 2021</w:t>
            </w:r>
          </w:p>
        </w:tc>
        <w:tc>
          <w:tcPr>
            <w:tcW w:w="3100" w:type="dxa"/>
            <w:vAlign w:val="bottom"/>
            <w:tcBorders>
              <w:bottom w:val="single" w:sz="8" w:color="auto"/>
            </w:tcBorders>
          </w:tcPr>
          <w:p>
            <w:pPr>
              <w:jc w:val="right"/>
              <w:ind w:right="539"/>
              <w:spacing w:after="0" w:line="193" w:lineRule="exact"/>
              <w:rPr>
                <w:sz w:val="20"/>
                <w:szCs w:val="20"/>
                <w:color w:val="auto"/>
              </w:rPr>
            </w:pPr>
            <w:r>
              <w:rPr>
                <w:rFonts w:ascii="Calibri" w:cs="Calibri" w:eastAsia="Calibri" w:hAnsi="Calibri"/>
                <w:sz w:val="16"/>
                <w:szCs w:val="16"/>
                <w:b w:val="1"/>
                <w:bCs w:val="1"/>
                <w:color w:val="auto"/>
              </w:rPr>
              <w:t>431</w:t>
            </w:r>
          </w:p>
        </w:tc>
        <w:tc>
          <w:tcPr>
            <w:tcW w:w="2380" w:type="dxa"/>
            <w:vAlign w:val="bottom"/>
            <w:tcBorders>
              <w:bottom w:val="single" w:sz="8" w:color="auto"/>
            </w:tcBorders>
          </w:tcPr>
          <w:p>
            <w:pPr>
              <w:jc w:val="right"/>
              <w:ind w:right="579"/>
              <w:spacing w:after="0" w:line="193" w:lineRule="exact"/>
              <w:rPr>
                <w:sz w:val="20"/>
                <w:szCs w:val="20"/>
                <w:color w:val="auto"/>
              </w:rPr>
            </w:pPr>
            <w:r>
              <w:rPr>
                <w:rFonts w:ascii="Calibri" w:cs="Calibri" w:eastAsia="Calibri" w:hAnsi="Calibri"/>
                <w:sz w:val="16"/>
                <w:szCs w:val="16"/>
                <w:b w:val="1"/>
                <w:bCs w:val="1"/>
                <w:color w:val="auto"/>
              </w:rPr>
              <w:t>126</w:t>
            </w:r>
          </w:p>
        </w:tc>
        <w:tc>
          <w:tcPr>
            <w:tcW w:w="1220" w:type="dxa"/>
            <w:vAlign w:val="bottom"/>
            <w:tcBorders>
              <w:bottom w:val="single" w:sz="8" w:color="auto"/>
            </w:tcBorders>
            <w:gridSpan w:val="2"/>
          </w:tcPr>
          <w:p>
            <w:pPr>
              <w:jc w:val="right"/>
              <w:ind w:right="60"/>
              <w:spacing w:after="0" w:line="193" w:lineRule="exact"/>
              <w:rPr>
                <w:sz w:val="20"/>
                <w:szCs w:val="20"/>
                <w:color w:val="auto"/>
              </w:rPr>
            </w:pPr>
            <w:r>
              <w:rPr>
                <w:rFonts w:ascii="Calibri" w:cs="Calibri" w:eastAsia="Calibri" w:hAnsi="Calibri"/>
                <w:sz w:val="16"/>
                <w:szCs w:val="16"/>
                <w:b w:val="1"/>
                <w:bCs w:val="1"/>
                <w:color w:val="auto"/>
              </w:rPr>
              <w:t>557</w:t>
            </w:r>
          </w:p>
        </w:tc>
      </w:tr>
      <w:tr>
        <w:trPr>
          <w:trHeight w:val="200"/>
        </w:trPr>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Borders>
              <w:bottom w:val="single" w:sz="8" w:color="auto"/>
            </w:tcBorders>
          </w:tcPr>
          <w:p>
            <w:pPr>
              <w:spacing w:after="0" w:line="194" w:lineRule="exact"/>
              <w:rPr>
                <w:sz w:val="20"/>
                <w:szCs w:val="20"/>
                <w:color w:val="auto"/>
              </w:rPr>
            </w:pPr>
            <w:r>
              <w:rPr>
                <w:rFonts w:ascii="Calibri" w:cs="Calibri" w:eastAsia="Calibri" w:hAnsi="Calibri"/>
                <w:sz w:val="16"/>
                <w:szCs w:val="16"/>
                <w:b w:val="1"/>
                <w:bCs w:val="1"/>
                <w:color w:val="auto"/>
              </w:rPr>
              <w:t>Net book value as at March 31, 2022</w:t>
            </w:r>
          </w:p>
        </w:tc>
        <w:tc>
          <w:tcPr>
            <w:tcW w:w="3100" w:type="dxa"/>
            <w:vAlign w:val="bottom"/>
            <w:tcBorders>
              <w:bottom w:val="single" w:sz="8" w:color="auto"/>
            </w:tcBorders>
          </w:tcPr>
          <w:p>
            <w:pPr>
              <w:jc w:val="right"/>
              <w:ind w:right="539"/>
              <w:spacing w:after="0" w:line="194" w:lineRule="exact"/>
              <w:rPr>
                <w:sz w:val="20"/>
                <w:szCs w:val="20"/>
                <w:color w:val="auto"/>
              </w:rPr>
            </w:pPr>
            <w:r>
              <w:rPr>
                <w:rFonts w:ascii="Calibri" w:cs="Calibri" w:eastAsia="Calibri" w:hAnsi="Calibri"/>
                <w:sz w:val="16"/>
                <w:szCs w:val="16"/>
                <w:b w:val="1"/>
                <w:bCs w:val="1"/>
                <w:color w:val="auto"/>
              </w:rPr>
              <w:t>337</w:t>
            </w:r>
          </w:p>
        </w:tc>
        <w:tc>
          <w:tcPr>
            <w:tcW w:w="2380" w:type="dxa"/>
            <w:vAlign w:val="bottom"/>
            <w:tcBorders>
              <w:bottom w:val="single" w:sz="8" w:color="auto"/>
            </w:tcBorders>
          </w:tcPr>
          <w:p>
            <w:pPr>
              <w:jc w:val="right"/>
              <w:ind w:right="579"/>
              <w:spacing w:after="0" w:line="194" w:lineRule="exact"/>
              <w:rPr>
                <w:sz w:val="20"/>
                <w:szCs w:val="20"/>
                <w:color w:val="auto"/>
              </w:rPr>
            </w:pPr>
            <w:r>
              <w:rPr>
                <w:rFonts w:ascii="Calibri" w:cs="Calibri" w:eastAsia="Calibri" w:hAnsi="Calibri"/>
                <w:sz w:val="16"/>
                <w:szCs w:val="16"/>
                <w:b w:val="1"/>
                <w:bCs w:val="1"/>
                <w:color w:val="auto"/>
              </w:rPr>
              <w:t>154</w:t>
            </w:r>
          </w:p>
        </w:tc>
        <w:tc>
          <w:tcPr>
            <w:tcW w:w="1220" w:type="dxa"/>
            <w:vAlign w:val="bottom"/>
            <w:tcBorders>
              <w:bottom w:val="single" w:sz="8" w:color="auto"/>
            </w:tcBorders>
            <w:gridSpan w:val="2"/>
          </w:tcPr>
          <w:p>
            <w:pPr>
              <w:jc w:val="right"/>
              <w:ind w:right="60"/>
              <w:spacing w:after="0" w:line="194" w:lineRule="exact"/>
              <w:rPr>
                <w:sz w:val="20"/>
                <w:szCs w:val="20"/>
                <w:color w:val="auto"/>
              </w:rPr>
            </w:pPr>
            <w:r>
              <w:rPr>
                <w:rFonts w:ascii="Calibri" w:cs="Calibri" w:eastAsia="Calibri" w:hAnsi="Calibri"/>
                <w:sz w:val="16"/>
                <w:szCs w:val="16"/>
                <w:b w:val="1"/>
                <w:bCs w:val="1"/>
                <w:color w:val="auto"/>
              </w:rPr>
              <w:t>491</w:t>
            </w:r>
          </w:p>
        </w:tc>
      </w:tr>
      <w:tr>
        <w:trPr>
          <w:trHeight w:val="418"/>
        </w:trPr>
        <w:tc>
          <w:tcPr>
            <w:tcW w:w="200" w:type="dxa"/>
            <w:vAlign w:val="bottom"/>
          </w:tcPr>
          <w:p>
            <w:pPr>
              <w:jc w:val="right"/>
              <w:spacing w:after="0"/>
              <w:rPr>
                <w:sz w:val="20"/>
                <w:szCs w:val="20"/>
                <w:color w:val="auto"/>
              </w:rPr>
            </w:pPr>
            <w:r>
              <w:rPr>
                <w:rFonts w:ascii="Calibri" w:cs="Calibri" w:eastAsia="Calibri" w:hAnsi="Calibri"/>
                <w:sz w:val="16"/>
                <w:szCs w:val="16"/>
                <w:b w:val="1"/>
                <w:bCs w:val="1"/>
                <w:color w:val="2D5F91"/>
                <w:w w:val="80"/>
              </w:rPr>
              <w:t>7.</w:t>
            </w:r>
          </w:p>
        </w:tc>
        <w:tc>
          <w:tcPr>
            <w:tcW w:w="4000" w:type="dxa"/>
            <w:vAlign w:val="bottom"/>
            <w:gridSpan w:val="2"/>
          </w:tcPr>
          <w:p>
            <w:pPr>
              <w:ind w:left="60"/>
              <w:spacing w:after="0"/>
              <w:rPr>
                <w:sz w:val="20"/>
                <w:szCs w:val="20"/>
                <w:color w:val="auto"/>
              </w:rPr>
            </w:pPr>
            <w:r>
              <w:rPr>
                <w:rFonts w:ascii="Calibri" w:cs="Calibri" w:eastAsia="Calibri" w:hAnsi="Calibri"/>
                <w:sz w:val="16"/>
                <w:szCs w:val="16"/>
                <w:b w:val="1"/>
                <w:bCs w:val="1"/>
                <w:color w:val="2D5F91"/>
              </w:rPr>
              <w:t>INTANGIBLE ASSETS</w:t>
            </w:r>
          </w:p>
        </w:tc>
        <w:tc>
          <w:tcPr>
            <w:tcW w:w="3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Pr>
          <w:p>
            <w:pPr>
              <w:ind w:left="60"/>
              <w:spacing w:after="0"/>
              <w:rPr>
                <w:sz w:val="20"/>
                <w:szCs w:val="20"/>
                <w:color w:val="auto"/>
              </w:rPr>
            </w:pPr>
            <w:r>
              <w:rPr>
                <w:rFonts w:ascii="Calibri" w:cs="Calibri" w:eastAsia="Calibri" w:hAnsi="Calibri"/>
                <w:sz w:val="16"/>
                <w:szCs w:val="16"/>
                <w:b w:val="1"/>
                <w:bCs w:val="1"/>
                <w:color w:val="auto"/>
              </w:rPr>
              <w:t>Cost</w:t>
            </w:r>
          </w:p>
        </w:tc>
        <w:tc>
          <w:tcPr>
            <w:tcW w:w="3100" w:type="dxa"/>
            <w:vAlign w:val="bottom"/>
          </w:tcPr>
          <w:p>
            <w:pPr>
              <w:jc w:val="right"/>
              <w:ind w:right="219"/>
              <w:spacing w:after="0"/>
              <w:rPr>
                <w:sz w:val="20"/>
                <w:szCs w:val="20"/>
                <w:color w:val="auto"/>
              </w:rPr>
            </w:pPr>
            <w:r>
              <w:rPr>
                <w:rFonts w:ascii="Calibri" w:cs="Calibri" w:eastAsia="Calibri" w:hAnsi="Calibri"/>
                <w:sz w:val="16"/>
                <w:szCs w:val="16"/>
                <w:b w:val="1"/>
                <w:bCs w:val="1"/>
                <w:color w:val="auto"/>
              </w:rPr>
              <w:t>Patents</w:t>
            </w:r>
          </w:p>
        </w:tc>
        <w:tc>
          <w:tcPr>
            <w:tcW w:w="2380" w:type="dxa"/>
            <w:vAlign w:val="bottom"/>
          </w:tcPr>
          <w:p>
            <w:pPr>
              <w:jc w:val="right"/>
              <w:ind w:right="719"/>
              <w:spacing w:after="0"/>
              <w:rPr>
                <w:sz w:val="20"/>
                <w:szCs w:val="20"/>
                <w:color w:val="auto"/>
              </w:rPr>
            </w:pPr>
            <w:r>
              <w:rPr>
                <w:rFonts w:ascii="Calibri" w:cs="Calibri" w:eastAsia="Calibri" w:hAnsi="Calibri"/>
                <w:sz w:val="16"/>
                <w:szCs w:val="16"/>
                <w:b w:val="1"/>
                <w:bCs w:val="1"/>
                <w:color w:val="auto"/>
              </w:rPr>
              <w:t>Sofware</w:t>
            </w:r>
          </w:p>
        </w:tc>
        <w:tc>
          <w:tcPr>
            <w:tcW w:w="1220" w:type="dxa"/>
            <w:vAlign w:val="bottom"/>
            <w:gridSpan w:val="2"/>
          </w:tcPr>
          <w:p>
            <w:pPr>
              <w:jc w:val="right"/>
              <w:ind w:right="140"/>
              <w:spacing w:after="0"/>
              <w:rPr>
                <w:sz w:val="20"/>
                <w:szCs w:val="20"/>
                <w:color w:val="auto"/>
              </w:rPr>
            </w:pPr>
            <w:r>
              <w:rPr>
                <w:rFonts w:ascii="Calibri" w:cs="Calibri" w:eastAsia="Calibri" w:hAnsi="Calibri"/>
                <w:sz w:val="16"/>
                <w:szCs w:val="16"/>
                <w:b w:val="1"/>
                <w:bCs w:val="1"/>
                <w:color w:val="auto"/>
              </w:rPr>
              <w:t>Total</w:t>
            </w:r>
          </w:p>
        </w:tc>
      </w:tr>
      <w:tr>
        <w:trPr>
          <w:trHeight w:val="208"/>
        </w:trPr>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100" w:type="dxa"/>
            <w:vAlign w:val="bottom"/>
          </w:tcPr>
          <w:p>
            <w:pPr>
              <w:jc w:val="right"/>
              <w:ind w:right="219"/>
              <w:spacing w:after="0"/>
              <w:rPr>
                <w:sz w:val="20"/>
                <w:szCs w:val="20"/>
                <w:color w:val="auto"/>
              </w:rPr>
            </w:pPr>
            <w:r>
              <w:rPr>
                <w:rFonts w:ascii="Calibri" w:cs="Calibri" w:eastAsia="Calibri" w:hAnsi="Calibri"/>
                <w:sz w:val="16"/>
                <w:szCs w:val="16"/>
                <w:b w:val="1"/>
                <w:bCs w:val="1"/>
                <w:color w:val="auto"/>
              </w:rPr>
              <w:t>$000’s</w:t>
            </w:r>
          </w:p>
        </w:tc>
        <w:tc>
          <w:tcPr>
            <w:tcW w:w="2380" w:type="dxa"/>
            <w:vAlign w:val="bottom"/>
          </w:tcPr>
          <w:p>
            <w:pPr>
              <w:jc w:val="right"/>
              <w:ind w:right="719"/>
              <w:spacing w:after="0"/>
              <w:rPr>
                <w:sz w:val="20"/>
                <w:szCs w:val="20"/>
                <w:color w:val="auto"/>
              </w:rPr>
            </w:pPr>
            <w:r>
              <w:rPr>
                <w:rFonts w:ascii="Calibri" w:cs="Calibri" w:eastAsia="Calibri" w:hAnsi="Calibri"/>
                <w:sz w:val="16"/>
                <w:szCs w:val="16"/>
                <w:b w:val="1"/>
                <w:bCs w:val="1"/>
                <w:color w:val="auto"/>
              </w:rPr>
              <w:t>$000’s</w:t>
            </w:r>
          </w:p>
        </w:tc>
        <w:tc>
          <w:tcPr>
            <w:tcW w:w="1220" w:type="dxa"/>
            <w:vAlign w:val="bottom"/>
            <w:gridSpan w:val="2"/>
          </w:tcPr>
          <w:p>
            <w:pPr>
              <w:jc w:val="right"/>
              <w:ind w:right="140"/>
              <w:spacing w:after="0"/>
              <w:rPr>
                <w:sz w:val="20"/>
                <w:szCs w:val="20"/>
                <w:color w:val="auto"/>
              </w:rPr>
            </w:pPr>
            <w:r>
              <w:rPr>
                <w:rFonts w:ascii="Calibri" w:cs="Calibri" w:eastAsia="Calibri" w:hAnsi="Calibri"/>
                <w:sz w:val="16"/>
                <w:szCs w:val="16"/>
                <w:b w:val="1"/>
                <w:bCs w:val="1"/>
                <w:color w:val="auto"/>
              </w:rPr>
              <w:t>$000’s</w:t>
            </w:r>
          </w:p>
        </w:tc>
      </w:tr>
      <w:tr>
        <w:trPr>
          <w:trHeight w:val="21"/>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186"/>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Borders>
              <w:top w:val="single" w:sz="8" w:color="auto"/>
            </w:tcBorders>
          </w:tcPr>
          <w:p>
            <w:pPr>
              <w:ind w:left="60"/>
              <w:spacing w:after="0" w:line="186" w:lineRule="exact"/>
              <w:rPr>
                <w:sz w:val="20"/>
                <w:szCs w:val="20"/>
                <w:color w:val="auto"/>
              </w:rPr>
            </w:pPr>
            <w:r>
              <w:rPr>
                <w:rFonts w:ascii="Calibri" w:cs="Calibri" w:eastAsia="Calibri" w:hAnsi="Calibri"/>
                <w:sz w:val="16"/>
                <w:szCs w:val="16"/>
                <w:color w:val="auto"/>
              </w:rPr>
              <w:t>Balance as at March 31, 2021</w:t>
            </w:r>
          </w:p>
        </w:tc>
        <w:tc>
          <w:tcPr>
            <w:tcW w:w="3100" w:type="dxa"/>
            <w:vAlign w:val="bottom"/>
            <w:tcBorders>
              <w:top w:val="single" w:sz="8" w:color="auto"/>
            </w:tcBorders>
          </w:tcPr>
          <w:p>
            <w:pPr>
              <w:jc w:val="right"/>
              <w:ind w:right="219"/>
              <w:spacing w:after="0" w:line="186" w:lineRule="exact"/>
              <w:rPr>
                <w:sz w:val="20"/>
                <w:szCs w:val="20"/>
                <w:color w:val="auto"/>
              </w:rPr>
            </w:pPr>
            <w:r>
              <w:rPr>
                <w:rFonts w:ascii="Calibri" w:cs="Calibri" w:eastAsia="Calibri" w:hAnsi="Calibri"/>
                <w:sz w:val="16"/>
                <w:szCs w:val="16"/>
                <w:color w:val="auto"/>
              </w:rPr>
              <w:t>—</w:t>
            </w:r>
          </w:p>
        </w:tc>
        <w:tc>
          <w:tcPr>
            <w:tcW w:w="2380" w:type="dxa"/>
            <w:vAlign w:val="bottom"/>
            <w:tcBorders>
              <w:top w:val="single" w:sz="8" w:color="auto"/>
            </w:tcBorders>
          </w:tcPr>
          <w:p>
            <w:pPr>
              <w:jc w:val="right"/>
              <w:ind w:right="719"/>
              <w:spacing w:after="0" w:line="186" w:lineRule="exact"/>
              <w:rPr>
                <w:sz w:val="20"/>
                <w:szCs w:val="20"/>
                <w:color w:val="auto"/>
              </w:rPr>
            </w:pPr>
            <w:r>
              <w:rPr>
                <w:rFonts w:ascii="Calibri" w:cs="Calibri" w:eastAsia="Calibri" w:hAnsi="Calibri"/>
                <w:sz w:val="16"/>
                <w:szCs w:val="16"/>
                <w:color w:val="auto"/>
              </w:rPr>
              <w:t>—</w:t>
            </w:r>
          </w:p>
        </w:tc>
        <w:tc>
          <w:tcPr>
            <w:tcW w:w="1140" w:type="dxa"/>
            <w:vAlign w:val="bottom"/>
            <w:tcBorders>
              <w:top w:val="single" w:sz="8" w:color="auto"/>
            </w:tcBorders>
          </w:tcPr>
          <w:p>
            <w:pPr>
              <w:jc w:val="right"/>
              <w:spacing w:after="0" w:line="186" w:lineRule="exact"/>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6"/>
                <w:szCs w:val="16"/>
                <w:color w:val="auto"/>
              </w:rPr>
            </w:pPr>
          </w:p>
        </w:tc>
      </w:tr>
      <w:tr>
        <w:trPr>
          <w:trHeight w:val="200"/>
        </w:trPr>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Pr>
          <w:p>
            <w:pPr>
              <w:ind w:left="60"/>
              <w:spacing w:after="0"/>
              <w:rPr>
                <w:sz w:val="20"/>
                <w:szCs w:val="20"/>
                <w:color w:val="auto"/>
              </w:rPr>
            </w:pPr>
            <w:r>
              <w:rPr>
                <w:rFonts w:ascii="Calibri" w:cs="Calibri" w:eastAsia="Calibri" w:hAnsi="Calibri"/>
                <w:sz w:val="16"/>
                <w:szCs w:val="16"/>
                <w:color w:val="auto"/>
              </w:rPr>
              <w:t>Adelia Acquisiton</w:t>
            </w:r>
          </w:p>
        </w:tc>
        <w:tc>
          <w:tcPr>
            <w:tcW w:w="3100" w:type="dxa"/>
            <w:vAlign w:val="bottom"/>
          </w:tcPr>
          <w:p>
            <w:pPr>
              <w:jc w:val="right"/>
              <w:ind w:right="219"/>
              <w:spacing w:after="0"/>
              <w:rPr>
                <w:sz w:val="20"/>
                <w:szCs w:val="20"/>
                <w:color w:val="auto"/>
              </w:rPr>
            </w:pPr>
            <w:r>
              <w:rPr>
                <w:rFonts w:ascii="Calibri" w:cs="Calibri" w:eastAsia="Calibri" w:hAnsi="Calibri"/>
                <w:sz w:val="16"/>
                <w:szCs w:val="16"/>
                <w:color w:val="auto"/>
              </w:rPr>
              <w:t>1,606</w:t>
            </w:r>
          </w:p>
        </w:tc>
        <w:tc>
          <w:tcPr>
            <w:tcW w:w="2380" w:type="dxa"/>
            <w:vAlign w:val="bottom"/>
          </w:tcPr>
          <w:p>
            <w:pPr>
              <w:jc w:val="right"/>
              <w:ind w:right="719"/>
              <w:spacing w:after="0"/>
              <w:rPr>
                <w:sz w:val="20"/>
                <w:szCs w:val="20"/>
                <w:color w:val="auto"/>
              </w:rPr>
            </w:pPr>
            <w:r>
              <w:rPr>
                <w:rFonts w:ascii="Calibri" w:cs="Calibri" w:eastAsia="Calibri" w:hAnsi="Calibri"/>
                <w:sz w:val="16"/>
                <w:szCs w:val="16"/>
                <w:color w:val="auto"/>
              </w:rPr>
              <w:t>—</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1,606</w:t>
            </w:r>
          </w:p>
        </w:tc>
        <w:tc>
          <w:tcPr>
            <w:tcW w:w="80" w:type="dxa"/>
            <w:vAlign w:val="bottom"/>
          </w:tcPr>
          <w:p>
            <w:pPr>
              <w:spacing w:after="0"/>
              <w:rPr>
                <w:sz w:val="17"/>
                <w:szCs w:val="17"/>
                <w:color w:val="auto"/>
              </w:rPr>
            </w:pPr>
          </w:p>
        </w:tc>
      </w:tr>
      <w:tr>
        <w:trPr>
          <w:trHeight w:val="208"/>
        </w:trPr>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ind w:left="60"/>
              <w:spacing w:after="0"/>
              <w:rPr>
                <w:sz w:val="20"/>
                <w:szCs w:val="20"/>
                <w:color w:val="auto"/>
              </w:rPr>
            </w:pPr>
            <w:r>
              <w:rPr>
                <w:rFonts w:ascii="Calibri" w:cs="Calibri" w:eastAsia="Calibri" w:hAnsi="Calibri"/>
                <w:sz w:val="16"/>
                <w:szCs w:val="16"/>
                <w:color w:val="auto"/>
              </w:rPr>
              <w:t>Additons</w:t>
            </w:r>
          </w:p>
        </w:tc>
        <w:tc>
          <w:tcPr>
            <w:tcW w:w="3100" w:type="dxa"/>
            <w:vAlign w:val="bottom"/>
          </w:tcPr>
          <w:p>
            <w:pPr>
              <w:jc w:val="right"/>
              <w:ind w:right="219"/>
              <w:spacing w:after="0"/>
              <w:rPr>
                <w:sz w:val="20"/>
                <w:szCs w:val="20"/>
                <w:color w:val="auto"/>
              </w:rPr>
            </w:pPr>
            <w:r>
              <w:rPr>
                <w:rFonts w:ascii="Calibri" w:cs="Calibri" w:eastAsia="Calibri" w:hAnsi="Calibri"/>
                <w:sz w:val="16"/>
                <w:szCs w:val="16"/>
                <w:color w:val="auto"/>
              </w:rPr>
              <w:t>97</w:t>
            </w:r>
          </w:p>
        </w:tc>
        <w:tc>
          <w:tcPr>
            <w:tcW w:w="2380" w:type="dxa"/>
            <w:vAlign w:val="bottom"/>
          </w:tcPr>
          <w:p>
            <w:pPr>
              <w:jc w:val="right"/>
              <w:ind w:right="719"/>
              <w:spacing w:after="0"/>
              <w:rPr>
                <w:sz w:val="20"/>
                <w:szCs w:val="20"/>
                <w:color w:val="auto"/>
              </w:rPr>
            </w:pPr>
            <w:r>
              <w:rPr>
                <w:rFonts w:ascii="Calibri" w:cs="Calibri" w:eastAsia="Calibri" w:hAnsi="Calibri"/>
                <w:sz w:val="16"/>
                <w:szCs w:val="16"/>
                <w:color w:val="auto"/>
              </w:rPr>
              <w:t>—</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97</w:t>
            </w:r>
          </w:p>
        </w:tc>
        <w:tc>
          <w:tcPr>
            <w:tcW w:w="80" w:type="dxa"/>
            <w:vAlign w:val="bottom"/>
          </w:tcPr>
          <w:p>
            <w:pPr>
              <w:spacing w:after="0"/>
              <w:rPr>
                <w:sz w:val="18"/>
                <w:szCs w:val="18"/>
                <w:color w:val="auto"/>
              </w:rPr>
            </w:pPr>
          </w:p>
        </w:tc>
      </w:tr>
      <w:tr>
        <w:trPr>
          <w:trHeight w:val="208"/>
        </w:trPr>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ind w:left="60"/>
              <w:spacing w:after="0"/>
              <w:rPr>
                <w:sz w:val="20"/>
                <w:szCs w:val="20"/>
                <w:color w:val="auto"/>
              </w:rPr>
            </w:pPr>
            <w:r>
              <w:rPr>
                <w:rFonts w:ascii="Calibri" w:cs="Calibri" w:eastAsia="Calibri" w:hAnsi="Calibri"/>
                <w:sz w:val="16"/>
                <w:szCs w:val="16"/>
                <w:color w:val="auto"/>
              </w:rPr>
              <w:t>Efect of foreign exchange</w:t>
            </w:r>
          </w:p>
        </w:tc>
        <w:tc>
          <w:tcPr>
            <w:tcW w:w="3100" w:type="dxa"/>
            <w:vAlign w:val="bottom"/>
          </w:tcPr>
          <w:p>
            <w:pPr>
              <w:jc w:val="right"/>
              <w:ind w:right="219"/>
              <w:spacing w:after="0"/>
              <w:rPr>
                <w:sz w:val="20"/>
                <w:szCs w:val="20"/>
                <w:color w:val="auto"/>
              </w:rPr>
            </w:pPr>
            <w:r>
              <w:rPr>
                <w:rFonts w:ascii="Calibri" w:cs="Calibri" w:eastAsia="Calibri" w:hAnsi="Calibri"/>
                <w:sz w:val="16"/>
                <w:szCs w:val="16"/>
                <w:color w:val="auto"/>
              </w:rPr>
              <w:t>(2)</w:t>
            </w:r>
          </w:p>
        </w:tc>
        <w:tc>
          <w:tcPr>
            <w:tcW w:w="2380" w:type="dxa"/>
            <w:vAlign w:val="bottom"/>
          </w:tcPr>
          <w:p>
            <w:pPr>
              <w:jc w:val="right"/>
              <w:ind w:right="719"/>
              <w:spacing w:after="0"/>
              <w:rPr>
                <w:sz w:val="20"/>
                <w:szCs w:val="20"/>
                <w:color w:val="auto"/>
              </w:rPr>
            </w:pPr>
            <w:r>
              <w:rPr>
                <w:rFonts w:ascii="Calibri" w:cs="Calibri" w:eastAsia="Calibri" w:hAnsi="Calibri"/>
                <w:sz w:val="16"/>
                <w:szCs w:val="16"/>
                <w:color w:val="auto"/>
              </w:rPr>
              <w:t>—</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(2)</w:t>
            </w:r>
          </w:p>
        </w:tc>
        <w:tc>
          <w:tcPr>
            <w:tcW w:w="80" w:type="dxa"/>
            <w:vAlign w:val="bottom"/>
          </w:tcPr>
          <w:p>
            <w:pPr>
              <w:spacing w:after="0"/>
              <w:rPr>
                <w:sz w:val="18"/>
                <w:szCs w:val="18"/>
                <w:color w:val="auto"/>
              </w:rPr>
            </w:pPr>
          </w:p>
        </w:tc>
      </w:tr>
      <w:tr>
        <w:trPr>
          <w:trHeight w:val="21"/>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6"/>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Pr>
          <w:p>
            <w:pPr>
              <w:ind w:left="60"/>
              <w:spacing w:after="0" w:line="186" w:lineRule="exact"/>
              <w:rPr>
                <w:sz w:val="20"/>
                <w:szCs w:val="20"/>
                <w:color w:val="auto"/>
              </w:rPr>
            </w:pPr>
            <w:r>
              <w:rPr>
                <w:rFonts w:ascii="Calibri" w:cs="Calibri" w:eastAsia="Calibri" w:hAnsi="Calibri"/>
                <w:sz w:val="16"/>
                <w:szCs w:val="16"/>
                <w:b w:val="1"/>
                <w:bCs w:val="1"/>
                <w:color w:val="auto"/>
              </w:rPr>
              <w:t>Balance as at March 31, 2021</w:t>
            </w:r>
          </w:p>
        </w:tc>
        <w:tc>
          <w:tcPr>
            <w:tcW w:w="3100" w:type="dxa"/>
            <w:vAlign w:val="bottom"/>
          </w:tcPr>
          <w:p>
            <w:pPr>
              <w:jc w:val="right"/>
              <w:ind w:right="219"/>
              <w:spacing w:after="0" w:line="186" w:lineRule="exact"/>
              <w:rPr>
                <w:sz w:val="20"/>
                <w:szCs w:val="20"/>
                <w:color w:val="auto"/>
              </w:rPr>
            </w:pPr>
            <w:r>
              <w:rPr>
                <w:rFonts w:ascii="Calibri" w:cs="Calibri" w:eastAsia="Calibri" w:hAnsi="Calibri"/>
                <w:sz w:val="16"/>
                <w:szCs w:val="16"/>
                <w:b w:val="1"/>
                <w:bCs w:val="1"/>
                <w:color w:val="auto"/>
              </w:rPr>
              <w:t>1,701</w:t>
            </w:r>
          </w:p>
        </w:tc>
        <w:tc>
          <w:tcPr>
            <w:tcW w:w="2380" w:type="dxa"/>
            <w:vAlign w:val="bottom"/>
          </w:tcPr>
          <w:p>
            <w:pPr>
              <w:jc w:val="right"/>
              <w:ind w:right="719"/>
              <w:spacing w:after="0" w:line="186" w:lineRule="exact"/>
              <w:rPr>
                <w:sz w:val="20"/>
                <w:szCs w:val="20"/>
                <w:color w:val="auto"/>
              </w:rPr>
            </w:pPr>
            <w:r>
              <w:rPr>
                <w:rFonts w:ascii="Calibri" w:cs="Calibri" w:eastAsia="Calibri" w:hAnsi="Calibri"/>
                <w:sz w:val="16"/>
                <w:szCs w:val="16"/>
                <w:b w:val="1"/>
                <w:bCs w:val="1"/>
                <w:color w:val="auto"/>
              </w:rPr>
              <w:t>—</w:t>
            </w:r>
          </w:p>
        </w:tc>
        <w:tc>
          <w:tcPr>
            <w:tcW w:w="114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1,701</w:t>
            </w:r>
          </w:p>
        </w:tc>
        <w:tc>
          <w:tcPr>
            <w:tcW w:w="80" w:type="dxa"/>
            <w:vAlign w:val="bottom"/>
          </w:tcPr>
          <w:p>
            <w:pPr>
              <w:spacing w:after="0"/>
              <w:rPr>
                <w:sz w:val="16"/>
                <w:szCs w:val="16"/>
                <w:color w:val="auto"/>
              </w:rPr>
            </w:pPr>
          </w:p>
        </w:tc>
      </w:tr>
      <w:tr>
        <w:trPr>
          <w:trHeight w:val="200"/>
        </w:trPr>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Pr>
          <w:p>
            <w:pPr>
              <w:ind w:left="60"/>
              <w:spacing w:after="0"/>
              <w:rPr>
                <w:sz w:val="20"/>
                <w:szCs w:val="20"/>
                <w:color w:val="auto"/>
              </w:rPr>
            </w:pPr>
            <w:r>
              <w:rPr>
                <w:rFonts w:ascii="Calibri" w:cs="Calibri" w:eastAsia="Calibri" w:hAnsi="Calibri"/>
                <w:sz w:val="16"/>
                <w:szCs w:val="16"/>
                <w:color w:val="auto"/>
              </w:rPr>
              <w:t>Additons</w:t>
            </w:r>
          </w:p>
        </w:tc>
        <w:tc>
          <w:tcPr>
            <w:tcW w:w="3100" w:type="dxa"/>
            <w:vAlign w:val="bottom"/>
          </w:tcPr>
          <w:p>
            <w:pPr>
              <w:jc w:val="right"/>
              <w:ind w:right="219"/>
              <w:spacing w:after="0"/>
              <w:rPr>
                <w:sz w:val="20"/>
                <w:szCs w:val="20"/>
                <w:color w:val="auto"/>
              </w:rPr>
            </w:pPr>
            <w:r>
              <w:rPr>
                <w:rFonts w:ascii="Calibri" w:cs="Calibri" w:eastAsia="Calibri" w:hAnsi="Calibri"/>
                <w:sz w:val="16"/>
                <w:szCs w:val="16"/>
                <w:color w:val="auto"/>
              </w:rPr>
              <w:t>341</w:t>
            </w:r>
          </w:p>
        </w:tc>
        <w:tc>
          <w:tcPr>
            <w:tcW w:w="2380" w:type="dxa"/>
            <w:vAlign w:val="bottom"/>
          </w:tcPr>
          <w:p>
            <w:pPr>
              <w:jc w:val="right"/>
              <w:ind w:right="719"/>
              <w:spacing w:after="0"/>
              <w:rPr>
                <w:sz w:val="20"/>
                <w:szCs w:val="20"/>
                <w:color w:val="auto"/>
              </w:rPr>
            </w:pPr>
            <w:r>
              <w:rPr>
                <w:rFonts w:ascii="Calibri" w:cs="Calibri" w:eastAsia="Calibri" w:hAnsi="Calibri"/>
                <w:sz w:val="16"/>
                <w:szCs w:val="16"/>
                <w:color w:val="auto"/>
              </w:rPr>
              <w:t>74</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415</w:t>
            </w:r>
          </w:p>
        </w:tc>
        <w:tc>
          <w:tcPr>
            <w:tcW w:w="80" w:type="dxa"/>
            <w:vAlign w:val="bottom"/>
          </w:tcPr>
          <w:p>
            <w:pPr>
              <w:spacing w:after="0"/>
              <w:rPr>
                <w:sz w:val="17"/>
                <w:szCs w:val="17"/>
                <w:color w:val="auto"/>
              </w:rPr>
            </w:pPr>
          </w:p>
        </w:tc>
      </w:tr>
      <w:tr>
        <w:trPr>
          <w:trHeight w:val="208"/>
        </w:trPr>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tcPr>
          <w:p>
            <w:pPr>
              <w:ind w:left="60"/>
              <w:spacing w:after="0"/>
              <w:rPr>
                <w:sz w:val="20"/>
                <w:szCs w:val="20"/>
                <w:color w:val="auto"/>
              </w:rPr>
            </w:pPr>
            <w:r>
              <w:rPr>
                <w:rFonts w:ascii="Calibri" w:cs="Calibri" w:eastAsia="Calibri" w:hAnsi="Calibri"/>
                <w:sz w:val="16"/>
                <w:szCs w:val="16"/>
                <w:color w:val="auto"/>
              </w:rPr>
              <w:t>Efect of foreign exchange</w:t>
            </w:r>
          </w:p>
        </w:tc>
        <w:tc>
          <w:tcPr>
            <w:tcW w:w="3100" w:type="dxa"/>
            <w:vAlign w:val="bottom"/>
          </w:tcPr>
          <w:p>
            <w:pPr>
              <w:jc w:val="right"/>
              <w:ind w:right="219"/>
              <w:spacing w:after="0"/>
              <w:rPr>
                <w:sz w:val="20"/>
                <w:szCs w:val="20"/>
                <w:color w:val="auto"/>
              </w:rPr>
            </w:pPr>
            <w:r>
              <w:rPr>
                <w:rFonts w:ascii="Calibri" w:cs="Calibri" w:eastAsia="Calibri" w:hAnsi="Calibri"/>
                <w:sz w:val="16"/>
                <w:szCs w:val="16"/>
                <w:color w:val="auto"/>
              </w:rPr>
              <w:t>(33)</w:t>
            </w:r>
          </w:p>
        </w:tc>
        <w:tc>
          <w:tcPr>
            <w:tcW w:w="2380" w:type="dxa"/>
            <w:vAlign w:val="bottom"/>
          </w:tcPr>
          <w:p>
            <w:pPr>
              <w:jc w:val="right"/>
              <w:ind w:right="719"/>
              <w:spacing w:after="0"/>
              <w:rPr>
                <w:sz w:val="20"/>
                <w:szCs w:val="20"/>
                <w:color w:val="auto"/>
              </w:rPr>
            </w:pPr>
            <w:r>
              <w:rPr>
                <w:rFonts w:ascii="Calibri" w:cs="Calibri" w:eastAsia="Calibri" w:hAnsi="Calibri"/>
                <w:sz w:val="16"/>
                <w:szCs w:val="16"/>
                <w:color w:val="auto"/>
              </w:rPr>
              <w:t>—</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(33)</w:t>
            </w:r>
          </w:p>
        </w:tc>
        <w:tc>
          <w:tcPr>
            <w:tcW w:w="80" w:type="dxa"/>
            <w:vAlign w:val="bottom"/>
          </w:tcPr>
          <w:p>
            <w:pPr>
              <w:spacing w:after="0"/>
              <w:rPr>
                <w:sz w:val="18"/>
                <w:szCs w:val="18"/>
                <w:color w:val="auto"/>
              </w:rPr>
            </w:pPr>
          </w:p>
        </w:tc>
      </w:tr>
      <w:tr>
        <w:trPr>
          <w:trHeight w:val="21"/>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tcBorders>
              <w:bottom w:val="single" w:sz="8" w:color="auto"/>
            </w:tcBorders>
          </w:tcPr>
          <w:p>
            <w:pPr>
              <w:ind w:left="60"/>
              <w:spacing w:after="0" w:line="193" w:lineRule="exact"/>
              <w:rPr>
                <w:sz w:val="20"/>
                <w:szCs w:val="20"/>
                <w:color w:val="auto"/>
              </w:rPr>
            </w:pPr>
            <w:r>
              <w:rPr>
                <w:rFonts w:ascii="Calibri" w:cs="Calibri" w:eastAsia="Calibri" w:hAnsi="Calibri"/>
                <w:sz w:val="16"/>
                <w:szCs w:val="16"/>
                <w:b w:val="1"/>
                <w:bCs w:val="1"/>
                <w:color w:val="auto"/>
              </w:rPr>
              <w:t>Balance as at March 31, 2022</w:t>
            </w:r>
          </w:p>
        </w:tc>
        <w:tc>
          <w:tcPr>
            <w:tcW w:w="3100" w:type="dxa"/>
            <w:vAlign w:val="bottom"/>
            <w:tcBorders>
              <w:bottom w:val="single" w:sz="8" w:color="auto"/>
            </w:tcBorders>
          </w:tcPr>
          <w:p>
            <w:pPr>
              <w:jc w:val="right"/>
              <w:ind w:right="219"/>
              <w:spacing w:after="0" w:line="193" w:lineRule="exact"/>
              <w:rPr>
                <w:sz w:val="20"/>
                <w:szCs w:val="20"/>
                <w:color w:val="auto"/>
              </w:rPr>
            </w:pPr>
            <w:r>
              <w:rPr>
                <w:rFonts w:ascii="Calibri" w:cs="Calibri" w:eastAsia="Calibri" w:hAnsi="Calibri"/>
                <w:sz w:val="16"/>
                <w:szCs w:val="16"/>
                <w:b w:val="1"/>
                <w:bCs w:val="1"/>
                <w:color w:val="auto"/>
              </w:rPr>
              <w:t>2,009</w:t>
            </w:r>
          </w:p>
        </w:tc>
        <w:tc>
          <w:tcPr>
            <w:tcW w:w="2380" w:type="dxa"/>
            <w:vAlign w:val="bottom"/>
            <w:tcBorders>
              <w:bottom w:val="single" w:sz="8" w:color="auto"/>
            </w:tcBorders>
          </w:tcPr>
          <w:p>
            <w:pPr>
              <w:jc w:val="right"/>
              <w:ind w:right="719"/>
              <w:spacing w:after="0" w:line="193" w:lineRule="exact"/>
              <w:rPr>
                <w:sz w:val="20"/>
                <w:szCs w:val="20"/>
                <w:color w:val="auto"/>
              </w:rPr>
            </w:pPr>
            <w:r>
              <w:rPr>
                <w:rFonts w:ascii="Calibri" w:cs="Calibri" w:eastAsia="Calibri" w:hAnsi="Calibri"/>
                <w:sz w:val="16"/>
                <w:szCs w:val="16"/>
                <w:b w:val="1"/>
                <w:bCs w:val="1"/>
                <w:color w:val="auto"/>
              </w:rPr>
              <w:t>74</w:t>
            </w:r>
          </w:p>
        </w:tc>
        <w:tc>
          <w:tcPr>
            <w:tcW w:w="11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2,083</w:t>
            </w:r>
          </w:p>
        </w:tc>
        <w:tc>
          <w:tcPr>
            <w:tcW w:w="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Calibri" w:cs="Calibri" w:eastAsia="Calibri" w:hAnsi="Calibri"/>
          <w:sz w:val="16"/>
          <w:szCs w:val="16"/>
          <w:b w:val="1"/>
          <w:bCs w:val="1"/>
          <w:color w:val="auto"/>
        </w:rPr>
        <w:t>Page 27 of 53</w:t>
      </w:r>
    </w:p>
    <w:p>
      <w:pPr>
        <w:sectPr>
          <w:pgSz w:w="11900" w:h="16838" w:orient="portrait"/>
          <w:cols w:equalWidth="0" w:num="1">
            <w:col w:w="11200"/>
          </w:cols>
          <w:pgMar w:left="320" w:top="151" w:right="379" w:bottom="1440" w:gutter="0" w:footer="0" w:header="0"/>
        </w:sectPr>
      </w:pPr>
    </w:p>
    <w:bookmarkStart w:id="127" w:name="page128"/>
    <w:bookmarkEnd w:id="127"/>
    <w:p>
      <w:pPr>
        <w:ind w:left="60"/>
        <w:spacing w:after="0"/>
        <w:rPr>
          <w:sz w:val="20"/>
          <w:szCs w:val="20"/>
          <w:color w:val="auto"/>
        </w:rPr>
      </w:pPr>
      <w:r>
        <w:rPr>
          <w:rFonts w:ascii="Calibri" w:cs="Calibri" w:eastAsia="Calibri" w:hAnsi="Calibri"/>
          <w:sz w:val="20"/>
          <w:szCs w:val="20"/>
          <w:b w:val="1"/>
          <w:bCs w:val="1"/>
          <w:color w:val="auto"/>
        </w:rPr>
        <w:t>CYBIN INC.</w:t>
      </w:r>
    </w:p>
    <w:p>
      <w:pPr>
        <w:ind w:left="60"/>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0"/>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0"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714565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40" w:type="dxa"/>
            <w:vAlign w:val="bottom"/>
          </w:tcPr>
          <w:p>
            <w:pPr>
              <w:spacing w:after="0"/>
              <w:rPr>
                <w:sz w:val="20"/>
                <w:szCs w:val="20"/>
                <w:color w:val="auto"/>
              </w:rPr>
            </w:pPr>
            <w:r>
              <w:rPr>
                <w:rFonts w:ascii="Calibri" w:cs="Calibri" w:eastAsia="Calibri" w:hAnsi="Calibri"/>
                <w:sz w:val="16"/>
                <w:szCs w:val="16"/>
                <w:b w:val="1"/>
                <w:bCs w:val="1"/>
                <w:color w:val="2D5F91"/>
              </w:rPr>
              <w:t>8.  GOODWILL</w:t>
            </w:r>
          </w:p>
        </w:tc>
        <w:tc>
          <w:tcPr>
            <w:tcW w:w="2020" w:type="dxa"/>
            <w:vAlign w:val="bottom"/>
          </w:tcPr>
          <w:p>
            <w:pPr>
              <w:spacing w:after="0"/>
              <w:rPr>
                <w:sz w:val="16"/>
                <w:szCs w:val="16"/>
                <w:color w:val="auto"/>
              </w:rPr>
            </w:pPr>
          </w:p>
        </w:tc>
      </w:tr>
      <w:tr>
        <w:trPr>
          <w:trHeight w:val="437"/>
        </w:trPr>
        <w:tc>
          <w:tcPr>
            <w:tcW w:w="9240" w:type="dxa"/>
            <w:vAlign w:val="bottom"/>
          </w:tcPr>
          <w:p>
            <w:pPr>
              <w:ind w:left="300"/>
              <w:spacing w:after="0"/>
              <w:rPr>
                <w:sz w:val="20"/>
                <w:szCs w:val="20"/>
                <w:color w:val="auto"/>
              </w:rPr>
            </w:pPr>
            <w:r>
              <w:rPr>
                <w:rFonts w:ascii="Calibri" w:cs="Calibri" w:eastAsia="Calibri" w:hAnsi="Calibri"/>
                <w:sz w:val="16"/>
                <w:szCs w:val="16"/>
                <w:color w:val="auto"/>
              </w:rPr>
              <w:t>Goodwill is recognized at the acquisiton date when total consideraton exceeds the net identfable assets acquired</w:t>
            </w:r>
            <w:r>
              <w:rPr>
                <w:rFonts w:ascii="Arial" w:cs="Arial" w:eastAsia="Arial" w:hAnsi="Arial"/>
                <w:sz w:val="19"/>
                <w:szCs w:val="19"/>
                <w:color w:val="auto"/>
              </w:rPr>
              <w:t>.</w:t>
            </w:r>
          </w:p>
        </w:tc>
        <w:tc>
          <w:tcPr>
            <w:tcW w:w="2020" w:type="dxa"/>
            <w:vAlign w:val="bottom"/>
          </w:tcPr>
          <w:p>
            <w:pPr>
              <w:spacing w:after="0"/>
              <w:rPr>
                <w:sz w:val="24"/>
                <w:szCs w:val="24"/>
                <w:color w:val="auto"/>
              </w:rPr>
            </w:pPr>
          </w:p>
        </w:tc>
      </w:tr>
      <w:tr>
        <w:trPr>
          <w:trHeight w:val="430"/>
        </w:trPr>
        <w:tc>
          <w:tcPr>
            <w:tcW w:w="9240" w:type="dxa"/>
            <w:vAlign w:val="bottom"/>
          </w:tcPr>
          <w:p>
            <w:pPr>
              <w:ind w:left="240"/>
              <w:spacing w:after="0"/>
              <w:rPr>
                <w:sz w:val="20"/>
                <w:szCs w:val="20"/>
                <w:color w:val="auto"/>
              </w:rPr>
            </w:pPr>
            <w:r>
              <w:rPr>
                <w:rFonts w:ascii="Calibri" w:cs="Calibri" w:eastAsia="Calibri" w:hAnsi="Calibri"/>
                <w:sz w:val="16"/>
                <w:szCs w:val="16"/>
                <w:b w:val="1"/>
                <w:bCs w:val="1"/>
                <w:color w:val="auto"/>
              </w:rPr>
              <w:t>Cost</w:t>
            </w:r>
          </w:p>
        </w:tc>
        <w:tc>
          <w:tcPr>
            <w:tcW w:w="2020" w:type="dxa"/>
            <w:vAlign w:val="bottom"/>
          </w:tcPr>
          <w:p>
            <w:pPr>
              <w:jc w:val="right"/>
              <w:spacing w:after="0"/>
              <w:rPr>
                <w:sz w:val="20"/>
                <w:szCs w:val="20"/>
                <w:color w:val="auto"/>
              </w:rPr>
            </w:pPr>
            <w:r>
              <w:rPr>
                <w:rFonts w:ascii="Calibri" w:cs="Calibri" w:eastAsia="Calibri" w:hAnsi="Calibri"/>
                <w:sz w:val="16"/>
                <w:szCs w:val="16"/>
                <w:b w:val="1"/>
                <w:bCs w:val="1"/>
                <w:color w:val="auto"/>
              </w:rPr>
              <w:t>$000’s</w:t>
            </w:r>
          </w:p>
        </w:tc>
      </w:tr>
      <w:tr>
        <w:trPr>
          <w:trHeight w:val="21"/>
        </w:trPr>
        <w:tc>
          <w:tcPr>
            <w:tcW w:w="9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86"/>
        </w:trPr>
        <w:tc>
          <w:tcPr>
            <w:tcW w:w="9240" w:type="dxa"/>
            <w:vAlign w:val="bottom"/>
          </w:tcPr>
          <w:p>
            <w:pPr>
              <w:ind w:left="240"/>
              <w:spacing w:after="0" w:line="186" w:lineRule="exact"/>
              <w:rPr>
                <w:sz w:val="20"/>
                <w:szCs w:val="20"/>
                <w:color w:val="auto"/>
              </w:rPr>
            </w:pPr>
            <w:r>
              <w:rPr>
                <w:rFonts w:ascii="Calibri" w:cs="Calibri" w:eastAsia="Calibri" w:hAnsi="Calibri"/>
                <w:sz w:val="16"/>
                <w:szCs w:val="16"/>
                <w:color w:val="auto"/>
              </w:rPr>
              <w:t>Balance as at March 31, 2020</w:t>
            </w:r>
          </w:p>
        </w:tc>
        <w:tc>
          <w:tcPr>
            <w:tcW w:w="2020" w:type="dxa"/>
            <w:vAlign w:val="bottom"/>
          </w:tcPr>
          <w:p>
            <w:pPr>
              <w:jc w:val="right"/>
              <w:spacing w:after="0" w:line="186" w:lineRule="exact"/>
              <w:rPr>
                <w:sz w:val="20"/>
                <w:szCs w:val="20"/>
                <w:color w:val="auto"/>
              </w:rPr>
            </w:pPr>
            <w:r>
              <w:rPr>
                <w:rFonts w:ascii="Calibri" w:cs="Calibri" w:eastAsia="Calibri" w:hAnsi="Calibri"/>
                <w:sz w:val="16"/>
                <w:szCs w:val="16"/>
                <w:color w:val="auto"/>
              </w:rPr>
              <w:t>—</w:t>
            </w:r>
          </w:p>
        </w:tc>
      </w:tr>
      <w:tr>
        <w:trPr>
          <w:trHeight w:val="200"/>
        </w:trPr>
        <w:tc>
          <w:tcPr>
            <w:tcW w:w="9240" w:type="dxa"/>
            <w:vAlign w:val="bottom"/>
          </w:tcPr>
          <w:p>
            <w:pPr>
              <w:ind w:left="240"/>
              <w:spacing w:after="0"/>
              <w:rPr>
                <w:sz w:val="20"/>
                <w:szCs w:val="20"/>
                <w:color w:val="auto"/>
              </w:rPr>
            </w:pPr>
            <w:r>
              <w:rPr>
                <w:rFonts w:ascii="Calibri" w:cs="Calibri" w:eastAsia="Calibri" w:hAnsi="Calibri"/>
                <w:sz w:val="16"/>
                <w:szCs w:val="16"/>
                <w:color w:val="auto"/>
              </w:rPr>
              <w:t>Additons (refer to note 4)</w:t>
            </w:r>
          </w:p>
        </w:tc>
        <w:tc>
          <w:tcPr>
            <w:tcW w:w="2020" w:type="dxa"/>
            <w:vAlign w:val="bottom"/>
          </w:tcPr>
          <w:p>
            <w:pPr>
              <w:jc w:val="right"/>
              <w:spacing w:after="0"/>
              <w:rPr>
                <w:sz w:val="20"/>
                <w:szCs w:val="20"/>
                <w:color w:val="auto"/>
              </w:rPr>
            </w:pPr>
            <w:r>
              <w:rPr>
                <w:rFonts w:ascii="Calibri" w:cs="Calibri" w:eastAsia="Calibri" w:hAnsi="Calibri"/>
                <w:sz w:val="16"/>
                <w:szCs w:val="16"/>
                <w:color w:val="auto"/>
              </w:rPr>
              <w:t>23,370</w:t>
            </w:r>
          </w:p>
        </w:tc>
      </w:tr>
      <w:tr>
        <w:trPr>
          <w:trHeight w:val="21"/>
        </w:trPr>
        <w:tc>
          <w:tcPr>
            <w:tcW w:w="9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86"/>
        </w:trPr>
        <w:tc>
          <w:tcPr>
            <w:tcW w:w="9240" w:type="dxa"/>
            <w:vAlign w:val="bottom"/>
          </w:tcPr>
          <w:p>
            <w:pPr>
              <w:ind w:left="240"/>
              <w:spacing w:after="0" w:line="186" w:lineRule="exact"/>
              <w:rPr>
                <w:sz w:val="20"/>
                <w:szCs w:val="20"/>
                <w:color w:val="auto"/>
              </w:rPr>
            </w:pPr>
            <w:r>
              <w:rPr>
                <w:rFonts w:ascii="Calibri" w:cs="Calibri" w:eastAsia="Calibri" w:hAnsi="Calibri"/>
                <w:sz w:val="16"/>
                <w:szCs w:val="16"/>
                <w:color w:val="auto"/>
              </w:rPr>
              <w:t>Balance as at March 31, 2021</w:t>
            </w:r>
          </w:p>
        </w:tc>
        <w:tc>
          <w:tcPr>
            <w:tcW w:w="2020" w:type="dxa"/>
            <w:vAlign w:val="bottom"/>
          </w:tcPr>
          <w:p>
            <w:pPr>
              <w:jc w:val="right"/>
              <w:spacing w:after="0" w:line="186" w:lineRule="exact"/>
              <w:rPr>
                <w:sz w:val="20"/>
                <w:szCs w:val="20"/>
                <w:color w:val="auto"/>
              </w:rPr>
            </w:pPr>
            <w:r>
              <w:rPr>
                <w:rFonts w:ascii="Calibri" w:cs="Calibri" w:eastAsia="Calibri" w:hAnsi="Calibri"/>
                <w:sz w:val="16"/>
                <w:szCs w:val="16"/>
                <w:color w:val="auto"/>
              </w:rPr>
              <w:t>23,370</w:t>
            </w:r>
          </w:p>
        </w:tc>
      </w:tr>
      <w:tr>
        <w:trPr>
          <w:trHeight w:val="200"/>
        </w:trPr>
        <w:tc>
          <w:tcPr>
            <w:tcW w:w="9240" w:type="dxa"/>
            <w:vAlign w:val="bottom"/>
          </w:tcPr>
          <w:p>
            <w:pPr>
              <w:ind w:left="240"/>
              <w:spacing w:after="0"/>
              <w:rPr>
                <w:sz w:val="20"/>
                <w:szCs w:val="20"/>
                <w:color w:val="auto"/>
              </w:rPr>
            </w:pPr>
            <w:r>
              <w:rPr>
                <w:rFonts w:ascii="Calibri" w:cs="Calibri" w:eastAsia="Calibri" w:hAnsi="Calibri"/>
                <w:sz w:val="16"/>
                <w:szCs w:val="16"/>
                <w:color w:val="auto"/>
              </w:rPr>
              <w:t>Efect of foreign exchange</w:t>
            </w:r>
          </w:p>
        </w:tc>
        <w:tc>
          <w:tcPr>
            <w:tcW w:w="2020" w:type="dxa"/>
            <w:vAlign w:val="bottom"/>
          </w:tcPr>
          <w:p>
            <w:pPr>
              <w:jc w:val="right"/>
              <w:spacing w:after="0"/>
              <w:rPr>
                <w:sz w:val="20"/>
                <w:szCs w:val="20"/>
                <w:color w:val="auto"/>
              </w:rPr>
            </w:pPr>
            <w:r>
              <w:rPr>
                <w:rFonts w:ascii="Calibri" w:cs="Calibri" w:eastAsia="Calibri" w:hAnsi="Calibri"/>
                <w:sz w:val="16"/>
                <w:szCs w:val="16"/>
                <w:color w:val="auto"/>
              </w:rPr>
              <w:t>(478)</w:t>
            </w:r>
          </w:p>
        </w:tc>
      </w:tr>
      <w:tr>
        <w:trPr>
          <w:trHeight w:val="21"/>
        </w:trPr>
        <w:tc>
          <w:tcPr>
            <w:tcW w:w="9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93"/>
        </w:trPr>
        <w:tc>
          <w:tcPr>
            <w:tcW w:w="9240" w:type="dxa"/>
            <w:vAlign w:val="bottom"/>
            <w:tcBorders>
              <w:bottom w:val="single" w:sz="8" w:color="auto"/>
            </w:tcBorders>
          </w:tcPr>
          <w:p>
            <w:pPr>
              <w:ind w:left="240"/>
              <w:spacing w:after="0" w:line="193" w:lineRule="exact"/>
              <w:rPr>
                <w:sz w:val="20"/>
                <w:szCs w:val="20"/>
                <w:color w:val="auto"/>
              </w:rPr>
            </w:pPr>
            <w:r>
              <w:rPr>
                <w:rFonts w:ascii="Calibri" w:cs="Calibri" w:eastAsia="Calibri" w:hAnsi="Calibri"/>
                <w:sz w:val="16"/>
                <w:szCs w:val="16"/>
                <w:b w:val="1"/>
                <w:bCs w:val="1"/>
                <w:color w:val="auto"/>
              </w:rPr>
              <w:t>Balance as at March 31, 2022</w:t>
            </w:r>
          </w:p>
        </w:tc>
        <w:tc>
          <w:tcPr>
            <w:tcW w:w="20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22,892</w:t>
            </w:r>
          </w:p>
        </w:tc>
      </w:tr>
    </w:tbl>
    <w:p>
      <w:pPr>
        <w:spacing w:after="0" w:line="223"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color w:val="auto"/>
        </w:rPr>
        <w:t>Impairment</w:t>
      </w:r>
    </w:p>
    <w:p>
      <w:pPr>
        <w:spacing w:after="0" w:line="160" w:lineRule="exact"/>
        <w:rPr>
          <w:sz w:val="20"/>
          <w:szCs w:val="20"/>
          <w:color w:val="auto"/>
        </w:rPr>
      </w:pPr>
    </w:p>
    <w:p>
      <w:pPr>
        <w:jc w:val="both"/>
        <w:ind w:left="300" w:right="20"/>
        <w:spacing w:after="0" w:line="239" w:lineRule="auto"/>
        <w:rPr>
          <w:sz w:val="20"/>
          <w:szCs w:val="20"/>
          <w:color w:val="auto"/>
        </w:rPr>
      </w:pPr>
      <w:r>
        <w:rPr>
          <w:rFonts w:ascii="Calibri" w:cs="Calibri" w:eastAsia="Calibri" w:hAnsi="Calibri"/>
          <w:sz w:val="16"/>
          <w:szCs w:val="16"/>
          <w:color w:val="auto"/>
        </w:rPr>
        <w:t>For purposes of the Company’s goodwill impairment testng, the Company has grouped certain CGUs to test at the lowest level at which management monitors goodwill for internal management purposes, which is the Company wide level.</w:t>
      </w:r>
    </w:p>
    <w:p>
      <w:pPr>
        <w:spacing w:after="0" w:line="161" w:lineRule="exact"/>
        <w:rPr>
          <w:sz w:val="20"/>
          <w:szCs w:val="20"/>
          <w:color w:val="auto"/>
        </w:rPr>
      </w:pPr>
    </w:p>
    <w:p>
      <w:pPr>
        <w:jc w:val="both"/>
        <w:ind w:left="300" w:right="20"/>
        <w:spacing w:after="0" w:line="239" w:lineRule="auto"/>
        <w:rPr>
          <w:sz w:val="20"/>
          <w:szCs w:val="20"/>
          <w:color w:val="auto"/>
        </w:rPr>
      </w:pPr>
      <w:r>
        <w:rPr>
          <w:rFonts w:ascii="Calibri" w:cs="Calibri" w:eastAsia="Calibri" w:hAnsi="Calibri"/>
          <w:sz w:val="16"/>
          <w:szCs w:val="16"/>
          <w:color w:val="auto"/>
        </w:rPr>
        <w:t>The Company performed its annual impairment test of goodwill at March 31, 2022. The recoverable amount was determined based on value-in-use (“VIU”) and considered the cash fows of the group of CGUs based on the current budget and future commercializaton plans. In assessing the VIU, estmated future cash fows are discounted to their present value using a discount rate that refects market assessments of the tme value of money and the risks specifc to the CGUs. The VIU calculatons were performed using a pre-tax discount rate of 15.6%. The Company determined the terminal value as an estmate of the present value of the future cash fows in the terminal period, applying a terminal growth rate of 2%. Based on the Company’s assessment, the recoverable amount is higher than the carrying value and therefore no impairment loss was recorded during the year ended March 31, 2022.</w:t>
      </w:r>
    </w:p>
    <w:p>
      <w:pPr>
        <w:spacing w:after="0" w:line="176"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9.</w:t>
      </w:r>
      <w:r>
        <w:rPr>
          <w:sz w:val="20"/>
          <w:szCs w:val="20"/>
          <w:color w:val="auto"/>
        </w:rPr>
        <w:tab/>
      </w:r>
      <w:r>
        <w:rPr>
          <w:rFonts w:ascii="Calibri" w:cs="Calibri" w:eastAsia="Calibri" w:hAnsi="Calibri"/>
          <w:sz w:val="15"/>
          <w:szCs w:val="15"/>
          <w:b w:val="1"/>
          <w:bCs w:val="1"/>
          <w:color w:val="2D5F91"/>
        </w:rPr>
        <w:t>CONTINGENT CONSIDERATION PAYABLE</w:t>
      </w:r>
    </w:p>
    <w:p>
      <w:pPr>
        <w:spacing w:after="0" w:line="159"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color w:val="auto"/>
        </w:rPr>
        <w:t>Former Adelia Shareholders</w:t>
      </w:r>
    </w:p>
    <w:p>
      <w:pPr>
        <w:spacing w:after="0" w:line="160" w:lineRule="exact"/>
        <w:rPr>
          <w:sz w:val="20"/>
          <w:szCs w:val="20"/>
          <w:color w:val="auto"/>
        </w:rPr>
      </w:pPr>
    </w:p>
    <w:p>
      <w:pPr>
        <w:jc w:val="both"/>
        <w:ind w:left="300"/>
        <w:spacing w:after="0" w:line="239" w:lineRule="auto"/>
        <w:rPr>
          <w:sz w:val="20"/>
          <w:szCs w:val="20"/>
          <w:color w:val="auto"/>
        </w:rPr>
      </w:pPr>
      <w:r>
        <w:rPr>
          <w:rFonts w:ascii="Calibri" w:cs="Calibri" w:eastAsia="Calibri" w:hAnsi="Calibri"/>
          <w:sz w:val="16"/>
          <w:szCs w:val="16"/>
          <w:color w:val="auto"/>
        </w:rPr>
        <w:t>The Company has commitments to the Former Adelia Shareholders based on milestone achievements. Milestone payments of approximately $3,014 are remaining and expected to be paid in the year ending March 31, 2023, assuming all Milestones are met prior to the applicable deadlines. These Milestones are to be paid in Class B Shares at a price per Class B Share equal to ten tmes the current trading price of the Common Shares on the relevant pricing date (note 11).</w:t>
      </w:r>
    </w:p>
    <w:p>
      <w:pPr>
        <w:spacing w:after="0" w:line="173"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The following table presents the change in the carrying value of the contngent consideraton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28 of 53</w:t>
      </w:r>
    </w:p>
    <w:p>
      <w:pPr>
        <w:sectPr>
          <w:pgSz w:w="11900" w:h="16838" w:orient="portrait"/>
          <w:cols w:equalWidth="0" w:num="1">
            <w:col w:w="11260"/>
          </w:cols>
          <w:pgMar w:left="320" w:top="151" w:right="319" w:bottom="1440" w:gutter="0" w:footer="0" w:header="0"/>
        </w:sectPr>
      </w:pPr>
    </w:p>
    <w:bookmarkStart w:id="128" w:name="page129"/>
    <w:bookmarkEnd w:id="128"/>
    <w:p>
      <w:pPr>
        <w:ind w:left="62"/>
        <w:spacing w:after="0"/>
        <w:rPr>
          <w:sz w:val="20"/>
          <w:szCs w:val="20"/>
          <w:color w:val="auto"/>
        </w:rPr>
      </w:pPr>
      <w:r>
        <w:rPr>
          <w:rFonts w:ascii="Calibri" w:cs="Calibri" w:eastAsia="Calibri" w:hAnsi="Calibri"/>
          <w:sz w:val="20"/>
          <w:szCs w:val="20"/>
          <w:b w:val="1"/>
          <w:bCs w:val="1"/>
          <w:color w:val="auto"/>
        </w:rPr>
        <w:t>CYBIN INC.</w:t>
      </w:r>
    </w:p>
    <w:p>
      <w:pPr>
        <w:ind w:left="62"/>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2"/>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2"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4565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302"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4200" w:type="dxa"/>
            <w:vAlign w:val="bottom"/>
          </w:tcPr>
          <w:p>
            <w:pPr>
              <w:jc w:val="right"/>
              <w:spacing w:after="0"/>
              <w:rPr>
                <w:sz w:val="20"/>
                <w:szCs w:val="20"/>
                <w:color w:val="auto"/>
              </w:rPr>
            </w:pPr>
            <w:r>
              <w:rPr>
                <w:rFonts w:ascii="Calibri" w:cs="Calibri" w:eastAsia="Calibri" w:hAnsi="Calibri"/>
                <w:sz w:val="16"/>
                <w:szCs w:val="16"/>
                <w:b w:val="1"/>
                <w:bCs w:val="1"/>
                <w:color w:val="auto"/>
              </w:rPr>
              <w:t>$000’s</w:t>
            </w:r>
          </w:p>
        </w:tc>
      </w:tr>
      <w:tr>
        <w:trPr>
          <w:trHeight w:val="46"/>
        </w:trPr>
        <w:tc>
          <w:tcPr>
            <w:tcW w:w="6280" w:type="dxa"/>
            <w:vAlign w:val="bottom"/>
            <w:tcBorders>
              <w:bottom w:val="single" w:sz="8" w:color="auto"/>
            </w:tcBorders>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r>
      <w:tr>
        <w:trPr>
          <w:trHeight w:val="186"/>
        </w:trPr>
        <w:tc>
          <w:tcPr>
            <w:tcW w:w="6280" w:type="dxa"/>
            <w:vAlign w:val="bottom"/>
          </w:tcPr>
          <w:p>
            <w:pPr>
              <w:spacing w:after="0" w:line="186" w:lineRule="exact"/>
              <w:rPr>
                <w:sz w:val="20"/>
                <w:szCs w:val="20"/>
                <w:color w:val="auto"/>
              </w:rPr>
            </w:pPr>
            <w:r>
              <w:rPr>
                <w:rFonts w:ascii="Calibri" w:cs="Calibri" w:eastAsia="Calibri" w:hAnsi="Calibri"/>
                <w:sz w:val="16"/>
                <w:szCs w:val="16"/>
                <w:color w:val="auto"/>
              </w:rPr>
              <w:t>Balance as at March 31, 2020</w:t>
            </w:r>
          </w:p>
        </w:tc>
        <w:tc>
          <w:tcPr>
            <w:tcW w:w="4200" w:type="dxa"/>
            <w:vAlign w:val="bottom"/>
          </w:tcPr>
          <w:p>
            <w:pPr>
              <w:jc w:val="right"/>
              <w:spacing w:after="0" w:line="186" w:lineRule="exact"/>
              <w:rPr>
                <w:sz w:val="20"/>
                <w:szCs w:val="20"/>
                <w:color w:val="auto"/>
              </w:rPr>
            </w:pPr>
            <w:r>
              <w:rPr>
                <w:rFonts w:ascii="Calibri" w:cs="Calibri" w:eastAsia="Calibri" w:hAnsi="Calibri"/>
                <w:sz w:val="16"/>
                <w:szCs w:val="16"/>
                <w:color w:val="auto"/>
              </w:rPr>
              <w:t>—</w:t>
            </w:r>
          </w:p>
        </w:tc>
      </w:tr>
      <w:tr>
        <w:trPr>
          <w:trHeight w:val="225"/>
        </w:trPr>
        <w:tc>
          <w:tcPr>
            <w:tcW w:w="6280" w:type="dxa"/>
            <w:vAlign w:val="bottom"/>
          </w:tcPr>
          <w:p>
            <w:pPr>
              <w:spacing w:after="0"/>
              <w:rPr>
                <w:sz w:val="20"/>
                <w:szCs w:val="20"/>
                <w:color w:val="auto"/>
              </w:rPr>
            </w:pPr>
            <w:r>
              <w:rPr>
                <w:rFonts w:ascii="Calibri" w:cs="Calibri" w:eastAsia="Calibri" w:hAnsi="Calibri"/>
                <w:sz w:val="16"/>
                <w:szCs w:val="16"/>
                <w:color w:val="auto"/>
              </w:rPr>
              <w:t>Contngent consideraton on acquisiton</w:t>
            </w:r>
          </w:p>
        </w:tc>
        <w:tc>
          <w:tcPr>
            <w:tcW w:w="4200" w:type="dxa"/>
            <w:vAlign w:val="bottom"/>
          </w:tcPr>
          <w:p>
            <w:pPr>
              <w:jc w:val="right"/>
              <w:spacing w:after="0"/>
              <w:rPr>
                <w:sz w:val="20"/>
                <w:szCs w:val="20"/>
                <w:color w:val="auto"/>
              </w:rPr>
            </w:pPr>
            <w:r>
              <w:rPr>
                <w:rFonts w:ascii="Calibri" w:cs="Calibri" w:eastAsia="Calibri" w:hAnsi="Calibri"/>
                <w:sz w:val="16"/>
                <w:szCs w:val="16"/>
                <w:color w:val="auto"/>
              </w:rPr>
              <w:t>4,258</w:t>
            </w:r>
          </w:p>
        </w:tc>
      </w:tr>
      <w:tr>
        <w:trPr>
          <w:trHeight w:val="232"/>
        </w:trPr>
        <w:tc>
          <w:tcPr>
            <w:tcW w:w="6280" w:type="dxa"/>
            <w:vAlign w:val="bottom"/>
          </w:tcPr>
          <w:p>
            <w:pPr>
              <w:spacing w:after="0"/>
              <w:rPr>
                <w:sz w:val="20"/>
                <w:szCs w:val="20"/>
                <w:color w:val="auto"/>
              </w:rPr>
            </w:pPr>
            <w:r>
              <w:rPr>
                <w:rFonts w:ascii="Calibri" w:cs="Calibri" w:eastAsia="Calibri" w:hAnsi="Calibri"/>
                <w:sz w:val="16"/>
                <w:szCs w:val="16"/>
                <w:color w:val="auto"/>
              </w:rPr>
              <w:t>Milestone achieved</w:t>
            </w:r>
          </w:p>
        </w:tc>
        <w:tc>
          <w:tcPr>
            <w:tcW w:w="4200" w:type="dxa"/>
            <w:vAlign w:val="bottom"/>
          </w:tcPr>
          <w:p>
            <w:pPr>
              <w:jc w:val="right"/>
              <w:spacing w:after="0"/>
              <w:rPr>
                <w:sz w:val="20"/>
                <w:szCs w:val="20"/>
                <w:color w:val="auto"/>
              </w:rPr>
            </w:pPr>
            <w:r>
              <w:rPr>
                <w:rFonts w:ascii="Calibri" w:cs="Calibri" w:eastAsia="Calibri" w:hAnsi="Calibri"/>
                <w:sz w:val="16"/>
                <w:szCs w:val="16"/>
                <w:color w:val="auto"/>
              </w:rPr>
              <w:t>(1,539)</w:t>
            </w:r>
          </w:p>
        </w:tc>
      </w:tr>
      <w:tr>
        <w:trPr>
          <w:trHeight w:val="232"/>
        </w:trPr>
        <w:tc>
          <w:tcPr>
            <w:tcW w:w="6280" w:type="dxa"/>
            <w:vAlign w:val="bottom"/>
          </w:tcPr>
          <w:p>
            <w:pPr>
              <w:spacing w:after="0"/>
              <w:rPr>
                <w:sz w:val="20"/>
                <w:szCs w:val="20"/>
                <w:color w:val="auto"/>
              </w:rPr>
            </w:pPr>
            <w:r>
              <w:rPr>
                <w:rFonts w:ascii="Calibri" w:cs="Calibri" w:eastAsia="Calibri" w:hAnsi="Calibri"/>
                <w:sz w:val="16"/>
                <w:szCs w:val="16"/>
                <w:color w:val="auto"/>
              </w:rPr>
              <w:t>Accreton expense</w:t>
            </w:r>
          </w:p>
        </w:tc>
        <w:tc>
          <w:tcPr>
            <w:tcW w:w="4200" w:type="dxa"/>
            <w:vAlign w:val="bottom"/>
          </w:tcPr>
          <w:p>
            <w:pPr>
              <w:jc w:val="right"/>
              <w:spacing w:after="0"/>
              <w:rPr>
                <w:sz w:val="20"/>
                <w:szCs w:val="20"/>
                <w:color w:val="auto"/>
              </w:rPr>
            </w:pPr>
            <w:r>
              <w:rPr>
                <w:rFonts w:ascii="Calibri" w:cs="Calibri" w:eastAsia="Calibri" w:hAnsi="Calibri"/>
                <w:sz w:val="16"/>
                <w:szCs w:val="16"/>
                <w:color w:val="auto"/>
              </w:rPr>
              <w:t>482</w:t>
            </w:r>
          </w:p>
        </w:tc>
      </w:tr>
      <w:tr>
        <w:trPr>
          <w:trHeight w:val="46"/>
        </w:trPr>
        <w:tc>
          <w:tcPr>
            <w:tcW w:w="6280" w:type="dxa"/>
            <w:vAlign w:val="bottom"/>
            <w:tcBorders>
              <w:bottom w:val="single" w:sz="8" w:color="auto"/>
            </w:tcBorders>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r>
      <w:tr>
        <w:trPr>
          <w:trHeight w:val="186"/>
        </w:trPr>
        <w:tc>
          <w:tcPr>
            <w:tcW w:w="6280" w:type="dxa"/>
            <w:vAlign w:val="bottom"/>
          </w:tcPr>
          <w:p>
            <w:pPr>
              <w:spacing w:after="0" w:line="186" w:lineRule="exact"/>
              <w:rPr>
                <w:sz w:val="20"/>
                <w:szCs w:val="20"/>
                <w:color w:val="auto"/>
              </w:rPr>
            </w:pPr>
            <w:r>
              <w:rPr>
                <w:rFonts w:ascii="Calibri" w:cs="Calibri" w:eastAsia="Calibri" w:hAnsi="Calibri"/>
                <w:sz w:val="16"/>
                <w:szCs w:val="16"/>
                <w:color w:val="auto"/>
              </w:rPr>
              <w:t>Balance as at March 31, 2021</w:t>
            </w:r>
          </w:p>
        </w:tc>
        <w:tc>
          <w:tcPr>
            <w:tcW w:w="420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3,201</w:t>
            </w:r>
          </w:p>
        </w:tc>
      </w:tr>
      <w:tr>
        <w:trPr>
          <w:trHeight w:val="237"/>
        </w:trPr>
        <w:tc>
          <w:tcPr>
            <w:tcW w:w="6280" w:type="dxa"/>
            <w:vAlign w:val="bottom"/>
          </w:tcPr>
          <w:p>
            <w:pPr>
              <w:spacing w:after="0"/>
              <w:rPr>
                <w:sz w:val="20"/>
                <w:szCs w:val="20"/>
                <w:color w:val="auto"/>
              </w:rPr>
            </w:pPr>
            <w:r>
              <w:rPr>
                <w:rFonts w:ascii="Calibri" w:cs="Calibri" w:eastAsia="Calibri" w:hAnsi="Calibri"/>
                <w:sz w:val="16"/>
                <w:szCs w:val="16"/>
                <w:color w:val="auto"/>
              </w:rPr>
              <w:t>Milestone achieved</w:t>
            </w:r>
          </w:p>
        </w:tc>
        <w:tc>
          <w:tcPr>
            <w:tcW w:w="4200" w:type="dxa"/>
            <w:vAlign w:val="bottom"/>
          </w:tcPr>
          <w:p>
            <w:pPr>
              <w:jc w:val="right"/>
              <w:spacing w:after="0"/>
              <w:rPr>
                <w:sz w:val="20"/>
                <w:szCs w:val="20"/>
                <w:color w:val="auto"/>
              </w:rPr>
            </w:pPr>
            <w:r>
              <w:rPr>
                <w:rFonts w:ascii="Calibri" w:cs="Calibri" w:eastAsia="Calibri" w:hAnsi="Calibri"/>
                <w:sz w:val="16"/>
                <w:szCs w:val="16"/>
                <w:color w:val="auto"/>
              </w:rPr>
              <w:t>(4,251)</w:t>
            </w:r>
          </w:p>
        </w:tc>
      </w:tr>
      <w:tr>
        <w:trPr>
          <w:trHeight w:val="232"/>
        </w:trPr>
        <w:tc>
          <w:tcPr>
            <w:tcW w:w="6280" w:type="dxa"/>
            <w:vAlign w:val="bottom"/>
          </w:tcPr>
          <w:p>
            <w:pPr>
              <w:spacing w:after="0"/>
              <w:rPr>
                <w:sz w:val="20"/>
                <w:szCs w:val="20"/>
                <w:color w:val="auto"/>
              </w:rPr>
            </w:pPr>
            <w:r>
              <w:rPr>
                <w:rFonts w:ascii="Calibri" w:cs="Calibri" w:eastAsia="Calibri" w:hAnsi="Calibri"/>
                <w:sz w:val="16"/>
                <w:szCs w:val="16"/>
                <w:color w:val="auto"/>
              </w:rPr>
              <w:t>Change in fair value</w:t>
            </w:r>
          </w:p>
        </w:tc>
        <w:tc>
          <w:tcPr>
            <w:tcW w:w="4200" w:type="dxa"/>
            <w:vAlign w:val="bottom"/>
          </w:tcPr>
          <w:p>
            <w:pPr>
              <w:jc w:val="right"/>
              <w:spacing w:after="0"/>
              <w:rPr>
                <w:sz w:val="20"/>
                <w:szCs w:val="20"/>
                <w:color w:val="auto"/>
              </w:rPr>
            </w:pPr>
            <w:r>
              <w:rPr>
                <w:rFonts w:ascii="Calibri" w:cs="Calibri" w:eastAsia="Calibri" w:hAnsi="Calibri"/>
                <w:sz w:val="16"/>
                <w:szCs w:val="16"/>
                <w:color w:val="auto"/>
              </w:rPr>
              <w:t>3,380</w:t>
            </w:r>
          </w:p>
        </w:tc>
      </w:tr>
      <w:tr>
        <w:trPr>
          <w:trHeight w:val="232"/>
        </w:trPr>
        <w:tc>
          <w:tcPr>
            <w:tcW w:w="6280" w:type="dxa"/>
            <w:vAlign w:val="bottom"/>
          </w:tcPr>
          <w:p>
            <w:pPr>
              <w:spacing w:after="0"/>
              <w:rPr>
                <w:sz w:val="20"/>
                <w:szCs w:val="20"/>
                <w:color w:val="auto"/>
              </w:rPr>
            </w:pPr>
            <w:r>
              <w:rPr>
                <w:rFonts w:ascii="Calibri" w:cs="Calibri" w:eastAsia="Calibri" w:hAnsi="Calibri"/>
                <w:sz w:val="16"/>
                <w:szCs w:val="16"/>
                <w:color w:val="auto"/>
              </w:rPr>
              <w:t>Accreton expense</w:t>
            </w:r>
          </w:p>
        </w:tc>
        <w:tc>
          <w:tcPr>
            <w:tcW w:w="4200" w:type="dxa"/>
            <w:vAlign w:val="bottom"/>
          </w:tcPr>
          <w:p>
            <w:pPr>
              <w:jc w:val="right"/>
              <w:spacing w:after="0"/>
              <w:rPr>
                <w:sz w:val="20"/>
                <w:szCs w:val="20"/>
                <w:color w:val="auto"/>
              </w:rPr>
            </w:pPr>
            <w:r>
              <w:rPr>
                <w:rFonts w:ascii="Calibri" w:cs="Calibri" w:eastAsia="Calibri" w:hAnsi="Calibri"/>
                <w:sz w:val="16"/>
                <w:szCs w:val="16"/>
                <w:color w:val="auto"/>
              </w:rPr>
              <w:t>316</w:t>
            </w:r>
          </w:p>
        </w:tc>
      </w:tr>
      <w:tr>
        <w:trPr>
          <w:trHeight w:val="33"/>
        </w:trPr>
        <w:tc>
          <w:tcPr>
            <w:tcW w:w="62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186"/>
        </w:trPr>
        <w:tc>
          <w:tcPr>
            <w:tcW w:w="6280" w:type="dxa"/>
            <w:vAlign w:val="bottom"/>
          </w:tcPr>
          <w:p>
            <w:pPr>
              <w:spacing w:after="0" w:line="186" w:lineRule="exact"/>
              <w:rPr>
                <w:sz w:val="20"/>
                <w:szCs w:val="20"/>
                <w:color w:val="auto"/>
              </w:rPr>
            </w:pPr>
            <w:r>
              <w:rPr>
                <w:rFonts w:ascii="Calibri" w:cs="Calibri" w:eastAsia="Calibri" w:hAnsi="Calibri"/>
                <w:sz w:val="16"/>
                <w:szCs w:val="16"/>
                <w:b w:val="1"/>
                <w:bCs w:val="1"/>
                <w:color w:val="auto"/>
              </w:rPr>
              <w:t>Balance as at March 31, 2022</w:t>
            </w:r>
          </w:p>
        </w:tc>
        <w:tc>
          <w:tcPr>
            <w:tcW w:w="420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2,646</w:t>
            </w:r>
          </w:p>
        </w:tc>
      </w:tr>
      <w:tr>
        <w:trPr>
          <w:trHeight w:val="38"/>
        </w:trPr>
        <w:tc>
          <w:tcPr>
            <w:tcW w:w="6280" w:type="dxa"/>
            <w:vAlign w:val="bottom"/>
            <w:tcBorders>
              <w:bottom w:val="single" w:sz="8" w:color="auto"/>
            </w:tcBorders>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r>
    </w:tbl>
    <w:p>
      <w:pPr>
        <w:spacing w:after="0" w:line="225" w:lineRule="exact"/>
        <w:rPr>
          <w:sz w:val="20"/>
          <w:szCs w:val="20"/>
          <w:color w:val="auto"/>
        </w:rPr>
      </w:pPr>
    </w:p>
    <w:p>
      <w:pPr>
        <w:jc w:val="both"/>
        <w:ind w:left="302" w:right="20"/>
        <w:spacing w:after="0" w:line="239" w:lineRule="auto"/>
        <w:rPr>
          <w:sz w:val="20"/>
          <w:szCs w:val="20"/>
          <w:color w:val="auto"/>
        </w:rPr>
      </w:pPr>
      <w:r>
        <w:rPr>
          <w:rFonts w:ascii="Calibri" w:cs="Calibri" w:eastAsia="Calibri" w:hAnsi="Calibri"/>
          <w:sz w:val="16"/>
          <w:szCs w:val="16"/>
          <w:color w:val="auto"/>
        </w:rPr>
        <w:t>As a result of changes in fair value of the contngent consideraton, for the year ended March 31, 2022, the Company recorded an expense of $3,380 in the statement of loss and comprehensive loss as “change in fair value of contngent consideraton”. In additon, for the year ended March 31, 2022, the Company recorded an accreton expense of $316 in the statement of loss and comprehensive loss as “contngent consideraton accreton”.</w:t>
      </w:r>
    </w:p>
    <w:p>
      <w:pPr>
        <w:spacing w:after="0" w:line="173" w:lineRule="exact"/>
        <w:rPr>
          <w:sz w:val="20"/>
          <w:szCs w:val="20"/>
          <w:color w:val="auto"/>
        </w:rPr>
      </w:pPr>
    </w:p>
    <w:p>
      <w:pPr>
        <w:ind w:left="342" w:hanging="342"/>
        <w:spacing w:after="0"/>
        <w:tabs>
          <w:tab w:leader="none" w:pos="342" w:val="left"/>
        </w:tabs>
        <w:numPr>
          <w:ilvl w:val="0"/>
          <w:numId w:val="76"/>
        </w:numPr>
        <w:rPr>
          <w:rFonts w:ascii="Calibri" w:cs="Calibri" w:eastAsia="Calibri" w:hAnsi="Calibri"/>
          <w:sz w:val="16"/>
          <w:szCs w:val="16"/>
          <w:b w:val="1"/>
          <w:bCs w:val="1"/>
          <w:color w:val="2D5F91"/>
        </w:rPr>
      </w:pPr>
      <w:r>
        <w:rPr>
          <w:rFonts w:ascii="Calibri" w:cs="Calibri" w:eastAsia="Calibri" w:hAnsi="Calibri"/>
          <w:sz w:val="16"/>
          <w:szCs w:val="16"/>
          <w:b w:val="1"/>
          <w:bCs w:val="1"/>
          <w:color w:val="2D5F91"/>
        </w:rPr>
        <w:t>SHARE CAPITAL</w:t>
      </w:r>
    </w:p>
    <w:p>
      <w:pPr>
        <w:spacing w:after="0" w:line="158" w:lineRule="exact"/>
        <w:rPr>
          <w:rFonts w:ascii="Calibri" w:cs="Calibri" w:eastAsia="Calibri" w:hAnsi="Calibri"/>
          <w:sz w:val="16"/>
          <w:szCs w:val="16"/>
          <w:b w:val="1"/>
          <w:bCs w:val="1"/>
          <w:color w:val="2D5F91"/>
        </w:rPr>
      </w:pPr>
    </w:p>
    <w:p>
      <w:pPr>
        <w:ind w:left="582" w:hanging="289"/>
        <w:spacing w:after="0"/>
        <w:tabs>
          <w:tab w:leader="none" w:pos="582" w:val="left"/>
        </w:tabs>
        <w:numPr>
          <w:ilvl w:val="1"/>
          <w:numId w:val="76"/>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Authorized share capital</w:t>
      </w:r>
    </w:p>
    <w:p>
      <w:pPr>
        <w:spacing w:after="0" w:line="160" w:lineRule="exact"/>
        <w:rPr>
          <w:sz w:val="20"/>
          <w:szCs w:val="20"/>
          <w:color w:val="auto"/>
        </w:rPr>
      </w:pPr>
    </w:p>
    <w:p>
      <w:pPr>
        <w:ind w:left="302" w:right="20"/>
        <w:spacing w:after="0" w:line="239" w:lineRule="auto"/>
        <w:rPr>
          <w:sz w:val="20"/>
          <w:szCs w:val="20"/>
          <w:color w:val="auto"/>
        </w:rPr>
      </w:pPr>
      <w:r>
        <w:rPr>
          <w:rFonts w:ascii="Calibri" w:cs="Calibri" w:eastAsia="Calibri" w:hAnsi="Calibri"/>
          <w:sz w:val="16"/>
          <w:szCs w:val="16"/>
          <w:color w:val="auto"/>
        </w:rPr>
        <w:t>Unlimited number of Common Shares and an unlimited number of preferred shares without par value. The board of directors of Cybin would determine the designaton, rights, privileges, and conditons atached to any preferred shares prior to issuance.</w:t>
      </w:r>
    </w:p>
    <w:p>
      <w:pPr>
        <w:spacing w:after="0" w:line="172" w:lineRule="exact"/>
        <w:rPr>
          <w:sz w:val="20"/>
          <w:szCs w:val="20"/>
          <w:color w:val="auto"/>
        </w:rPr>
      </w:pPr>
    </w:p>
    <w:p>
      <w:pPr>
        <w:ind w:left="582" w:hanging="289"/>
        <w:spacing w:after="0"/>
        <w:tabs>
          <w:tab w:leader="none" w:pos="582" w:val="left"/>
        </w:tabs>
        <w:numPr>
          <w:ilvl w:val="0"/>
          <w:numId w:val="77"/>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Issued share capital</w:t>
      </w:r>
    </w:p>
    <w:p>
      <w:pPr>
        <w:spacing w:after="0" w:line="159" w:lineRule="exact"/>
        <w:rPr>
          <w:sz w:val="20"/>
          <w:szCs w:val="20"/>
          <w:color w:val="auto"/>
        </w:rPr>
      </w:pPr>
    </w:p>
    <w:p>
      <w:pPr>
        <w:ind w:left="302"/>
        <w:spacing w:after="0"/>
        <w:rPr>
          <w:sz w:val="20"/>
          <w:szCs w:val="20"/>
          <w:color w:val="auto"/>
        </w:rPr>
      </w:pPr>
      <w:r>
        <w:rPr>
          <w:rFonts w:ascii="Calibri" w:cs="Calibri" w:eastAsia="Calibri" w:hAnsi="Calibri"/>
          <w:sz w:val="16"/>
          <w:szCs w:val="16"/>
          <w:b w:val="1"/>
          <w:bCs w:val="1"/>
          <w:i w:val="1"/>
          <w:iCs w:val="1"/>
          <w:color w:val="auto"/>
        </w:rPr>
        <w:t>Preferred Shares</w:t>
      </w:r>
    </w:p>
    <w:p>
      <w:pPr>
        <w:spacing w:after="0" w:line="159" w:lineRule="exact"/>
        <w:rPr>
          <w:sz w:val="20"/>
          <w:szCs w:val="20"/>
          <w:color w:val="auto"/>
        </w:rPr>
      </w:pPr>
    </w:p>
    <w:p>
      <w:pPr>
        <w:ind w:left="302"/>
        <w:spacing w:after="0"/>
        <w:rPr>
          <w:sz w:val="20"/>
          <w:szCs w:val="20"/>
          <w:color w:val="auto"/>
        </w:rPr>
      </w:pPr>
      <w:r>
        <w:rPr>
          <w:rFonts w:ascii="Calibri" w:cs="Calibri" w:eastAsia="Calibri" w:hAnsi="Calibri"/>
          <w:sz w:val="16"/>
          <w:szCs w:val="16"/>
          <w:color w:val="auto"/>
        </w:rPr>
        <w:t>As at March 31, 2022 the Company has nil preferred shares outstanding (March 31, 2021 - nil).</w:t>
      </w:r>
    </w:p>
    <w:p>
      <w:pPr>
        <w:spacing w:after="0" w:line="171" w:lineRule="exact"/>
        <w:rPr>
          <w:sz w:val="20"/>
          <w:szCs w:val="20"/>
          <w:color w:val="auto"/>
        </w:rPr>
      </w:pPr>
    </w:p>
    <w:p>
      <w:pPr>
        <w:ind w:left="302"/>
        <w:spacing w:after="0"/>
        <w:rPr>
          <w:sz w:val="20"/>
          <w:szCs w:val="20"/>
          <w:color w:val="auto"/>
        </w:rPr>
      </w:pPr>
      <w:r>
        <w:rPr>
          <w:rFonts w:ascii="Calibri" w:cs="Calibri" w:eastAsia="Calibri" w:hAnsi="Calibri"/>
          <w:sz w:val="16"/>
          <w:szCs w:val="16"/>
          <w:b w:val="1"/>
          <w:bCs w:val="1"/>
          <w:i w:val="1"/>
          <w:iCs w:val="1"/>
          <w:color w:val="auto"/>
        </w:rPr>
        <w:t>Common Shares</w:t>
      </w:r>
    </w:p>
    <w:p>
      <w:pPr>
        <w:spacing w:after="0" w:line="159" w:lineRule="exact"/>
        <w:rPr>
          <w:sz w:val="20"/>
          <w:szCs w:val="20"/>
          <w:color w:val="auto"/>
        </w:rPr>
      </w:pPr>
    </w:p>
    <w:p>
      <w:pPr>
        <w:ind w:left="302"/>
        <w:spacing w:after="0"/>
        <w:rPr>
          <w:sz w:val="20"/>
          <w:szCs w:val="20"/>
          <w:color w:val="auto"/>
        </w:rPr>
      </w:pPr>
      <w:r>
        <w:rPr>
          <w:rFonts w:ascii="Calibri" w:cs="Calibri" w:eastAsia="Calibri" w:hAnsi="Calibri"/>
          <w:sz w:val="16"/>
          <w:szCs w:val="16"/>
          <w:color w:val="auto"/>
        </w:rPr>
        <w:t>As at March 31, 2022, the Company has 12,545,767 Common Shares held in escrow (March 31, 2021 - 37,637,300).</w:t>
      </w:r>
    </w:p>
    <w:p>
      <w:pPr>
        <w:spacing w:after="0" w:line="159" w:lineRule="exact"/>
        <w:rPr>
          <w:sz w:val="20"/>
          <w:szCs w:val="20"/>
          <w:color w:val="auto"/>
        </w:rPr>
      </w:pPr>
    </w:p>
    <w:p>
      <w:pPr>
        <w:ind w:left="302"/>
        <w:spacing w:after="0"/>
        <w:rPr>
          <w:sz w:val="20"/>
          <w:szCs w:val="20"/>
          <w:color w:val="auto"/>
        </w:rPr>
      </w:pPr>
      <w:r>
        <w:rPr>
          <w:rFonts w:ascii="Calibri" w:cs="Calibri" w:eastAsia="Calibri" w:hAnsi="Calibri"/>
          <w:sz w:val="16"/>
          <w:szCs w:val="16"/>
          <w:b w:val="1"/>
          <w:bCs w:val="1"/>
          <w:i w:val="1"/>
          <w:iCs w:val="1"/>
          <w:color w:val="auto"/>
        </w:rPr>
        <w:t>During the year ended March 31, 2021, the Company completed the following share issuances:</w:t>
      </w:r>
    </w:p>
    <w:p>
      <w:pPr>
        <w:spacing w:after="0" w:line="209" w:lineRule="exact"/>
        <w:rPr>
          <w:sz w:val="20"/>
          <w:szCs w:val="20"/>
          <w:color w:val="auto"/>
        </w:rPr>
      </w:pPr>
    </w:p>
    <w:p>
      <w:pPr>
        <w:jc w:val="both"/>
        <w:ind w:left="302"/>
        <w:spacing w:after="0" w:line="231" w:lineRule="auto"/>
        <w:rPr>
          <w:sz w:val="20"/>
          <w:szCs w:val="20"/>
          <w:color w:val="auto"/>
        </w:rPr>
      </w:pPr>
      <w:r>
        <w:rPr>
          <w:rFonts w:ascii="Calibri" w:cs="Calibri" w:eastAsia="Calibri" w:hAnsi="Calibri"/>
          <w:sz w:val="16"/>
          <w:szCs w:val="16"/>
          <w:color w:val="auto"/>
        </w:rPr>
        <w:t>Between April 1, 2020 and June 11, 2020, the Company issued 3,706,600 Common Shares as part of a rolling private placement at a price of $0.25 per share for total gross proceeds of $927.</w:t>
      </w:r>
    </w:p>
    <w:p>
      <w:pPr>
        <w:spacing w:after="0" w:line="210" w:lineRule="exact"/>
        <w:rPr>
          <w:sz w:val="20"/>
          <w:szCs w:val="20"/>
          <w:color w:val="auto"/>
        </w:rPr>
      </w:pPr>
    </w:p>
    <w:p>
      <w:pPr>
        <w:jc w:val="both"/>
        <w:ind w:left="302" w:right="20"/>
        <w:spacing w:after="0" w:line="229" w:lineRule="auto"/>
        <w:rPr>
          <w:sz w:val="20"/>
          <w:szCs w:val="20"/>
          <w:color w:val="auto"/>
        </w:rPr>
      </w:pPr>
      <w:r>
        <w:rPr>
          <w:rFonts w:ascii="Calibri" w:cs="Calibri" w:eastAsia="Calibri" w:hAnsi="Calibri"/>
          <w:sz w:val="16"/>
          <w:szCs w:val="16"/>
          <w:color w:val="auto"/>
        </w:rPr>
        <w:t>In connecton with the private placement, the Company issued fnders an aggregate of 18,000 share purchase warrants. Each fnder’s warrant enttled the holder to acquire one Common Share for $0.25 untl June 15, 2022 and vested immediately. The Company estmated the aggregate fair value of the vested warrants using the Black-Scholes opton pricing model to be $3 with the following assumptons: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
        <w:spacing w:after="0"/>
        <w:rPr>
          <w:sz w:val="20"/>
          <w:szCs w:val="20"/>
          <w:color w:val="auto"/>
        </w:rPr>
      </w:pPr>
      <w:r>
        <w:rPr>
          <w:rFonts w:ascii="Calibri" w:cs="Calibri" w:eastAsia="Calibri" w:hAnsi="Calibri"/>
          <w:sz w:val="16"/>
          <w:szCs w:val="16"/>
          <w:b w:val="1"/>
          <w:bCs w:val="1"/>
          <w:color w:val="auto"/>
        </w:rPr>
        <w:t>Page 29 of 53</w:t>
      </w:r>
    </w:p>
    <w:p>
      <w:pPr>
        <w:sectPr>
          <w:pgSz w:w="11900" w:h="16838" w:orient="portrait"/>
          <w:cols w:equalWidth="0" w:num="1">
            <w:col w:w="11262"/>
          </w:cols>
          <w:pgMar w:left="318" w:top="151" w:right="319" w:bottom="1440" w:gutter="0" w:footer="0" w:header="0"/>
        </w:sectPr>
      </w:pPr>
    </w:p>
    <w:bookmarkStart w:id="129" w:name="page130"/>
    <w:bookmarkEnd w:id="129"/>
    <w:p>
      <w:pPr>
        <w:ind w:left="60"/>
        <w:spacing w:after="0"/>
        <w:rPr>
          <w:sz w:val="20"/>
          <w:szCs w:val="20"/>
          <w:color w:val="auto"/>
        </w:rPr>
      </w:pPr>
      <w:r>
        <w:rPr>
          <w:rFonts w:ascii="Calibri" w:cs="Calibri" w:eastAsia="Calibri" w:hAnsi="Calibri"/>
          <w:sz w:val="20"/>
          <w:szCs w:val="20"/>
          <w:b w:val="1"/>
          <w:bCs w:val="1"/>
          <w:color w:val="auto"/>
        </w:rPr>
        <w:t>CYBIN INC.</w:t>
      </w:r>
    </w:p>
    <w:p>
      <w:pPr>
        <w:ind w:left="60"/>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0"/>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0"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714565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ind w:left="20"/>
              <w:spacing w:after="0"/>
              <w:rPr>
                <w:sz w:val="20"/>
                <w:szCs w:val="20"/>
                <w:color w:val="auto"/>
              </w:rPr>
            </w:pPr>
            <w:r>
              <w:rPr>
                <w:rFonts w:ascii="Calibri" w:cs="Calibri" w:eastAsia="Calibri" w:hAnsi="Calibri"/>
                <w:sz w:val="16"/>
                <w:szCs w:val="16"/>
                <w:color w:val="auto"/>
              </w:rPr>
              <w:t>Risk-free interest rate</w:t>
            </w:r>
          </w:p>
        </w:tc>
        <w:tc>
          <w:tcPr>
            <w:tcW w:w="3740" w:type="dxa"/>
            <w:vAlign w:val="bottom"/>
          </w:tcPr>
          <w:p>
            <w:pPr>
              <w:jc w:val="right"/>
              <w:spacing w:after="0"/>
              <w:rPr>
                <w:sz w:val="20"/>
                <w:szCs w:val="20"/>
                <w:color w:val="auto"/>
              </w:rPr>
            </w:pPr>
            <w:r>
              <w:rPr>
                <w:rFonts w:ascii="Calibri" w:cs="Calibri" w:eastAsia="Calibri" w:hAnsi="Calibri"/>
                <w:sz w:val="16"/>
                <w:szCs w:val="16"/>
                <w:color w:val="auto"/>
              </w:rPr>
              <w:t>0.38%</w:t>
            </w:r>
          </w:p>
        </w:tc>
      </w:tr>
      <w:tr>
        <w:trPr>
          <w:trHeight w:val="232"/>
        </w:trPr>
        <w:tc>
          <w:tcPr>
            <w:tcW w:w="7100" w:type="dxa"/>
            <w:vAlign w:val="bottom"/>
          </w:tcPr>
          <w:p>
            <w:pPr>
              <w:ind w:left="20"/>
              <w:spacing w:after="0"/>
              <w:rPr>
                <w:sz w:val="20"/>
                <w:szCs w:val="20"/>
                <w:color w:val="auto"/>
              </w:rPr>
            </w:pPr>
            <w:r>
              <w:rPr>
                <w:rFonts w:ascii="Calibri" w:cs="Calibri" w:eastAsia="Calibri" w:hAnsi="Calibri"/>
                <w:sz w:val="16"/>
                <w:szCs w:val="16"/>
                <w:color w:val="auto"/>
              </w:rPr>
              <w:t>Expected annual volatlity, based on comparable companies</w:t>
            </w:r>
          </w:p>
        </w:tc>
        <w:tc>
          <w:tcPr>
            <w:tcW w:w="3740" w:type="dxa"/>
            <w:vAlign w:val="bottom"/>
          </w:tcPr>
          <w:p>
            <w:pPr>
              <w:jc w:val="right"/>
              <w:spacing w:after="0"/>
              <w:rPr>
                <w:sz w:val="20"/>
                <w:szCs w:val="20"/>
                <w:color w:val="auto"/>
              </w:rPr>
            </w:pPr>
            <w:r>
              <w:rPr>
                <w:rFonts w:ascii="Calibri" w:cs="Calibri" w:eastAsia="Calibri" w:hAnsi="Calibri"/>
                <w:sz w:val="16"/>
                <w:szCs w:val="16"/>
                <w:color w:val="auto"/>
              </w:rPr>
              <w:t>85.00%</w:t>
            </w:r>
          </w:p>
        </w:tc>
      </w:tr>
      <w:tr>
        <w:trPr>
          <w:trHeight w:val="232"/>
        </w:trPr>
        <w:tc>
          <w:tcPr>
            <w:tcW w:w="7100" w:type="dxa"/>
            <w:vAlign w:val="bottom"/>
          </w:tcPr>
          <w:p>
            <w:pPr>
              <w:ind w:left="20"/>
              <w:spacing w:after="0"/>
              <w:rPr>
                <w:sz w:val="20"/>
                <w:szCs w:val="20"/>
                <w:color w:val="auto"/>
              </w:rPr>
            </w:pPr>
            <w:r>
              <w:rPr>
                <w:rFonts w:ascii="Calibri" w:cs="Calibri" w:eastAsia="Calibri" w:hAnsi="Calibri"/>
                <w:sz w:val="16"/>
                <w:szCs w:val="16"/>
                <w:color w:val="auto"/>
              </w:rPr>
              <w:t>Expected life (in years)</w:t>
            </w:r>
          </w:p>
        </w:tc>
        <w:tc>
          <w:tcPr>
            <w:tcW w:w="3740" w:type="dxa"/>
            <w:vAlign w:val="bottom"/>
          </w:tcPr>
          <w:p>
            <w:pPr>
              <w:jc w:val="right"/>
              <w:spacing w:after="0"/>
              <w:rPr>
                <w:sz w:val="20"/>
                <w:szCs w:val="20"/>
                <w:color w:val="auto"/>
              </w:rPr>
            </w:pPr>
            <w:r>
              <w:rPr>
                <w:rFonts w:ascii="Calibri" w:cs="Calibri" w:eastAsia="Calibri" w:hAnsi="Calibri"/>
                <w:sz w:val="16"/>
                <w:szCs w:val="16"/>
                <w:color w:val="auto"/>
              </w:rPr>
              <w:t>2</w:t>
            </w:r>
          </w:p>
        </w:tc>
      </w:tr>
      <w:tr>
        <w:trPr>
          <w:trHeight w:val="232"/>
        </w:trPr>
        <w:tc>
          <w:tcPr>
            <w:tcW w:w="7100" w:type="dxa"/>
            <w:vAlign w:val="bottom"/>
          </w:tcPr>
          <w:p>
            <w:pPr>
              <w:ind w:left="20"/>
              <w:spacing w:after="0"/>
              <w:rPr>
                <w:sz w:val="20"/>
                <w:szCs w:val="20"/>
                <w:color w:val="auto"/>
              </w:rPr>
            </w:pPr>
            <w:r>
              <w:rPr>
                <w:rFonts w:ascii="Calibri" w:cs="Calibri" w:eastAsia="Calibri" w:hAnsi="Calibri"/>
                <w:sz w:val="16"/>
                <w:szCs w:val="16"/>
                <w:color w:val="auto"/>
              </w:rPr>
              <w:t>Expected dividend yield</w:t>
            </w:r>
          </w:p>
        </w:tc>
        <w:tc>
          <w:tcPr>
            <w:tcW w:w="374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32"/>
        </w:trPr>
        <w:tc>
          <w:tcPr>
            <w:tcW w:w="7100" w:type="dxa"/>
            <w:vAlign w:val="bottom"/>
          </w:tcPr>
          <w:p>
            <w:pPr>
              <w:ind w:left="20"/>
              <w:spacing w:after="0"/>
              <w:rPr>
                <w:sz w:val="20"/>
                <w:szCs w:val="20"/>
                <w:color w:val="auto"/>
              </w:rPr>
            </w:pPr>
            <w:r>
              <w:rPr>
                <w:rFonts w:ascii="Calibri" w:cs="Calibri" w:eastAsia="Calibri" w:hAnsi="Calibri"/>
                <w:sz w:val="16"/>
                <w:szCs w:val="16"/>
                <w:color w:val="auto"/>
              </w:rPr>
              <w:t>Share price</w:t>
            </w:r>
          </w:p>
        </w:tc>
        <w:tc>
          <w:tcPr>
            <w:tcW w:w="3740" w:type="dxa"/>
            <w:vAlign w:val="bottom"/>
          </w:tcPr>
          <w:p>
            <w:pPr>
              <w:jc w:val="right"/>
              <w:spacing w:after="0"/>
              <w:rPr>
                <w:sz w:val="20"/>
                <w:szCs w:val="20"/>
                <w:color w:val="auto"/>
              </w:rPr>
            </w:pPr>
            <w:r>
              <w:rPr>
                <w:rFonts w:ascii="Calibri" w:cs="Calibri" w:eastAsia="Calibri" w:hAnsi="Calibri"/>
                <w:sz w:val="16"/>
                <w:szCs w:val="16"/>
                <w:color w:val="auto"/>
              </w:rPr>
              <w:t>$ 0.25</w:t>
            </w:r>
          </w:p>
        </w:tc>
      </w:tr>
      <w:tr>
        <w:trPr>
          <w:trHeight w:val="232"/>
        </w:trPr>
        <w:tc>
          <w:tcPr>
            <w:tcW w:w="7100" w:type="dxa"/>
            <w:vAlign w:val="bottom"/>
          </w:tcPr>
          <w:p>
            <w:pPr>
              <w:ind w:left="20"/>
              <w:spacing w:after="0"/>
              <w:rPr>
                <w:sz w:val="20"/>
                <w:szCs w:val="20"/>
                <w:color w:val="auto"/>
              </w:rPr>
            </w:pPr>
            <w:r>
              <w:rPr>
                <w:rFonts w:ascii="Calibri" w:cs="Calibri" w:eastAsia="Calibri" w:hAnsi="Calibri"/>
                <w:sz w:val="16"/>
                <w:szCs w:val="16"/>
                <w:color w:val="auto"/>
              </w:rPr>
              <w:t>Exercise price</w:t>
            </w:r>
          </w:p>
        </w:tc>
        <w:tc>
          <w:tcPr>
            <w:tcW w:w="3740" w:type="dxa"/>
            <w:vAlign w:val="bottom"/>
          </w:tcPr>
          <w:p>
            <w:pPr>
              <w:jc w:val="right"/>
              <w:spacing w:after="0"/>
              <w:rPr>
                <w:sz w:val="20"/>
                <w:szCs w:val="20"/>
                <w:color w:val="auto"/>
              </w:rPr>
            </w:pPr>
            <w:r>
              <w:rPr>
                <w:rFonts w:ascii="Calibri" w:cs="Calibri" w:eastAsia="Calibri" w:hAnsi="Calibri"/>
                <w:sz w:val="16"/>
                <w:szCs w:val="16"/>
                <w:color w:val="auto"/>
              </w:rPr>
              <w:t>$ 0.25</w:t>
            </w:r>
          </w:p>
        </w:tc>
      </w:tr>
      <w:tr>
        <w:trPr>
          <w:trHeight w:val="46"/>
        </w:trPr>
        <w:tc>
          <w:tcPr>
            <w:tcW w:w="710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r>
    </w:tbl>
    <w:p>
      <w:pPr>
        <w:spacing w:after="0" w:line="273" w:lineRule="exact"/>
        <w:rPr>
          <w:sz w:val="20"/>
          <w:szCs w:val="20"/>
          <w:color w:val="auto"/>
        </w:rPr>
      </w:pPr>
    </w:p>
    <w:p>
      <w:pPr>
        <w:jc w:val="both"/>
        <w:ind w:left="300"/>
        <w:spacing w:after="0" w:line="224" w:lineRule="auto"/>
        <w:rPr>
          <w:sz w:val="20"/>
          <w:szCs w:val="20"/>
          <w:color w:val="auto"/>
        </w:rPr>
      </w:pPr>
      <w:r>
        <w:rPr>
          <w:rFonts w:ascii="Calibri" w:cs="Calibri" w:eastAsia="Calibri" w:hAnsi="Calibri"/>
          <w:sz w:val="16"/>
          <w:szCs w:val="16"/>
          <w:color w:val="auto"/>
        </w:rPr>
        <w:t>On June 15, 2020, Cybin Corp. issued 2,000,000 share purchase warrants. Each warrant enttles the holder to acquire one Common Share for $0.25 untl June 15, 2022 and require certain milestone achievements in order to vest. The Company estmated a forfeiture rate of 100% as the recipient is not expected to meet these milestones. The Company estmated the aggregate fair value of the vested warrants using the Black-Scholes opton pricing model to be $nil with the same assumptons (except for the forfeiture rate) as above.</w:t>
      </w:r>
    </w:p>
    <w:p>
      <w:pPr>
        <w:spacing w:after="0" w:line="212" w:lineRule="exact"/>
        <w:rPr>
          <w:sz w:val="20"/>
          <w:szCs w:val="20"/>
          <w:color w:val="auto"/>
        </w:rPr>
      </w:pPr>
    </w:p>
    <w:p>
      <w:pPr>
        <w:jc w:val="both"/>
        <w:ind w:left="300" w:right="20"/>
        <w:spacing w:after="0" w:line="231" w:lineRule="auto"/>
        <w:rPr>
          <w:sz w:val="20"/>
          <w:szCs w:val="20"/>
          <w:color w:val="auto"/>
        </w:rPr>
      </w:pPr>
      <w:r>
        <w:rPr>
          <w:rFonts w:ascii="Calibri" w:cs="Calibri" w:eastAsia="Calibri" w:hAnsi="Calibri"/>
          <w:sz w:val="16"/>
          <w:szCs w:val="16"/>
          <w:color w:val="auto"/>
        </w:rPr>
        <w:t>On June 15, 2020, certain founders of the Company contributed an additonal $164 of capital in respect of their original subscripton for 6,569,772 Common Shares. The consideraton paid was increased from the original issuance price of $0.0001 to $0.025 per Common Share; no additonal shares were issued.</w:t>
      </w:r>
    </w:p>
    <w:p>
      <w:pPr>
        <w:spacing w:after="0" w:line="209"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color w:val="auto"/>
        </w:rPr>
        <w:t>On June 16 and 17, 2020, the Company issued 10,540,066 Common Shares under a private placement at a price of $0.64 per share for total gross proceeds of $6,746.</w:t>
      </w:r>
    </w:p>
    <w:p>
      <w:pPr>
        <w:spacing w:after="0" w:line="209" w:lineRule="exact"/>
        <w:rPr>
          <w:sz w:val="20"/>
          <w:szCs w:val="20"/>
          <w:color w:val="auto"/>
        </w:rPr>
      </w:pPr>
    </w:p>
    <w:p>
      <w:pPr>
        <w:jc w:val="both"/>
        <w:ind w:left="300" w:right="20"/>
        <w:spacing w:after="0" w:line="228" w:lineRule="auto"/>
        <w:rPr>
          <w:sz w:val="20"/>
          <w:szCs w:val="20"/>
          <w:color w:val="auto"/>
        </w:rPr>
      </w:pPr>
      <w:r>
        <w:rPr>
          <w:rFonts w:ascii="Calibri" w:cs="Calibri" w:eastAsia="Calibri" w:hAnsi="Calibri"/>
          <w:sz w:val="16"/>
          <w:szCs w:val="16"/>
          <w:color w:val="auto"/>
        </w:rPr>
        <w:t>In connecton with the private placement the Company paid aggregate fnders’ fees of $189 in cash and issued fnders an aggregate of 295,309 share purchase warrants, of which 96,034 were issued on June 16, 2020 and the remaining 199,275 were issued on June 26, 2020. Each fnder’s warrant enttles the holder to acquire one Common Share for $0.64 for a period of 24 months from the date of issuance. The Company estmated the aggregate fair value of the fnders’ warrants using the Black-Scholes opton pricing model to be $87 with the following assumptons:</w:t>
      </w: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6960" w:type="dxa"/>
            <w:vAlign w:val="bottom"/>
          </w:tcPr>
          <w:p>
            <w:pPr>
              <w:spacing w:after="0"/>
              <w:rPr>
                <w:sz w:val="20"/>
                <w:szCs w:val="20"/>
                <w:color w:val="auto"/>
              </w:rPr>
            </w:pPr>
            <w:r>
              <w:rPr>
                <w:rFonts w:ascii="Calibri" w:cs="Calibri" w:eastAsia="Calibri" w:hAnsi="Calibri"/>
                <w:sz w:val="16"/>
                <w:szCs w:val="16"/>
                <w:color w:val="auto"/>
              </w:rPr>
              <w:t>Risk-free interest rate</w:t>
            </w:r>
          </w:p>
        </w:tc>
        <w:tc>
          <w:tcPr>
            <w:tcW w:w="3600" w:type="dxa"/>
            <w:vAlign w:val="bottom"/>
          </w:tcPr>
          <w:p>
            <w:pPr>
              <w:jc w:val="right"/>
              <w:spacing w:after="0"/>
              <w:rPr>
                <w:sz w:val="20"/>
                <w:szCs w:val="20"/>
                <w:color w:val="auto"/>
              </w:rPr>
            </w:pPr>
            <w:r>
              <w:rPr>
                <w:rFonts w:ascii="Calibri" w:cs="Calibri" w:eastAsia="Calibri" w:hAnsi="Calibri"/>
                <w:sz w:val="16"/>
                <w:szCs w:val="16"/>
                <w:color w:val="auto"/>
              </w:rPr>
              <w:t>0.38%</w:t>
            </w:r>
          </w:p>
        </w:tc>
      </w:tr>
      <w:tr>
        <w:trPr>
          <w:trHeight w:val="232"/>
        </w:trPr>
        <w:tc>
          <w:tcPr>
            <w:tcW w:w="6960" w:type="dxa"/>
            <w:vAlign w:val="bottom"/>
          </w:tcPr>
          <w:p>
            <w:pPr>
              <w:spacing w:after="0"/>
              <w:rPr>
                <w:sz w:val="20"/>
                <w:szCs w:val="20"/>
                <w:color w:val="auto"/>
              </w:rPr>
            </w:pPr>
            <w:r>
              <w:rPr>
                <w:rFonts w:ascii="Calibri" w:cs="Calibri" w:eastAsia="Calibri" w:hAnsi="Calibri"/>
                <w:sz w:val="16"/>
                <w:szCs w:val="16"/>
                <w:color w:val="auto"/>
              </w:rPr>
              <w:t>Expected annual volatlity, based on comparable companies</w:t>
            </w:r>
          </w:p>
        </w:tc>
        <w:tc>
          <w:tcPr>
            <w:tcW w:w="3600" w:type="dxa"/>
            <w:vAlign w:val="bottom"/>
          </w:tcPr>
          <w:p>
            <w:pPr>
              <w:jc w:val="right"/>
              <w:spacing w:after="0"/>
              <w:rPr>
                <w:sz w:val="20"/>
                <w:szCs w:val="20"/>
                <w:color w:val="auto"/>
              </w:rPr>
            </w:pPr>
            <w:r>
              <w:rPr>
                <w:rFonts w:ascii="Calibri" w:cs="Calibri" w:eastAsia="Calibri" w:hAnsi="Calibri"/>
                <w:sz w:val="16"/>
                <w:szCs w:val="16"/>
                <w:color w:val="auto"/>
              </w:rPr>
              <w:t>85.00%</w:t>
            </w:r>
          </w:p>
        </w:tc>
      </w:tr>
      <w:tr>
        <w:trPr>
          <w:trHeight w:val="232"/>
        </w:trPr>
        <w:tc>
          <w:tcPr>
            <w:tcW w:w="6960" w:type="dxa"/>
            <w:vAlign w:val="bottom"/>
          </w:tcPr>
          <w:p>
            <w:pPr>
              <w:spacing w:after="0"/>
              <w:rPr>
                <w:sz w:val="20"/>
                <w:szCs w:val="20"/>
                <w:color w:val="auto"/>
              </w:rPr>
            </w:pPr>
            <w:r>
              <w:rPr>
                <w:rFonts w:ascii="Calibri" w:cs="Calibri" w:eastAsia="Calibri" w:hAnsi="Calibri"/>
                <w:sz w:val="16"/>
                <w:szCs w:val="16"/>
                <w:color w:val="auto"/>
              </w:rPr>
              <w:t>Expected life (in years)</w:t>
            </w:r>
          </w:p>
        </w:tc>
        <w:tc>
          <w:tcPr>
            <w:tcW w:w="3600" w:type="dxa"/>
            <w:vAlign w:val="bottom"/>
          </w:tcPr>
          <w:p>
            <w:pPr>
              <w:jc w:val="right"/>
              <w:spacing w:after="0"/>
              <w:rPr>
                <w:sz w:val="20"/>
                <w:szCs w:val="20"/>
                <w:color w:val="auto"/>
              </w:rPr>
            </w:pPr>
            <w:r>
              <w:rPr>
                <w:rFonts w:ascii="Calibri" w:cs="Calibri" w:eastAsia="Calibri" w:hAnsi="Calibri"/>
                <w:sz w:val="16"/>
                <w:szCs w:val="16"/>
                <w:color w:val="auto"/>
              </w:rPr>
              <w:t>2.00</w:t>
            </w:r>
          </w:p>
        </w:tc>
      </w:tr>
      <w:tr>
        <w:trPr>
          <w:trHeight w:val="232"/>
        </w:trPr>
        <w:tc>
          <w:tcPr>
            <w:tcW w:w="6960" w:type="dxa"/>
            <w:vAlign w:val="bottom"/>
          </w:tcPr>
          <w:p>
            <w:pPr>
              <w:spacing w:after="0"/>
              <w:rPr>
                <w:sz w:val="20"/>
                <w:szCs w:val="20"/>
                <w:color w:val="auto"/>
              </w:rPr>
            </w:pPr>
            <w:r>
              <w:rPr>
                <w:rFonts w:ascii="Calibri" w:cs="Calibri" w:eastAsia="Calibri" w:hAnsi="Calibri"/>
                <w:sz w:val="16"/>
                <w:szCs w:val="16"/>
                <w:color w:val="auto"/>
              </w:rPr>
              <w:t>Expected dividend yield</w:t>
            </w:r>
          </w:p>
        </w:tc>
        <w:tc>
          <w:tcPr>
            <w:tcW w:w="360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32"/>
        </w:trPr>
        <w:tc>
          <w:tcPr>
            <w:tcW w:w="6960" w:type="dxa"/>
            <w:vAlign w:val="bottom"/>
          </w:tcPr>
          <w:p>
            <w:pPr>
              <w:spacing w:after="0"/>
              <w:rPr>
                <w:sz w:val="20"/>
                <w:szCs w:val="20"/>
                <w:color w:val="auto"/>
              </w:rPr>
            </w:pPr>
            <w:r>
              <w:rPr>
                <w:rFonts w:ascii="Calibri" w:cs="Calibri" w:eastAsia="Calibri" w:hAnsi="Calibri"/>
                <w:sz w:val="16"/>
                <w:szCs w:val="16"/>
                <w:color w:val="auto"/>
              </w:rPr>
              <w:t>Share price</w:t>
            </w:r>
          </w:p>
        </w:tc>
        <w:tc>
          <w:tcPr>
            <w:tcW w:w="3600" w:type="dxa"/>
            <w:vAlign w:val="bottom"/>
          </w:tcPr>
          <w:p>
            <w:pPr>
              <w:jc w:val="right"/>
              <w:spacing w:after="0"/>
              <w:rPr>
                <w:sz w:val="20"/>
                <w:szCs w:val="20"/>
                <w:color w:val="auto"/>
              </w:rPr>
            </w:pPr>
            <w:r>
              <w:rPr>
                <w:rFonts w:ascii="Calibri" w:cs="Calibri" w:eastAsia="Calibri" w:hAnsi="Calibri"/>
                <w:sz w:val="16"/>
                <w:szCs w:val="16"/>
                <w:color w:val="auto"/>
              </w:rPr>
              <w:t>$ 0.64</w:t>
            </w:r>
          </w:p>
        </w:tc>
      </w:tr>
      <w:tr>
        <w:trPr>
          <w:trHeight w:val="232"/>
        </w:trPr>
        <w:tc>
          <w:tcPr>
            <w:tcW w:w="6960" w:type="dxa"/>
            <w:vAlign w:val="bottom"/>
          </w:tcPr>
          <w:p>
            <w:pPr>
              <w:spacing w:after="0"/>
              <w:rPr>
                <w:sz w:val="20"/>
                <w:szCs w:val="20"/>
                <w:color w:val="auto"/>
              </w:rPr>
            </w:pPr>
            <w:r>
              <w:rPr>
                <w:rFonts w:ascii="Calibri" w:cs="Calibri" w:eastAsia="Calibri" w:hAnsi="Calibri"/>
                <w:sz w:val="16"/>
                <w:szCs w:val="16"/>
                <w:color w:val="auto"/>
              </w:rPr>
              <w:t>Exercise price</w:t>
            </w:r>
          </w:p>
        </w:tc>
        <w:tc>
          <w:tcPr>
            <w:tcW w:w="3600" w:type="dxa"/>
            <w:vAlign w:val="bottom"/>
          </w:tcPr>
          <w:p>
            <w:pPr>
              <w:jc w:val="right"/>
              <w:spacing w:after="0"/>
              <w:rPr>
                <w:sz w:val="20"/>
                <w:szCs w:val="20"/>
                <w:color w:val="auto"/>
              </w:rPr>
            </w:pPr>
            <w:r>
              <w:rPr>
                <w:rFonts w:ascii="Calibri" w:cs="Calibri" w:eastAsia="Calibri" w:hAnsi="Calibri"/>
                <w:sz w:val="16"/>
                <w:szCs w:val="16"/>
                <w:color w:val="auto"/>
              </w:rPr>
              <w:t>$ 0.64</w:t>
            </w:r>
          </w:p>
        </w:tc>
      </w:tr>
      <w:tr>
        <w:trPr>
          <w:trHeight w:val="46"/>
        </w:trPr>
        <w:tc>
          <w:tcPr>
            <w:tcW w:w="696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r>
    </w:tbl>
    <w:p>
      <w:pPr>
        <w:spacing w:after="0" w:line="261" w:lineRule="exact"/>
        <w:rPr>
          <w:sz w:val="20"/>
          <w:szCs w:val="20"/>
          <w:color w:val="auto"/>
        </w:rPr>
      </w:pPr>
    </w:p>
    <w:p>
      <w:pPr>
        <w:jc w:val="both"/>
        <w:ind w:left="300"/>
        <w:spacing w:after="0" w:line="229" w:lineRule="auto"/>
        <w:rPr>
          <w:sz w:val="20"/>
          <w:szCs w:val="20"/>
          <w:color w:val="auto"/>
        </w:rPr>
      </w:pPr>
      <w:r>
        <w:rPr>
          <w:rFonts w:ascii="Calibri" w:cs="Calibri" w:eastAsia="Calibri" w:hAnsi="Calibri"/>
          <w:sz w:val="16"/>
          <w:szCs w:val="16"/>
          <w:color w:val="auto"/>
        </w:rPr>
        <w:t>On May 1, 2020, the Company issued convertble debt for gross proceeds of $300. The terms of the convertble debt were: maturity on August 10, 2020; non-interest bearing and convertble to Common Shares at a price of $0.25 per Common Share. The convertble debt automatcally converted to 1,200,000 Common Shares on executon of the amalgamaton agreement for the Reverse Takeover (see note 1).</w:t>
      </w:r>
    </w:p>
    <w:p>
      <w:pPr>
        <w:spacing w:after="0" w:line="211" w:lineRule="exact"/>
        <w:rPr>
          <w:sz w:val="20"/>
          <w:szCs w:val="20"/>
          <w:color w:val="auto"/>
        </w:rPr>
      </w:pPr>
    </w:p>
    <w:p>
      <w:pPr>
        <w:jc w:val="both"/>
        <w:ind w:left="300"/>
        <w:spacing w:after="0" w:line="227" w:lineRule="auto"/>
        <w:rPr>
          <w:sz w:val="20"/>
          <w:szCs w:val="20"/>
          <w:color w:val="auto"/>
        </w:rPr>
      </w:pPr>
      <w:r>
        <w:rPr>
          <w:rFonts w:ascii="Calibri" w:cs="Calibri" w:eastAsia="Calibri" w:hAnsi="Calibri"/>
          <w:sz w:val="16"/>
          <w:szCs w:val="16"/>
          <w:color w:val="auto"/>
        </w:rPr>
        <w:t>On October 19, 2020, the Company issued 60,000,000 subscripton receipts (the “Subscripton Receipts”) at a price of $0.75 per Subscripton Receipt for aggregate gross proceeds of $45,000. On closing of the Reverse Takeover, each Subscripton Receipt was converted into one Common Share. In connecton with the ofering, a cash fee equal to 6% of the aggregate gross proceeds of the ofering from non-U.S. resident investors was paid to the agents, except for certain orders on a president’s list (the “President’s List”) pursuant to which a cash fee of 1.5% was payable (the “Agents’ Cash Fee”). The Agents also received broker warrants (“Broker Warrants”) equal to 6.0% of the number of Subscripton Receipts issued pursuant to the ofering from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30 of 53</w:t>
      </w:r>
    </w:p>
    <w:p>
      <w:pPr>
        <w:sectPr>
          <w:pgSz w:w="11900" w:h="16838" w:orient="portrait"/>
          <w:cols w:equalWidth="0" w:num="1">
            <w:col w:w="11260"/>
          </w:cols>
          <w:pgMar w:left="320" w:top="151" w:right="319" w:bottom="1440" w:gutter="0" w:footer="0" w:header="0"/>
        </w:sectPr>
      </w:pPr>
    </w:p>
    <w:bookmarkStart w:id="130" w:name="page131"/>
    <w:bookmarkEnd w:id="130"/>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240"/>
        <w:spacing w:after="0" w:line="227" w:lineRule="auto"/>
        <w:rPr>
          <w:sz w:val="20"/>
          <w:szCs w:val="20"/>
          <w:color w:val="auto"/>
        </w:rPr>
      </w:pPr>
      <w:r>
        <w:rPr>
          <w:rFonts w:ascii="Calibri" w:cs="Calibri" w:eastAsia="Calibri" w:hAnsi="Calibri"/>
          <w:sz w:val="16"/>
          <w:szCs w:val="16"/>
          <w:color w:val="auto"/>
        </w:rPr>
        <w:t>U.S. resident investors, except for orders on the President’s List pursuant to which no Broker Warrants were issued. Each Broker Warrant is exercisable into one Common Share (subject to customary adjustments) for a period of 24 months following the closing of the Reverse Takeover at an exercise price of $0.75, subject to adjustment in certain customary circumstances. In exchange for certain advisory services provided by the agents, the agents also received an advisory fee of $479 and 16,000 warrants on the same terms as the Broker Warrants. The Company also paid an additonal cash fee of $1,180 and 2,590,000 warrants on the same terms as the Broker Warrants to certain fnders and other advisors of the Company.</w:t>
      </w:r>
    </w:p>
    <w:p>
      <w:pPr>
        <w:spacing w:after="0" w:line="211"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On November 5, 2020, the Company completed the Reverse Takeover transacton resultng in the previous shareholders of Clarmin holding 2,128,295 Common Shares.</w:t>
      </w:r>
    </w:p>
    <w:p>
      <w:pPr>
        <w:spacing w:after="0" w:line="209" w:lineRule="exact"/>
        <w:rPr>
          <w:sz w:val="20"/>
          <w:szCs w:val="20"/>
          <w:color w:val="auto"/>
        </w:rPr>
      </w:pPr>
    </w:p>
    <w:p>
      <w:pPr>
        <w:jc w:val="both"/>
        <w:ind w:left="240"/>
        <w:spacing w:after="0" w:line="224" w:lineRule="auto"/>
        <w:rPr>
          <w:sz w:val="20"/>
          <w:szCs w:val="20"/>
          <w:color w:val="auto"/>
        </w:rPr>
      </w:pPr>
      <w:r>
        <w:rPr>
          <w:rFonts w:ascii="Calibri" w:cs="Calibri" w:eastAsia="Calibri" w:hAnsi="Calibri"/>
          <w:sz w:val="16"/>
          <w:szCs w:val="16"/>
          <w:color w:val="auto"/>
        </w:rPr>
        <w:t>On February 4, 2021, the Company completed a bought deal short form prospectus ofering of 15,246,000 units of the Company (the “Units”) at a price of $2.25 per Unit for aggregate gross proceeds of $34,303 (the “Ofering”). Each Unit consists of one Common Share and one-half of one Common Share purchase warrant (each whole warrant, a “2021 Warrant”). Each 2021 Warrant enttles the holder thereof to acquire one Common Share at an exercise price of $3.25 per Common Share expiring on February 4, 2024. In the event that the volume weighted average trading price of the Common Shares for ten consecutve trading days exceeds $5.00, the Company is to have the right to accelerate the expiry date of the 2021 Warrants upon not less than thirty trading days’ notce. In consideraton for the services of the underwriters, the Company paid a cash commission equal to $1,955 and issued 868,740 Unit purchase warrants of the Company (the “Underwriters’ Warrants”). Each Underwriters’ Warrant is exercisable to acquire one Unit at $2.25, and expires on February 4, 2024.</w:t>
      </w:r>
    </w:p>
    <w:p>
      <w:pPr>
        <w:spacing w:after="0" w:line="164"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color w:val="auto"/>
        </w:rPr>
        <w:t>During the year ended March 31, 2022, the Company completed the following share issuances:</w:t>
      </w:r>
    </w:p>
    <w:p>
      <w:pPr>
        <w:spacing w:after="0" w:line="172"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On August 3, 2021, Cybin completed a public ofering of 10,147,600 Common Shares at a price of $3.40 per Common Share for gross proceeds of $34,502 (the “August 2021 Ofering”).</w:t>
      </w:r>
    </w:p>
    <w:p>
      <w:pPr>
        <w:spacing w:after="0" w:line="161"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In connecton with the August 2021 Ofering, Cybin paid the underwriters a cash commission of $2,240 and issued 658,860 compensaton Common Share purchase warrants of Cybin, with each compensaton Common Share purchase warrant being exercisable to acquire one Common Share at a price of $3.40 for a period of 24 months. In additon, the Company incurred additonal share issuance costs related to professional fees of $754.</w:t>
      </w:r>
    </w:p>
    <w:p>
      <w:pPr>
        <w:spacing w:after="0" w:line="148"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color w:val="auto"/>
        </w:rPr>
        <w:t>Cybin US Class B Shares</w:t>
      </w:r>
    </w:p>
    <w:p>
      <w:pPr>
        <w:spacing w:after="0" w:line="257"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5640" w:type="dxa"/>
            <w:vAlign w:val="bottom"/>
          </w:tcPr>
          <w:p>
            <w:pPr>
              <w:spacing w:after="0"/>
              <w:rPr>
                <w:sz w:val="16"/>
                <w:szCs w:val="16"/>
                <w:color w:val="auto"/>
              </w:rPr>
            </w:pPr>
          </w:p>
        </w:tc>
        <w:tc>
          <w:tcPr>
            <w:tcW w:w="4920" w:type="dxa"/>
            <w:vAlign w:val="bottom"/>
          </w:tcPr>
          <w:p>
            <w:pPr>
              <w:jc w:val="right"/>
              <w:spacing w:after="0"/>
              <w:rPr>
                <w:sz w:val="20"/>
                <w:szCs w:val="20"/>
                <w:color w:val="auto"/>
              </w:rPr>
            </w:pPr>
            <w:r>
              <w:rPr>
                <w:rFonts w:ascii="Calibri" w:cs="Calibri" w:eastAsia="Calibri" w:hAnsi="Calibri"/>
                <w:sz w:val="16"/>
                <w:szCs w:val="16"/>
                <w:b w:val="1"/>
                <w:bCs w:val="1"/>
                <w:color w:val="auto"/>
              </w:rPr>
              <w:t>Number of Class B Shares</w:t>
            </w:r>
          </w:p>
        </w:tc>
      </w:tr>
      <w:tr>
        <w:trPr>
          <w:trHeight w:val="21"/>
        </w:trPr>
        <w:tc>
          <w:tcPr>
            <w:tcW w:w="564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r>
      <w:tr>
        <w:trPr>
          <w:trHeight w:val="186"/>
        </w:trPr>
        <w:tc>
          <w:tcPr>
            <w:tcW w:w="5640" w:type="dxa"/>
            <w:vAlign w:val="bottom"/>
          </w:tcPr>
          <w:p>
            <w:pPr>
              <w:ind w:left="40"/>
              <w:spacing w:after="0" w:line="186" w:lineRule="exact"/>
              <w:rPr>
                <w:sz w:val="20"/>
                <w:szCs w:val="20"/>
                <w:color w:val="auto"/>
              </w:rPr>
            </w:pPr>
            <w:r>
              <w:rPr>
                <w:rFonts w:ascii="Calibri" w:cs="Calibri" w:eastAsia="Calibri" w:hAnsi="Calibri"/>
                <w:sz w:val="16"/>
                <w:szCs w:val="16"/>
                <w:color w:val="auto"/>
              </w:rPr>
              <w:t>As at March 31, 2020</w:t>
            </w:r>
          </w:p>
        </w:tc>
        <w:tc>
          <w:tcPr>
            <w:tcW w:w="4920" w:type="dxa"/>
            <w:vAlign w:val="bottom"/>
          </w:tcPr>
          <w:p>
            <w:pPr>
              <w:jc w:val="right"/>
              <w:spacing w:after="0" w:line="186" w:lineRule="exact"/>
              <w:rPr>
                <w:sz w:val="20"/>
                <w:szCs w:val="20"/>
                <w:color w:val="auto"/>
              </w:rPr>
            </w:pPr>
            <w:r>
              <w:rPr>
                <w:rFonts w:ascii="Calibri" w:cs="Calibri" w:eastAsia="Calibri" w:hAnsi="Calibri"/>
                <w:sz w:val="16"/>
                <w:szCs w:val="16"/>
                <w:color w:val="auto"/>
              </w:rPr>
              <w:t>—</w:t>
            </w:r>
          </w:p>
        </w:tc>
      </w:tr>
      <w:tr>
        <w:trPr>
          <w:trHeight w:val="200"/>
        </w:trPr>
        <w:tc>
          <w:tcPr>
            <w:tcW w:w="5640" w:type="dxa"/>
            <w:vAlign w:val="bottom"/>
          </w:tcPr>
          <w:p>
            <w:pPr>
              <w:ind w:left="40"/>
              <w:spacing w:after="0"/>
              <w:rPr>
                <w:sz w:val="20"/>
                <w:szCs w:val="20"/>
                <w:color w:val="auto"/>
              </w:rPr>
            </w:pPr>
            <w:r>
              <w:rPr>
                <w:rFonts w:ascii="Calibri" w:cs="Calibri" w:eastAsia="Calibri" w:hAnsi="Calibri"/>
                <w:sz w:val="16"/>
                <w:szCs w:val="16"/>
                <w:color w:val="auto"/>
              </w:rPr>
              <w:t>Issued for acquisiton</w:t>
            </w:r>
          </w:p>
        </w:tc>
        <w:tc>
          <w:tcPr>
            <w:tcW w:w="4920" w:type="dxa"/>
            <w:vAlign w:val="bottom"/>
          </w:tcPr>
          <w:p>
            <w:pPr>
              <w:jc w:val="right"/>
              <w:spacing w:after="0"/>
              <w:rPr>
                <w:sz w:val="20"/>
                <w:szCs w:val="20"/>
                <w:color w:val="auto"/>
              </w:rPr>
            </w:pPr>
            <w:r>
              <w:rPr>
                <w:rFonts w:ascii="Calibri" w:cs="Calibri" w:eastAsia="Calibri" w:hAnsi="Calibri"/>
                <w:sz w:val="16"/>
                <w:szCs w:val="16"/>
                <w:color w:val="auto"/>
              </w:rPr>
              <w:t>868,833.0</w:t>
            </w:r>
          </w:p>
        </w:tc>
      </w:tr>
      <w:tr>
        <w:trPr>
          <w:trHeight w:val="208"/>
        </w:trPr>
        <w:tc>
          <w:tcPr>
            <w:tcW w:w="5640" w:type="dxa"/>
            <w:vAlign w:val="bottom"/>
          </w:tcPr>
          <w:p>
            <w:pPr>
              <w:ind w:left="40"/>
              <w:spacing w:after="0"/>
              <w:rPr>
                <w:sz w:val="20"/>
                <w:szCs w:val="20"/>
                <w:color w:val="auto"/>
              </w:rPr>
            </w:pPr>
            <w:r>
              <w:rPr>
                <w:rFonts w:ascii="Calibri" w:cs="Calibri" w:eastAsia="Calibri" w:hAnsi="Calibri"/>
                <w:sz w:val="16"/>
                <w:szCs w:val="16"/>
                <w:color w:val="auto"/>
              </w:rPr>
              <w:t>Issued on achievement of milestones</w:t>
            </w:r>
          </w:p>
        </w:tc>
        <w:tc>
          <w:tcPr>
            <w:tcW w:w="4920" w:type="dxa"/>
            <w:vAlign w:val="bottom"/>
          </w:tcPr>
          <w:p>
            <w:pPr>
              <w:jc w:val="right"/>
              <w:spacing w:after="0"/>
              <w:rPr>
                <w:sz w:val="20"/>
                <w:szCs w:val="20"/>
                <w:color w:val="auto"/>
              </w:rPr>
            </w:pPr>
            <w:r>
              <w:rPr>
                <w:rFonts w:ascii="Calibri" w:cs="Calibri" w:eastAsia="Calibri" w:hAnsi="Calibri"/>
                <w:sz w:val="16"/>
                <w:szCs w:val="16"/>
                <w:color w:val="auto"/>
              </w:rPr>
              <w:t>93,410.3</w:t>
            </w:r>
          </w:p>
        </w:tc>
      </w:tr>
      <w:tr>
        <w:trPr>
          <w:trHeight w:val="21"/>
        </w:trPr>
        <w:tc>
          <w:tcPr>
            <w:tcW w:w="5640" w:type="dxa"/>
            <w:vAlign w:val="bottom"/>
            <w:tcBorders>
              <w:bottom w:val="single" w:sz="8" w:color="929292"/>
            </w:tcBorders>
          </w:tcPr>
          <w:p>
            <w:pPr>
              <w:spacing w:after="0" w:line="20" w:lineRule="exact"/>
              <w:rPr>
                <w:sz w:val="1"/>
                <w:szCs w:val="1"/>
                <w:color w:val="auto"/>
              </w:rPr>
            </w:pPr>
          </w:p>
        </w:tc>
        <w:tc>
          <w:tcPr>
            <w:tcW w:w="4920" w:type="dxa"/>
            <w:vAlign w:val="bottom"/>
            <w:tcBorders>
              <w:bottom w:val="single" w:sz="8" w:color="929292"/>
            </w:tcBorders>
          </w:tcPr>
          <w:p>
            <w:pPr>
              <w:spacing w:after="0" w:line="20" w:lineRule="exact"/>
              <w:rPr>
                <w:sz w:val="1"/>
                <w:szCs w:val="1"/>
                <w:color w:val="auto"/>
              </w:rPr>
            </w:pPr>
          </w:p>
        </w:tc>
      </w:tr>
      <w:tr>
        <w:trPr>
          <w:trHeight w:val="186"/>
        </w:trPr>
        <w:tc>
          <w:tcPr>
            <w:tcW w:w="5640" w:type="dxa"/>
            <w:vAlign w:val="bottom"/>
          </w:tcPr>
          <w:p>
            <w:pPr>
              <w:ind w:left="40"/>
              <w:spacing w:after="0" w:line="186" w:lineRule="exact"/>
              <w:rPr>
                <w:sz w:val="20"/>
                <w:szCs w:val="20"/>
                <w:color w:val="auto"/>
              </w:rPr>
            </w:pPr>
            <w:r>
              <w:rPr>
                <w:rFonts w:ascii="Calibri" w:cs="Calibri" w:eastAsia="Calibri" w:hAnsi="Calibri"/>
                <w:sz w:val="16"/>
                <w:szCs w:val="16"/>
                <w:b w:val="1"/>
                <w:bCs w:val="1"/>
                <w:color w:val="auto"/>
              </w:rPr>
              <w:t>Balance as at March 31, 2021</w:t>
            </w:r>
          </w:p>
        </w:tc>
        <w:tc>
          <w:tcPr>
            <w:tcW w:w="492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962,243.3</w:t>
            </w:r>
          </w:p>
        </w:tc>
      </w:tr>
      <w:tr>
        <w:trPr>
          <w:trHeight w:val="200"/>
        </w:trPr>
        <w:tc>
          <w:tcPr>
            <w:tcW w:w="5640" w:type="dxa"/>
            <w:vAlign w:val="bottom"/>
          </w:tcPr>
          <w:p>
            <w:pPr>
              <w:ind w:left="40"/>
              <w:spacing w:after="0"/>
              <w:rPr>
                <w:sz w:val="20"/>
                <w:szCs w:val="20"/>
                <w:color w:val="auto"/>
              </w:rPr>
            </w:pPr>
            <w:r>
              <w:rPr>
                <w:rFonts w:ascii="Calibri" w:cs="Calibri" w:eastAsia="Calibri" w:hAnsi="Calibri"/>
                <w:sz w:val="16"/>
                <w:szCs w:val="16"/>
                <w:color w:val="auto"/>
              </w:rPr>
              <w:t>Issued on achievement of milestones</w:t>
            </w:r>
          </w:p>
        </w:tc>
        <w:tc>
          <w:tcPr>
            <w:tcW w:w="4920" w:type="dxa"/>
            <w:vAlign w:val="bottom"/>
          </w:tcPr>
          <w:p>
            <w:pPr>
              <w:jc w:val="right"/>
              <w:spacing w:after="0"/>
              <w:rPr>
                <w:sz w:val="20"/>
                <w:szCs w:val="20"/>
                <w:color w:val="auto"/>
              </w:rPr>
            </w:pPr>
            <w:r>
              <w:rPr>
                <w:rFonts w:ascii="Calibri" w:cs="Calibri" w:eastAsia="Calibri" w:hAnsi="Calibri"/>
                <w:sz w:val="16"/>
                <w:szCs w:val="16"/>
                <w:color w:val="auto"/>
              </w:rPr>
              <w:t>269,007.8</w:t>
            </w:r>
          </w:p>
        </w:tc>
      </w:tr>
      <w:tr>
        <w:trPr>
          <w:trHeight w:val="208"/>
        </w:trPr>
        <w:tc>
          <w:tcPr>
            <w:tcW w:w="5640" w:type="dxa"/>
            <w:vAlign w:val="bottom"/>
          </w:tcPr>
          <w:p>
            <w:pPr>
              <w:ind w:left="40"/>
              <w:spacing w:after="0"/>
              <w:rPr>
                <w:sz w:val="20"/>
                <w:szCs w:val="20"/>
                <w:color w:val="auto"/>
              </w:rPr>
            </w:pPr>
            <w:r>
              <w:rPr>
                <w:rFonts w:ascii="Calibri" w:cs="Calibri" w:eastAsia="Calibri" w:hAnsi="Calibri"/>
                <w:sz w:val="16"/>
                <w:szCs w:val="16"/>
                <w:color w:val="auto"/>
              </w:rPr>
              <w:t>Converted into Common Shares</w:t>
            </w:r>
          </w:p>
        </w:tc>
        <w:tc>
          <w:tcPr>
            <w:tcW w:w="4920" w:type="dxa"/>
            <w:vAlign w:val="bottom"/>
          </w:tcPr>
          <w:p>
            <w:pPr>
              <w:jc w:val="right"/>
              <w:spacing w:after="0"/>
              <w:rPr>
                <w:sz w:val="20"/>
                <w:szCs w:val="20"/>
                <w:color w:val="auto"/>
              </w:rPr>
            </w:pPr>
            <w:r>
              <w:rPr>
                <w:rFonts w:ascii="Calibri" w:cs="Calibri" w:eastAsia="Calibri" w:hAnsi="Calibri"/>
                <w:sz w:val="16"/>
                <w:szCs w:val="16"/>
                <w:color w:val="auto"/>
              </w:rPr>
              <w:t>(184,116.0)</w:t>
            </w:r>
          </w:p>
        </w:tc>
      </w:tr>
      <w:tr>
        <w:trPr>
          <w:trHeight w:val="21"/>
        </w:trPr>
        <w:tc>
          <w:tcPr>
            <w:tcW w:w="5640" w:type="dxa"/>
            <w:vAlign w:val="bottom"/>
            <w:tcBorders>
              <w:bottom w:val="single" w:sz="8" w:color="929292"/>
            </w:tcBorders>
          </w:tcPr>
          <w:p>
            <w:pPr>
              <w:spacing w:after="0" w:line="20" w:lineRule="exact"/>
              <w:rPr>
                <w:sz w:val="1"/>
                <w:szCs w:val="1"/>
                <w:color w:val="auto"/>
              </w:rPr>
            </w:pPr>
          </w:p>
        </w:tc>
        <w:tc>
          <w:tcPr>
            <w:tcW w:w="4920" w:type="dxa"/>
            <w:vAlign w:val="bottom"/>
            <w:tcBorders>
              <w:bottom w:val="single" w:sz="8" w:color="929292"/>
            </w:tcBorders>
          </w:tcPr>
          <w:p>
            <w:pPr>
              <w:spacing w:after="0" w:line="20" w:lineRule="exact"/>
              <w:rPr>
                <w:sz w:val="1"/>
                <w:szCs w:val="1"/>
                <w:color w:val="auto"/>
              </w:rPr>
            </w:pPr>
          </w:p>
        </w:tc>
      </w:tr>
      <w:tr>
        <w:trPr>
          <w:trHeight w:val="193"/>
        </w:trPr>
        <w:tc>
          <w:tcPr>
            <w:tcW w:w="5640" w:type="dxa"/>
            <w:vAlign w:val="bottom"/>
            <w:tcBorders>
              <w:bottom w:val="single" w:sz="8" w:color="auto"/>
            </w:tcBorders>
          </w:tcPr>
          <w:p>
            <w:pPr>
              <w:ind w:left="40"/>
              <w:spacing w:after="0" w:line="193" w:lineRule="exact"/>
              <w:rPr>
                <w:sz w:val="20"/>
                <w:szCs w:val="20"/>
                <w:color w:val="auto"/>
              </w:rPr>
            </w:pPr>
            <w:r>
              <w:rPr>
                <w:rFonts w:ascii="Calibri" w:cs="Calibri" w:eastAsia="Calibri" w:hAnsi="Calibri"/>
                <w:sz w:val="16"/>
                <w:szCs w:val="16"/>
                <w:b w:val="1"/>
                <w:bCs w:val="1"/>
                <w:color w:val="auto"/>
              </w:rPr>
              <w:t>Balance as at March 31, 2022</w:t>
            </w:r>
          </w:p>
        </w:tc>
        <w:tc>
          <w:tcPr>
            <w:tcW w:w="49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1,047,135.1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31 of 53</w:t>
      </w:r>
    </w:p>
    <w:p>
      <w:pPr>
        <w:sectPr>
          <w:pgSz w:w="11900" w:h="16838" w:orient="portrait"/>
          <w:cols w:equalWidth="0" w:num="1">
            <w:col w:w="11200"/>
          </w:cols>
          <w:pgMar w:left="380" w:top="151" w:right="319" w:bottom="1440" w:gutter="0" w:footer="0" w:header="0"/>
        </w:sectPr>
      </w:pPr>
    </w:p>
    <w:bookmarkStart w:id="131" w:name="page132"/>
    <w:bookmarkEnd w:id="131"/>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As at March 31, 2022, 1,047,135.1 Class B Shares were outstanding (March 31, 2021 - 962,243.3), which are exchangeable for a total of 10,471,351 Common Shares (March 31, 2021 - 9,622,433) (note 11). No Class B Shares were exchangeable prior to December 14, 2021, and not more than: (i) 33 1/3% of the Class B Shares are to be exchangeable prior to December 14, 2022; (ii) 66 2/3% of the Class B Shares are to be exchangeable prior to December 14, 2023; and (iii) thereafer, 100% of the Class B Shares are to be exchangeable. These consolidated fnancial statements refect all of the issued Class B Shares on an as-converted basis.</w:t>
      </w:r>
    </w:p>
    <w:p>
      <w:pPr>
        <w:spacing w:after="0" w:line="174"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color w:val="auto"/>
        </w:rPr>
        <w:t>During the year ended March 31, 2021, the Company completed the following Class B Shares issuances:</w:t>
      </w:r>
    </w:p>
    <w:p>
      <w:pPr>
        <w:spacing w:after="0" w:line="209" w:lineRule="exact"/>
        <w:rPr>
          <w:sz w:val="20"/>
          <w:szCs w:val="20"/>
          <w:color w:val="auto"/>
        </w:rPr>
      </w:pPr>
    </w:p>
    <w:p>
      <w:pPr>
        <w:jc w:val="both"/>
        <w:ind w:left="240"/>
        <w:spacing w:after="0" w:line="231" w:lineRule="auto"/>
        <w:rPr>
          <w:sz w:val="20"/>
          <w:szCs w:val="20"/>
          <w:color w:val="auto"/>
        </w:rPr>
      </w:pPr>
      <w:r>
        <w:rPr>
          <w:rFonts w:ascii="Calibri" w:cs="Calibri" w:eastAsia="Calibri" w:hAnsi="Calibri"/>
          <w:sz w:val="16"/>
          <w:szCs w:val="16"/>
          <w:color w:val="auto"/>
        </w:rPr>
        <w:t>On December 4, 2020, Cybin US issued 868,833 Class B Shares, which are exchangeable into 8,688,330 Common Shares of the Company, pursuant to the Adelia Transacton (see note 4).</w:t>
      </w:r>
    </w:p>
    <w:p>
      <w:pPr>
        <w:spacing w:after="0" w:line="209"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Accordingly, $3,146 of share issuance costs were recorded against the proceeds of the share issuance.</w:t>
      </w:r>
    </w:p>
    <w:p>
      <w:pPr>
        <w:spacing w:after="0" w:line="197" w:lineRule="exact"/>
        <w:rPr>
          <w:sz w:val="20"/>
          <w:szCs w:val="20"/>
          <w:color w:val="auto"/>
        </w:rPr>
      </w:pPr>
    </w:p>
    <w:p>
      <w:pPr>
        <w:jc w:val="both"/>
        <w:ind w:left="240" w:right="20"/>
        <w:spacing w:after="0" w:line="229" w:lineRule="auto"/>
        <w:rPr>
          <w:sz w:val="20"/>
          <w:szCs w:val="20"/>
          <w:color w:val="auto"/>
        </w:rPr>
      </w:pPr>
      <w:r>
        <w:rPr>
          <w:rFonts w:ascii="Calibri" w:cs="Calibri" w:eastAsia="Calibri" w:hAnsi="Calibri"/>
          <w:sz w:val="16"/>
          <w:szCs w:val="16"/>
          <w:color w:val="auto"/>
        </w:rPr>
        <w:t>On January 12, 2021, pursuant to the terms of the Contributon Agreement, an aggregate of 51,163 Class B Shares were issued to the Former Adelia Shareholders in satsfacton of the achievement of the frst Milestone, amountng to $1,018. The Class B Shares are exchangeable for a total of 511,630 Common Shares, resultng in an efectve issue price of $1.99 per Common Share.</w:t>
      </w:r>
    </w:p>
    <w:p>
      <w:pPr>
        <w:spacing w:after="0" w:line="211" w:lineRule="exact"/>
        <w:rPr>
          <w:sz w:val="20"/>
          <w:szCs w:val="20"/>
          <w:color w:val="auto"/>
        </w:rPr>
      </w:pPr>
    </w:p>
    <w:p>
      <w:pPr>
        <w:jc w:val="both"/>
        <w:ind w:left="240"/>
        <w:spacing w:after="0" w:line="229" w:lineRule="auto"/>
        <w:rPr>
          <w:sz w:val="20"/>
          <w:szCs w:val="20"/>
          <w:color w:val="auto"/>
        </w:rPr>
      </w:pPr>
      <w:r>
        <w:rPr>
          <w:rFonts w:ascii="Calibri" w:cs="Calibri" w:eastAsia="Calibri" w:hAnsi="Calibri"/>
          <w:sz w:val="16"/>
          <w:szCs w:val="16"/>
          <w:color w:val="auto"/>
        </w:rPr>
        <w:t>On March 11, 2021, pursuant to the terms of the Contributon Agreement, an aggregate of 42,247.3 Class B Shares were issued to the Former Adelia Shareholders in satsfacton of partal achievement of the second Milestone, amountng to $686. The Class B Shares are exchangeable for a total of 422,473 Common Shares, representng an efectve issue price of $1.62 per Common Share.</w:t>
      </w:r>
    </w:p>
    <w:p>
      <w:pPr>
        <w:spacing w:after="0" w:line="148"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color w:val="auto"/>
        </w:rPr>
        <w:t>During the year ended March 31, 2022, the Company completed the following Class B Shares issuances and conversions:</w:t>
      </w:r>
    </w:p>
    <w:p>
      <w:pPr>
        <w:spacing w:after="0" w:line="209" w:lineRule="exact"/>
        <w:rPr>
          <w:sz w:val="20"/>
          <w:szCs w:val="20"/>
          <w:color w:val="auto"/>
        </w:rPr>
      </w:pPr>
    </w:p>
    <w:p>
      <w:pPr>
        <w:jc w:val="both"/>
        <w:ind w:left="240" w:right="20"/>
        <w:spacing w:after="0" w:line="229" w:lineRule="auto"/>
        <w:rPr>
          <w:sz w:val="20"/>
          <w:szCs w:val="20"/>
          <w:color w:val="auto"/>
        </w:rPr>
      </w:pPr>
      <w:r>
        <w:rPr>
          <w:rFonts w:ascii="Calibri" w:cs="Calibri" w:eastAsia="Calibri" w:hAnsi="Calibri"/>
          <w:sz w:val="16"/>
          <w:szCs w:val="16"/>
          <w:color w:val="auto"/>
        </w:rPr>
        <w:t>On June 28, 2021, pursuant to the terms of the Contributon Agreement, 15,777.1 Class B Shares were issued to the Former Adelia Shareholders due to the achievement of the remaining requirements of the second Milestone, amountng to $458. The Class B Shares are exchangeable for a total of 157,771 Common Shares, representng an efectve issue price of $2.90 per Common Share.</w:t>
      </w:r>
    </w:p>
    <w:p>
      <w:pPr>
        <w:spacing w:after="0" w:line="211" w:lineRule="exact"/>
        <w:rPr>
          <w:sz w:val="20"/>
          <w:szCs w:val="20"/>
          <w:color w:val="auto"/>
        </w:rPr>
      </w:pPr>
    </w:p>
    <w:p>
      <w:pPr>
        <w:jc w:val="both"/>
        <w:ind w:left="240" w:right="20"/>
        <w:spacing w:after="0" w:line="229" w:lineRule="auto"/>
        <w:rPr>
          <w:sz w:val="20"/>
          <w:szCs w:val="20"/>
          <w:color w:val="auto"/>
        </w:rPr>
      </w:pPr>
      <w:r>
        <w:rPr>
          <w:rFonts w:ascii="Calibri" w:cs="Calibri" w:eastAsia="Calibri" w:hAnsi="Calibri"/>
          <w:sz w:val="16"/>
          <w:szCs w:val="16"/>
          <w:color w:val="auto"/>
        </w:rPr>
        <w:t>On August 17, 2021, pursuant to the terms of the Contributon Agreement, an additonal 18,788.5 Class B Shares were issued to the Former Adelia Shareholders due to the achievement of certain requirements of the third and fourth Milestones, amountng to $633. The Class B Shares are exchangeable for a total of 187,886 Common Shares, representng an efectve issue price of $3.37 per Common Share.</w:t>
      </w:r>
    </w:p>
    <w:p>
      <w:pPr>
        <w:spacing w:after="0" w:line="211" w:lineRule="exact"/>
        <w:rPr>
          <w:sz w:val="20"/>
          <w:szCs w:val="20"/>
          <w:color w:val="auto"/>
        </w:rPr>
      </w:pPr>
    </w:p>
    <w:p>
      <w:pPr>
        <w:jc w:val="both"/>
        <w:ind w:left="240" w:right="20"/>
        <w:spacing w:after="0" w:line="229" w:lineRule="auto"/>
        <w:rPr>
          <w:sz w:val="20"/>
          <w:szCs w:val="20"/>
          <w:color w:val="auto"/>
        </w:rPr>
      </w:pPr>
      <w:r>
        <w:rPr>
          <w:rFonts w:ascii="Calibri" w:cs="Calibri" w:eastAsia="Calibri" w:hAnsi="Calibri"/>
          <w:sz w:val="16"/>
          <w:szCs w:val="16"/>
          <w:color w:val="auto"/>
        </w:rPr>
        <w:t>On August 31, 2021, pursuant to the terms of the Contributon Agreement, the remaining requirements of the third Milestone were achieved. Accordingly, 9,392.6 Class B Shares were issued to the Former Adelia Shareholders, amountng to $317. The Class B Shares are exchangeable for a total of 93,926 Common Shares, representng an efectve issue price of $3.38 per Common Share.</w:t>
      </w:r>
    </w:p>
    <w:p>
      <w:pPr>
        <w:spacing w:after="0" w:line="211" w:lineRule="exact"/>
        <w:rPr>
          <w:sz w:val="20"/>
          <w:szCs w:val="20"/>
          <w:color w:val="auto"/>
        </w:rPr>
      </w:pPr>
    </w:p>
    <w:p>
      <w:pPr>
        <w:jc w:val="both"/>
        <w:ind w:left="240" w:right="20"/>
        <w:spacing w:after="0" w:line="224" w:lineRule="auto"/>
        <w:rPr>
          <w:sz w:val="20"/>
          <w:szCs w:val="20"/>
          <w:color w:val="auto"/>
        </w:rPr>
      </w:pPr>
      <w:r>
        <w:rPr>
          <w:rFonts w:ascii="Calibri" w:cs="Calibri" w:eastAsia="Calibri" w:hAnsi="Calibri"/>
          <w:sz w:val="16"/>
          <w:szCs w:val="16"/>
          <w:color w:val="auto"/>
        </w:rPr>
        <w:t>On November 18, 2021, pursuant to the terms of the Contributon Agreement, an additonal 28,903 Class B Shares were issued to the Former Adelia Shareholders due to the achievement of certain requirements of the fourth and ffh Milestones, amountng to $706. These Class B Shares are exchangeable for a total of 289,030 Common Shares, representng an efectve issue price of $2.44 per Common Share.</w:t>
      </w:r>
    </w:p>
    <w:p>
      <w:pPr>
        <w:spacing w:after="0" w:line="211" w:lineRule="exact"/>
        <w:rPr>
          <w:sz w:val="20"/>
          <w:szCs w:val="20"/>
          <w:color w:val="auto"/>
        </w:rPr>
      </w:pPr>
    </w:p>
    <w:p>
      <w:pPr>
        <w:jc w:val="both"/>
        <w:ind w:left="240" w:right="20"/>
        <w:spacing w:after="0" w:line="229" w:lineRule="auto"/>
        <w:rPr>
          <w:sz w:val="20"/>
          <w:szCs w:val="20"/>
          <w:color w:val="auto"/>
        </w:rPr>
      </w:pPr>
      <w:r>
        <w:rPr>
          <w:rFonts w:ascii="Calibri" w:cs="Calibri" w:eastAsia="Calibri" w:hAnsi="Calibri"/>
          <w:sz w:val="16"/>
          <w:szCs w:val="16"/>
          <w:color w:val="auto"/>
        </w:rPr>
        <w:t>On November 29, 2021, pursuant to the terms of the Contributon Agreement, an additonal 31,721.5 Class B Shares were issued to the Former Adelia Shareholders due to the achievement of certain requirements of the fourth and ffh Milestones, amountng to $629. These Class B Shares are exchangeable for a total of 317,215 Common Shares, representng an efectve issue price of $1.98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32 of 53</w:t>
      </w:r>
    </w:p>
    <w:p>
      <w:pPr>
        <w:sectPr>
          <w:pgSz w:w="11900" w:h="16838" w:orient="portrait"/>
          <w:cols w:equalWidth="0" w:num="1">
            <w:col w:w="11200"/>
          </w:cols>
          <w:pgMar w:left="380" w:top="151" w:right="319" w:bottom="1440" w:gutter="0" w:footer="0" w:header="0"/>
        </w:sectPr>
      </w:pPr>
    </w:p>
    <w:bookmarkStart w:id="132" w:name="page133"/>
    <w:bookmarkEnd w:id="132"/>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240" w:right="20"/>
        <w:spacing w:after="0" w:line="229" w:lineRule="auto"/>
        <w:rPr>
          <w:sz w:val="20"/>
          <w:szCs w:val="20"/>
          <w:color w:val="auto"/>
        </w:rPr>
      </w:pPr>
      <w:r>
        <w:rPr>
          <w:rFonts w:ascii="Calibri" w:cs="Calibri" w:eastAsia="Calibri" w:hAnsi="Calibri"/>
          <w:sz w:val="16"/>
          <w:szCs w:val="16"/>
          <w:color w:val="auto"/>
        </w:rPr>
        <w:t>On January 6, 2022, pursuant to the terms of the Contributon Agreement, an additonal 15,611.4 Class B Shares were issued to the Former Adelia Shareholders due to the achievement of the Milestone identfed as Year 2 Q1 (v), as contemplated by the terms of the Contributon Agreement, amountng to $236. These Class B Shares are exchangeable for a total of 156,114 Common Shares, representng an efectve issue price of $1.51 per Common Share.</w:t>
      </w:r>
    </w:p>
    <w:p>
      <w:pPr>
        <w:spacing w:after="0" w:line="211" w:lineRule="exact"/>
        <w:rPr>
          <w:sz w:val="20"/>
          <w:szCs w:val="20"/>
          <w:color w:val="auto"/>
        </w:rPr>
      </w:pPr>
    </w:p>
    <w:p>
      <w:pPr>
        <w:jc w:val="both"/>
        <w:ind w:left="240" w:right="20"/>
        <w:spacing w:after="0" w:line="228" w:lineRule="auto"/>
        <w:rPr>
          <w:sz w:val="20"/>
          <w:szCs w:val="20"/>
          <w:color w:val="auto"/>
        </w:rPr>
      </w:pPr>
      <w:r>
        <w:rPr>
          <w:rFonts w:ascii="Calibri" w:cs="Calibri" w:eastAsia="Calibri" w:hAnsi="Calibri"/>
          <w:sz w:val="16"/>
          <w:szCs w:val="16"/>
          <w:color w:val="auto"/>
        </w:rPr>
        <w:t>On February 14, 2022, pursuant to the terms of the Contributon Agreement, an additonal 41,028.2 Class B Shares were issued to the Former Adelia Shareholders due to the achievement of the Milestones identfed as Y1, Q4 (iv), Y1, Q4 (v) and Y2, Q1 (vi), as contemplated by the terms of the Contributon Agreement, amountng to $551 at a price per Class B Share of $13.43. These Class B Shares are exchangeable for a total of 410,282 Common Shares, representng an efectve issue price of $1.34 per Common Share.</w:t>
      </w:r>
    </w:p>
    <w:p>
      <w:pPr>
        <w:spacing w:after="0" w:line="199" w:lineRule="exact"/>
        <w:rPr>
          <w:sz w:val="20"/>
          <w:szCs w:val="20"/>
          <w:color w:val="auto"/>
        </w:rPr>
      </w:pPr>
    </w:p>
    <w:p>
      <w:pPr>
        <w:jc w:val="both"/>
        <w:ind w:left="240" w:right="20"/>
        <w:spacing w:after="0" w:line="228" w:lineRule="auto"/>
        <w:rPr>
          <w:sz w:val="20"/>
          <w:szCs w:val="20"/>
          <w:color w:val="auto"/>
        </w:rPr>
      </w:pPr>
      <w:r>
        <w:rPr>
          <w:rFonts w:ascii="Calibri" w:cs="Calibri" w:eastAsia="Calibri" w:hAnsi="Calibri"/>
          <w:sz w:val="16"/>
          <w:szCs w:val="16"/>
          <w:color w:val="auto"/>
        </w:rPr>
        <w:t>On February 18, 2022, pursuant to the terms of the Contributon Agreement, an additonal 17,239.5 Class B Shares were issued to the Former Adelia Shareholders due to the achievement of certain Milestones identfed as Y2, Q2 (iii), as contemplated by the terms of the Contributon Agreement, having an aggregate value of $233 at a price per Class B Share of $13.54. These Class B Shares are exchangeable for a total of 172,395 Common Shares, representng an efectve issue price of $1.35 per Common Share.</w:t>
      </w:r>
    </w:p>
    <w:p>
      <w:pPr>
        <w:spacing w:after="0" w:line="211" w:lineRule="exact"/>
        <w:rPr>
          <w:sz w:val="20"/>
          <w:szCs w:val="20"/>
          <w:color w:val="auto"/>
        </w:rPr>
      </w:pPr>
    </w:p>
    <w:p>
      <w:pPr>
        <w:jc w:val="both"/>
        <w:ind w:left="240"/>
        <w:spacing w:after="0" w:line="228" w:lineRule="auto"/>
        <w:rPr>
          <w:sz w:val="20"/>
          <w:szCs w:val="20"/>
          <w:color w:val="auto"/>
        </w:rPr>
      </w:pPr>
      <w:r>
        <w:rPr>
          <w:rFonts w:ascii="Calibri" w:cs="Calibri" w:eastAsia="Calibri" w:hAnsi="Calibri"/>
          <w:sz w:val="16"/>
          <w:szCs w:val="16"/>
          <w:color w:val="auto"/>
        </w:rPr>
        <w:t>On March 25, 2022, pursuant to the terms of the Contributon Agreement, an additonal 90,546.0 Class B Shares were issued to Former Adelia Shareholders due to the achievement of certain Milestones identfed as Year 1 Q4 (vi); Year 2 Q2 (ii); Year 2 Q2 (v) and Year 2, Q3 (iii), as contemplated by the terms of the Contributon Agreement, having an aggregate value of $905 at a price per Class B Share of $9.99. These Class B Shares are exchangeable for a total of 905,460 Common Shares, representng an efectve issue price of $1.00 per Common Share.</w:t>
      </w:r>
    </w:p>
    <w:p>
      <w:pPr>
        <w:spacing w:after="0" w:line="161"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During the year ended March 31, 2022, certain Former Adelia Shareholders converted 184,116 Class B shares into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33 of 53</w:t>
      </w:r>
    </w:p>
    <w:p>
      <w:pPr>
        <w:sectPr>
          <w:pgSz w:w="11900" w:h="16838" w:orient="portrait"/>
          <w:cols w:equalWidth="0" w:num="1">
            <w:col w:w="11200"/>
          </w:cols>
          <w:pgMar w:left="380" w:top="151" w:right="319" w:bottom="1440" w:gutter="0" w:footer="0" w:header="0"/>
        </w:sectPr>
      </w:pPr>
    </w:p>
    <w:bookmarkStart w:id="133" w:name="page134"/>
    <w:bookmarkEnd w:id="133"/>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4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740" w:type="dxa"/>
            <w:vAlign w:val="bottom"/>
            <w:gridSpan w:val="3"/>
          </w:tcPr>
          <w:p>
            <w:pPr>
              <w:spacing w:after="0"/>
              <w:rPr>
                <w:sz w:val="20"/>
                <w:szCs w:val="20"/>
                <w:color w:val="auto"/>
              </w:rPr>
            </w:pPr>
            <w:r>
              <w:rPr>
                <w:rFonts w:ascii="Calibri" w:cs="Calibri" w:eastAsia="Calibri" w:hAnsi="Calibri"/>
                <w:sz w:val="16"/>
                <w:szCs w:val="16"/>
                <w:b w:val="1"/>
                <w:bCs w:val="1"/>
                <w:i w:val="1"/>
                <w:iCs w:val="1"/>
                <w:color w:val="auto"/>
              </w:rPr>
              <w:t xml:space="preserve">c)  </w:t>
            </w:r>
            <w:r>
              <w:rPr>
                <w:rFonts w:ascii="Calibri" w:cs="Calibri" w:eastAsia="Calibri" w:hAnsi="Calibri"/>
                <w:sz w:val="16"/>
                <w:szCs w:val="16"/>
                <w:b w:val="1"/>
                <w:bCs w:val="1"/>
                <w:color w:val="auto"/>
              </w:rPr>
              <w:t>Warrants</w:t>
            </w:r>
          </w:p>
        </w:tc>
        <w:tc>
          <w:tcPr>
            <w:tcW w:w="19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23"/>
        </w:trPr>
        <w:tc>
          <w:tcPr>
            <w:tcW w:w="6740" w:type="dxa"/>
            <w:vAlign w:val="bottom"/>
            <w:gridSpan w:val="3"/>
          </w:tcPr>
          <w:p>
            <w:pPr>
              <w:spacing w:after="0"/>
              <w:rPr>
                <w:sz w:val="20"/>
                <w:szCs w:val="20"/>
                <w:color w:val="auto"/>
              </w:rPr>
            </w:pPr>
            <w:r>
              <w:rPr>
                <w:rFonts w:ascii="Calibri" w:cs="Calibri" w:eastAsia="Calibri" w:hAnsi="Calibri"/>
                <w:sz w:val="16"/>
                <w:szCs w:val="16"/>
                <w:color w:val="auto"/>
              </w:rPr>
              <w:t>The contnuity of the outstanding warrants for the two years ended March 31, 2022 is as follows:</w:t>
            </w:r>
          </w:p>
        </w:tc>
        <w:tc>
          <w:tcPr>
            <w:tcW w:w="19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56"/>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Calibri" w:cs="Calibri" w:eastAsia="Calibri" w:hAnsi="Calibri"/>
                <w:sz w:val="16"/>
                <w:szCs w:val="16"/>
                <w:b w:val="1"/>
                <w:bCs w:val="1"/>
                <w:color w:val="auto"/>
                <w:w w:val="99"/>
              </w:rPr>
              <w:t>Weighted average exercise</w:t>
            </w:r>
          </w:p>
        </w:tc>
      </w:tr>
      <w:tr>
        <w:trPr>
          <w:trHeight w:val="206"/>
        </w:trPr>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Calibri" w:cs="Calibri" w:eastAsia="Calibri" w:hAnsi="Calibri"/>
                <w:sz w:val="16"/>
                <w:szCs w:val="16"/>
                <w:b w:val="1"/>
                <w:bCs w:val="1"/>
                <w:color w:val="auto"/>
              </w:rPr>
              <w:t>Number of Warrants</w:t>
            </w:r>
          </w:p>
        </w:tc>
        <w:tc>
          <w:tcPr>
            <w:tcW w:w="1860" w:type="dxa"/>
            <w:vAlign w:val="bottom"/>
          </w:tcPr>
          <w:p>
            <w:pPr>
              <w:jc w:val="right"/>
              <w:spacing w:after="0" w:line="194" w:lineRule="exact"/>
              <w:rPr>
                <w:sz w:val="20"/>
                <w:szCs w:val="20"/>
                <w:color w:val="auto"/>
              </w:rPr>
            </w:pPr>
            <w:r>
              <w:rPr>
                <w:rFonts w:ascii="Calibri" w:cs="Calibri" w:eastAsia="Calibri" w:hAnsi="Calibri"/>
                <w:sz w:val="16"/>
                <w:szCs w:val="16"/>
                <w:b w:val="1"/>
                <w:bCs w:val="1"/>
                <w:color w:val="auto"/>
              </w:rPr>
              <w:t>price</w:t>
            </w:r>
          </w:p>
        </w:tc>
      </w:tr>
      <w:tr>
        <w:trPr>
          <w:trHeight w:val="208"/>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8"/>
        </w:trPr>
        <w:tc>
          <w:tcPr>
            <w:tcW w:w="6740" w:type="dxa"/>
            <w:vAlign w:val="bottom"/>
            <w:gridSpan w:val="3"/>
          </w:tcPr>
          <w:p>
            <w:pPr>
              <w:ind w:left="60"/>
              <w:spacing w:after="0"/>
              <w:rPr>
                <w:sz w:val="20"/>
                <w:szCs w:val="20"/>
                <w:color w:val="auto"/>
              </w:rPr>
            </w:pPr>
            <w:r>
              <w:rPr>
                <w:rFonts w:ascii="Calibri" w:cs="Calibri" w:eastAsia="Calibri" w:hAnsi="Calibri"/>
                <w:sz w:val="16"/>
                <w:szCs w:val="16"/>
                <w:b w:val="1"/>
                <w:bCs w:val="1"/>
                <w:i w:val="1"/>
                <w:iCs w:val="1"/>
                <w:color w:val="auto"/>
              </w:rPr>
              <w:t>Common Share Purchase Warrants</w:t>
            </w:r>
          </w:p>
        </w:tc>
        <w:tc>
          <w:tcPr>
            <w:tcW w:w="19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
        </w:trPr>
        <w:tc>
          <w:tcPr>
            <w:tcW w:w="6740" w:type="dxa"/>
            <w:vAlign w:val="bottom"/>
            <w:tcBorders>
              <w:bottom w:val="single" w:sz="8" w:color="auto"/>
            </w:tcBorders>
            <w:gridSpan w:val="3"/>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86"/>
        </w:trPr>
        <w:tc>
          <w:tcPr>
            <w:tcW w:w="6740" w:type="dxa"/>
            <w:vAlign w:val="bottom"/>
            <w:gridSpan w:val="3"/>
          </w:tcPr>
          <w:p>
            <w:pPr>
              <w:ind w:left="60"/>
              <w:spacing w:after="0" w:line="186" w:lineRule="exact"/>
              <w:rPr>
                <w:sz w:val="20"/>
                <w:szCs w:val="20"/>
                <w:color w:val="auto"/>
              </w:rPr>
            </w:pPr>
            <w:r>
              <w:rPr>
                <w:rFonts w:ascii="Calibri" w:cs="Calibri" w:eastAsia="Calibri" w:hAnsi="Calibri"/>
                <w:sz w:val="16"/>
                <w:szCs w:val="16"/>
                <w:color w:val="auto"/>
              </w:rPr>
              <w:t>As at March 31, 2020</w:t>
            </w:r>
          </w:p>
        </w:tc>
        <w:tc>
          <w:tcPr>
            <w:tcW w:w="1960" w:type="dxa"/>
            <w:vAlign w:val="bottom"/>
          </w:tcPr>
          <w:p>
            <w:pPr>
              <w:jc w:val="right"/>
              <w:spacing w:after="0" w:line="186" w:lineRule="exact"/>
              <w:rPr>
                <w:sz w:val="20"/>
                <w:szCs w:val="20"/>
                <w:color w:val="auto"/>
              </w:rPr>
            </w:pPr>
            <w:r>
              <w:rPr>
                <w:rFonts w:ascii="Calibri" w:cs="Calibri" w:eastAsia="Calibri" w:hAnsi="Calibri"/>
                <w:sz w:val="16"/>
                <w:szCs w:val="16"/>
                <w:color w:val="auto"/>
              </w:rPr>
              <w:t>60,000</w:t>
            </w:r>
          </w:p>
        </w:tc>
        <w:tc>
          <w:tcPr>
            <w:tcW w:w="1860" w:type="dxa"/>
            <w:vAlign w:val="bottom"/>
          </w:tcPr>
          <w:p>
            <w:pPr>
              <w:jc w:val="right"/>
              <w:spacing w:after="0" w:line="186" w:lineRule="exact"/>
              <w:rPr>
                <w:sz w:val="20"/>
                <w:szCs w:val="20"/>
                <w:color w:val="auto"/>
              </w:rPr>
            </w:pPr>
            <w:r>
              <w:rPr>
                <w:rFonts w:ascii="Calibri" w:cs="Calibri" w:eastAsia="Calibri" w:hAnsi="Calibri"/>
                <w:sz w:val="16"/>
                <w:szCs w:val="16"/>
                <w:color w:val="auto"/>
              </w:rPr>
              <w:t>0.25</w:t>
            </w:r>
          </w:p>
        </w:tc>
      </w:tr>
      <w:tr>
        <w:trPr>
          <w:trHeight w:val="200"/>
        </w:trPr>
        <w:tc>
          <w:tcPr>
            <w:tcW w:w="6740" w:type="dxa"/>
            <w:vAlign w:val="bottom"/>
            <w:gridSpan w:val="3"/>
          </w:tcPr>
          <w:p>
            <w:pPr>
              <w:ind w:left="60"/>
              <w:spacing w:after="0"/>
              <w:rPr>
                <w:sz w:val="20"/>
                <w:szCs w:val="20"/>
                <w:color w:val="auto"/>
              </w:rPr>
            </w:pPr>
            <w:r>
              <w:rPr>
                <w:rFonts w:ascii="Calibri" w:cs="Calibri" w:eastAsia="Calibri" w:hAnsi="Calibri"/>
                <w:sz w:val="16"/>
                <w:szCs w:val="16"/>
                <w:color w:val="auto"/>
              </w:rPr>
              <w:t>Issued</w:t>
            </w:r>
          </w:p>
        </w:tc>
        <w:tc>
          <w:tcPr>
            <w:tcW w:w="1960" w:type="dxa"/>
            <w:vAlign w:val="bottom"/>
          </w:tcPr>
          <w:p>
            <w:pPr>
              <w:jc w:val="right"/>
              <w:spacing w:after="0"/>
              <w:rPr>
                <w:sz w:val="20"/>
                <w:szCs w:val="20"/>
                <w:color w:val="auto"/>
              </w:rPr>
            </w:pPr>
            <w:r>
              <w:rPr>
                <w:rFonts w:ascii="Calibri" w:cs="Calibri" w:eastAsia="Calibri" w:hAnsi="Calibri"/>
                <w:sz w:val="16"/>
                <w:szCs w:val="16"/>
                <w:color w:val="auto"/>
              </w:rPr>
              <w:t>29,451,284</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1.13</w:t>
            </w:r>
          </w:p>
        </w:tc>
      </w:tr>
      <w:tr>
        <w:trPr>
          <w:trHeight w:val="208"/>
        </w:trPr>
        <w:tc>
          <w:tcPr>
            <w:tcW w:w="6740" w:type="dxa"/>
            <w:vAlign w:val="bottom"/>
            <w:gridSpan w:val="3"/>
          </w:tcPr>
          <w:p>
            <w:pPr>
              <w:ind w:left="60"/>
              <w:spacing w:after="0"/>
              <w:rPr>
                <w:sz w:val="20"/>
                <w:szCs w:val="20"/>
                <w:color w:val="auto"/>
              </w:rPr>
            </w:pPr>
            <w:r>
              <w:rPr>
                <w:rFonts w:ascii="Calibri" w:cs="Calibri" w:eastAsia="Calibri" w:hAnsi="Calibri"/>
                <w:sz w:val="16"/>
                <w:szCs w:val="16"/>
                <w:color w:val="auto"/>
              </w:rPr>
              <w:t>Exercised</w:t>
            </w:r>
          </w:p>
        </w:tc>
        <w:tc>
          <w:tcPr>
            <w:tcW w:w="1960" w:type="dxa"/>
            <w:vAlign w:val="bottom"/>
          </w:tcPr>
          <w:p>
            <w:pPr>
              <w:jc w:val="right"/>
              <w:spacing w:after="0"/>
              <w:rPr>
                <w:sz w:val="20"/>
                <w:szCs w:val="20"/>
                <w:color w:val="auto"/>
              </w:rPr>
            </w:pPr>
            <w:r>
              <w:rPr>
                <w:rFonts w:ascii="Calibri" w:cs="Calibri" w:eastAsia="Calibri" w:hAnsi="Calibri"/>
                <w:sz w:val="16"/>
                <w:szCs w:val="16"/>
                <w:color w:val="auto"/>
              </w:rPr>
              <w:t>(815,047)</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0.50</w:t>
            </w:r>
          </w:p>
        </w:tc>
      </w:tr>
      <w:tr>
        <w:trPr>
          <w:trHeight w:val="21"/>
        </w:trPr>
        <w:tc>
          <w:tcPr>
            <w:tcW w:w="6740" w:type="dxa"/>
            <w:vAlign w:val="bottom"/>
            <w:tcBorders>
              <w:bottom w:val="single" w:sz="8" w:color="auto"/>
            </w:tcBorders>
            <w:gridSpan w:val="3"/>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86"/>
        </w:trPr>
        <w:tc>
          <w:tcPr>
            <w:tcW w:w="6740" w:type="dxa"/>
            <w:vAlign w:val="bottom"/>
            <w:gridSpan w:val="3"/>
          </w:tcPr>
          <w:p>
            <w:pPr>
              <w:ind w:left="60"/>
              <w:spacing w:after="0" w:line="186" w:lineRule="exact"/>
              <w:rPr>
                <w:sz w:val="20"/>
                <w:szCs w:val="20"/>
                <w:color w:val="auto"/>
              </w:rPr>
            </w:pPr>
            <w:r>
              <w:rPr>
                <w:rFonts w:ascii="Calibri" w:cs="Calibri" w:eastAsia="Calibri" w:hAnsi="Calibri"/>
                <w:sz w:val="16"/>
                <w:szCs w:val="16"/>
                <w:color w:val="auto"/>
              </w:rPr>
              <w:t>As at March 31, 2021</w:t>
            </w:r>
          </w:p>
        </w:tc>
        <w:tc>
          <w:tcPr>
            <w:tcW w:w="1960" w:type="dxa"/>
            <w:vAlign w:val="bottom"/>
          </w:tcPr>
          <w:p>
            <w:pPr>
              <w:jc w:val="right"/>
              <w:spacing w:after="0" w:line="186" w:lineRule="exact"/>
              <w:rPr>
                <w:sz w:val="20"/>
                <w:szCs w:val="20"/>
                <w:color w:val="auto"/>
              </w:rPr>
            </w:pPr>
            <w:r>
              <w:rPr>
                <w:rFonts w:ascii="Calibri" w:cs="Calibri" w:eastAsia="Calibri" w:hAnsi="Calibri"/>
                <w:sz w:val="16"/>
                <w:szCs w:val="16"/>
                <w:color w:val="auto"/>
              </w:rPr>
              <w:t>28,696,237</w:t>
            </w:r>
          </w:p>
        </w:tc>
        <w:tc>
          <w:tcPr>
            <w:tcW w:w="1860" w:type="dxa"/>
            <w:vAlign w:val="bottom"/>
          </w:tcPr>
          <w:p>
            <w:pPr>
              <w:jc w:val="right"/>
              <w:spacing w:after="0" w:line="186" w:lineRule="exact"/>
              <w:rPr>
                <w:sz w:val="20"/>
                <w:szCs w:val="20"/>
                <w:color w:val="auto"/>
              </w:rPr>
            </w:pPr>
            <w:r>
              <w:rPr>
                <w:rFonts w:ascii="Calibri" w:cs="Calibri" w:eastAsia="Calibri" w:hAnsi="Calibri"/>
                <w:sz w:val="16"/>
                <w:szCs w:val="16"/>
                <w:color w:val="auto"/>
              </w:rPr>
              <w:t>1.15</w:t>
            </w:r>
          </w:p>
        </w:tc>
      </w:tr>
      <w:tr>
        <w:trPr>
          <w:trHeight w:val="200"/>
        </w:trPr>
        <w:tc>
          <w:tcPr>
            <w:tcW w:w="6740" w:type="dxa"/>
            <w:vAlign w:val="bottom"/>
            <w:gridSpan w:val="3"/>
          </w:tcPr>
          <w:p>
            <w:pPr>
              <w:ind w:left="60"/>
              <w:spacing w:after="0"/>
              <w:rPr>
                <w:sz w:val="20"/>
                <w:szCs w:val="20"/>
                <w:color w:val="auto"/>
              </w:rPr>
            </w:pPr>
            <w:r>
              <w:rPr>
                <w:rFonts w:ascii="Calibri" w:cs="Calibri" w:eastAsia="Calibri" w:hAnsi="Calibri"/>
                <w:sz w:val="16"/>
                <w:szCs w:val="16"/>
                <w:color w:val="auto"/>
              </w:rPr>
              <w:t>Issued</w:t>
            </w:r>
          </w:p>
        </w:tc>
        <w:tc>
          <w:tcPr>
            <w:tcW w:w="1960" w:type="dxa"/>
            <w:vAlign w:val="bottom"/>
          </w:tcPr>
          <w:p>
            <w:pPr>
              <w:jc w:val="right"/>
              <w:spacing w:after="0"/>
              <w:rPr>
                <w:sz w:val="20"/>
                <w:szCs w:val="20"/>
                <w:color w:val="auto"/>
              </w:rPr>
            </w:pPr>
            <w:r>
              <w:rPr>
                <w:rFonts w:ascii="Calibri" w:cs="Calibri" w:eastAsia="Calibri" w:hAnsi="Calibri"/>
                <w:sz w:val="16"/>
                <w:szCs w:val="16"/>
                <w:color w:val="auto"/>
              </w:rPr>
              <w:t>658,860</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3.40</w:t>
            </w:r>
          </w:p>
        </w:tc>
      </w:tr>
      <w:tr>
        <w:trPr>
          <w:trHeight w:val="208"/>
        </w:trPr>
        <w:tc>
          <w:tcPr>
            <w:tcW w:w="6740" w:type="dxa"/>
            <w:vAlign w:val="bottom"/>
            <w:gridSpan w:val="3"/>
          </w:tcPr>
          <w:p>
            <w:pPr>
              <w:ind w:left="60"/>
              <w:spacing w:after="0"/>
              <w:rPr>
                <w:sz w:val="20"/>
                <w:szCs w:val="20"/>
                <w:color w:val="auto"/>
              </w:rPr>
            </w:pPr>
            <w:r>
              <w:rPr>
                <w:rFonts w:ascii="Calibri" w:cs="Calibri" w:eastAsia="Calibri" w:hAnsi="Calibri"/>
                <w:sz w:val="16"/>
                <w:szCs w:val="16"/>
                <w:color w:val="auto"/>
              </w:rPr>
              <w:t>Exercised</w:t>
            </w:r>
          </w:p>
        </w:tc>
        <w:tc>
          <w:tcPr>
            <w:tcW w:w="1960" w:type="dxa"/>
            <w:vAlign w:val="bottom"/>
          </w:tcPr>
          <w:p>
            <w:pPr>
              <w:jc w:val="right"/>
              <w:spacing w:after="0"/>
              <w:rPr>
                <w:sz w:val="20"/>
                <w:szCs w:val="20"/>
                <w:color w:val="auto"/>
              </w:rPr>
            </w:pPr>
            <w:r>
              <w:rPr>
                <w:rFonts w:ascii="Calibri" w:cs="Calibri" w:eastAsia="Calibri" w:hAnsi="Calibri"/>
                <w:sz w:val="16"/>
                <w:szCs w:val="16"/>
                <w:color w:val="auto"/>
              </w:rPr>
              <w:t>(3,231,261)</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0.91</w:t>
            </w:r>
          </w:p>
        </w:tc>
      </w:tr>
      <w:tr>
        <w:trPr>
          <w:trHeight w:val="208"/>
        </w:trPr>
        <w:tc>
          <w:tcPr>
            <w:tcW w:w="6740" w:type="dxa"/>
            <w:vAlign w:val="bottom"/>
            <w:gridSpan w:val="3"/>
          </w:tcPr>
          <w:p>
            <w:pPr>
              <w:ind w:left="60"/>
              <w:spacing w:after="0"/>
              <w:rPr>
                <w:sz w:val="20"/>
                <w:szCs w:val="20"/>
                <w:color w:val="auto"/>
              </w:rPr>
            </w:pPr>
            <w:r>
              <w:rPr>
                <w:rFonts w:ascii="Calibri" w:cs="Calibri" w:eastAsia="Calibri" w:hAnsi="Calibri"/>
                <w:sz w:val="16"/>
                <w:szCs w:val="16"/>
                <w:color w:val="auto"/>
              </w:rPr>
              <w:t>Forfeited</w:t>
            </w:r>
          </w:p>
        </w:tc>
        <w:tc>
          <w:tcPr>
            <w:tcW w:w="1960" w:type="dxa"/>
            <w:vAlign w:val="bottom"/>
          </w:tcPr>
          <w:p>
            <w:pPr>
              <w:jc w:val="right"/>
              <w:spacing w:after="0"/>
              <w:rPr>
                <w:sz w:val="20"/>
                <w:szCs w:val="20"/>
                <w:color w:val="auto"/>
              </w:rPr>
            </w:pPr>
            <w:r>
              <w:rPr>
                <w:rFonts w:ascii="Calibri" w:cs="Calibri" w:eastAsia="Calibri" w:hAnsi="Calibri"/>
                <w:sz w:val="16"/>
                <w:szCs w:val="16"/>
                <w:color w:val="auto"/>
              </w:rPr>
              <w:t>(575,000)</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0.54</w:t>
            </w:r>
          </w:p>
        </w:tc>
      </w:tr>
      <w:tr>
        <w:trPr>
          <w:trHeight w:val="21"/>
        </w:trPr>
        <w:tc>
          <w:tcPr>
            <w:tcW w:w="6740" w:type="dxa"/>
            <w:vAlign w:val="bottom"/>
            <w:tcBorders>
              <w:bottom w:val="single" w:sz="8" w:color="auto"/>
            </w:tcBorders>
            <w:gridSpan w:val="3"/>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3"/>
        </w:trPr>
        <w:tc>
          <w:tcPr>
            <w:tcW w:w="6740" w:type="dxa"/>
            <w:vAlign w:val="bottom"/>
            <w:tcBorders>
              <w:bottom w:val="single" w:sz="8" w:color="auto"/>
            </w:tcBorders>
            <w:gridSpan w:val="3"/>
          </w:tcPr>
          <w:p>
            <w:pPr>
              <w:ind w:left="60"/>
              <w:spacing w:after="0" w:line="193" w:lineRule="exact"/>
              <w:rPr>
                <w:sz w:val="20"/>
                <w:szCs w:val="20"/>
                <w:color w:val="auto"/>
              </w:rPr>
            </w:pPr>
            <w:r>
              <w:rPr>
                <w:rFonts w:ascii="Calibri" w:cs="Calibri" w:eastAsia="Calibri" w:hAnsi="Calibri"/>
                <w:sz w:val="16"/>
                <w:szCs w:val="16"/>
                <w:b w:val="1"/>
                <w:bCs w:val="1"/>
                <w:color w:val="auto"/>
              </w:rPr>
              <w:t>Outstanding as at March 31, 2022</w:t>
            </w:r>
          </w:p>
        </w:tc>
        <w:tc>
          <w:tcPr>
            <w:tcW w:w="19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25,548,836</w:t>
            </w:r>
          </w:p>
        </w:tc>
        <w:tc>
          <w:tcPr>
            <w:tcW w:w="18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1.22</w:t>
            </w:r>
          </w:p>
        </w:tc>
      </w:tr>
      <w:tr>
        <w:trPr>
          <w:trHeight w:val="200"/>
        </w:trPr>
        <w:tc>
          <w:tcPr>
            <w:tcW w:w="6740" w:type="dxa"/>
            <w:vAlign w:val="bottom"/>
            <w:tcBorders>
              <w:bottom w:val="single" w:sz="8" w:color="auto"/>
            </w:tcBorders>
            <w:gridSpan w:val="3"/>
          </w:tcPr>
          <w:p>
            <w:pPr>
              <w:ind w:left="60"/>
              <w:spacing w:after="0" w:line="194" w:lineRule="exact"/>
              <w:rPr>
                <w:sz w:val="20"/>
                <w:szCs w:val="20"/>
                <w:color w:val="auto"/>
              </w:rPr>
            </w:pPr>
            <w:r>
              <w:rPr>
                <w:rFonts w:ascii="Calibri" w:cs="Calibri" w:eastAsia="Calibri" w:hAnsi="Calibri"/>
                <w:sz w:val="16"/>
                <w:szCs w:val="16"/>
                <w:b w:val="1"/>
                <w:bCs w:val="1"/>
                <w:color w:val="auto"/>
              </w:rPr>
              <w:t>Exercisable as at March 31, 2022</w:t>
            </w:r>
          </w:p>
        </w:tc>
        <w:tc>
          <w:tcPr>
            <w:tcW w:w="1960" w:type="dxa"/>
            <w:vAlign w:val="bottom"/>
            <w:tcBorders>
              <w:bottom w:val="single" w:sz="8" w:color="auto"/>
            </w:tcBorders>
          </w:tcPr>
          <w:p>
            <w:pPr>
              <w:jc w:val="right"/>
              <w:spacing w:after="0" w:line="194" w:lineRule="exact"/>
              <w:rPr>
                <w:sz w:val="20"/>
                <w:szCs w:val="20"/>
                <w:color w:val="auto"/>
              </w:rPr>
            </w:pPr>
            <w:r>
              <w:rPr>
                <w:rFonts w:ascii="Calibri" w:cs="Calibri" w:eastAsia="Calibri" w:hAnsi="Calibri"/>
                <w:sz w:val="16"/>
                <w:szCs w:val="16"/>
                <w:b w:val="1"/>
                <w:bCs w:val="1"/>
                <w:color w:val="auto"/>
              </w:rPr>
              <w:t>24,755,086</w:t>
            </w:r>
          </w:p>
        </w:tc>
        <w:tc>
          <w:tcPr>
            <w:tcW w:w="1860" w:type="dxa"/>
            <w:vAlign w:val="bottom"/>
            <w:tcBorders>
              <w:bottom w:val="single" w:sz="8" w:color="auto"/>
            </w:tcBorders>
          </w:tcPr>
          <w:p>
            <w:pPr>
              <w:jc w:val="right"/>
              <w:spacing w:after="0" w:line="194" w:lineRule="exact"/>
              <w:rPr>
                <w:sz w:val="20"/>
                <w:szCs w:val="20"/>
                <w:color w:val="auto"/>
              </w:rPr>
            </w:pPr>
            <w:r>
              <w:rPr>
                <w:rFonts w:ascii="Calibri" w:cs="Calibri" w:eastAsia="Calibri" w:hAnsi="Calibri"/>
                <w:sz w:val="16"/>
                <w:szCs w:val="16"/>
                <w:b w:val="1"/>
                <w:bCs w:val="1"/>
                <w:color w:val="auto"/>
              </w:rPr>
              <w:t>1.25</w:t>
            </w:r>
          </w:p>
        </w:tc>
      </w:tr>
      <w:tr>
        <w:trPr>
          <w:trHeight w:val="341"/>
        </w:trPr>
        <w:tc>
          <w:tcPr>
            <w:tcW w:w="6740" w:type="dxa"/>
            <w:vAlign w:val="bottom"/>
            <w:tcBorders>
              <w:bottom w:val="single" w:sz="8" w:color="auto"/>
            </w:tcBorders>
            <w:gridSpan w:val="3"/>
          </w:tcPr>
          <w:p>
            <w:pPr>
              <w:ind w:left="60"/>
              <w:spacing w:after="0"/>
              <w:rPr>
                <w:sz w:val="20"/>
                <w:szCs w:val="20"/>
                <w:color w:val="auto"/>
              </w:rPr>
            </w:pPr>
            <w:r>
              <w:rPr>
                <w:rFonts w:ascii="Calibri" w:cs="Calibri" w:eastAsia="Calibri" w:hAnsi="Calibri"/>
                <w:sz w:val="16"/>
                <w:szCs w:val="16"/>
                <w:b w:val="1"/>
                <w:bCs w:val="1"/>
                <w:i w:val="1"/>
                <w:iCs w:val="1"/>
                <w:color w:val="auto"/>
              </w:rPr>
              <w:t>Unit Purchase Warrants</w:t>
            </w:r>
            <w:r>
              <w:rPr>
                <w:rFonts w:ascii="Calibri" w:cs="Calibri" w:eastAsia="Calibri" w:hAnsi="Calibri"/>
                <w:sz w:val="21"/>
                <w:szCs w:val="21"/>
                <w:b w:val="1"/>
                <w:bCs w:val="1"/>
                <w:i w:val="1"/>
                <w:iCs w:val="1"/>
                <w:color w:val="auto"/>
                <w:vertAlign w:val="superscript"/>
              </w:rPr>
              <w:t>(1)</w:t>
            </w:r>
          </w:p>
        </w:tc>
        <w:tc>
          <w:tcPr>
            <w:tcW w:w="19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186"/>
        </w:trPr>
        <w:tc>
          <w:tcPr>
            <w:tcW w:w="6740" w:type="dxa"/>
            <w:vAlign w:val="bottom"/>
            <w:gridSpan w:val="3"/>
          </w:tcPr>
          <w:p>
            <w:pPr>
              <w:ind w:left="60"/>
              <w:spacing w:after="0" w:line="186" w:lineRule="exact"/>
              <w:rPr>
                <w:sz w:val="20"/>
                <w:szCs w:val="20"/>
                <w:color w:val="auto"/>
              </w:rPr>
            </w:pPr>
            <w:r>
              <w:rPr>
                <w:rFonts w:ascii="Calibri" w:cs="Calibri" w:eastAsia="Calibri" w:hAnsi="Calibri"/>
                <w:sz w:val="16"/>
                <w:szCs w:val="16"/>
                <w:color w:val="auto"/>
              </w:rPr>
              <w:t>As at March 31, 2020</w:t>
            </w:r>
          </w:p>
        </w:tc>
        <w:tc>
          <w:tcPr>
            <w:tcW w:w="1960" w:type="dxa"/>
            <w:vAlign w:val="bottom"/>
          </w:tcPr>
          <w:p>
            <w:pPr>
              <w:jc w:val="right"/>
              <w:spacing w:after="0" w:line="186" w:lineRule="exact"/>
              <w:rPr>
                <w:sz w:val="20"/>
                <w:szCs w:val="20"/>
                <w:color w:val="auto"/>
              </w:rPr>
            </w:pPr>
            <w:r>
              <w:rPr>
                <w:rFonts w:ascii="Calibri" w:cs="Calibri" w:eastAsia="Calibri" w:hAnsi="Calibri"/>
                <w:sz w:val="16"/>
                <w:szCs w:val="16"/>
                <w:color w:val="auto"/>
              </w:rPr>
              <w:t>—</w:t>
            </w:r>
          </w:p>
        </w:tc>
        <w:tc>
          <w:tcPr>
            <w:tcW w:w="1860" w:type="dxa"/>
            <w:vAlign w:val="bottom"/>
          </w:tcPr>
          <w:p>
            <w:pPr>
              <w:jc w:val="right"/>
              <w:spacing w:after="0" w:line="186" w:lineRule="exact"/>
              <w:rPr>
                <w:sz w:val="20"/>
                <w:szCs w:val="20"/>
                <w:color w:val="auto"/>
              </w:rPr>
            </w:pPr>
            <w:r>
              <w:rPr>
                <w:rFonts w:ascii="Calibri" w:cs="Calibri" w:eastAsia="Calibri" w:hAnsi="Calibri"/>
                <w:sz w:val="16"/>
                <w:szCs w:val="16"/>
                <w:color w:val="auto"/>
              </w:rPr>
              <w:t>—</w:t>
            </w:r>
          </w:p>
        </w:tc>
      </w:tr>
      <w:tr>
        <w:trPr>
          <w:trHeight w:val="200"/>
        </w:trPr>
        <w:tc>
          <w:tcPr>
            <w:tcW w:w="6740" w:type="dxa"/>
            <w:vAlign w:val="bottom"/>
            <w:gridSpan w:val="3"/>
          </w:tcPr>
          <w:p>
            <w:pPr>
              <w:ind w:left="60"/>
              <w:spacing w:after="0"/>
              <w:rPr>
                <w:sz w:val="20"/>
                <w:szCs w:val="20"/>
                <w:color w:val="auto"/>
              </w:rPr>
            </w:pPr>
            <w:r>
              <w:rPr>
                <w:rFonts w:ascii="Calibri" w:cs="Calibri" w:eastAsia="Calibri" w:hAnsi="Calibri"/>
                <w:sz w:val="16"/>
                <w:szCs w:val="16"/>
                <w:color w:val="auto"/>
              </w:rPr>
              <w:t>Issued</w:t>
            </w:r>
          </w:p>
        </w:tc>
        <w:tc>
          <w:tcPr>
            <w:tcW w:w="1960" w:type="dxa"/>
            <w:vAlign w:val="bottom"/>
          </w:tcPr>
          <w:p>
            <w:pPr>
              <w:jc w:val="right"/>
              <w:spacing w:after="0"/>
              <w:rPr>
                <w:sz w:val="20"/>
                <w:szCs w:val="20"/>
                <w:color w:val="auto"/>
              </w:rPr>
            </w:pPr>
            <w:r>
              <w:rPr>
                <w:rFonts w:ascii="Calibri" w:cs="Calibri" w:eastAsia="Calibri" w:hAnsi="Calibri"/>
                <w:sz w:val="16"/>
                <w:szCs w:val="16"/>
                <w:color w:val="auto"/>
              </w:rPr>
              <w:t>868,740</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2.25</w:t>
            </w:r>
          </w:p>
        </w:tc>
      </w:tr>
      <w:tr>
        <w:trPr>
          <w:trHeight w:val="21"/>
        </w:trPr>
        <w:tc>
          <w:tcPr>
            <w:tcW w:w="6740" w:type="dxa"/>
            <w:vAlign w:val="bottom"/>
            <w:tcBorders>
              <w:bottom w:val="single" w:sz="8" w:color="auto"/>
            </w:tcBorders>
            <w:gridSpan w:val="3"/>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86"/>
        </w:trPr>
        <w:tc>
          <w:tcPr>
            <w:tcW w:w="6740" w:type="dxa"/>
            <w:vAlign w:val="bottom"/>
            <w:gridSpan w:val="3"/>
          </w:tcPr>
          <w:p>
            <w:pPr>
              <w:ind w:left="60"/>
              <w:spacing w:after="0" w:line="186" w:lineRule="exact"/>
              <w:rPr>
                <w:sz w:val="20"/>
                <w:szCs w:val="20"/>
                <w:color w:val="auto"/>
              </w:rPr>
            </w:pPr>
            <w:r>
              <w:rPr>
                <w:rFonts w:ascii="Calibri" w:cs="Calibri" w:eastAsia="Calibri" w:hAnsi="Calibri"/>
                <w:sz w:val="16"/>
                <w:szCs w:val="16"/>
                <w:color w:val="auto"/>
              </w:rPr>
              <w:t>As at March 31, 2021</w:t>
            </w:r>
          </w:p>
        </w:tc>
        <w:tc>
          <w:tcPr>
            <w:tcW w:w="1960" w:type="dxa"/>
            <w:vAlign w:val="bottom"/>
          </w:tcPr>
          <w:p>
            <w:pPr>
              <w:jc w:val="right"/>
              <w:spacing w:after="0" w:line="186" w:lineRule="exact"/>
              <w:rPr>
                <w:sz w:val="20"/>
                <w:szCs w:val="20"/>
                <w:color w:val="auto"/>
              </w:rPr>
            </w:pPr>
            <w:r>
              <w:rPr>
                <w:rFonts w:ascii="Calibri" w:cs="Calibri" w:eastAsia="Calibri" w:hAnsi="Calibri"/>
                <w:sz w:val="16"/>
                <w:szCs w:val="16"/>
                <w:color w:val="auto"/>
              </w:rPr>
              <w:t>868,740</w:t>
            </w:r>
          </w:p>
        </w:tc>
        <w:tc>
          <w:tcPr>
            <w:tcW w:w="1860" w:type="dxa"/>
            <w:vAlign w:val="bottom"/>
          </w:tcPr>
          <w:p>
            <w:pPr>
              <w:jc w:val="right"/>
              <w:spacing w:after="0" w:line="186" w:lineRule="exact"/>
              <w:rPr>
                <w:sz w:val="20"/>
                <w:szCs w:val="20"/>
                <w:color w:val="auto"/>
              </w:rPr>
            </w:pPr>
            <w:r>
              <w:rPr>
                <w:rFonts w:ascii="Calibri" w:cs="Calibri" w:eastAsia="Calibri" w:hAnsi="Calibri"/>
                <w:sz w:val="16"/>
                <w:szCs w:val="16"/>
                <w:color w:val="auto"/>
              </w:rPr>
              <w:t>2.25</w:t>
            </w:r>
          </w:p>
        </w:tc>
      </w:tr>
      <w:tr>
        <w:trPr>
          <w:trHeight w:val="200"/>
        </w:trPr>
        <w:tc>
          <w:tcPr>
            <w:tcW w:w="6740" w:type="dxa"/>
            <w:vAlign w:val="bottom"/>
            <w:gridSpan w:val="3"/>
          </w:tcPr>
          <w:p>
            <w:pPr>
              <w:ind w:left="60"/>
              <w:spacing w:after="0"/>
              <w:rPr>
                <w:sz w:val="20"/>
                <w:szCs w:val="20"/>
                <w:color w:val="auto"/>
              </w:rPr>
            </w:pPr>
            <w:r>
              <w:rPr>
                <w:rFonts w:ascii="Calibri" w:cs="Calibri" w:eastAsia="Calibri" w:hAnsi="Calibri"/>
                <w:sz w:val="16"/>
                <w:szCs w:val="16"/>
                <w:color w:val="auto"/>
              </w:rPr>
              <w:t>Issued</w:t>
            </w:r>
          </w:p>
        </w:tc>
        <w:tc>
          <w:tcPr>
            <w:tcW w:w="19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8"/>
        </w:trPr>
        <w:tc>
          <w:tcPr>
            <w:tcW w:w="6740" w:type="dxa"/>
            <w:vAlign w:val="bottom"/>
            <w:gridSpan w:val="3"/>
          </w:tcPr>
          <w:p>
            <w:pPr>
              <w:ind w:left="60"/>
              <w:spacing w:after="0"/>
              <w:rPr>
                <w:sz w:val="20"/>
                <w:szCs w:val="20"/>
                <w:color w:val="auto"/>
              </w:rPr>
            </w:pPr>
            <w:r>
              <w:rPr>
                <w:rFonts w:ascii="Calibri" w:cs="Calibri" w:eastAsia="Calibri" w:hAnsi="Calibri"/>
                <w:sz w:val="16"/>
                <w:szCs w:val="16"/>
                <w:color w:val="auto"/>
              </w:rPr>
              <w:t>Exercised</w:t>
            </w:r>
          </w:p>
        </w:tc>
        <w:tc>
          <w:tcPr>
            <w:tcW w:w="19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8"/>
        </w:trPr>
        <w:tc>
          <w:tcPr>
            <w:tcW w:w="6740" w:type="dxa"/>
            <w:vAlign w:val="bottom"/>
            <w:gridSpan w:val="3"/>
          </w:tcPr>
          <w:p>
            <w:pPr>
              <w:ind w:left="60"/>
              <w:spacing w:after="0"/>
              <w:rPr>
                <w:sz w:val="20"/>
                <w:szCs w:val="20"/>
                <w:color w:val="auto"/>
              </w:rPr>
            </w:pPr>
            <w:r>
              <w:rPr>
                <w:rFonts w:ascii="Calibri" w:cs="Calibri" w:eastAsia="Calibri" w:hAnsi="Calibri"/>
                <w:sz w:val="16"/>
                <w:szCs w:val="16"/>
                <w:color w:val="auto"/>
              </w:rPr>
              <w:t>Forfeited</w:t>
            </w:r>
          </w:p>
        </w:tc>
        <w:tc>
          <w:tcPr>
            <w:tcW w:w="19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1"/>
        </w:trPr>
        <w:tc>
          <w:tcPr>
            <w:tcW w:w="6740" w:type="dxa"/>
            <w:vAlign w:val="bottom"/>
            <w:tcBorders>
              <w:bottom w:val="single" w:sz="8" w:color="auto"/>
            </w:tcBorders>
            <w:gridSpan w:val="3"/>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3"/>
        </w:trPr>
        <w:tc>
          <w:tcPr>
            <w:tcW w:w="6740" w:type="dxa"/>
            <w:vAlign w:val="bottom"/>
            <w:tcBorders>
              <w:bottom w:val="single" w:sz="8" w:color="auto"/>
            </w:tcBorders>
            <w:gridSpan w:val="3"/>
          </w:tcPr>
          <w:p>
            <w:pPr>
              <w:ind w:left="60"/>
              <w:spacing w:after="0" w:line="193" w:lineRule="exact"/>
              <w:rPr>
                <w:sz w:val="20"/>
                <w:szCs w:val="20"/>
                <w:color w:val="auto"/>
              </w:rPr>
            </w:pPr>
            <w:r>
              <w:rPr>
                <w:rFonts w:ascii="Calibri" w:cs="Calibri" w:eastAsia="Calibri" w:hAnsi="Calibri"/>
                <w:sz w:val="16"/>
                <w:szCs w:val="16"/>
                <w:b w:val="1"/>
                <w:bCs w:val="1"/>
                <w:color w:val="auto"/>
              </w:rPr>
              <w:t>Outstanding as at March 31, 2022</w:t>
            </w:r>
          </w:p>
        </w:tc>
        <w:tc>
          <w:tcPr>
            <w:tcW w:w="19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868,740</w:t>
            </w:r>
          </w:p>
        </w:tc>
        <w:tc>
          <w:tcPr>
            <w:tcW w:w="18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2.25</w:t>
            </w:r>
          </w:p>
        </w:tc>
      </w:tr>
      <w:tr>
        <w:trPr>
          <w:trHeight w:val="200"/>
        </w:trPr>
        <w:tc>
          <w:tcPr>
            <w:tcW w:w="6740" w:type="dxa"/>
            <w:vAlign w:val="bottom"/>
            <w:tcBorders>
              <w:bottom w:val="single" w:sz="8" w:color="auto"/>
            </w:tcBorders>
            <w:gridSpan w:val="3"/>
          </w:tcPr>
          <w:p>
            <w:pPr>
              <w:ind w:left="60"/>
              <w:spacing w:after="0" w:line="194" w:lineRule="exact"/>
              <w:rPr>
                <w:sz w:val="20"/>
                <w:szCs w:val="20"/>
                <w:color w:val="auto"/>
              </w:rPr>
            </w:pPr>
            <w:r>
              <w:rPr>
                <w:rFonts w:ascii="Calibri" w:cs="Calibri" w:eastAsia="Calibri" w:hAnsi="Calibri"/>
                <w:sz w:val="16"/>
                <w:szCs w:val="16"/>
                <w:b w:val="1"/>
                <w:bCs w:val="1"/>
                <w:color w:val="auto"/>
              </w:rPr>
              <w:t>Exercisable as at March 31, 2022</w:t>
            </w:r>
          </w:p>
        </w:tc>
        <w:tc>
          <w:tcPr>
            <w:tcW w:w="1960" w:type="dxa"/>
            <w:vAlign w:val="bottom"/>
            <w:tcBorders>
              <w:bottom w:val="single" w:sz="8" w:color="auto"/>
            </w:tcBorders>
          </w:tcPr>
          <w:p>
            <w:pPr>
              <w:jc w:val="right"/>
              <w:spacing w:after="0" w:line="194" w:lineRule="exact"/>
              <w:rPr>
                <w:sz w:val="20"/>
                <w:szCs w:val="20"/>
                <w:color w:val="auto"/>
              </w:rPr>
            </w:pPr>
            <w:r>
              <w:rPr>
                <w:rFonts w:ascii="Calibri" w:cs="Calibri" w:eastAsia="Calibri" w:hAnsi="Calibri"/>
                <w:sz w:val="16"/>
                <w:szCs w:val="16"/>
                <w:b w:val="1"/>
                <w:bCs w:val="1"/>
                <w:color w:val="auto"/>
              </w:rPr>
              <w:t>868,740</w:t>
            </w:r>
          </w:p>
        </w:tc>
        <w:tc>
          <w:tcPr>
            <w:tcW w:w="1860" w:type="dxa"/>
            <w:vAlign w:val="bottom"/>
            <w:tcBorders>
              <w:bottom w:val="single" w:sz="8" w:color="auto"/>
            </w:tcBorders>
          </w:tcPr>
          <w:p>
            <w:pPr>
              <w:jc w:val="right"/>
              <w:spacing w:after="0" w:line="194" w:lineRule="exact"/>
              <w:rPr>
                <w:sz w:val="20"/>
                <w:szCs w:val="20"/>
                <w:color w:val="auto"/>
              </w:rPr>
            </w:pPr>
            <w:r>
              <w:rPr>
                <w:rFonts w:ascii="Calibri" w:cs="Calibri" w:eastAsia="Calibri" w:hAnsi="Calibri"/>
                <w:sz w:val="16"/>
                <w:szCs w:val="16"/>
                <w:b w:val="1"/>
                <w:bCs w:val="1"/>
                <w:color w:val="auto"/>
              </w:rPr>
              <w:t>2.25</w:t>
            </w:r>
          </w:p>
        </w:tc>
      </w:tr>
    </w:tbl>
    <w:p>
      <w:pPr>
        <w:spacing w:after="0" w:line="70" w:lineRule="exact"/>
        <w:rPr>
          <w:sz w:val="20"/>
          <w:szCs w:val="20"/>
          <w:color w:val="auto"/>
        </w:rPr>
      </w:pPr>
    </w:p>
    <w:p>
      <w:pPr>
        <w:ind w:left="240" w:hanging="9"/>
        <w:spacing w:after="0" w:line="199" w:lineRule="auto"/>
        <w:tabs>
          <w:tab w:leader="none" w:pos="399" w:val="left"/>
        </w:tabs>
        <w:numPr>
          <w:ilvl w:val="0"/>
          <w:numId w:val="78"/>
        </w:numPr>
        <w:rPr>
          <w:rFonts w:ascii="Calibri" w:cs="Calibri" w:eastAsia="Calibri" w:hAnsi="Calibri"/>
          <w:sz w:val="19"/>
          <w:szCs w:val="19"/>
          <w:i w:val="1"/>
          <w:iCs w:val="1"/>
          <w:color w:val="auto"/>
          <w:vertAlign w:val="superscript"/>
        </w:rPr>
      </w:pPr>
      <w:r>
        <w:rPr>
          <w:rFonts w:ascii="Calibri" w:cs="Calibri" w:eastAsia="Calibri" w:hAnsi="Calibri"/>
          <w:sz w:val="15"/>
          <w:szCs w:val="15"/>
          <w:i w:val="1"/>
          <w:iCs w:val="1"/>
          <w:color w:val="auto"/>
        </w:rPr>
        <w:t>Each unit consisted of one Common Share and one half of one Common Share purchase warrant, with each Common Share purchase warrant being exercisable to acquire one Common Share at an exercise price of $3.25 per Common Share.</w:t>
      </w:r>
    </w:p>
    <w:p>
      <w:pPr>
        <w:spacing w:after="0" w:line="214" w:lineRule="exact"/>
        <w:rPr>
          <w:sz w:val="20"/>
          <w:szCs w:val="20"/>
          <w:color w:val="auto"/>
        </w:rPr>
      </w:pPr>
    </w:p>
    <w:p>
      <w:pPr>
        <w:ind w:left="240"/>
        <w:spacing w:after="0" w:line="239" w:lineRule="auto"/>
        <w:rPr>
          <w:sz w:val="20"/>
          <w:szCs w:val="20"/>
          <w:color w:val="auto"/>
        </w:rPr>
      </w:pPr>
      <w:r>
        <w:rPr>
          <w:rFonts w:ascii="Calibri" w:cs="Calibri" w:eastAsia="Calibri" w:hAnsi="Calibri"/>
          <w:sz w:val="16"/>
          <w:szCs w:val="16"/>
          <w:color w:val="auto"/>
        </w:rPr>
        <w:t>During the year ended March 31, 2022, 3,231,261 Common Share purchase warrants (March 31, 2021 - 815,047) were exercised by various holders for aggregate proceeds to the Company of $2,928 (March 31, 2021 - $407).</w:t>
      </w:r>
    </w:p>
    <w:p>
      <w:pPr>
        <w:spacing w:after="0" w:line="147"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color w:val="auto"/>
        </w:rPr>
        <w:t>During the year ended March 31, 2021, the Company completed the following warrant issuances:</w:t>
      </w:r>
    </w:p>
    <w:p>
      <w:pPr>
        <w:spacing w:after="0" w:line="221" w:lineRule="exact"/>
        <w:rPr>
          <w:sz w:val="20"/>
          <w:szCs w:val="20"/>
          <w:color w:val="auto"/>
        </w:rPr>
      </w:pPr>
    </w:p>
    <w:p>
      <w:pPr>
        <w:ind w:left="240"/>
        <w:spacing w:after="0" w:line="239" w:lineRule="auto"/>
        <w:rPr>
          <w:sz w:val="20"/>
          <w:szCs w:val="20"/>
          <w:color w:val="auto"/>
        </w:rPr>
      </w:pPr>
      <w:r>
        <w:rPr>
          <w:rFonts w:ascii="Calibri" w:cs="Calibri" w:eastAsia="Calibri" w:hAnsi="Calibri"/>
          <w:sz w:val="16"/>
          <w:szCs w:val="16"/>
          <w:color w:val="auto"/>
        </w:rPr>
        <w:t>On June 15, 2020, the Company issued 14,725,000 warrants to directors, ofcers and advisors for services provided and to be provided. Each warrant enttles the holder to acquire one Common Share for $0.25 for a period of 60 months from the date of issuance. The vestng period for these warrants are as following:</w:t>
      </w:r>
    </w:p>
    <w:p>
      <w:pPr>
        <w:spacing w:after="0" w:line="196" w:lineRule="exact"/>
        <w:rPr>
          <w:sz w:val="20"/>
          <w:szCs w:val="20"/>
          <w:color w:val="auto"/>
        </w:rPr>
      </w:pPr>
    </w:p>
    <w:p>
      <w:pPr>
        <w:ind w:left="1100" w:hanging="361"/>
        <w:spacing w:after="0"/>
        <w:tabs>
          <w:tab w:leader="none" w:pos="1100" w:val="left"/>
        </w:tabs>
        <w:numPr>
          <w:ilvl w:val="1"/>
          <w:numId w:val="79"/>
        </w:numPr>
        <w:rPr>
          <w:rFonts w:ascii="Calibri" w:cs="Calibri" w:eastAsia="Calibri" w:hAnsi="Calibri"/>
          <w:sz w:val="16"/>
          <w:szCs w:val="16"/>
          <w:color w:val="auto"/>
        </w:rPr>
      </w:pPr>
      <w:r>
        <w:rPr>
          <w:rFonts w:ascii="Calibri" w:cs="Calibri" w:eastAsia="Calibri" w:hAnsi="Calibri"/>
          <w:sz w:val="16"/>
          <w:szCs w:val="16"/>
          <w:color w:val="auto"/>
        </w:rPr>
        <w:t>12,875,000 warrants vested on the date of issuance.</w:t>
      </w:r>
    </w:p>
    <w:p>
      <w:pPr>
        <w:ind w:left="1100" w:hanging="398"/>
        <w:spacing w:after="0" w:line="225" w:lineRule="auto"/>
        <w:tabs>
          <w:tab w:leader="none" w:pos="1100" w:val="left"/>
        </w:tabs>
        <w:numPr>
          <w:ilvl w:val="1"/>
          <w:numId w:val="79"/>
        </w:numPr>
        <w:rPr>
          <w:rFonts w:ascii="Calibri" w:cs="Calibri" w:eastAsia="Calibri" w:hAnsi="Calibri"/>
          <w:sz w:val="16"/>
          <w:szCs w:val="16"/>
          <w:color w:val="auto"/>
        </w:rPr>
      </w:pPr>
      <w:r>
        <w:rPr>
          <w:rFonts w:ascii="Calibri" w:cs="Calibri" w:eastAsia="Calibri" w:hAnsi="Calibri"/>
          <w:sz w:val="16"/>
          <w:szCs w:val="16"/>
          <w:color w:val="auto"/>
        </w:rPr>
        <w:t>700,000 warrants vested quarterly over 24 months from the date of issuance.</w:t>
      </w:r>
    </w:p>
    <w:p>
      <w:pPr>
        <w:ind w:left="1100" w:hanging="435"/>
        <w:spacing w:after="0" w:line="225" w:lineRule="auto"/>
        <w:tabs>
          <w:tab w:leader="none" w:pos="1100" w:val="left"/>
        </w:tabs>
        <w:numPr>
          <w:ilvl w:val="1"/>
          <w:numId w:val="79"/>
        </w:numPr>
        <w:rPr>
          <w:rFonts w:ascii="Calibri" w:cs="Calibri" w:eastAsia="Calibri" w:hAnsi="Calibri"/>
          <w:sz w:val="16"/>
          <w:szCs w:val="16"/>
          <w:color w:val="auto"/>
        </w:rPr>
      </w:pPr>
      <w:r>
        <w:rPr>
          <w:rFonts w:ascii="Calibri" w:cs="Calibri" w:eastAsia="Calibri" w:hAnsi="Calibri"/>
          <w:sz w:val="16"/>
          <w:szCs w:val="16"/>
          <w:color w:val="auto"/>
        </w:rPr>
        <w:t>300,000 warrants vested monthly over 18 months from the date of issuance.</w:t>
      </w:r>
    </w:p>
    <w:p>
      <w:pPr>
        <w:ind w:left="1100" w:hanging="434"/>
        <w:spacing w:after="0" w:line="225" w:lineRule="auto"/>
        <w:tabs>
          <w:tab w:leader="none" w:pos="1100" w:val="left"/>
        </w:tabs>
        <w:numPr>
          <w:ilvl w:val="0"/>
          <w:numId w:val="80"/>
        </w:numPr>
        <w:rPr>
          <w:rFonts w:ascii="Calibri" w:cs="Calibri" w:eastAsia="Calibri" w:hAnsi="Calibri"/>
          <w:sz w:val="16"/>
          <w:szCs w:val="16"/>
          <w:color w:val="auto"/>
        </w:rPr>
      </w:pPr>
      <w:r>
        <w:rPr>
          <w:rFonts w:ascii="Calibri" w:cs="Calibri" w:eastAsia="Calibri" w:hAnsi="Calibri"/>
          <w:sz w:val="16"/>
          <w:szCs w:val="16"/>
          <w:color w:val="auto"/>
        </w:rPr>
        <w:t>150,000 warrants vested upon Cybin Corp. completng a public ofering.</w:t>
      </w:r>
    </w:p>
    <w:p>
      <w:pPr>
        <w:ind w:left="1100" w:hanging="397"/>
        <w:spacing w:after="0" w:line="225" w:lineRule="auto"/>
        <w:tabs>
          <w:tab w:leader="none" w:pos="1100" w:val="left"/>
        </w:tabs>
        <w:numPr>
          <w:ilvl w:val="0"/>
          <w:numId w:val="80"/>
        </w:numPr>
        <w:rPr>
          <w:rFonts w:ascii="Calibri" w:cs="Calibri" w:eastAsia="Calibri" w:hAnsi="Calibri"/>
          <w:sz w:val="16"/>
          <w:szCs w:val="16"/>
          <w:color w:val="auto"/>
        </w:rPr>
      </w:pPr>
      <w:r>
        <w:rPr>
          <w:rFonts w:ascii="Calibri" w:cs="Calibri" w:eastAsia="Calibri" w:hAnsi="Calibri"/>
          <w:sz w:val="16"/>
          <w:szCs w:val="16"/>
          <w:color w:val="auto"/>
        </w:rPr>
        <w:t>700,000 warrants vested upon Cybin Corp. reaching certain performance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auto"/>
        </w:rPr>
        <w:t>Page 34 of 53</w:t>
      </w:r>
    </w:p>
    <w:p>
      <w:pPr>
        <w:sectPr>
          <w:pgSz w:w="11900" w:h="16838" w:orient="portrait"/>
          <w:cols w:equalWidth="0" w:num="1">
            <w:col w:w="11180"/>
          </w:cols>
          <w:pgMar w:left="380" w:top="151" w:right="339" w:bottom="1440" w:gutter="0" w:footer="0" w:header="0"/>
        </w:sectPr>
      </w:pPr>
    </w:p>
    <w:bookmarkStart w:id="134" w:name="page135"/>
    <w:bookmarkEnd w:id="134"/>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The Company estmated the aggregate fair value of these warrants using the Black-Scholes opton pricing model to be $2,668 with the following assumptons:</w:t>
      </w:r>
    </w:p>
    <w:p>
      <w:pPr>
        <w:spacing w:after="0" w:line="200" w:lineRule="exact"/>
        <w:rPr>
          <w:sz w:val="20"/>
          <w:szCs w:val="20"/>
          <w:color w:val="auto"/>
        </w:rPr>
      </w:pPr>
    </w:p>
    <w:p>
      <w:pPr>
        <w:spacing w:after="0" w:line="264"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940" w:type="dxa"/>
            <w:vAlign w:val="bottom"/>
          </w:tcPr>
          <w:p>
            <w:pPr>
              <w:spacing w:after="0"/>
              <w:rPr>
                <w:sz w:val="20"/>
                <w:szCs w:val="20"/>
                <w:color w:val="auto"/>
              </w:rPr>
            </w:pPr>
            <w:r>
              <w:rPr>
                <w:rFonts w:ascii="Calibri" w:cs="Calibri" w:eastAsia="Calibri" w:hAnsi="Calibri"/>
                <w:sz w:val="16"/>
                <w:szCs w:val="16"/>
                <w:color w:val="auto"/>
              </w:rPr>
              <w:t>Risk-free interest rate</w:t>
            </w:r>
          </w:p>
        </w:tc>
        <w:tc>
          <w:tcPr>
            <w:tcW w:w="3580" w:type="dxa"/>
            <w:vAlign w:val="bottom"/>
          </w:tcPr>
          <w:p>
            <w:pPr>
              <w:jc w:val="right"/>
              <w:spacing w:after="0"/>
              <w:rPr>
                <w:sz w:val="20"/>
                <w:szCs w:val="20"/>
                <w:color w:val="auto"/>
              </w:rPr>
            </w:pPr>
            <w:r>
              <w:rPr>
                <w:rFonts w:ascii="Calibri" w:cs="Calibri" w:eastAsia="Calibri" w:hAnsi="Calibri"/>
                <w:sz w:val="16"/>
                <w:szCs w:val="16"/>
                <w:color w:val="auto"/>
              </w:rPr>
              <w:t>1.82%</w:t>
            </w:r>
          </w:p>
        </w:tc>
      </w:tr>
      <w:tr>
        <w:trPr>
          <w:trHeight w:val="232"/>
        </w:trPr>
        <w:tc>
          <w:tcPr>
            <w:tcW w:w="6940" w:type="dxa"/>
            <w:vAlign w:val="bottom"/>
          </w:tcPr>
          <w:p>
            <w:pPr>
              <w:spacing w:after="0"/>
              <w:rPr>
                <w:sz w:val="20"/>
                <w:szCs w:val="20"/>
                <w:color w:val="auto"/>
              </w:rPr>
            </w:pPr>
            <w:r>
              <w:rPr>
                <w:rFonts w:ascii="Calibri" w:cs="Calibri" w:eastAsia="Calibri" w:hAnsi="Calibri"/>
                <w:sz w:val="16"/>
                <w:szCs w:val="16"/>
                <w:color w:val="auto"/>
              </w:rPr>
              <w:t>Expected annual volatlity, based on comparable companies</w:t>
            </w:r>
          </w:p>
        </w:tc>
        <w:tc>
          <w:tcPr>
            <w:tcW w:w="358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32"/>
        </w:trPr>
        <w:tc>
          <w:tcPr>
            <w:tcW w:w="6940" w:type="dxa"/>
            <w:vAlign w:val="bottom"/>
          </w:tcPr>
          <w:p>
            <w:pPr>
              <w:spacing w:after="0"/>
              <w:rPr>
                <w:sz w:val="20"/>
                <w:szCs w:val="20"/>
                <w:color w:val="auto"/>
              </w:rPr>
            </w:pPr>
            <w:r>
              <w:rPr>
                <w:rFonts w:ascii="Calibri" w:cs="Calibri" w:eastAsia="Calibri" w:hAnsi="Calibri"/>
                <w:sz w:val="16"/>
                <w:szCs w:val="16"/>
                <w:color w:val="auto"/>
              </w:rPr>
              <w:t>Expected life (in years)</w:t>
            </w:r>
          </w:p>
        </w:tc>
        <w:tc>
          <w:tcPr>
            <w:tcW w:w="3580" w:type="dxa"/>
            <w:vAlign w:val="bottom"/>
          </w:tcPr>
          <w:p>
            <w:pPr>
              <w:jc w:val="right"/>
              <w:spacing w:after="0"/>
              <w:rPr>
                <w:sz w:val="20"/>
                <w:szCs w:val="20"/>
                <w:color w:val="auto"/>
              </w:rPr>
            </w:pPr>
            <w:r>
              <w:rPr>
                <w:rFonts w:ascii="Calibri" w:cs="Calibri" w:eastAsia="Calibri" w:hAnsi="Calibri"/>
                <w:sz w:val="16"/>
                <w:szCs w:val="16"/>
                <w:color w:val="auto"/>
              </w:rPr>
              <w:t>5</w:t>
            </w:r>
          </w:p>
        </w:tc>
      </w:tr>
      <w:tr>
        <w:trPr>
          <w:trHeight w:val="232"/>
        </w:trPr>
        <w:tc>
          <w:tcPr>
            <w:tcW w:w="6940" w:type="dxa"/>
            <w:vAlign w:val="bottom"/>
          </w:tcPr>
          <w:p>
            <w:pPr>
              <w:spacing w:after="0"/>
              <w:rPr>
                <w:sz w:val="20"/>
                <w:szCs w:val="20"/>
                <w:color w:val="auto"/>
              </w:rPr>
            </w:pPr>
            <w:r>
              <w:rPr>
                <w:rFonts w:ascii="Calibri" w:cs="Calibri" w:eastAsia="Calibri" w:hAnsi="Calibri"/>
                <w:sz w:val="16"/>
                <w:szCs w:val="16"/>
                <w:color w:val="auto"/>
              </w:rPr>
              <w:t>Expected dividend yield</w:t>
            </w:r>
          </w:p>
        </w:tc>
        <w:tc>
          <w:tcPr>
            <w:tcW w:w="358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32"/>
        </w:trPr>
        <w:tc>
          <w:tcPr>
            <w:tcW w:w="6940" w:type="dxa"/>
            <w:vAlign w:val="bottom"/>
          </w:tcPr>
          <w:p>
            <w:pPr>
              <w:spacing w:after="0"/>
              <w:rPr>
                <w:sz w:val="20"/>
                <w:szCs w:val="20"/>
                <w:color w:val="auto"/>
              </w:rPr>
            </w:pPr>
            <w:r>
              <w:rPr>
                <w:rFonts w:ascii="Calibri" w:cs="Calibri" w:eastAsia="Calibri" w:hAnsi="Calibri"/>
                <w:sz w:val="16"/>
                <w:szCs w:val="16"/>
                <w:color w:val="auto"/>
              </w:rPr>
              <w:t>Share price</w:t>
            </w:r>
          </w:p>
        </w:tc>
        <w:tc>
          <w:tcPr>
            <w:tcW w:w="3580" w:type="dxa"/>
            <w:vAlign w:val="bottom"/>
          </w:tcPr>
          <w:p>
            <w:pPr>
              <w:jc w:val="right"/>
              <w:spacing w:after="0"/>
              <w:rPr>
                <w:sz w:val="20"/>
                <w:szCs w:val="20"/>
                <w:color w:val="auto"/>
              </w:rPr>
            </w:pPr>
            <w:r>
              <w:rPr>
                <w:rFonts w:ascii="Calibri" w:cs="Calibri" w:eastAsia="Calibri" w:hAnsi="Calibri"/>
                <w:sz w:val="16"/>
                <w:szCs w:val="16"/>
                <w:color w:val="auto"/>
              </w:rPr>
              <w:t>$ 0.25</w:t>
            </w:r>
          </w:p>
        </w:tc>
      </w:tr>
      <w:tr>
        <w:trPr>
          <w:trHeight w:val="232"/>
        </w:trPr>
        <w:tc>
          <w:tcPr>
            <w:tcW w:w="6940" w:type="dxa"/>
            <w:vAlign w:val="bottom"/>
          </w:tcPr>
          <w:p>
            <w:pPr>
              <w:spacing w:after="0"/>
              <w:rPr>
                <w:sz w:val="20"/>
                <w:szCs w:val="20"/>
                <w:color w:val="auto"/>
              </w:rPr>
            </w:pPr>
            <w:r>
              <w:rPr>
                <w:rFonts w:ascii="Calibri" w:cs="Calibri" w:eastAsia="Calibri" w:hAnsi="Calibri"/>
                <w:sz w:val="16"/>
                <w:szCs w:val="16"/>
                <w:color w:val="auto"/>
              </w:rPr>
              <w:t>Exercise price</w:t>
            </w:r>
          </w:p>
        </w:tc>
        <w:tc>
          <w:tcPr>
            <w:tcW w:w="3580" w:type="dxa"/>
            <w:vAlign w:val="bottom"/>
          </w:tcPr>
          <w:p>
            <w:pPr>
              <w:jc w:val="right"/>
              <w:spacing w:after="0"/>
              <w:rPr>
                <w:sz w:val="20"/>
                <w:szCs w:val="20"/>
                <w:color w:val="auto"/>
              </w:rPr>
            </w:pPr>
            <w:r>
              <w:rPr>
                <w:rFonts w:ascii="Calibri" w:cs="Calibri" w:eastAsia="Calibri" w:hAnsi="Calibri"/>
                <w:sz w:val="16"/>
                <w:szCs w:val="16"/>
                <w:color w:val="auto"/>
              </w:rPr>
              <w:t>$ 0.25</w:t>
            </w:r>
          </w:p>
        </w:tc>
      </w:tr>
      <w:tr>
        <w:trPr>
          <w:trHeight w:val="46"/>
        </w:trPr>
        <w:tc>
          <w:tcPr>
            <w:tcW w:w="694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306" w:lineRule="exact"/>
        <w:rPr>
          <w:sz w:val="20"/>
          <w:szCs w:val="20"/>
          <w:color w:val="auto"/>
        </w:rPr>
      </w:pPr>
    </w:p>
    <w:p>
      <w:pPr>
        <w:ind w:left="240" w:right="20"/>
        <w:spacing w:after="0" w:line="231" w:lineRule="auto"/>
        <w:rPr>
          <w:sz w:val="20"/>
          <w:szCs w:val="20"/>
          <w:color w:val="auto"/>
        </w:rPr>
      </w:pPr>
      <w:r>
        <w:rPr>
          <w:rFonts w:ascii="Calibri" w:cs="Calibri" w:eastAsia="Calibri" w:hAnsi="Calibri"/>
          <w:sz w:val="16"/>
          <w:szCs w:val="16"/>
          <w:color w:val="auto"/>
        </w:rPr>
        <w:t>On August 20, 2020, the Company issued 2,000,125 warrants to directors and advisors of the Company. Each warrant enttles the holder to acquire one Common Share for $0.64 for a period of 60 months from the date of issuance. The vestng period for these warrants are as following:</w:t>
      </w:r>
    </w:p>
    <w:p>
      <w:pPr>
        <w:spacing w:after="0" w:line="222" w:lineRule="exact"/>
        <w:rPr>
          <w:sz w:val="20"/>
          <w:szCs w:val="20"/>
          <w:color w:val="auto"/>
        </w:rPr>
      </w:pPr>
    </w:p>
    <w:p>
      <w:pPr>
        <w:ind w:left="1100" w:hanging="283"/>
        <w:spacing w:after="0"/>
        <w:tabs>
          <w:tab w:leader="none" w:pos="1100" w:val="left"/>
        </w:tabs>
        <w:numPr>
          <w:ilvl w:val="0"/>
          <w:numId w:val="81"/>
        </w:numPr>
        <w:rPr>
          <w:rFonts w:ascii="Calibri" w:cs="Calibri" w:eastAsia="Calibri" w:hAnsi="Calibri"/>
          <w:sz w:val="16"/>
          <w:szCs w:val="16"/>
          <w:color w:val="auto"/>
        </w:rPr>
      </w:pPr>
      <w:r>
        <w:rPr>
          <w:rFonts w:ascii="Calibri" w:cs="Calibri" w:eastAsia="Calibri" w:hAnsi="Calibri"/>
          <w:sz w:val="16"/>
          <w:szCs w:val="16"/>
          <w:color w:val="auto"/>
        </w:rPr>
        <w:t>600,125 warrants vested on the date of issuance.</w:t>
      </w:r>
    </w:p>
    <w:p>
      <w:pPr>
        <w:ind w:left="1100" w:hanging="283"/>
        <w:spacing w:after="0" w:line="225" w:lineRule="auto"/>
        <w:tabs>
          <w:tab w:leader="none" w:pos="1100" w:val="left"/>
        </w:tabs>
        <w:numPr>
          <w:ilvl w:val="0"/>
          <w:numId w:val="81"/>
        </w:numPr>
        <w:rPr>
          <w:rFonts w:ascii="Calibri" w:cs="Calibri" w:eastAsia="Calibri" w:hAnsi="Calibri"/>
          <w:sz w:val="16"/>
          <w:szCs w:val="16"/>
          <w:color w:val="auto"/>
        </w:rPr>
      </w:pPr>
      <w:r>
        <w:rPr>
          <w:rFonts w:ascii="Calibri" w:cs="Calibri" w:eastAsia="Calibri" w:hAnsi="Calibri"/>
          <w:sz w:val="16"/>
          <w:szCs w:val="16"/>
          <w:color w:val="auto"/>
        </w:rPr>
        <w:t>1,400,000 warrants vest quarterly over 24 months from the date of issuance.</w:t>
      </w:r>
    </w:p>
    <w:p>
      <w:pPr>
        <w:spacing w:after="0" w:line="209"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On September 14, 2020, the Company issued 56,250 warrants to advisors of Cybin Corp. Each warrant enttles the holder to acquire one Common Share for $0.64 for a period of 60 months from the date of issuance, vestng immediately.</w:t>
      </w:r>
    </w:p>
    <w:p>
      <w:pPr>
        <w:spacing w:after="0" w:line="210" w:lineRule="exact"/>
        <w:rPr>
          <w:sz w:val="20"/>
          <w:szCs w:val="20"/>
          <w:color w:val="auto"/>
        </w:rPr>
      </w:pPr>
    </w:p>
    <w:p>
      <w:pPr>
        <w:jc w:val="both"/>
        <w:ind w:left="240" w:right="20"/>
        <w:spacing w:after="0" w:line="231" w:lineRule="auto"/>
        <w:rPr>
          <w:sz w:val="20"/>
          <w:szCs w:val="20"/>
          <w:color w:val="auto"/>
        </w:rPr>
      </w:pPr>
      <w:r>
        <w:rPr>
          <w:rFonts w:ascii="Calibri" w:cs="Calibri" w:eastAsia="Calibri" w:hAnsi="Calibri"/>
          <w:sz w:val="16"/>
          <w:szCs w:val="16"/>
          <w:color w:val="auto"/>
        </w:rPr>
        <w:t>The Company estmated the aggregate fair value of the warrants issued on August 20, 2020 and September 14, 2020 using the Black-Scholes opton pricing model to be $948 with the following assumptons:</w:t>
      </w:r>
    </w:p>
    <w:p>
      <w:pPr>
        <w:spacing w:after="0" w:line="258"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920" w:type="dxa"/>
            <w:vAlign w:val="bottom"/>
          </w:tcPr>
          <w:p>
            <w:pPr>
              <w:spacing w:after="0"/>
              <w:rPr>
                <w:sz w:val="20"/>
                <w:szCs w:val="20"/>
                <w:color w:val="auto"/>
              </w:rPr>
            </w:pPr>
            <w:r>
              <w:rPr>
                <w:rFonts w:ascii="Calibri" w:cs="Calibri" w:eastAsia="Calibri" w:hAnsi="Calibri"/>
                <w:sz w:val="16"/>
                <w:szCs w:val="16"/>
                <w:color w:val="auto"/>
              </w:rPr>
              <w:t>Risk-free interest rate</w:t>
            </w:r>
          </w:p>
        </w:tc>
        <w:tc>
          <w:tcPr>
            <w:tcW w:w="3560" w:type="dxa"/>
            <w:vAlign w:val="bottom"/>
          </w:tcPr>
          <w:p>
            <w:pPr>
              <w:jc w:val="right"/>
              <w:spacing w:after="0"/>
              <w:rPr>
                <w:sz w:val="20"/>
                <w:szCs w:val="20"/>
                <w:color w:val="auto"/>
              </w:rPr>
            </w:pPr>
            <w:r>
              <w:rPr>
                <w:rFonts w:ascii="Calibri" w:cs="Calibri" w:eastAsia="Calibri" w:hAnsi="Calibri"/>
                <w:sz w:val="16"/>
                <w:szCs w:val="16"/>
                <w:color w:val="auto"/>
              </w:rPr>
              <w:t>1.21%</w:t>
            </w:r>
          </w:p>
        </w:tc>
      </w:tr>
      <w:tr>
        <w:trPr>
          <w:trHeight w:val="232"/>
        </w:trPr>
        <w:tc>
          <w:tcPr>
            <w:tcW w:w="6920" w:type="dxa"/>
            <w:vAlign w:val="bottom"/>
          </w:tcPr>
          <w:p>
            <w:pPr>
              <w:spacing w:after="0"/>
              <w:rPr>
                <w:sz w:val="20"/>
                <w:szCs w:val="20"/>
                <w:color w:val="auto"/>
              </w:rPr>
            </w:pPr>
            <w:r>
              <w:rPr>
                <w:rFonts w:ascii="Calibri" w:cs="Calibri" w:eastAsia="Calibri" w:hAnsi="Calibri"/>
                <w:sz w:val="16"/>
                <w:szCs w:val="16"/>
                <w:color w:val="auto"/>
              </w:rPr>
              <w:t>Expected annual volatlity, based on comparable companies</w:t>
            </w:r>
          </w:p>
        </w:tc>
        <w:tc>
          <w:tcPr>
            <w:tcW w:w="35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32"/>
        </w:trPr>
        <w:tc>
          <w:tcPr>
            <w:tcW w:w="6920" w:type="dxa"/>
            <w:vAlign w:val="bottom"/>
          </w:tcPr>
          <w:p>
            <w:pPr>
              <w:spacing w:after="0"/>
              <w:rPr>
                <w:sz w:val="20"/>
                <w:szCs w:val="20"/>
                <w:color w:val="auto"/>
              </w:rPr>
            </w:pPr>
            <w:r>
              <w:rPr>
                <w:rFonts w:ascii="Calibri" w:cs="Calibri" w:eastAsia="Calibri" w:hAnsi="Calibri"/>
                <w:sz w:val="16"/>
                <w:szCs w:val="16"/>
                <w:color w:val="auto"/>
              </w:rPr>
              <w:t>Expected life (in years)</w:t>
            </w:r>
          </w:p>
        </w:tc>
        <w:tc>
          <w:tcPr>
            <w:tcW w:w="3560" w:type="dxa"/>
            <w:vAlign w:val="bottom"/>
          </w:tcPr>
          <w:p>
            <w:pPr>
              <w:jc w:val="right"/>
              <w:spacing w:after="0"/>
              <w:rPr>
                <w:sz w:val="20"/>
                <w:szCs w:val="20"/>
                <w:color w:val="auto"/>
              </w:rPr>
            </w:pPr>
            <w:r>
              <w:rPr>
                <w:rFonts w:ascii="Calibri" w:cs="Calibri" w:eastAsia="Calibri" w:hAnsi="Calibri"/>
                <w:sz w:val="16"/>
                <w:szCs w:val="16"/>
                <w:color w:val="auto"/>
              </w:rPr>
              <w:t>5</w:t>
            </w:r>
          </w:p>
        </w:tc>
      </w:tr>
      <w:tr>
        <w:trPr>
          <w:trHeight w:val="232"/>
        </w:trPr>
        <w:tc>
          <w:tcPr>
            <w:tcW w:w="6920" w:type="dxa"/>
            <w:vAlign w:val="bottom"/>
          </w:tcPr>
          <w:p>
            <w:pPr>
              <w:spacing w:after="0"/>
              <w:rPr>
                <w:sz w:val="20"/>
                <w:szCs w:val="20"/>
                <w:color w:val="auto"/>
              </w:rPr>
            </w:pPr>
            <w:r>
              <w:rPr>
                <w:rFonts w:ascii="Calibri" w:cs="Calibri" w:eastAsia="Calibri" w:hAnsi="Calibri"/>
                <w:sz w:val="16"/>
                <w:szCs w:val="16"/>
                <w:color w:val="auto"/>
              </w:rPr>
              <w:t>Expected dividend yield</w:t>
            </w:r>
          </w:p>
        </w:tc>
        <w:tc>
          <w:tcPr>
            <w:tcW w:w="35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32"/>
        </w:trPr>
        <w:tc>
          <w:tcPr>
            <w:tcW w:w="6920" w:type="dxa"/>
            <w:vAlign w:val="bottom"/>
          </w:tcPr>
          <w:p>
            <w:pPr>
              <w:spacing w:after="0"/>
              <w:rPr>
                <w:sz w:val="20"/>
                <w:szCs w:val="20"/>
                <w:color w:val="auto"/>
              </w:rPr>
            </w:pPr>
            <w:r>
              <w:rPr>
                <w:rFonts w:ascii="Calibri" w:cs="Calibri" w:eastAsia="Calibri" w:hAnsi="Calibri"/>
                <w:sz w:val="16"/>
                <w:szCs w:val="16"/>
                <w:color w:val="auto"/>
              </w:rPr>
              <w:t>Share price</w:t>
            </w:r>
          </w:p>
        </w:tc>
        <w:tc>
          <w:tcPr>
            <w:tcW w:w="3560" w:type="dxa"/>
            <w:vAlign w:val="bottom"/>
          </w:tcPr>
          <w:p>
            <w:pPr>
              <w:jc w:val="right"/>
              <w:spacing w:after="0"/>
              <w:rPr>
                <w:sz w:val="20"/>
                <w:szCs w:val="20"/>
                <w:color w:val="auto"/>
              </w:rPr>
            </w:pPr>
            <w:r>
              <w:rPr>
                <w:rFonts w:ascii="Calibri" w:cs="Calibri" w:eastAsia="Calibri" w:hAnsi="Calibri"/>
                <w:sz w:val="16"/>
                <w:szCs w:val="16"/>
                <w:color w:val="auto"/>
              </w:rPr>
              <w:t>$ 0.64</w:t>
            </w:r>
          </w:p>
        </w:tc>
      </w:tr>
      <w:tr>
        <w:trPr>
          <w:trHeight w:val="232"/>
        </w:trPr>
        <w:tc>
          <w:tcPr>
            <w:tcW w:w="6920" w:type="dxa"/>
            <w:vAlign w:val="bottom"/>
          </w:tcPr>
          <w:p>
            <w:pPr>
              <w:spacing w:after="0"/>
              <w:rPr>
                <w:sz w:val="20"/>
                <w:szCs w:val="20"/>
                <w:color w:val="auto"/>
              </w:rPr>
            </w:pPr>
            <w:r>
              <w:rPr>
                <w:rFonts w:ascii="Calibri" w:cs="Calibri" w:eastAsia="Calibri" w:hAnsi="Calibri"/>
                <w:sz w:val="16"/>
                <w:szCs w:val="16"/>
                <w:color w:val="auto"/>
              </w:rPr>
              <w:t>Exercise price</w:t>
            </w:r>
          </w:p>
        </w:tc>
        <w:tc>
          <w:tcPr>
            <w:tcW w:w="3560" w:type="dxa"/>
            <w:vAlign w:val="bottom"/>
          </w:tcPr>
          <w:p>
            <w:pPr>
              <w:jc w:val="right"/>
              <w:spacing w:after="0"/>
              <w:rPr>
                <w:sz w:val="20"/>
                <w:szCs w:val="20"/>
                <w:color w:val="auto"/>
              </w:rPr>
            </w:pPr>
            <w:r>
              <w:rPr>
                <w:rFonts w:ascii="Calibri" w:cs="Calibri" w:eastAsia="Calibri" w:hAnsi="Calibri"/>
                <w:sz w:val="16"/>
                <w:szCs w:val="16"/>
                <w:color w:val="auto"/>
              </w:rPr>
              <w:t>$ 0.64</w:t>
            </w:r>
          </w:p>
        </w:tc>
      </w:tr>
      <w:tr>
        <w:trPr>
          <w:trHeight w:val="46"/>
        </w:trPr>
        <w:tc>
          <w:tcPr>
            <w:tcW w:w="692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bl>
    <w:p>
      <w:pPr>
        <w:spacing w:after="0" w:line="273" w:lineRule="exact"/>
        <w:rPr>
          <w:sz w:val="20"/>
          <w:szCs w:val="20"/>
          <w:color w:val="auto"/>
        </w:rPr>
      </w:pPr>
    </w:p>
    <w:p>
      <w:pPr>
        <w:jc w:val="both"/>
        <w:ind w:left="240"/>
        <w:spacing w:after="0" w:line="234" w:lineRule="auto"/>
        <w:rPr>
          <w:sz w:val="20"/>
          <w:szCs w:val="20"/>
          <w:color w:val="auto"/>
        </w:rPr>
      </w:pPr>
      <w:r>
        <w:rPr>
          <w:rFonts w:ascii="Calibri" w:cs="Calibri" w:eastAsia="Calibri" w:hAnsi="Calibri"/>
          <w:sz w:val="16"/>
          <w:szCs w:val="16"/>
          <w:color w:val="auto"/>
        </w:rPr>
        <w:t>On October 19, 2020, the Company issued 127,600 Broker Warrants to brokers and 16,000 warrants to advisors. On November 3, 2020, the Company issued 2,590,000 warrants to other fnders on the same terms as the Broker Warrants. Each warrant enttles the holder to acquire one Common Share for $0.75 for a period of 24 months from the date of issuance, vestng immediately.</w:t>
      </w:r>
    </w:p>
    <w:p>
      <w:pPr>
        <w:spacing w:after="0" w:line="211"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The Company estmated the aggregate fair value of the warrants issued on October 19, 2020 using the Black-Scholes opton pricing model to be $49 with the following assumptons: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35 of 53</w:t>
      </w:r>
    </w:p>
    <w:p>
      <w:pPr>
        <w:sectPr>
          <w:pgSz w:w="11900" w:h="16838" w:orient="portrait"/>
          <w:cols w:equalWidth="0" w:num="1">
            <w:col w:w="11200"/>
          </w:cols>
          <w:pgMar w:left="380" w:top="151" w:right="319" w:bottom="1440" w:gutter="0" w:footer="0" w:header="0"/>
        </w:sectPr>
      </w:pPr>
    </w:p>
    <w:bookmarkStart w:id="135" w:name="page136"/>
    <w:bookmarkEnd w:id="135"/>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900" w:type="dxa"/>
            <w:vAlign w:val="bottom"/>
          </w:tcPr>
          <w:p>
            <w:pPr>
              <w:spacing w:after="0"/>
              <w:rPr>
                <w:sz w:val="20"/>
                <w:szCs w:val="20"/>
                <w:color w:val="auto"/>
              </w:rPr>
            </w:pPr>
            <w:r>
              <w:rPr>
                <w:rFonts w:ascii="Calibri" w:cs="Calibri" w:eastAsia="Calibri" w:hAnsi="Calibri"/>
                <w:sz w:val="16"/>
                <w:szCs w:val="16"/>
                <w:color w:val="auto"/>
              </w:rPr>
              <w:t>Risk-free interest rate</w:t>
            </w:r>
          </w:p>
        </w:tc>
        <w:tc>
          <w:tcPr>
            <w:tcW w:w="3480" w:type="dxa"/>
            <w:vAlign w:val="bottom"/>
          </w:tcPr>
          <w:p>
            <w:pPr>
              <w:jc w:val="right"/>
              <w:spacing w:after="0"/>
              <w:rPr>
                <w:sz w:val="20"/>
                <w:szCs w:val="20"/>
                <w:color w:val="auto"/>
              </w:rPr>
            </w:pPr>
            <w:r>
              <w:rPr>
                <w:rFonts w:ascii="Calibri" w:cs="Calibri" w:eastAsia="Calibri" w:hAnsi="Calibri"/>
                <w:sz w:val="16"/>
                <w:szCs w:val="16"/>
                <w:color w:val="auto"/>
              </w:rPr>
              <w:t>0.36%</w:t>
            </w:r>
          </w:p>
        </w:tc>
      </w:tr>
      <w:tr>
        <w:trPr>
          <w:trHeight w:val="232"/>
        </w:trPr>
        <w:tc>
          <w:tcPr>
            <w:tcW w:w="6900" w:type="dxa"/>
            <w:vAlign w:val="bottom"/>
          </w:tcPr>
          <w:p>
            <w:pPr>
              <w:spacing w:after="0"/>
              <w:rPr>
                <w:sz w:val="20"/>
                <w:szCs w:val="20"/>
                <w:color w:val="auto"/>
              </w:rPr>
            </w:pPr>
            <w:r>
              <w:rPr>
                <w:rFonts w:ascii="Calibri" w:cs="Calibri" w:eastAsia="Calibri" w:hAnsi="Calibri"/>
                <w:sz w:val="16"/>
                <w:szCs w:val="16"/>
                <w:color w:val="auto"/>
              </w:rPr>
              <w:t>Expected annual volatlity, based on comparable companies</w:t>
            </w:r>
          </w:p>
        </w:tc>
        <w:tc>
          <w:tcPr>
            <w:tcW w:w="3480" w:type="dxa"/>
            <w:vAlign w:val="bottom"/>
          </w:tcPr>
          <w:p>
            <w:pPr>
              <w:jc w:val="right"/>
              <w:spacing w:after="0"/>
              <w:rPr>
                <w:sz w:val="20"/>
                <w:szCs w:val="20"/>
                <w:color w:val="auto"/>
              </w:rPr>
            </w:pPr>
            <w:r>
              <w:rPr>
                <w:rFonts w:ascii="Calibri" w:cs="Calibri" w:eastAsia="Calibri" w:hAnsi="Calibri"/>
                <w:sz w:val="16"/>
                <w:szCs w:val="16"/>
                <w:color w:val="auto"/>
              </w:rPr>
              <w:t>85%</w:t>
            </w:r>
          </w:p>
        </w:tc>
      </w:tr>
      <w:tr>
        <w:trPr>
          <w:trHeight w:val="232"/>
        </w:trPr>
        <w:tc>
          <w:tcPr>
            <w:tcW w:w="6900" w:type="dxa"/>
            <w:vAlign w:val="bottom"/>
          </w:tcPr>
          <w:p>
            <w:pPr>
              <w:spacing w:after="0"/>
              <w:rPr>
                <w:sz w:val="20"/>
                <w:szCs w:val="20"/>
                <w:color w:val="auto"/>
              </w:rPr>
            </w:pPr>
            <w:r>
              <w:rPr>
                <w:rFonts w:ascii="Calibri" w:cs="Calibri" w:eastAsia="Calibri" w:hAnsi="Calibri"/>
                <w:sz w:val="16"/>
                <w:szCs w:val="16"/>
                <w:color w:val="auto"/>
              </w:rPr>
              <w:t>Expected life (in years)</w:t>
            </w:r>
          </w:p>
        </w:tc>
        <w:tc>
          <w:tcPr>
            <w:tcW w:w="3480" w:type="dxa"/>
            <w:vAlign w:val="bottom"/>
          </w:tcPr>
          <w:p>
            <w:pPr>
              <w:jc w:val="right"/>
              <w:spacing w:after="0"/>
              <w:rPr>
                <w:sz w:val="20"/>
                <w:szCs w:val="20"/>
                <w:color w:val="auto"/>
              </w:rPr>
            </w:pPr>
            <w:r>
              <w:rPr>
                <w:rFonts w:ascii="Calibri" w:cs="Calibri" w:eastAsia="Calibri" w:hAnsi="Calibri"/>
                <w:sz w:val="16"/>
                <w:szCs w:val="16"/>
                <w:color w:val="auto"/>
              </w:rPr>
              <w:t>2</w:t>
            </w:r>
          </w:p>
        </w:tc>
      </w:tr>
      <w:tr>
        <w:trPr>
          <w:trHeight w:val="232"/>
        </w:trPr>
        <w:tc>
          <w:tcPr>
            <w:tcW w:w="6900" w:type="dxa"/>
            <w:vAlign w:val="bottom"/>
          </w:tcPr>
          <w:p>
            <w:pPr>
              <w:spacing w:after="0"/>
              <w:rPr>
                <w:sz w:val="20"/>
                <w:szCs w:val="20"/>
                <w:color w:val="auto"/>
              </w:rPr>
            </w:pPr>
            <w:r>
              <w:rPr>
                <w:rFonts w:ascii="Calibri" w:cs="Calibri" w:eastAsia="Calibri" w:hAnsi="Calibri"/>
                <w:sz w:val="16"/>
                <w:szCs w:val="16"/>
                <w:color w:val="auto"/>
              </w:rPr>
              <w:t>Expected dividend yield</w:t>
            </w:r>
          </w:p>
        </w:tc>
        <w:tc>
          <w:tcPr>
            <w:tcW w:w="348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32"/>
        </w:trPr>
        <w:tc>
          <w:tcPr>
            <w:tcW w:w="6900" w:type="dxa"/>
            <w:vAlign w:val="bottom"/>
          </w:tcPr>
          <w:p>
            <w:pPr>
              <w:spacing w:after="0"/>
              <w:rPr>
                <w:sz w:val="20"/>
                <w:szCs w:val="20"/>
                <w:color w:val="auto"/>
              </w:rPr>
            </w:pPr>
            <w:r>
              <w:rPr>
                <w:rFonts w:ascii="Calibri" w:cs="Calibri" w:eastAsia="Calibri" w:hAnsi="Calibri"/>
                <w:sz w:val="16"/>
                <w:szCs w:val="16"/>
                <w:color w:val="auto"/>
              </w:rPr>
              <w:t>Share price</w:t>
            </w:r>
          </w:p>
        </w:tc>
        <w:tc>
          <w:tcPr>
            <w:tcW w:w="3480" w:type="dxa"/>
            <w:vAlign w:val="bottom"/>
          </w:tcPr>
          <w:p>
            <w:pPr>
              <w:jc w:val="right"/>
              <w:spacing w:after="0"/>
              <w:rPr>
                <w:sz w:val="20"/>
                <w:szCs w:val="20"/>
                <w:color w:val="auto"/>
              </w:rPr>
            </w:pPr>
            <w:r>
              <w:rPr>
                <w:rFonts w:ascii="Calibri" w:cs="Calibri" w:eastAsia="Calibri" w:hAnsi="Calibri"/>
                <w:sz w:val="16"/>
                <w:szCs w:val="16"/>
                <w:color w:val="auto"/>
              </w:rPr>
              <w:t>$ 0.75</w:t>
            </w:r>
          </w:p>
        </w:tc>
      </w:tr>
      <w:tr>
        <w:trPr>
          <w:trHeight w:val="232"/>
        </w:trPr>
        <w:tc>
          <w:tcPr>
            <w:tcW w:w="6900" w:type="dxa"/>
            <w:vAlign w:val="bottom"/>
          </w:tcPr>
          <w:p>
            <w:pPr>
              <w:spacing w:after="0"/>
              <w:rPr>
                <w:sz w:val="20"/>
                <w:szCs w:val="20"/>
                <w:color w:val="auto"/>
              </w:rPr>
            </w:pPr>
            <w:r>
              <w:rPr>
                <w:rFonts w:ascii="Calibri" w:cs="Calibri" w:eastAsia="Calibri" w:hAnsi="Calibri"/>
                <w:sz w:val="16"/>
                <w:szCs w:val="16"/>
                <w:color w:val="auto"/>
              </w:rPr>
              <w:t>Exercise price</w:t>
            </w:r>
          </w:p>
        </w:tc>
        <w:tc>
          <w:tcPr>
            <w:tcW w:w="3480" w:type="dxa"/>
            <w:vAlign w:val="bottom"/>
          </w:tcPr>
          <w:p>
            <w:pPr>
              <w:jc w:val="right"/>
              <w:spacing w:after="0"/>
              <w:rPr>
                <w:sz w:val="20"/>
                <w:szCs w:val="20"/>
                <w:color w:val="auto"/>
              </w:rPr>
            </w:pPr>
            <w:r>
              <w:rPr>
                <w:rFonts w:ascii="Calibri" w:cs="Calibri" w:eastAsia="Calibri" w:hAnsi="Calibri"/>
                <w:sz w:val="16"/>
                <w:szCs w:val="16"/>
                <w:color w:val="auto"/>
              </w:rPr>
              <w:t>$ 0.75</w:t>
            </w:r>
          </w:p>
        </w:tc>
      </w:tr>
      <w:tr>
        <w:trPr>
          <w:trHeight w:val="46"/>
        </w:trPr>
        <w:tc>
          <w:tcPr>
            <w:tcW w:w="6900" w:type="dxa"/>
            <w:vAlign w:val="bottom"/>
            <w:tcBorders>
              <w:bottom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r>
    </w:tbl>
    <w:p>
      <w:pPr>
        <w:spacing w:after="0" w:line="286" w:lineRule="exact"/>
        <w:rPr>
          <w:sz w:val="20"/>
          <w:szCs w:val="20"/>
          <w:color w:val="auto"/>
        </w:rPr>
      </w:pPr>
    </w:p>
    <w:p>
      <w:pPr>
        <w:jc w:val="both"/>
        <w:ind w:left="240" w:right="20"/>
        <w:spacing w:after="0" w:line="231" w:lineRule="auto"/>
        <w:rPr>
          <w:sz w:val="20"/>
          <w:szCs w:val="20"/>
          <w:color w:val="auto"/>
        </w:rPr>
      </w:pPr>
      <w:r>
        <w:rPr>
          <w:rFonts w:ascii="Calibri" w:cs="Calibri" w:eastAsia="Calibri" w:hAnsi="Calibri"/>
          <w:sz w:val="16"/>
          <w:szCs w:val="16"/>
          <w:color w:val="auto"/>
        </w:rPr>
        <w:t>The Company estmated the aggregate fair value of the warrants issued on November 3, 2020 using the Black-Scholes opton pricing model to be $1,388 with the following assumptons:</w:t>
      </w:r>
    </w:p>
    <w:p>
      <w:pPr>
        <w:spacing w:after="0" w:line="246"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900" w:type="dxa"/>
            <w:vAlign w:val="bottom"/>
          </w:tcPr>
          <w:p>
            <w:pPr>
              <w:spacing w:after="0"/>
              <w:rPr>
                <w:sz w:val="20"/>
                <w:szCs w:val="20"/>
                <w:color w:val="auto"/>
              </w:rPr>
            </w:pPr>
            <w:r>
              <w:rPr>
                <w:rFonts w:ascii="Calibri" w:cs="Calibri" w:eastAsia="Calibri" w:hAnsi="Calibri"/>
                <w:sz w:val="16"/>
                <w:szCs w:val="16"/>
                <w:color w:val="auto"/>
              </w:rPr>
              <w:t>Risk-free interest rate</w:t>
            </w:r>
          </w:p>
        </w:tc>
        <w:tc>
          <w:tcPr>
            <w:tcW w:w="3540" w:type="dxa"/>
            <w:vAlign w:val="bottom"/>
          </w:tcPr>
          <w:p>
            <w:pPr>
              <w:jc w:val="right"/>
              <w:spacing w:after="0"/>
              <w:rPr>
                <w:sz w:val="20"/>
                <w:szCs w:val="20"/>
                <w:color w:val="auto"/>
              </w:rPr>
            </w:pPr>
            <w:r>
              <w:rPr>
                <w:rFonts w:ascii="Calibri" w:cs="Calibri" w:eastAsia="Calibri" w:hAnsi="Calibri"/>
                <w:sz w:val="16"/>
                <w:szCs w:val="16"/>
                <w:color w:val="auto"/>
              </w:rPr>
              <w:t>0.38%</w:t>
            </w:r>
          </w:p>
        </w:tc>
      </w:tr>
      <w:tr>
        <w:trPr>
          <w:trHeight w:val="232"/>
        </w:trPr>
        <w:tc>
          <w:tcPr>
            <w:tcW w:w="6900" w:type="dxa"/>
            <w:vAlign w:val="bottom"/>
          </w:tcPr>
          <w:p>
            <w:pPr>
              <w:spacing w:after="0"/>
              <w:rPr>
                <w:sz w:val="20"/>
                <w:szCs w:val="20"/>
                <w:color w:val="auto"/>
              </w:rPr>
            </w:pPr>
            <w:r>
              <w:rPr>
                <w:rFonts w:ascii="Calibri" w:cs="Calibri" w:eastAsia="Calibri" w:hAnsi="Calibri"/>
                <w:sz w:val="16"/>
                <w:szCs w:val="16"/>
                <w:color w:val="auto"/>
              </w:rPr>
              <w:t>Expected annual volatlity, based on comparable companies</w:t>
            </w:r>
          </w:p>
        </w:tc>
        <w:tc>
          <w:tcPr>
            <w:tcW w:w="354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32"/>
        </w:trPr>
        <w:tc>
          <w:tcPr>
            <w:tcW w:w="6900" w:type="dxa"/>
            <w:vAlign w:val="bottom"/>
          </w:tcPr>
          <w:p>
            <w:pPr>
              <w:spacing w:after="0"/>
              <w:rPr>
                <w:sz w:val="20"/>
                <w:szCs w:val="20"/>
                <w:color w:val="auto"/>
              </w:rPr>
            </w:pPr>
            <w:r>
              <w:rPr>
                <w:rFonts w:ascii="Calibri" w:cs="Calibri" w:eastAsia="Calibri" w:hAnsi="Calibri"/>
                <w:sz w:val="16"/>
                <w:szCs w:val="16"/>
                <w:color w:val="auto"/>
              </w:rPr>
              <w:t>Expected life (in years)</w:t>
            </w:r>
          </w:p>
        </w:tc>
        <w:tc>
          <w:tcPr>
            <w:tcW w:w="3540" w:type="dxa"/>
            <w:vAlign w:val="bottom"/>
          </w:tcPr>
          <w:p>
            <w:pPr>
              <w:jc w:val="right"/>
              <w:spacing w:after="0"/>
              <w:rPr>
                <w:sz w:val="20"/>
                <w:szCs w:val="20"/>
                <w:color w:val="auto"/>
              </w:rPr>
            </w:pPr>
            <w:r>
              <w:rPr>
                <w:rFonts w:ascii="Calibri" w:cs="Calibri" w:eastAsia="Calibri" w:hAnsi="Calibri"/>
                <w:sz w:val="16"/>
                <w:szCs w:val="16"/>
                <w:color w:val="auto"/>
              </w:rPr>
              <w:t>5</w:t>
            </w:r>
          </w:p>
        </w:tc>
      </w:tr>
      <w:tr>
        <w:trPr>
          <w:trHeight w:val="232"/>
        </w:trPr>
        <w:tc>
          <w:tcPr>
            <w:tcW w:w="6900" w:type="dxa"/>
            <w:vAlign w:val="bottom"/>
          </w:tcPr>
          <w:p>
            <w:pPr>
              <w:spacing w:after="0"/>
              <w:rPr>
                <w:sz w:val="20"/>
                <w:szCs w:val="20"/>
                <w:color w:val="auto"/>
              </w:rPr>
            </w:pPr>
            <w:r>
              <w:rPr>
                <w:rFonts w:ascii="Calibri" w:cs="Calibri" w:eastAsia="Calibri" w:hAnsi="Calibri"/>
                <w:sz w:val="16"/>
                <w:szCs w:val="16"/>
                <w:color w:val="auto"/>
              </w:rPr>
              <w:t>Expected dividend yield</w:t>
            </w:r>
          </w:p>
        </w:tc>
        <w:tc>
          <w:tcPr>
            <w:tcW w:w="354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32"/>
        </w:trPr>
        <w:tc>
          <w:tcPr>
            <w:tcW w:w="6900" w:type="dxa"/>
            <w:vAlign w:val="bottom"/>
          </w:tcPr>
          <w:p>
            <w:pPr>
              <w:spacing w:after="0"/>
              <w:rPr>
                <w:sz w:val="20"/>
                <w:szCs w:val="20"/>
                <w:color w:val="auto"/>
              </w:rPr>
            </w:pPr>
            <w:r>
              <w:rPr>
                <w:rFonts w:ascii="Calibri" w:cs="Calibri" w:eastAsia="Calibri" w:hAnsi="Calibri"/>
                <w:sz w:val="16"/>
                <w:szCs w:val="16"/>
                <w:color w:val="auto"/>
              </w:rPr>
              <w:t>Share price</w:t>
            </w:r>
          </w:p>
        </w:tc>
        <w:tc>
          <w:tcPr>
            <w:tcW w:w="3540" w:type="dxa"/>
            <w:vAlign w:val="bottom"/>
          </w:tcPr>
          <w:p>
            <w:pPr>
              <w:jc w:val="right"/>
              <w:spacing w:after="0"/>
              <w:rPr>
                <w:sz w:val="20"/>
                <w:szCs w:val="20"/>
                <w:color w:val="auto"/>
              </w:rPr>
            </w:pPr>
            <w:r>
              <w:rPr>
                <w:rFonts w:ascii="Calibri" w:cs="Calibri" w:eastAsia="Calibri" w:hAnsi="Calibri"/>
                <w:sz w:val="16"/>
                <w:szCs w:val="16"/>
                <w:color w:val="auto"/>
              </w:rPr>
              <w:t>$ 0.75</w:t>
            </w:r>
          </w:p>
        </w:tc>
      </w:tr>
      <w:tr>
        <w:trPr>
          <w:trHeight w:val="232"/>
        </w:trPr>
        <w:tc>
          <w:tcPr>
            <w:tcW w:w="6900" w:type="dxa"/>
            <w:vAlign w:val="bottom"/>
          </w:tcPr>
          <w:p>
            <w:pPr>
              <w:spacing w:after="0"/>
              <w:rPr>
                <w:sz w:val="20"/>
                <w:szCs w:val="20"/>
                <w:color w:val="auto"/>
              </w:rPr>
            </w:pPr>
            <w:r>
              <w:rPr>
                <w:rFonts w:ascii="Calibri" w:cs="Calibri" w:eastAsia="Calibri" w:hAnsi="Calibri"/>
                <w:sz w:val="16"/>
                <w:szCs w:val="16"/>
                <w:color w:val="auto"/>
              </w:rPr>
              <w:t>Exercise price</w:t>
            </w:r>
          </w:p>
        </w:tc>
        <w:tc>
          <w:tcPr>
            <w:tcW w:w="3540" w:type="dxa"/>
            <w:vAlign w:val="bottom"/>
          </w:tcPr>
          <w:p>
            <w:pPr>
              <w:jc w:val="right"/>
              <w:spacing w:after="0"/>
              <w:rPr>
                <w:sz w:val="20"/>
                <w:szCs w:val="20"/>
                <w:color w:val="auto"/>
              </w:rPr>
            </w:pPr>
            <w:r>
              <w:rPr>
                <w:rFonts w:ascii="Calibri" w:cs="Calibri" w:eastAsia="Calibri" w:hAnsi="Calibri"/>
                <w:sz w:val="16"/>
                <w:szCs w:val="16"/>
                <w:color w:val="auto"/>
              </w:rPr>
              <w:t>$ 0.75</w:t>
            </w:r>
          </w:p>
        </w:tc>
      </w:tr>
      <w:tr>
        <w:trPr>
          <w:trHeight w:val="46"/>
        </w:trPr>
        <w:tc>
          <w:tcPr>
            <w:tcW w:w="690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r>
    </w:tbl>
    <w:p>
      <w:pPr>
        <w:spacing w:after="0" w:line="286" w:lineRule="exact"/>
        <w:rPr>
          <w:sz w:val="20"/>
          <w:szCs w:val="20"/>
          <w:color w:val="auto"/>
        </w:rPr>
      </w:pPr>
    </w:p>
    <w:p>
      <w:pPr>
        <w:jc w:val="both"/>
        <w:ind w:left="240"/>
        <w:spacing w:after="0" w:line="232" w:lineRule="auto"/>
        <w:rPr>
          <w:sz w:val="20"/>
          <w:szCs w:val="20"/>
          <w:color w:val="auto"/>
        </w:rPr>
      </w:pPr>
      <w:r>
        <w:rPr>
          <w:rFonts w:ascii="Calibri" w:cs="Calibri" w:eastAsia="Calibri" w:hAnsi="Calibri"/>
          <w:sz w:val="16"/>
          <w:szCs w:val="16"/>
          <w:color w:val="auto"/>
        </w:rPr>
        <w:t>On November 4, 2020, the Company amended the warrant agreement of one of its directors. Previously the vestng terms were: 300,000 warrants to vest over 18 months; 150,000 to vest on the completon of a merger, public ofering, or sale of all or substantally all assets or shares of the Company or other change of control transacton; and 400,000 were based on milestone achievements of the Company The vestng requirements were revised to: 83,330 warrants vest in equal monthly tranches of 16,666 warrants on the frst day of each month for 5 months following the date of issuance; and 766,670 warrants vest on completon of an amalgamaton, merger, public ofering, or sale of all or substantally all assets or shares of the Company or other change of control transacton. The warrants have an exercise price of $0.25 per share expiring on June 15, 2025.</w:t>
      </w:r>
    </w:p>
    <w:p>
      <w:pPr>
        <w:spacing w:after="0" w:line="211" w:lineRule="exact"/>
        <w:rPr>
          <w:sz w:val="20"/>
          <w:szCs w:val="20"/>
          <w:color w:val="auto"/>
        </w:rPr>
      </w:pPr>
    </w:p>
    <w:p>
      <w:pPr>
        <w:jc w:val="both"/>
        <w:ind w:left="240"/>
        <w:spacing w:after="0" w:line="231" w:lineRule="auto"/>
        <w:rPr>
          <w:sz w:val="20"/>
          <w:szCs w:val="20"/>
          <w:color w:val="auto"/>
        </w:rPr>
      </w:pPr>
      <w:r>
        <w:rPr>
          <w:rFonts w:ascii="Calibri" w:cs="Calibri" w:eastAsia="Calibri" w:hAnsi="Calibri"/>
          <w:sz w:val="16"/>
          <w:szCs w:val="16"/>
          <w:color w:val="auto"/>
        </w:rPr>
        <w:t>On November 27, 2020, the vestng criteria for 2,000,000 share purchase warrants issued on June 15, 2020 and exchanged for warrants of the Company in connecton with the Reverse Takeover were in renegotatons. The warrants now vest quarterly over a 24-month period commencing November 27, 2020.</w:t>
      </w:r>
    </w:p>
    <w:p>
      <w:pPr>
        <w:spacing w:after="0" w:line="223" w:lineRule="exact"/>
        <w:rPr>
          <w:sz w:val="20"/>
          <w:szCs w:val="20"/>
          <w:color w:val="auto"/>
        </w:rPr>
      </w:pPr>
    </w:p>
    <w:p>
      <w:pPr>
        <w:jc w:val="both"/>
        <w:ind w:left="240" w:right="20"/>
        <w:spacing w:after="0" w:line="230" w:lineRule="auto"/>
        <w:rPr>
          <w:sz w:val="20"/>
          <w:szCs w:val="20"/>
          <w:color w:val="auto"/>
        </w:rPr>
      </w:pPr>
      <w:r>
        <w:rPr>
          <w:rFonts w:ascii="Calibri" w:cs="Calibri" w:eastAsia="Calibri" w:hAnsi="Calibri"/>
          <w:sz w:val="16"/>
          <w:szCs w:val="16"/>
          <w:color w:val="auto"/>
        </w:rPr>
        <w:t>On February 4, 2021, the Company issued 7,623,000 2021 Warrants in connecton with the February 2021 Ofering (see “Issued share capital”). Each 2021 Warrant enttles the holder thereof to acquire one Common Share at an exercise price of $3.25 per Common Share expiring on February 4, 2024. In the event that the volume weighted average trading price of the Common Shares for ten consecutve trading days exceeds $5.00, the Company shall have the right to accelerate the expiry date of the 2021 Warrants upon not less than thirty trading days’ notce. In consideraton for the services of the underwriters, the Company issued 868,740 Underwriters’ Warrants. Each Underwriters’ Warrant is exercisable to acquire one Unit at the Issue Price, and expires on February 4, 2024.</w:t>
      </w:r>
    </w:p>
    <w:p>
      <w:pPr>
        <w:spacing w:after="0" w:line="213"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The Company estmated the aggregate fair value of the 2021 Warrants issued on February 4, 2021 using the Black-Scholes opton pricing model to be $5,899 with the following assumptons: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36 of 53</w:t>
      </w:r>
    </w:p>
    <w:p>
      <w:pPr>
        <w:sectPr>
          <w:pgSz w:w="11900" w:h="16838" w:orient="portrait"/>
          <w:cols w:equalWidth="0" w:num="1">
            <w:col w:w="11200"/>
          </w:cols>
          <w:pgMar w:left="380" w:top="151" w:right="319" w:bottom="1440" w:gutter="0" w:footer="0" w:header="0"/>
        </w:sectPr>
      </w:pPr>
    </w:p>
    <w:bookmarkStart w:id="136" w:name="page137"/>
    <w:bookmarkEnd w:id="136"/>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7060" w:type="dxa"/>
            <w:vAlign w:val="bottom"/>
          </w:tcPr>
          <w:p>
            <w:pPr>
              <w:spacing w:after="0"/>
              <w:rPr>
                <w:sz w:val="20"/>
                <w:szCs w:val="20"/>
                <w:color w:val="auto"/>
              </w:rPr>
            </w:pPr>
            <w:r>
              <w:rPr>
                <w:rFonts w:ascii="Calibri" w:cs="Calibri" w:eastAsia="Calibri" w:hAnsi="Calibri"/>
                <w:sz w:val="16"/>
                <w:szCs w:val="16"/>
                <w:color w:val="auto"/>
              </w:rPr>
              <w:t>Risk-free interest rate</w:t>
            </w:r>
          </w:p>
        </w:tc>
        <w:tc>
          <w:tcPr>
            <w:tcW w:w="3640" w:type="dxa"/>
            <w:vAlign w:val="bottom"/>
          </w:tcPr>
          <w:p>
            <w:pPr>
              <w:jc w:val="right"/>
              <w:spacing w:after="0"/>
              <w:rPr>
                <w:sz w:val="20"/>
                <w:szCs w:val="20"/>
                <w:color w:val="auto"/>
              </w:rPr>
            </w:pPr>
            <w:r>
              <w:rPr>
                <w:rFonts w:ascii="Calibri" w:cs="Calibri" w:eastAsia="Calibri" w:hAnsi="Calibri"/>
                <w:sz w:val="16"/>
                <w:szCs w:val="16"/>
                <w:color w:val="auto"/>
              </w:rPr>
              <w:t>0.32%</w:t>
            </w:r>
          </w:p>
        </w:tc>
      </w:tr>
      <w:tr>
        <w:trPr>
          <w:trHeight w:val="232"/>
        </w:trPr>
        <w:tc>
          <w:tcPr>
            <w:tcW w:w="7060" w:type="dxa"/>
            <w:vAlign w:val="bottom"/>
          </w:tcPr>
          <w:p>
            <w:pPr>
              <w:spacing w:after="0"/>
              <w:rPr>
                <w:sz w:val="20"/>
                <w:szCs w:val="20"/>
                <w:color w:val="auto"/>
              </w:rPr>
            </w:pPr>
            <w:r>
              <w:rPr>
                <w:rFonts w:ascii="Calibri" w:cs="Calibri" w:eastAsia="Calibri" w:hAnsi="Calibri"/>
                <w:sz w:val="16"/>
                <w:szCs w:val="16"/>
                <w:color w:val="auto"/>
              </w:rPr>
              <w:t>Expected annual volatlity, based on comparable companies</w:t>
            </w:r>
          </w:p>
        </w:tc>
        <w:tc>
          <w:tcPr>
            <w:tcW w:w="3640" w:type="dxa"/>
            <w:vAlign w:val="bottom"/>
          </w:tcPr>
          <w:p>
            <w:pPr>
              <w:jc w:val="right"/>
              <w:spacing w:after="0"/>
              <w:rPr>
                <w:sz w:val="20"/>
                <w:szCs w:val="20"/>
                <w:color w:val="auto"/>
              </w:rPr>
            </w:pPr>
            <w:r>
              <w:rPr>
                <w:rFonts w:ascii="Calibri" w:cs="Calibri" w:eastAsia="Calibri" w:hAnsi="Calibri"/>
                <w:sz w:val="16"/>
                <w:szCs w:val="16"/>
                <w:color w:val="auto"/>
              </w:rPr>
              <w:t>85%</w:t>
            </w:r>
          </w:p>
        </w:tc>
      </w:tr>
      <w:tr>
        <w:trPr>
          <w:trHeight w:val="232"/>
        </w:trPr>
        <w:tc>
          <w:tcPr>
            <w:tcW w:w="7060" w:type="dxa"/>
            <w:vAlign w:val="bottom"/>
          </w:tcPr>
          <w:p>
            <w:pPr>
              <w:spacing w:after="0"/>
              <w:rPr>
                <w:sz w:val="20"/>
                <w:szCs w:val="20"/>
                <w:color w:val="auto"/>
              </w:rPr>
            </w:pPr>
            <w:r>
              <w:rPr>
                <w:rFonts w:ascii="Calibri" w:cs="Calibri" w:eastAsia="Calibri" w:hAnsi="Calibri"/>
                <w:sz w:val="16"/>
                <w:szCs w:val="16"/>
                <w:color w:val="auto"/>
              </w:rPr>
              <w:t>Expected life (in years)</w:t>
            </w:r>
          </w:p>
        </w:tc>
        <w:tc>
          <w:tcPr>
            <w:tcW w:w="364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32"/>
        </w:trPr>
        <w:tc>
          <w:tcPr>
            <w:tcW w:w="7060" w:type="dxa"/>
            <w:vAlign w:val="bottom"/>
          </w:tcPr>
          <w:p>
            <w:pPr>
              <w:spacing w:after="0"/>
              <w:rPr>
                <w:sz w:val="20"/>
                <w:szCs w:val="20"/>
                <w:color w:val="auto"/>
              </w:rPr>
            </w:pPr>
            <w:r>
              <w:rPr>
                <w:rFonts w:ascii="Calibri" w:cs="Calibri" w:eastAsia="Calibri" w:hAnsi="Calibri"/>
                <w:sz w:val="16"/>
                <w:szCs w:val="16"/>
                <w:color w:val="auto"/>
              </w:rPr>
              <w:t>Expected dividend yield</w:t>
            </w:r>
          </w:p>
        </w:tc>
        <w:tc>
          <w:tcPr>
            <w:tcW w:w="364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32"/>
        </w:trPr>
        <w:tc>
          <w:tcPr>
            <w:tcW w:w="7060" w:type="dxa"/>
            <w:vAlign w:val="bottom"/>
          </w:tcPr>
          <w:p>
            <w:pPr>
              <w:spacing w:after="0"/>
              <w:rPr>
                <w:sz w:val="20"/>
                <w:szCs w:val="20"/>
                <w:color w:val="auto"/>
              </w:rPr>
            </w:pPr>
            <w:r>
              <w:rPr>
                <w:rFonts w:ascii="Calibri" w:cs="Calibri" w:eastAsia="Calibri" w:hAnsi="Calibri"/>
                <w:sz w:val="16"/>
                <w:szCs w:val="16"/>
                <w:color w:val="auto"/>
              </w:rPr>
              <w:t>Share price</w:t>
            </w:r>
          </w:p>
        </w:tc>
        <w:tc>
          <w:tcPr>
            <w:tcW w:w="3640" w:type="dxa"/>
            <w:vAlign w:val="bottom"/>
          </w:tcPr>
          <w:p>
            <w:pPr>
              <w:jc w:val="right"/>
              <w:spacing w:after="0"/>
              <w:rPr>
                <w:sz w:val="20"/>
                <w:szCs w:val="20"/>
                <w:color w:val="auto"/>
              </w:rPr>
            </w:pPr>
            <w:r>
              <w:rPr>
                <w:rFonts w:ascii="Calibri" w:cs="Calibri" w:eastAsia="Calibri" w:hAnsi="Calibri"/>
                <w:sz w:val="16"/>
                <w:szCs w:val="16"/>
                <w:color w:val="auto"/>
              </w:rPr>
              <w:t>$ 2.12</w:t>
            </w:r>
          </w:p>
        </w:tc>
      </w:tr>
      <w:tr>
        <w:trPr>
          <w:trHeight w:val="232"/>
        </w:trPr>
        <w:tc>
          <w:tcPr>
            <w:tcW w:w="7060" w:type="dxa"/>
            <w:vAlign w:val="bottom"/>
          </w:tcPr>
          <w:p>
            <w:pPr>
              <w:spacing w:after="0"/>
              <w:rPr>
                <w:sz w:val="20"/>
                <w:szCs w:val="20"/>
                <w:color w:val="auto"/>
              </w:rPr>
            </w:pPr>
            <w:r>
              <w:rPr>
                <w:rFonts w:ascii="Calibri" w:cs="Calibri" w:eastAsia="Calibri" w:hAnsi="Calibri"/>
                <w:sz w:val="16"/>
                <w:szCs w:val="16"/>
                <w:color w:val="auto"/>
              </w:rPr>
              <w:t>Exercise price</w:t>
            </w:r>
          </w:p>
        </w:tc>
        <w:tc>
          <w:tcPr>
            <w:tcW w:w="3640" w:type="dxa"/>
            <w:vAlign w:val="bottom"/>
          </w:tcPr>
          <w:p>
            <w:pPr>
              <w:jc w:val="right"/>
              <w:spacing w:after="0"/>
              <w:rPr>
                <w:sz w:val="20"/>
                <w:szCs w:val="20"/>
                <w:color w:val="auto"/>
              </w:rPr>
            </w:pPr>
            <w:r>
              <w:rPr>
                <w:rFonts w:ascii="Calibri" w:cs="Calibri" w:eastAsia="Calibri" w:hAnsi="Calibri"/>
                <w:sz w:val="16"/>
                <w:szCs w:val="16"/>
                <w:color w:val="auto"/>
              </w:rPr>
              <w:t>$ 3.25</w:t>
            </w:r>
          </w:p>
        </w:tc>
      </w:tr>
      <w:tr>
        <w:trPr>
          <w:trHeight w:val="46"/>
        </w:trPr>
        <w:tc>
          <w:tcPr>
            <w:tcW w:w="706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r>
    </w:tbl>
    <w:p>
      <w:pPr>
        <w:spacing w:after="0" w:line="286" w:lineRule="exact"/>
        <w:rPr>
          <w:sz w:val="20"/>
          <w:szCs w:val="20"/>
          <w:color w:val="auto"/>
        </w:rPr>
      </w:pPr>
    </w:p>
    <w:p>
      <w:pPr>
        <w:jc w:val="both"/>
        <w:ind w:left="240" w:right="20"/>
        <w:spacing w:after="0" w:line="231" w:lineRule="auto"/>
        <w:rPr>
          <w:sz w:val="20"/>
          <w:szCs w:val="20"/>
          <w:color w:val="auto"/>
        </w:rPr>
      </w:pPr>
      <w:r>
        <w:rPr>
          <w:rFonts w:ascii="Calibri" w:cs="Calibri" w:eastAsia="Calibri" w:hAnsi="Calibri"/>
          <w:sz w:val="16"/>
          <w:szCs w:val="16"/>
          <w:color w:val="auto"/>
        </w:rPr>
        <w:t>The Company estmated the aggregate fair value of the Underwriters’ Warrants issued on February 4, 2021 using the Black-Scholes opton pricing model to be $970 with the following assumptons:</w:t>
      </w:r>
    </w:p>
    <w:p>
      <w:pPr>
        <w:spacing w:after="0" w:line="246"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7040" w:type="dxa"/>
            <w:vAlign w:val="bottom"/>
          </w:tcPr>
          <w:p>
            <w:pPr>
              <w:spacing w:after="0"/>
              <w:rPr>
                <w:sz w:val="20"/>
                <w:szCs w:val="20"/>
                <w:color w:val="auto"/>
              </w:rPr>
            </w:pPr>
            <w:r>
              <w:rPr>
                <w:rFonts w:ascii="Calibri" w:cs="Calibri" w:eastAsia="Calibri" w:hAnsi="Calibri"/>
                <w:sz w:val="16"/>
                <w:szCs w:val="16"/>
                <w:color w:val="auto"/>
              </w:rPr>
              <w:t>Risk-free interest rate</w:t>
            </w:r>
          </w:p>
        </w:tc>
        <w:tc>
          <w:tcPr>
            <w:tcW w:w="3600" w:type="dxa"/>
            <w:vAlign w:val="bottom"/>
          </w:tcPr>
          <w:p>
            <w:pPr>
              <w:jc w:val="right"/>
              <w:spacing w:after="0"/>
              <w:rPr>
                <w:sz w:val="20"/>
                <w:szCs w:val="20"/>
                <w:color w:val="auto"/>
              </w:rPr>
            </w:pPr>
            <w:r>
              <w:rPr>
                <w:rFonts w:ascii="Calibri" w:cs="Calibri" w:eastAsia="Calibri" w:hAnsi="Calibri"/>
                <w:sz w:val="16"/>
                <w:szCs w:val="16"/>
                <w:color w:val="auto"/>
              </w:rPr>
              <w:t>0.32%</w:t>
            </w:r>
          </w:p>
        </w:tc>
      </w:tr>
      <w:tr>
        <w:trPr>
          <w:trHeight w:val="232"/>
        </w:trPr>
        <w:tc>
          <w:tcPr>
            <w:tcW w:w="7040" w:type="dxa"/>
            <w:vAlign w:val="bottom"/>
          </w:tcPr>
          <w:p>
            <w:pPr>
              <w:spacing w:after="0"/>
              <w:rPr>
                <w:sz w:val="20"/>
                <w:szCs w:val="20"/>
                <w:color w:val="auto"/>
              </w:rPr>
            </w:pPr>
            <w:r>
              <w:rPr>
                <w:rFonts w:ascii="Calibri" w:cs="Calibri" w:eastAsia="Calibri" w:hAnsi="Calibri"/>
                <w:sz w:val="16"/>
                <w:szCs w:val="16"/>
                <w:color w:val="auto"/>
              </w:rPr>
              <w:t>Expected annual volatlity, based on comparable companies</w:t>
            </w:r>
          </w:p>
        </w:tc>
        <w:tc>
          <w:tcPr>
            <w:tcW w:w="3600" w:type="dxa"/>
            <w:vAlign w:val="bottom"/>
          </w:tcPr>
          <w:p>
            <w:pPr>
              <w:jc w:val="right"/>
              <w:spacing w:after="0"/>
              <w:rPr>
                <w:sz w:val="20"/>
                <w:szCs w:val="20"/>
                <w:color w:val="auto"/>
              </w:rPr>
            </w:pPr>
            <w:r>
              <w:rPr>
                <w:rFonts w:ascii="Calibri" w:cs="Calibri" w:eastAsia="Calibri" w:hAnsi="Calibri"/>
                <w:sz w:val="16"/>
                <w:szCs w:val="16"/>
                <w:color w:val="auto"/>
              </w:rPr>
              <w:t>85%</w:t>
            </w:r>
          </w:p>
        </w:tc>
      </w:tr>
      <w:tr>
        <w:trPr>
          <w:trHeight w:val="232"/>
        </w:trPr>
        <w:tc>
          <w:tcPr>
            <w:tcW w:w="7040" w:type="dxa"/>
            <w:vAlign w:val="bottom"/>
          </w:tcPr>
          <w:p>
            <w:pPr>
              <w:spacing w:after="0"/>
              <w:rPr>
                <w:sz w:val="20"/>
                <w:szCs w:val="20"/>
                <w:color w:val="auto"/>
              </w:rPr>
            </w:pPr>
            <w:r>
              <w:rPr>
                <w:rFonts w:ascii="Calibri" w:cs="Calibri" w:eastAsia="Calibri" w:hAnsi="Calibri"/>
                <w:sz w:val="16"/>
                <w:szCs w:val="16"/>
                <w:color w:val="auto"/>
              </w:rPr>
              <w:t>Expected life (in years)</w:t>
            </w:r>
          </w:p>
        </w:tc>
        <w:tc>
          <w:tcPr>
            <w:tcW w:w="360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32"/>
        </w:trPr>
        <w:tc>
          <w:tcPr>
            <w:tcW w:w="7040" w:type="dxa"/>
            <w:vAlign w:val="bottom"/>
          </w:tcPr>
          <w:p>
            <w:pPr>
              <w:spacing w:after="0"/>
              <w:rPr>
                <w:sz w:val="20"/>
                <w:szCs w:val="20"/>
                <w:color w:val="auto"/>
              </w:rPr>
            </w:pPr>
            <w:r>
              <w:rPr>
                <w:rFonts w:ascii="Calibri" w:cs="Calibri" w:eastAsia="Calibri" w:hAnsi="Calibri"/>
                <w:sz w:val="16"/>
                <w:szCs w:val="16"/>
                <w:color w:val="auto"/>
              </w:rPr>
              <w:t>Expected dividend yield</w:t>
            </w:r>
          </w:p>
        </w:tc>
        <w:tc>
          <w:tcPr>
            <w:tcW w:w="360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32"/>
        </w:trPr>
        <w:tc>
          <w:tcPr>
            <w:tcW w:w="7040" w:type="dxa"/>
            <w:vAlign w:val="bottom"/>
          </w:tcPr>
          <w:p>
            <w:pPr>
              <w:spacing w:after="0"/>
              <w:rPr>
                <w:sz w:val="20"/>
                <w:szCs w:val="20"/>
                <w:color w:val="auto"/>
              </w:rPr>
            </w:pPr>
            <w:r>
              <w:rPr>
                <w:rFonts w:ascii="Calibri" w:cs="Calibri" w:eastAsia="Calibri" w:hAnsi="Calibri"/>
                <w:sz w:val="16"/>
                <w:szCs w:val="16"/>
                <w:color w:val="auto"/>
              </w:rPr>
              <w:t>Share price</w:t>
            </w:r>
          </w:p>
        </w:tc>
        <w:tc>
          <w:tcPr>
            <w:tcW w:w="3600" w:type="dxa"/>
            <w:vAlign w:val="bottom"/>
          </w:tcPr>
          <w:p>
            <w:pPr>
              <w:jc w:val="right"/>
              <w:spacing w:after="0"/>
              <w:rPr>
                <w:sz w:val="20"/>
                <w:szCs w:val="20"/>
                <w:color w:val="auto"/>
              </w:rPr>
            </w:pPr>
            <w:r>
              <w:rPr>
                <w:rFonts w:ascii="Calibri" w:cs="Calibri" w:eastAsia="Calibri" w:hAnsi="Calibri"/>
                <w:sz w:val="16"/>
                <w:szCs w:val="16"/>
                <w:color w:val="auto"/>
              </w:rPr>
              <w:t>$ 2.12</w:t>
            </w:r>
          </w:p>
        </w:tc>
      </w:tr>
      <w:tr>
        <w:trPr>
          <w:trHeight w:val="232"/>
        </w:trPr>
        <w:tc>
          <w:tcPr>
            <w:tcW w:w="7040" w:type="dxa"/>
            <w:vAlign w:val="bottom"/>
          </w:tcPr>
          <w:p>
            <w:pPr>
              <w:spacing w:after="0"/>
              <w:rPr>
                <w:sz w:val="20"/>
                <w:szCs w:val="20"/>
                <w:color w:val="auto"/>
              </w:rPr>
            </w:pPr>
            <w:r>
              <w:rPr>
                <w:rFonts w:ascii="Calibri" w:cs="Calibri" w:eastAsia="Calibri" w:hAnsi="Calibri"/>
                <w:sz w:val="16"/>
                <w:szCs w:val="16"/>
                <w:color w:val="auto"/>
              </w:rPr>
              <w:t>Exercise price</w:t>
            </w:r>
          </w:p>
        </w:tc>
        <w:tc>
          <w:tcPr>
            <w:tcW w:w="3600" w:type="dxa"/>
            <w:vAlign w:val="bottom"/>
          </w:tcPr>
          <w:p>
            <w:pPr>
              <w:jc w:val="right"/>
              <w:spacing w:after="0"/>
              <w:rPr>
                <w:sz w:val="20"/>
                <w:szCs w:val="20"/>
                <w:color w:val="auto"/>
              </w:rPr>
            </w:pPr>
            <w:r>
              <w:rPr>
                <w:rFonts w:ascii="Calibri" w:cs="Calibri" w:eastAsia="Calibri" w:hAnsi="Calibri"/>
                <w:sz w:val="16"/>
                <w:szCs w:val="16"/>
                <w:color w:val="auto"/>
              </w:rPr>
              <w:t>$ 2.25</w:t>
            </w:r>
          </w:p>
        </w:tc>
      </w:tr>
      <w:tr>
        <w:trPr>
          <w:trHeight w:val="46"/>
        </w:trPr>
        <w:tc>
          <w:tcPr>
            <w:tcW w:w="70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43"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color w:val="auto"/>
        </w:rPr>
        <w:t>During the year ended March 31, 2022, the Company completed the following warrant issuances and modifcatons:</w:t>
      </w:r>
    </w:p>
    <w:p>
      <w:pPr>
        <w:spacing w:after="0" w:line="160"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In connecton with the August 2021 Ofering, the Company issued 658,860 compensaton Common Share purchase warrants, with each compensaton Common Share purchase warrant being exercisable to acquire one Common Share at a price of $3.40 for a period of 24 months. The Company estmated the aggregate fair value of the compensaton Common Share purchase warrants issued on August 3, 2021 using the Black-Scholes opton pricing model to be $1,299 with the following assumptons:</w:t>
      </w:r>
    </w:p>
    <w:p>
      <w:pPr>
        <w:spacing w:after="0" w:line="258"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960" w:type="dxa"/>
            <w:vAlign w:val="bottom"/>
          </w:tcPr>
          <w:p>
            <w:pPr>
              <w:spacing w:after="0"/>
              <w:rPr>
                <w:sz w:val="20"/>
                <w:szCs w:val="20"/>
                <w:color w:val="auto"/>
              </w:rPr>
            </w:pPr>
            <w:r>
              <w:rPr>
                <w:rFonts w:ascii="Calibri" w:cs="Calibri" w:eastAsia="Calibri" w:hAnsi="Calibri"/>
                <w:sz w:val="16"/>
                <w:szCs w:val="16"/>
                <w:color w:val="auto"/>
              </w:rPr>
              <w:t>Risk-free interest rate</w:t>
            </w:r>
          </w:p>
        </w:tc>
        <w:tc>
          <w:tcPr>
            <w:tcW w:w="3580" w:type="dxa"/>
            <w:vAlign w:val="bottom"/>
          </w:tcPr>
          <w:p>
            <w:pPr>
              <w:jc w:val="right"/>
              <w:spacing w:after="0"/>
              <w:rPr>
                <w:sz w:val="20"/>
                <w:szCs w:val="20"/>
                <w:color w:val="auto"/>
              </w:rPr>
            </w:pPr>
            <w:r>
              <w:rPr>
                <w:rFonts w:ascii="Calibri" w:cs="Calibri" w:eastAsia="Calibri" w:hAnsi="Calibri"/>
                <w:sz w:val="16"/>
                <w:szCs w:val="16"/>
                <w:color w:val="auto"/>
              </w:rPr>
              <w:t>0.42 %</w:t>
            </w:r>
          </w:p>
        </w:tc>
      </w:tr>
      <w:tr>
        <w:trPr>
          <w:trHeight w:val="232"/>
        </w:trPr>
        <w:tc>
          <w:tcPr>
            <w:tcW w:w="6960" w:type="dxa"/>
            <w:vAlign w:val="bottom"/>
          </w:tcPr>
          <w:p>
            <w:pPr>
              <w:spacing w:after="0"/>
              <w:rPr>
                <w:sz w:val="20"/>
                <w:szCs w:val="20"/>
                <w:color w:val="auto"/>
              </w:rPr>
            </w:pPr>
            <w:r>
              <w:rPr>
                <w:rFonts w:ascii="Calibri" w:cs="Calibri" w:eastAsia="Calibri" w:hAnsi="Calibri"/>
                <w:sz w:val="16"/>
                <w:szCs w:val="16"/>
                <w:color w:val="auto"/>
              </w:rPr>
              <w:t>Expected annual volatlity, based on comparable companies</w:t>
            </w:r>
          </w:p>
        </w:tc>
        <w:tc>
          <w:tcPr>
            <w:tcW w:w="3580" w:type="dxa"/>
            <w:vAlign w:val="bottom"/>
          </w:tcPr>
          <w:p>
            <w:pPr>
              <w:jc w:val="right"/>
              <w:spacing w:after="0"/>
              <w:rPr>
                <w:sz w:val="20"/>
                <w:szCs w:val="20"/>
                <w:color w:val="auto"/>
              </w:rPr>
            </w:pPr>
            <w:r>
              <w:rPr>
                <w:rFonts w:ascii="Calibri" w:cs="Calibri" w:eastAsia="Calibri" w:hAnsi="Calibri"/>
                <w:sz w:val="16"/>
                <w:szCs w:val="16"/>
                <w:color w:val="auto"/>
              </w:rPr>
              <w:t>85 %</w:t>
            </w:r>
          </w:p>
        </w:tc>
      </w:tr>
      <w:tr>
        <w:trPr>
          <w:trHeight w:val="232"/>
        </w:trPr>
        <w:tc>
          <w:tcPr>
            <w:tcW w:w="6960" w:type="dxa"/>
            <w:vAlign w:val="bottom"/>
          </w:tcPr>
          <w:p>
            <w:pPr>
              <w:spacing w:after="0"/>
              <w:rPr>
                <w:sz w:val="20"/>
                <w:szCs w:val="20"/>
                <w:color w:val="auto"/>
              </w:rPr>
            </w:pPr>
            <w:r>
              <w:rPr>
                <w:rFonts w:ascii="Calibri" w:cs="Calibri" w:eastAsia="Calibri" w:hAnsi="Calibri"/>
                <w:sz w:val="16"/>
                <w:szCs w:val="16"/>
                <w:color w:val="auto"/>
              </w:rPr>
              <w:t>Expected life (in years)</w:t>
            </w:r>
          </w:p>
        </w:tc>
        <w:tc>
          <w:tcPr>
            <w:tcW w:w="3580" w:type="dxa"/>
            <w:vAlign w:val="bottom"/>
          </w:tcPr>
          <w:p>
            <w:pPr>
              <w:jc w:val="right"/>
              <w:spacing w:after="0"/>
              <w:rPr>
                <w:sz w:val="20"/>
                <w:szCs w:val="20"/>
                <w:color w:val="auto"/>
              </w:rPr>
            </w:pPr>
            <w:r>
              <w:rPr>
                <w:rFonts w:ascii="Calibri" w:cs="Calibri" w:eastAsia="Calibri" w:hAnsi="Calibri"/>
                <w:sz w:val="16"/>
                <w:szCs w:val="16"/>
                <w:color w:val="auto"/>
              </w:rPr>
              <w:t>2</w:t>
            </w:r>
          </w:p>
        </w:tc>
      </w:tr>
      <w:tr>
        <w:trPr>
          <w:trHeight w:val="232"/>
        </w:trPr>
        <w:tc>
          <w:tcPr>
            <w:tcW w:w="6960" w:type="dxa"/>
            <w:vAlign w:val="bottom"/>
          </w:tcPr>
          <w:p>
            <w:pPr>
              <w:spacing w:after="0"/>
              <w:rPr>
                <w:sz w:val="20"/>
                <w:szCs w:val="20"/>
                <w:color w:val="auto"/>
              </w:rPr>
            </w:pPr>
            <w:r>
              <w:rPr>
                <w:rFonts w:ascii="Calibri" w:cs="Calibri" w:eastAsia="Calibri" w:hAnsi="Calibri"/>
                <w:sz w:val="16"/>
                <w:szCs w:val="16"/>
                <w:color w:val="auto"/>
              </w:rPr>
              <w:t>Expected dividend yield</w:t>
            </w:r>
          </w:p>
        </w:tc>
        <w:tc>
          <w:tcPr>
            <w:tcW w:w="358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32"/>
        </w:trPr>
        <w:tc>
          <w:tcPr>
            <w:tcW w:w="6960" w:type="dxa"/>
            <w:vAlign w:val="bottom"/>
          </w:tcPr>
          <w:p>
            <w:pPr>
              <w:spacing w:after="0"/>
              <w:rPr>
                <w:sz w:val="20"/>
                <w:szCs w:val="20"/>
                <w:color w:val="auto"/>
              </w:rPr>
            </w:pPr>
            <w:r>
              <w:rPr>
                <w:rFonts w:ascii="Calibri" w:cs="Calibri" w:eastAsia="Calibri" w:hAnsi="Calibri"/>
                <w:sz w:val="16"/>
                <w:szCs w:val="16"/>
                <w:color w:val="auto"/>
              </w:rPr>
              <w:t>Share price</w:t>
            </w:r>
          </w:p>
        </w:tc>
        <w:tc>
          <w:tcPr>
            <w:tcW w:w="3580" w:type="dxa"/>
            <w:vAlign w:val="bottom"/>
          </w:tcPr>
          <w:p>
            <w:pPr>
              <w:jc w:val="right"/>
              <w:spacing w:after="0"/>
              <w:rPr>
                <w:sz w:val="20"/>
                <w:szCs w:val="20"/>
                <w:color w:val="auto"/>
              </w:rPr>
            </w:pPr>
            <w:r>
              <w:rPr>
                <w:rFonts w:ascii="Calibri" w:cs="Calibri" w:eastAsia="Calibri" w:hAnsi="Calibri"/>
                <w:sz w:val="16"/>
                <w:szCs w:val="16"/>
                <w:color w:val="auto"/>
              </w:rPr>
              <w:t>$3.83</w:t>
            </w:r>
          </w:p>
        </w:tc>
      </w:tr>
      <w:tr>
        <w:trPr>
          <w:trHeight w:val="232"/>
        </w:trPr>
        <w:tc>
          <w:tcPr>
            <w:tcW w:w="6960" w:type="dxa"/>
            <w:vAlign w:val="bottom"/>
          </w:tcPr>
          <w:p>
            <w:pPr>
              <w:spacing w:after="0"/>
              <w:rPr>
                <w:sz w:val="20"/>
                <w:szCs w:val="20"/>
                <w:color w:val="auto"/>
              </w:rPr>
            </w:pPr>
            <w:r>
              <w:rPr>
                <w:rFonts w:ascii="Calibri" w:cs="Calibri" w:eastAsia="Calibri" w:hAnsi="Calibri"/>
                <w:sz w:val="16"/>
                <w:szCs w:val="16"/>
                <w:color w:val="auto"/>
              </w:rPr>
              <w:t>Exercise price</w:t>
            </w:r>
          </w:p>
        </w:tc>
        <w:tc>
          <w:tcPr>
            <w:tcW w:w="3580" w:type="dxa"/>
            <w:vAlign w:val="bottom"/>
          </w:tcPr>
          <w:p>
            <w:pPr>
              <w:jc w:val="right"/>
              <w:spacing w:after="0"/>
              <w:rPr>
                <w:sz w:val="20"/>
                <w:szCs w:val="20"/>
                <w:color w:val="auto"/>
              </w:rPr>
            </w:pPr>
            <w:r>
              <w:rPr>
                <w:rFonts w:ascii="Calibri" w:cs="Calibri" w:eastAsia="Calibri" w:hAnsi="Calibri"/>
                <w:sz w:val="16"/>
                <w:szCs w:val="16"/>
                <w:color w:val="auto"/>
              </w:rPr>
              <w:t>$3.40</w:t>
            </w:r>
          </w:p>
        </w:tc>
      </w:tr>
      <w:tr>
        <w:trPr>
          <w:trHeight w:val="46"/>
        </w:trPr>
        <w:tc>
          <w:tcPr>
            <w:tcW w:w="696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bl>
    <w:p>
      <w:pPr>
        <w:spacing w:after="0" w:line="225" w:lineRule="exact"/>
        <w:rPr>
          <w:sz w:val="20"/>
          <w:szCs w:val="20"/>
          <w:color w:val="auto"/>
        </w:rPr>
      </w:pPr>
    </w:p>
    <w:p>
      <w:pPr>
        <w:jc w:val="both"/>
        <w:ind w:left="240"/>
        <w:spacing w:after="0" w:line="234" w:lineRule="auto"/>
        <w:rPr>
          <w:sz w:val="20"/>
          <w:szCs w:val="20"/>
          <w:color w:val="auto"/>
        </w:rPr>
      </w:pPr>
      <w:r>
        <w:rPr>
          <w:rFonts w:ascii="Calibri" w:cs="Calibri" w:eastAsia="Calibri" w:hAnsi="Calibri"/>
          <w:sz w:val="16"/>
          <w:szCs w:val="16"/>
          <w:color w:val="auto"/>
        </w:rPr>
        <w:t>On November 10, 2021, the Company approved the amendment of the terms of 1,150,000 Common Share purchase warrants such that the expiry date was extended from June 15, 2025 to November 15, 2025. The incremental fair value using the Black-Scholes opton pricing model results in additonal share-based payment compensaton of $12 for the year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37 of 53</w:t>
      </w:r>
    </w:p>
    <w:p>
      <w:pPr>
        <w:sectPr>
          <w:pgSz w:w="11900" w:h="16838" w:orient="portrait"/>
          <w:cols w:equalWidth="0" w:num="1">
            <w:col w:w="11200"/>
          </w:cols>
          <w:pgMar w:left="380" w:top="151" w:right="319" w:bottom="1440" w:gutter="0" w:footer="0" w:header="0"/>
        </w:sectPr>
      </w:pPr>
    </w:p>
    <w:bookmarkStart w:id="137" w:name="page138"/>
    <w:bookmarkEnd w:id="137"/>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The following summarizes informaton about warrants outstanding at March 31, 2022:</w:t>
      </w:r>
    </w:p>
    <w:p>
      <w:pPr>
        <w:spacing w:after="0" w:line="173"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alibri" w:cs="Calibri" w:eastAsia="Calibri" w:hAnsi="Calibri"/>
                <w:sz w:val="16"/>
                <w:szCs w:val="16"/>
                <w:b w:val="1"/>
                <w:bCs w:val="1"/>
                <w:color w:val="auto"/>
              </w:rPr>
              <w:t>Weighted average</w:t>
            </w:r>
          </w:p>
        </w:tc>
      </w:tr>
      <w:tr>
        <w:trPr>
          <w:trHeight w:val="159"/>
        </w:trPr>
        <w:tc>
          <w:tcPr>
            <w:tcW w:w="2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0" w:type="dxa"/>
            <w:vAlign w:val="bottom"/>
          </w:tcPr>
          <w:p>
            <w:pPr>
              <w:jc w:val="right"/>
              <w:spacing w:after="0" w:line="159" w:lineRule="exact"/>
              <w:rPr>
                <w:sz w:val="20"/>
                <w:szCs w:val="20"/>
                <w:color w:val="auto"/>
              </w:rPr>
            </w:pPr>
            <w:r>
              <w:rPr>
                <w:rFonts w:ascii="Calibri" w:cs="Calibri" w:eastAsia="Calibri" w:hAnsi="Calibri"/>
                <w:sz w:val="16"/>
                <w:szCs w:val="16"/>
                <w:b w:val="1"/>
                <w:bCs w:val="1"/>
                <w:color w:val="auto"/>
              </w:rPr>
              <w:t>remaining of</w:t>
            </w:r>
          </w:p>
        </w:tc>
      </w:tr>
      <w:tr>
        <w:trPr>
          <w:trHeight w:val="159"/>
        </w:trPr>
        <w:tc>
          <w:tcPr>
            <w:tcW w:w="2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jc w:val="right"/>
              <w:ind w:right="259"/>
              <w:spacing w:after="0" w:line="159" w:lineRule="exact"/>
              <w:rPr>
                <w:sz w:val="20"/>
                <w:szCs w:val="20"/>
                <w:color w:val="auto"/>
              </w:rPr>
            </w:pPr>
            <w:r>
              <w:rPr>
                <w:rFonts w:ascii="Calibri" w:cs="Calibri" w:eastAsia="Calibri" w:hAnsi="Calibri"/>
                <w:sz w:val="16"/>
                <w:szCs w:val="16"/>
                <w:b w:val="1"/>
                <w:bCs w:val="1"/>
                <w:color w:val="auto"/>
              </w:rPr>
              <w:t>Warrants</w:t>
            </w:r>
          </w:p>
        </w:tc>
        <w:tc>
          <w:tcPr>
            <w:tcW w:w="1140" w:type="dxa"/>
            <w:vAlign w:val="bottom"/>
          </w:tcPr>
          <w:p>
            <w:pPr>
              <w:jc w:val="right"/>
              <w:spacing w:after="0" w:line="159" w:lineRule="exact"/>
              <w:rPr>
                <w:sz w:val="20"/>
                <w:szCs w:val="20"/>
                <w:color w:val="auto"/>
              </w:rPr>
            </w:pPr>
            <w:r>
              <w:rPr>
                <w:rFonts w:ascii="Calibri" w:cs="Calibri" w:eastAsia="Calibri" w:hAnsi="Calibri"/>
                <w:sz w:val="16"/>
                <w:szCs w:val="16"/>
                <w:b w:val="1"/>
                <w:bCs w:val="1"/>
                <w:color w:val="auto"/>
              </w:rPr>
              <w:t>Warrants</w:t>
            </w:r>
          </w:p>
        </w:tc>
        <w:tc>
          <w:tcPr>
            <w:tcW w:w="1480" w:type="dxa"/>
            <w:vAlign w:val="bottom"/>
          </w:tcPr>
          <w:p>
            <w:pPr>
              <w:jc w:val="right"/>
              <w:spacing w:after="0" w:line="159" w:lineRule="exact"/>
              <w:rPr>
                <w:sz w:val="20"/>
                <w:szCs w:val="20"/>
                <w:color w:val="auto"/>
              </w:rPr>
            </w:pPr>
            <w:r>
              <w:rPr>
                <w:rFonts w:ascii="Calibri" w:cs="Calibri" w:eastAsia="Calibri" w:hAnsi="Calibri"/>
                <w:sz w:val="16"/>
                <w:szCs w:val="16"/>
                <w:b w:val="1"/>
                <w:bCs w:val="1"/>
                <w:color w:val="auto"/>
              </w:rPr>
              <w:t>Weighted average of</w:t>
            </w:r>
          </w:p>
        </w:tc>
        <w:tc>
          <w:tcPr>
            <w:tcW w:w="1520" w:type="dxa"/>
            <w:vAlign w:val="bottom"/>
          </w:tcPr>
          <w:p>
            <w:pPr>
              <w:jc w:val="right"/>
              <w:ind w:right="79"/>
              <w:spacing w:after="0" w:line="159" w:lineRule="exact"/>
              <w:rPr>
                <w:sz w:val="20"/>
                <w:szCs w:val="20"/>
                <w:color w:val="auto"/>
              </w:rPr>
            </w:pPr>
            <w:r>
              <w:rPr>
                <w:rFonts w:ascii="Calibri" w:cs="Calibri" w:eastAsia="Calibri" w:hAnsi="Calibri"/>
                <w:sz w:val="16"/>
                <w:szCs w:val="16"/>
                <w:b w:val="1"/>
                <w:bCs w:val="1"/>
                <w:color w:val="auto"/>
              </w:rPr>
              <w:t>Estmated grant</w:t>
            </w:r>
          </w:p>
        </w:tc>
        <w:tc>
          <w:tcPr>
            <w:tcW w:w="1400" w:type="dxa"/>
            <w:vAlign w:val="bottom"/>
          </w:tcPr>
          <w:p>
            <w:pPr>
              <w:jc w:val="right"/>
              <w:spacing w:after="0" w:line="159" w:lineRule="exact"/>
              <w:rPr>
                <w:sz w:val="20"/>
                <w:szCs w:val="20"/>
                <w:color w:val="auto"/>
              </w:rPr>
            </w:pPr>
            <w:r>
              <w:rPr>
                <w:rFonts w:ascii="Calibri" w:cs="Calibri" w:eastAsia="Calibri" w:hAnsi="Calibri"/>
                <w:sz w:val="16"/>
                <w:szCs w:val="16"/>
                <w:b w:val="1"/>
                <w:bCs w:val="1"/>
                <w:color w:val="auto"/>
              </w:rPr>
              <w:t>outstanding</w:t>
            </w:r>
          </w:p>
        </w:tc>
      </w:tr>
      <w:tr>
        <w:trPr>
          <w:trHeight w:val="206"/>
        </w:trPr>
        <w:tc>
          <w:tcPr>
            <w:tcW w:w="2480" w:type="dxa"/>
            <w:vAlign w:val="bottom"/>
          </w:tcPr>
          <w:p>
            <w:pPr>
              <w:ind w:left="60"/>
              <w:spacing w:after="0"/>
              <w:rPr>
                <w:sz w:val="20"/>
                <w:szCs w:val="20"/>
                <w:color w:val="auto"/>
              </w:rPr>
            </w:pPr>
            <w:r>
              <w:rPr>
                <w:rFonts w:ascii="Calibri" w:cs="Calibri" w:eastAsia="Calibri" w:hAnsi="Calibri"/>
                <w:sz w:val="16"/>
                <w:szCs w:val="16"/>
                <w:b w:val="1"/>
                <w:bCs w:val="1"/>
                <w:color w:val="auto"/>
              </w:rPr>
              <w:t>Date of Expiry</w:t>
            </w:r>
          </w:p>
        </w:tc>
        <w:tc>
          <w:tcPr>
            <w:tcW w:w="1500" w:type="dxa"/>
            <w:vAlign w:val="bottom"/>
          </w:tcPr>
          <w:p>
            <w:pPr>
              <w:jc w:val="right"/>
              <w:ind w:right="219"/>
              <w:spacing w:after="0"/>
              <w:rPr>
                <w:sz w:val="20"/>
                <w:szCs w:val="20"/>
                <w:color w:val="auto"/>
              </w:rPr>
            </w:pPr>
            <w:r>
              <w:rPr>
                <w:rFonts w:ascii="Calibri" w:cs="Calibri" w:eastAsia="Calibri" w:hAnsi="Calibri"/>
                <w:sz w:val="16"/>
                <w:szCs w:val="16"/>
                <w:b w:val="1"/>
                <w:bCs w:val="1"/>
                <w:color w:val="auto"/>
              </w:rPr>
              <w:t>Warrants issued</w:t>
            </w:r>
          </w:p>
        </w:tc>
        <w:tc>
          <w:tcPr>
            <w:tcW w:w="1440" w:type="dxa"/>
            <w:vAlign w:val="bottom"/>
          </w:tcPr>
          <w:p>
            <w:pPr>
              <w:jc w:val="right"/>
              <w:ind w:right="259"/>
              <w:spacing w:after="0" w:line="194" w:lineRule="exact"/>
              <w:rPr>
                <w:sz w:val="20"/>
                <w:szCs w:val="20"/>
                <w:color w:val="auto"/>
              </w:rPr>
            </w:pPr>
            <w:r>
              <w:rPr>
                <w:rFonts w:ascii="Calibri" w:cs="Calibri" w:eastAsia="Calibri" w:hAnsi="Calibri"/>
                <w:sz w:val="16"/>
                <w:szCs w:val="16"/>
                <w:b w:val="1"/>
                <w:bCs w:val="1"/>
                <w:color w:val="auto"/>
              </w:rPr>
              <w:t>outstanding</w:t>
            </w:r>
          </w:p>
        </w:tc>
        <w:tc>
          <w:tcPr>
            <w:tcW w:w="1140" w:type="dxa"/>
            <w:vAlign w:val="bottom"/>
          </w:tcPr>
          <w:p>
            <w:pPr>
              <w:jc w:val="right"/>
              <w:spacing w:after="0" w:line="194" w:lineRule="exact"/>
              <w:rPr>
                <w:sz w:val="20"/>
                <w:szCs w:val="20"/>
                <w:color w:val="auto"/>
              </w:rPr>
            </w:pPr>
            <w:r>
              <w:rPr>
                <w:rFonts w:ascii="Calibri" w:cs="Calibri" w:eastAsia="Calibri" w:hAnsi="Calibri"/>
                <w:sz w:val="16"/>
                <w:szCs w:val="16"/>
                <w:b w:val="1"/>
                <w:bCs w:val="1"/>
                <w:color w:val="auto"/>
              </w:rPr>
              <w:t>exercisable</w:t>
            </w:r>
          </w:p>
        </w:tc>
        <w:tc>
          <w:tcPr>
            <w:tcW w:w="1480" w:type="dxa"/>
            <w:vAlign w:val="bottom"/>
          </w:tcPr>
          <w:p>
            <w:pPr>
              <w:jc w:val="right"/>
              <w:spacing w:after="0" w:line="194" w:lineRule="exact"/>
              <w:rPr>
                <w:sz w:val="20"/>
                <w:szCs w:val="20"/>
                <w:color w:val="auto"/>
              </w:rPr>
            </w:pPr>
            <w:r>
              <w:rPr>
                <w:rFonts w:ascii="Calibri" w:cs="Calibri" w:eastAsia="Calibri" w:hAnsi="Calibri"/>
                <w:sz w:val="16"/>
                <w:szCs w:val="16"/>
                <w:b w:val="1"/>
                <w:bCs w:val="1"/>
                <w:color w:val="auto"/>
              </w:rPr>
              <w:t>exercisable price</w:t>
            </w:r>
          </w:p>
        </w:tc>
        <w:tc>
          <w:tcPr>
            <w:tcW w:w="1520" w:type="dxa"/>
            <w:vAlign w:val="bottom"/>
          </w:tcPr>
          <w:p>
            <w:pPr>
              <w:jc w:val="right"/>
              <w:ind w:right="79"/>
              <w:spacing w:after="0" w:line="194" w:lineRule="exact"/>
              <w:rPr>
                <w:sz w:val="20"/>
                <w:szCs w:val="20"/>
                <w:color w:val="auto"/>
              </w:rPr>
            </w:pPr>
            <w:r>
              <w:rPr>
                <w:rFonts w:ascii="Calibri" w:cs="Calibri" w:eastAsia="Calibri" w:hAnsi="Calibri"/>
                <w:sz w:val="16"/>
                <w:szCs w:val="16"/>
                <w:b w:val="1"/>
                <w:bCs w:val="1"/>
                <w:color w:val="auto"/>
              </w:rPr>
              <w:t>date fair value</w:t>
            </w:r>
          </w:p>
        </w:tc>
        <w:tc>
          <w:tcPr>
            <w:tcW w:w="1400" w:type="dxa"/>
            <w:vAlign w:val="bottom"/>
          </w:tcPr>
          <w:p>
            <w:pPr>
              <w:jc w:val="right"/>
              <w:spacing w:after="0"/>
              <w:rPr>
                <w:sz w:val="20"/>
                <w:szCs w:val="20"/>
                <w:color w:val="auto"/>
              </w:rPr>
            </w:pPr>
            <w:r>
              <w:rPr>
                <w:rFonts w:ascii="Calibri" w:cs="Calibri" w:eastAsia="Calibri" w:hAnsi="Calibri"/>
                <w:sz w:val="16"/>
                <w:szCs w:val="16"/>
                <w:b w:val="1"/>
                <w:bCs w:val="1"/>
                <w:color w:val="auto"/>
              </w:rPr>
              <w:t>contractual life</w:t>
            </w:r>
          </w:p>
        </w:tc>
      </w:tr>
      <w:tr>
        <w:trPr>
          <w:trHeight w:val="208"/>
        </w:trPr>
        <w:tc>
          <w:tcPr>
            <w:tcW w:w="2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152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$000’s</w:t>
            </w:r>
          </w:p>
        </w:tc>
        <w:tc>
          <w:tcPr>
            <w:tcW w:w="1400" w:type="dxa"/>
            <w:vAlign w:val="bottom"/>
          </w:tcPr>
          <w:p>
            <w:pPr>
              <w:jc w:val="right"/>
              <w:spacing w:after="0"/>
              <w:rPr>
                <w:sz w:val="20"/>
                <w:szCs w:val="20"/>
                <w:color w:val="auto"/>
              </w:rPr>
            </w:pPr>
            <w:r>
              <w:rPr>
                <w:rFonts w:ascii="Calibri" w:cs="Calibri" w:eastAsia="Calibri" w:hAnsi="Calibri"/>
                <w:sz w:val="16"/>
                <w:szCs w:val="16"/>
                <w:b w:val="1"/>
                <w:bCs w:val="1"/>
                <w:color w:val="auto"/>
              </w:rPr>
              <w:t>Years</w:t>
            </w:r>
          </w:p>
        </w:tc>
      </w:tr>
      <w:tr>
        <w:trPr>
          <w:trHeight w:val="21"/>
        </w:trPr>
        <w:tc>
          <w:tcPr>
            <w:tcW w:w="2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6"/>
        </w:trPr>
        <w:tc>
          <w:tcPr>
            <w:tcW w:w="2480" w:type="dxa"/>
            <w:vAlign w:val="bottom"/>
          </w:tcPr>
          <w:p>
            <w:pPr>
              <w:ind w:left="60"/>
              <w:spacing w:after="0" w:line="186" w:lineRule="exact"/>
              <w:rPr>
                <w:sz w:val="20"/>
                <w:szCs w:val="20"/>
                <w:color w:val="auto"/>
              </w:rPr>
            </w:pPr>
            <w:r>
              <w:rPr>
                <w:rFonts w:ascii="Calibri" w:cs="Calibri" w:eastAsia="Calibri" w:hAnsi="Calibri"/>
                <w:sz w:val="16"/>
                <w:szCs w:val="16"/>
                <w:b w:val="1"/>
                <w:bCs w:val="1"/>
                <w:i w:val="1"/>
                <w:iCs w:val="1"/>
                <w:color w:val="auto"/>
              </w:rPr>
              <w:t>Common Share Purchase Warrants</w:t>
            </w:r>
          </w:p>
        </w:tc>
        <w:tc>
          <w:tcPr>
            <w:tcW w:w="1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0"/>
        </w:trPr>
        <w:tc>
          <w:tcPr>
            <w:tcW w:w="2480" w:type="dxa"/>
            <w:vAlign w:val="bottom"/>
          </w:tcPr>
          <w:p>
            <w:pPr>
              <w:spacing w:after="0"/>
              <w:rPr>
                <w:sz w:val="20"/>
                <w:szCs w:val="20"/>
                <w:color w:val="auto"/>
              </w:rPr>
            </w:pPr>
            <w:r>
              <w:rPr>
                <w:rFonts w:ascii="Calibri" w:cs="Calibri" w:eastAsia="Calibri" w:hAnsi="Calibri"/>
                <w:sz w:val="16"/>
                <w:szCs w:val="16"/>
                <w:color w:val="auto"/>
              </w:rPr>
              <w:t>June 15, 2022</w:t>
            </w:r>
          </w:p>
        </w:tc>
        <w:tc>
          <w:tcPr>
            <w:tcW w:w="1500" w:type="dxa"/>
            <w:vAlign w:val="bottom"/>
          </w:tcPr>
          <w:p>
            <w:pPr>
              <w:jc w:val="right"/>
              <w:ind w:right="219"/>
              <w:spacing w:after="0"/>
              <w:rPr>
                <w:sz w:val="20"/>
                <w:szCs w:val="20"/>
                <w:color w:val="auto"/>
              </w:rPr>
            </w:pPr>
            <w:r>
              <w:rPr>
                <w:rFonts w:ascii="Calibri" w:cs="Calibri" w:eastAsia="Calibri" w:hAnsi="Calibri"/>
                <w:sz w:val="16"/>
                <w:szCs w:val="16"/>
                <w:color w:val="auto"/>
              </w:rPr>
              <w:t>2,018,000</w:t>
            </w:r>
          </w:p>
        </w:tc>
        <w:tc>
          <w:tcPr>
            <w:tcW w:w="1440" w:type="dxa"/>
            <w:vAlign w:val="bottom"/>
          </w:tcPr>
          <w:p>
            <w:pPr>
              <w:jc w:val="right"/>
              <w:ind w:right="259"/>
              <w:spacing w:after="0"/>
              <w:rPr>
                <w:sz w:val="20"/>
                <w:szCs w:val="20"/>
                <w:color w:val="auto"/>
              </w:rPr>
            </w:pPr>
            <w:r>
              <w:rPr>
                <w:rFonts w:ascii="Calibri" w:cs="Calibri" w:eastAsia="Calibri" w:hAnsi="Calibri"/>
                <w:sz w:val="16"/>
                <w:szCs w:val="16"/>
                <w:color w:val="auto"/>
              </w:rPr>
              <w:t>1,000,000</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500,000</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0.25</w:t>
            </w:r>
          </w:p>
        </w:tc>
        <w:tc>
          <w:tcPr>
            <w:tcW w:w="1520" w:type="dxa"/>
            <w:vAlign w:val="bottom"/>
          </w:tcPr>
          <w:p>
            <w:pPr>
              <w:jc w:val="right"/>
              <w:ind w:right="79"/>
              <w:spacing w:after="0"/>
              <w:rPr>
                <w:sz w:val="20"/>
                <w:szCs w:val="20"/>
                <w:color w:val="auto"/>
              </w:rPr>
            </w:pPr>
            <w:r>
              <w:rPr>
                <w:rFonts w:ascii="Calibri" w:cs="Calibri" w:eastAsia="Calibri" w:hAnsi="Calibri"/>
                <w:sz w:val="16"/>
                <w:szCs w:val="16"/>
                <w:color w:val="auto"/>
              </w:rPr>
              <w:t>108</w:t>
            </w:r>
          </w:p>
        </w:tc>
        <w:tc>
          <w:tcPr>
            <w:tcW w:w="1400" w:type="dxa"/>
            <w:vAlign w:val="bottom"/>
          </w:tcPr>
          <w:p>
            <w:pPr>
              <w:jc w:val="right"/>
              <w:spacing w:after="0"/>
              <w:rPr>
                <w:sz w:val="20"/>
                <w:szCs w:val="20"/>
                <w:color w:val="auto"/>
              </w:rPr>
            </w:pPr>
            <w:r>
              <w:rPr>
                <w:rFonts w:ascii="Calibri" w:cs="Calibri" w:eastAsia="Calibri" w:hAnsi="Calibri"/>
                <w:sz w:val="16"/>
                <w:szCs w:val="16"/>
                <w:color w:val="auto"/>
              </w:rPr>
              <w:t>0.21</w:t>
            </w:r>
          </w:p>
        </w:tc>
      </w:tr>
      <w:tr>
        <w:trPr>
          <w:trHeight w:val="208"/>
        </w:trPr>
        <w:tc>
          <w:tcPr>
            <w:tcW w:w="2480" w:type="dxa"/>
            <w:vAlign w:val="bottom"/>
          </w:tcPr>
          <w:p>
            <w:pPr>
              <w:spacing w:after="0"/>
              <w:rPr>
                <w:sz w:val="20"/>
                <w:szCs w:val="20"/>
                <w:color w:val="auto"/>
              </w:rPr>
            </w:pPr>
            <w:r>
              <w:rPr>
                <w:rFonts w:ascii="Calibri" w:cs="Calibri" w:eastAsia="Calibri" w:hAnsi="Calibri"/>
                <w:sz w:val="16"/>
                <w:szCs w:val="16"/>
                <w:color w:val="auto"/>
              </w:rPr>
              <w:t>June 26, 2022</w:t>
            </w:r>
          </w:p>
        </w:tc>
        <w:tc>
          <w:tcPr>
            <w:tcW w:w="1500" w:type="dxa"/>
            <w:vAlign w:val="bottom"/>
          </w:tcPr>
          <w:p>
            <w:pPr>
              <w:jc w:val="right"/>
              <w:ind w:right="219"/>
              <w:spacing w:after="0"/>
              <w:rPr>
                <w:sz w:val="20"/>
                <w:szCs w:val="20"/>
                <w:color w:val="auto"/>
              </w:rPr>
            </w:pPr>
            <w:r>
              <w:rPr>
                <w:rFonts w:ascii="Calibri" w:cs="Calibri" w:eastAsia="Calibri" w:hAnsi="Calibri"/>
                <w:sz w:val="16"/>
                <w:szCs w:val="16"/>
                <w:color w:val="auto"/>
              </w:rPr>
              <w:t>199,275</w:t>
            </w:r>
          </w:p>
        </w:tc>
        <w:tc>
          <w:tcPr>
            <w:tcW w:w="1440" w:type="dxa"/>
            <w:vAlign w:val="bottom"/>
          </w:tcPr>
          <w:p>
            <w:pPr>
              <w:jc w:val="right"/>
              <w:ind w:right="259"/>
              <w:spacing w:after="0"/>
              <w:rPr>
                <w:sz w:val="20"/>
                <w:szCs w:val="20"/>
                <w:color w:val="auto"/>
              </w:rPr>
            </w:pPr>
            <w:r>
              <w:rPr>
                <w:rFonts w:ascii="Calibri" w:cs="Calibri" w:eastAsia="Calibri" w:hAnsi="Calibri"/>
                <w:sz w:val="16"/>
                <w:szCs w:val="16"/>
                <w:color w:val="auto"/>
              </w:rPr>
              <w:t>99,638</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99,638</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0.64</w:t>
            </w:r>
          </w:p>
        </w:tc>
        <w:tc>
          <w:tcPr>
            <w:tcW w:w="1520" w:type="dxa"/>
            <w:vAlign w:val="bottom"/>
          </w:tcPr>
          <w:p>
            <w:pPr>
              <w:jc w:val="right"/>
              <w:ind w:right="79"/>
              <w:spacing w:after="0"/>
              <w:rPr>
                <w:sz w:val="20"/>
                <w:szCs w:val="20"/>
                <w:color w:val="auto"/>
              </w:rPr>
            </w:pPr>
            <w:r>
              <w:rPr>
                <w:rFonts w:ascii="Calibri" w:cs="Calibri" w:eastAsia="Calibri" w:hAnsi="Calibri"/>
                <w:sz w:val="16"/>
                <w:szCs w:val="16"/>
                <w:color w:val="auto"/>
              </w:rPr>
              <w:t>29</w:t>
            </w:r>
          </w:p>
        </w:tc>
        <w:tc>
          <w:tcPr>
            <w:tcW w:w="1400" w:type="dxa"/>
            <w:vAlign w:val="bottom"/>
          </w:tcPr>
          <w:p>
            <w:pPr>
              <w:jc w:val="right"/>
              <w:spacing w:after="0"/>
              <w:rPr>
                <w:sz w:val="20"/>
                <w:szCs w:val="20"/>
                <w:color w:val="auto"/>
              </w:rPr>
            </w:pPr>
            <w:r>
              <w:rPr>
                <w:rFonts w:ascii="Calibri" w:cs="Calibri" w:eastAsia="Calibri" w:hAnsi="Calibri"/>
                <w:sz w:val="16"/>
                <w:szCs w:val="16"/>
                <w:color w:val="auto"/>
              </w:rPr>
              <w:t>0.24</w:t>
            </w:r>
          </w:p>
        </w:tc>
      </w:tr>
      <w:tr>
        <w:trPr>
          <w:trHeight w:val="208"/>
        </w:trPr>
        <w:tc>
          <w:tcPr>
            <w:tcW w:w="2480" w:type="dxa"/>
            <w:vAlign w:val="bottom"/>
          </w:tcPr>
          <w:p>
            <w:pPr>
              <w:spacing w:after="0"/>
              <w:rPr>
                <w:sz w:val="20"/>
                <w:szCs w:val="20"/>
                <w:color w:val="auto"/>
              </w:rPr>
            </w:pPr>
            <w:r>
              <w:rPr>
                <w:rFonts w:ascii="Calibri" w:cs="Calibri" w:eastAsia="Calibri" w:hAnsi="Calibri"/>
                <w:sz w:val="16"/>
                <w:szCs w:val="16"/>
                <w:color w:val="auto"/>
              </w:rPr>
              <w:t>October 19, 2022</w:t>
            </w:r>
          </w:p>
        </w:tc>
        <w:tc>
          <w:tcPr>
            <w:tcW w:w="1500" w:type="dxa"/>
            <w:vAlign w:val="bottom"/>
          </w:tcPr>
          <w:p>
            <w:pPr>
              <w:jc w:val="right"/>
              <w:ind w:right="219"/>
              <w:spacing w:after="0"/>
              <w:rPr>
                <w:sz w:val="20"/>
                <w:szCs w:val="20"/>
                <w:color w:val="auto"/>
              </w:rPr>
            </w:pPr>
            <w:r>
              <w:rPr>
                <w:rFonts w:ascii="Calibri" w:cs="Calibri" w:eastAsia="Calibri" w:hAnsi="Calibri"/>
                <w:sz w:val="16"/>
                <w:szCs w:val="16"/>
                <w:color w:val="auto"/>
              </w:rPr>
              <w:t>143,600</w:t>
            </w:r>
          </w:p>
        </w:tc>
        <w:tc>
          <w:tcPr>
            <w:tcW w:w="1440" w:type="dxa"/>
            <w:vAlign w:val="bottom"/>
          </w:tcPr>
          <w:p>
            <w:pPr>
              <w:jc w:val="right"/>
              <w:ind w:right="259"/>
              <w:spacing w:after="0"/>
              <w:rPr>
                <w:sz w:val="20"/>
                <w:szCs w:val="20"/>
                <w:color w:val="auto"/>
              </w:rPr>
            </w:pPr>
            <w:r>
              <w:rPr>
                <w:rFonts w:ascii="Calibri" w:cs="Calibri" w:eastAsia="Calibri" w:hAnsi="Calibri"/>
                <w:sz w:val="16"/>
                <w:szCs w:val="16"/>
                <w:color w:val="auto"/>
              </w:rPr>
              <w:t>113,713</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113,713</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0.75</w:t>
            </w:r>
          </w:p>
        </w:tc>
        <w:tc>
          <w:tcPr>
            <w:tcW w:w="1520" w:type="dxa"/>
            <w:vAlign w:val="bottom"/>
          </w:tcPr>
          <w:p>
            <w:pPr>
              <w:jc w:val="right"/>
              <w:ind w:right="79"/>
              <w:spacing w:after="0"/>
              <w:rPr>
                <w:sz w:val="20"/>
                <w:szCs w:val="20"/>
                <w:color w:val="auto"/>
              </w:rPr>
            </w:pPr>
            <w:r>
              <w:rPr>
                <w:rFonts w:ascii="Calibri" w:cs="Calibri" w:eastAsia="Calibri" w:hAnsi="Calibri"/>
                <w:sz w:val="16"/>
                <w:szCs w:val="16"/>
                <w:color w:val="auto"/>
              </w:rPr>
              <w:t>42</w:t>
            </w:r>
          </w:p>
        </w:tc>
        <w:tc>
          <w:tcPr>
            <w:tcW w:w="1400" w:type="dxa"/>
            <w:vAlign w:val="bottom"/>
          </w:tcPr>
          <w:p>
            <w:pPr>
              <w:jc w:val="right"/>
              <w:spacing w:after="0"/>
              <w:rPr>
                <w:sz w:val="20"/>
                <w:szCs w:val="20"/>
                <w:color w:val="auto"/>
              </w:rPr>
            </w:pPr>
            <w:r>
              <w:rPr>
                <w:rFonts w:ascii="Calibri" w:cs="Calibri" w:eastAsia="Calibri" w:hAnsi="Calibri"/>
                <w:sz w:val="16"/>
                <w:szCs w:val="16"/>
                <w:color w:val="auto"/>
              </w:rPr>
              <w:t>0.55</w:t>
            </w:r>
          </w:p>
        </w:tc>
      </w:tr>
      <w:tr>
        <w:trPr>
          <w:trHeight w:val="208"/>
        </w:trPr>
        <w:tc>
          <w:tcPr>
            <w:tcW w:w="2480" w:type="dxa"/>
            <w:vAlign w:val="bottom"/>
          </w:tcPr>
          <w:p>
            <w:pPr>
              <w:spacing w:after="0"/>
              <w:rPr>
                <w:sz w:val="20"/>
                <w:szCs w:val="20"/>
                <w:color w:val="auto"/>
              </w:rPr>
            </w:pPr>
            <w:r>
              <w:rPr>
                <w:rFonts w:ascii="Calibri" w:cs="Calibri" w:eastAsia="Calibri" w:hAnsi="Calibri"/>
                <w:sz w:val="16"/>
                <w:szCs w:val="16"/>
                <w:color w:val="auto"/>
              </w:rPr>
              <w:t>November 3, 2022</w:t>
            </w:r>
          </w:p>
        </w:tc>
        <w:tc>
          <w:tcPr>
            <w:tcW w:w="1500" w:type="dxa"/>
            <w:vAlign w:val="bottom"/>
          </w:tcPr>
          <w:p>
            <w:pPr>
              <w:jc w:val="right"/>
              <w:ind w:right="219"/>
              <w:spacing w:after="0"/>
              <w:rPr>
                <w:sz w:val="20"/>
                <w:szCs w:val="20"/>
                <w:color w:val="auto"/>
              </w:rPr>
            </w:pPr>
            <w:r>
              <w:rPr>
                <w:rFonts w:ascii="Calibri" w:cs="Calibri" w:eastAsia="Calibri" w:hAnsi="Calibri"/>
                <w:sz w:val="16"/>
                <w:szCs w:val="16"/>
                <w:color w:val="auto"/>
              </w:rPr>
              <w:t>2,590,000</w:t>
            </w:r>
          </w:p>
        </w:tc>
        <w:tc>
          <w:tcPr>
            <w:tcW w:w="1440" w:type="dxa"/>
            <w:vAlign w:val="bottom"/>
          </w:tcPr>
          <w:p>
            <w:pPr>
              <w:jc w:val="right"/>
              <w:ind w:right="259"/>
              <w:spacing w:after="0"/>
              <w:rPr>
                <w:sz w:val="20"/>
                <w:szCs w:val="20"/>
                <w:color w:val="auto"/>
              </w:rPr>
            </w:pPr>
            <w:r>
              <w:rPr>
                <w:rFonts w:ascii="Calibri" w:cs="Calibri" w:eastAsia="Calibri" w:hAnsi="Calibri"/>
                <w:sz w:val="16"/>
                <w:szCs w:val="16"/>
                <w:color w:val="auto"/>
              </w:rPr>
              <w:t>1,105,000</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1,105,000</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0.75</w:t>
            </w:r>
          </w:p>
        </w:tc>
        <w:tc>
          <w:tcPr>
            <w:tcW w:w="1520" w:type="dxa"/>
            <w:vAlign w:val="bottom"/>
          </w:tcPr>
          <w:p>
            <w:pPr>
              <w:jc w:val="right"/>
              <w:ind w:right="79"/>
              <w:spacing w:after="0"/>
              <w:rPr>
                <w:sz w:val="20"/>
                <w:szCs w:val="20"/>
                <w:color w:val="auto"/>
              </w:rPr>
            </w:pPr>
            <w:r>
              <w:rPr>
                <w:rFonts w:ascii="Calibri" w:cs="Calibri" w:eastAsia="Calibri" w:hAnsi="Calibri"/>
                <w:sz w:val="16"/>
                <w:szCs w:val="16"/>
                <w:color w:val="auto"/>
              </w:rPr>
              <w:t>376</w:t>
            </w:r>
          </w:p>
        </w:tc>
        <w:tc>
          <w:tcPr>
            <w:tcW w:w="1400" w:type="dxa"/>
            <w:vAlign w:val="bottom"/>
          </w:tcPr>
          <w:p>
            <w:pPr>
              <w:jc w:val="right"/>
              <w:spacing w:after="0"/>
              <w:rPr>
                <w:sz w:val="20"/>
                <w:szCs w:val="20"/>
                <w:color w:val="auto"/>
              </w:rPr>
            </w:pPr>
            <w:r>
              <w:rPr>
                <w:rFonts w:ascii="Calibri" w:cs="Calibri" w:eastAsia="Calibri" w:hAnsi="Calibri"/>
                <w:sz w:val="16"/>
                <w:szCs w:val="16"/>
                <w:color w:val="auto"/>
              </w:rPr>
              <w:t>0.59</w:t>
            </w:r>
          </w:p>
        </w:tc>
      </w:tr>
      <w:tr>
        <w:trPr>
          <w:trHeight w:val="208"/>
        </w:trPr>
        <w:tc>
          <w:tcPr>
            <w:tcW w:w="2480" w:type="dxa"/>
            <w:vAlign w:val="bottom"/>
          </w:tcPr>
          <w:p>
            <w:pPr>
              <w:spacing w:after="0"/>
              <w:rPr>
                <w:sz w:val="20"/>
                <w:szCs w:val="20"/>
                <w:color w:val="auto"/>
              </w:rPr>
            </w:pPr>
            <w:r>
              <w:rPr>
                <w:rFonts w:ascii="Calibri" w:cs="Calibri" w:eastAsia="Calibri" w:hAnsi="Calibri"/>
                <w:sz w:val="16"/>
                <w:szCs w:val="16"/>
                <w:color w:val="auto"/>
              </w:rPr>
              <w:t>August 3, 2023</w:t>
            </w:r>
          </w:p>
        </w:tc>
        <w:tc>
          <w:tcPr>
            <w:tcW w:w="1500" w:type="dxa"/>
            <w:vAlign w:val="bottom"/>
          </w:tcPr>
          <w:p>
            <w:pPr>
              <w:jc w:val="right"/>
              <w:ind w:right="219"/>
              <w:spacing w:after="0"/>
              <w:rPr>
                <w:sz w:val="20"/>
                <w:szCs w:val="20"/>
                <w:color w:val="auto"/>
              </w:rPr>
            </w:pPr>
            <w:r>
              <w:rPr>
                <w:rFonts w:ascii="Calibri" w:cs="Calibri" w:eastAsia="Calibri" w:hAnsi="Calibri"/>
                <w:sz w:val="16"/>
                <w:szCs w:val="16"/>
                <w:color w:val="auto"/>
              </w:rPr>
              <w:t>658,860</w:t>
            </w:r>
          </w:p>
        </w:tc>
        <w:tc>
          <w:tcPr>
            <w:tcW w:w="1440" w:type="dxa"/>
            <w:vAlign w:val="bottom"/>
          </w:tcPr>
          <w:p>
            <w:pPr>
              <w:jc w:val="right"/>
              <w:ind w:right="259"/>
              <w:spacing w:after="0"/>
              <w:rPr>
                <w:sz w:val="20"/>
                <w:szCs w:val="20"/>
                <w:color w:val="auto"/>
              </w:rPr>
            </w:pPr>
            <w:r>
              <w:rPr>
                <w:rFonts w:ascii="Calibri" w:cs="Calibri" w:eastAsia="Calibri" w:hAnsi="Calibri"/>
                <w:sz w:val="16"/>
                <w:szCs w:val="16"/>
                <w:color w:val="auto"/>
              </w:rPr>
              <w:t>658,860</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658,860</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3.40</w:t>
            </w:r>
          </w:p>
        </w:tc>
        <w:tc>
          <w:tcPr>
            <w:tcW w:w="1520" w:type="dxa"/>
            <w:vAlign w:val="bottom"/>
          </w:tcPr>
          <w:p>
            <w:pPr>
              <w:jc w:val="right"/>
              <w:ind w:right="79"/>
              <w:spacing w:after="0"/>
              <w:rPr>
                <w:sz w:val="20"/>
                <w:szCs w:val="20"/>
                <w:color w:val="auto"/>
              </w:rPr>
            </w:pPr>
            <w:r>
              <w:rPr>
                <w:rFonts w:ascii="Calibri" w:cs="Calibri" w:eastAsia="Calibri" w:hAnsi="Calibri"/>
                <w:sz w:val="16"/>
                <w:szCs w:val="16"/>
                <w:color w:val="auto"/>
              </w:rPr>
              <w:t>1,229</w:t>
            </w:r>
          </w:p>
        </w:tc>
        <w:tc>
          <w:tcPr>
            <w:tcW w:w="1400" w:type="dxa"/>
            <w:vAlign w:val="bottom"/>
          </w:tcPr>
          <w:p>
            <w:pPr>
              <w:jc w:val="right"/>
              <w:spacing w:after="0"/>
              <w:rPr>
                <w:sz w:val="20"/>
                <w:szCs w:val="20"/>
                <w:color w:val="auto"/>
              </w:rPr>
            </w:pPr>
            <w:r>
              <w:rPr>
                <w:rFonts w:ascii="Calibri" w:cs="Calibri" w:eastAsia="Calibri" w:hAnsi="Calibri"/>
                <w:sz w:val="16"/>
                <w:szCs w:val="16"/>
                <w:color w:val="auto"/>
              </w:rPr>
              <w:t>1.34</w:t>
            </w:r>
          </w:p>
        </w:tc>
      </w:tr>
      <w:tr>
        <w:trPr>
          <w:trHeight w:val="208"/>
        </w:trPr>
        <w:tc>
          <w:tcPr>
            <w:tcW w:w="2480" w:type="dxa"/>
            <w:vAlign w:val="bottom"/>
          </w:tcPr>
          <w:p>
            <w:pPr>
              <w:spacing w:after="0"/>
              <w:rPr>
                <w:sz w:val="20"/>
                <w:szCs w:val="20"/>
                <w:color w:val="auto"/>
              </w:rPr>
            </w:pPr>
            <w:r>
              <w:rPr>
                <w:rFonts w:ascii="Calibri" w:cs="Calibri" w:eastAsia="Calibri" w:hAnsi="Calibri"/>
                <w:sz w:val="16"/>
                <w:szCs w:val="16"/>
                <w:color w:val="auto"/>
              </w:rPr>
              <w:t>February 1, 2024</w:t>
            </w:r>
          </w:p>
        </w:tc>
        <w:tc>
          <w:tcPr>
            <w:tcW w:w="1500" w:type="dxa"/>
            <w:vAlign w:val="bottom"/>
          </w:tcPr>
          <w:p>
            <w:pPr>
              <w:jc w:val="right"/>
              <w:ind w:right="219"/>
              <w:spacing w:after="0"/>
              <w:rPr>
                <w:sz w:val="20"/>
                <w:szCs w:val="20"/>
                <w:color w:val="auto"/>
              </w:rPr>
            </w:pPr>
            <w:r>
              <w:rPr>
                <w:rFonts w:ascii="Calibri" w:cs="Calibri" w:eastAsia="Calibri" w:hAnsi="Calibri"/>
                <w:sz w:val="16"/>
                <w:szCs w:val="16"/>
                <w:color w:val="auto"/>
              </w:rPr>
              <w:t>7,623,000</w:t>
            </w:r>
          </w:p>
        </w:tc>
        <w:tc>
          <w:tcPr>
            <w:tcW w:w="1440" w:type="dxa"/>
            <w:vAlign w:val="bottom"/>
          </w:tcPr>
          <w:p>
            <w:pPr>
              <w:jc w:val="right"/>
              <w:ind w:right="259"/>
              <w:spacing w:after="0"/>
              <w:rPr>
                <w:sz w:val="20"/>
                <w:szCs w:val="20"/>
                <w:color w:val="auto"/>
              </w:rPr>
            </w:pPr>
            <w:r>
              <w:rPr>
                <w:rFonts w:ascii="Calibri" w:cs="Calibri" w:eastAsia="Calibri" w:hAnsi="Calibri"/>
                <w:sz w:val="16"/>
                <w:szCs w:val="16"/>
                <w:color w:val="auto"/>
              </w:rPr>
              <w:t>7,146,500</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7,146,500</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3.25</w:t>
            </w:r>
          </w:p>
        </w:tc>
        <w:tc>
          <w:tcPr>
            <w:tcW w:w="1520" w:type="dxa"/>
            <w:vAlign w:val="bottom"/>
          </w:tcPr>
          <w:p>
            <w:pPr>
              <w:jc w:val="right"/>
              <w:ind w:right="79"/>
              <w:spacing w:after="0"/>
              <w:rPr>
                <w:sz w:val="20"/>
                <w:szCs w:val="20"/>
                <w:color w:val="auto"/>
              </w:rPr>
            </w:pPr>
            <w:r>
              <w:rPr>
                <w:rFonts w:ascii="Calibri" w:cs="Calibri" w:eastAsia="Calibri" w:hAnsi="Calibri"/>
                <w:sz w:val="16"/>
                <w:szCs w:val="16"/>
                <w:color w:val="auto"/>
              </w:rPr>
              <w:t>5,454</w:t>
            </w:r>
          </w:p>
        </w:tc>
        <w:tc>
          <w:tcPr>
            <w:tcW w:w="1400" w:type="dxa"/>
            <w:vAlign w:val="bottom"/>
          </w:tcPr>
          <w:p>
            <w:pPr>
              <w:jc w:val="right"/>
              <w:spacing w:after="0"/>
              <w:rPr>
                <w:sz w:val="20"/>
                <w:szCs w:val="20"/>
                <w:color w:val="auto"/>
              </w:rPr>
            </w:pPr>
            <w:r>
              <w:rPr>
                <w:rFonts w:ascii="Calibri" w:cs="Calibri" w:eastAsia="Calibri" w:hAnsi="Calibri"/>
                <w:sz w:val="16"/>
                <w:szCs w:val="16"/>
                <w:color w:val="auto"/>
              </w:rPr>
              <w:t>1.84</w:t>
            </w:r>
          </w:p>
        </w:tc>
      </w:tr>
      <w:tr>
        <w:trPr>
          <w:trHeight w:val="208"/>
        </w:trPr>
        <w:tc>
          <w:tcPr>
            <w:tcW w:w="2480" w:type="dxa"/>
            <w:vAlign w:val="bottom"/>
          </w:tcPr>
          <w:p>
            <w:pPr>
              <w:spacing w:after="0"/>
              <w:rPr>
                <w:sz w:val="20"/>
                <w:szCs w:val="20"/>
                <w:color w:val="auto"/>
              </w:rPr>
            </w:pPr>
            <w:r>
              <w:rPr>
                <w:rFonts w:ascii="Calibri" w:cs="Calibri" w:eastAsia="Calibri" w:hAnsi="Calibri"/>
                <w:sz w:val="16"/>
                <w:szCs w:val="16"/>
                <w:color w:val="auto"/>
              </w:rPr>
              <w:t>June 15, 2025</w:t>
            </w:r>
          </w:p>
        </w:tc>
        <w:tc>
          <w:tcPr>
            <w:tcW w:w="1500" w:type="dxa"/>
            <w:vAlign w:val="bottom"/>
          </w:tcPr>
          <w:p>
            <w:pPr>
              <w:jc w:val="right"/>
              <w:ind w:right="219"/>
              <w:spacing w:after="0"/>
              <w:rPr>
                <w:sz w:val="20"/>
                <w:szCs w:val="20"/>
                <w:color w:val="auto"/>
              </w:rPr>
            </w:pPr>
            <w:r>
              <w:rPr>
                <w:rFonts w:ascii="Calibri" w:cs="Calibri" w:eastAsia="Calibri" w:hAnsi="Calibri"/>
                <w:sz w:val="16"/>
                <w:szCs w:val="16"/>
                <w:color w:val="auto"/>
              </w:rPr>
              <w:t>13,575,000</w:t>
            </w:r>
          </w:p>
        </w:tc>
        <w:tc>
          <w:tcPr>
            <w:tcW w:w="1440" w:type="dxa"/>
            <w:vAlign w:val="bottom"/>
          </w:tcPr>
          <w:p>
            <w:pPr>
              <w:jc w:val="right"/>
              <w:ind w:right="259"/>
              <w:spacing w:after="0"/>
              <w:rPr>
                <w:sz w:val="20"/>
                <w:szCs w:val="20"/>
                <w:color w:val="auto"/>
              </w:rPr>
            </w:pPr>
            <w:r>
              <w:rPr>
                <w:rFonts w:ascii="Calibri" w:cs="Calibri" w:eastAsia="Calibri" w:hAnsi="Calibri"/>
                <w:sz w:val="16"/>
                <w:szCs w:val="16"/>
                <w:color w:val="auto"/>
              </w:rPr>
              <w:t>12,800,000</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12,600,000</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0.25</w:t>
            </w:r>
          </w:p>
        </w:tc>
        <w:tc>
          <w:tcPr>
            <w:tcW w:w="1520" w:type="dxa"/>
            <w:vAlign w:val="bottom"/>
          </w:tcPr>
          <w:p>
            <w:pPr>
              <w:jc w:val="right"/>
              <w:ind w:right="79"/>
              <w:spacing w:after="0"/>
              <w:rPr>
                <w:sz w:val="20"/>
                <w:szCs w:val="20"/>
                <w:color w:val="auto"/>
              </w:rPr>
            </w:pPr>
            <w:r>
              <w:rPr>
                <w:rFonts w:ascii="Calibri" w:cs="Calibri" w:eastAsia="Calibri" w:hAnsi="Calibri"/>
                <w:sz w:val="16"/>
                <w:szCs w:val="16"/>
                <w:color w:val="auto"/>
              </w:rPr>
              <w:t>2,318</w:t>
            </w:r>
          </w:p>
        </w:tc>
        <w:tc>
          <w:tcPr>
            <w:tcW w:w="1400" w:type="dxa"/>
            <w:vAlign w:val="bottom"/>
          </w:tcPr>
          <w:p>
            <w:pPr>
              <w:jc w:val="right"/>
              <w:spacing w:after="0"/>
              <w:rPr>
                <w:sz w:val="20"/>
                <w:szCs w:val="20"/>
                <w:color w:val="auto"/>
              </w:rPr>
            </w:pPr>
            <w:r>
              <w:rPr>
                <w:rFonts w:ascii="Calibri" w:cs="Calibri" w:eastAsia="Calibri" w:hAnsi="Calibri"/>
                <w:sz w:val="16"/>
                <w:szCs w:val="16"/>
                <w:color w:val="auto"/>
              </w:rPr>
              <w:t>3.21</w:t>
            </w:r>
          </w:p>
        </w:tc>
      </w:tr>
      <w:tr>
        <w:trPr>
          <w:trHeight w:val="208"/>
        </w:trPr>
        <w:tc>
          <w:tcPr>
            <w:tcW w:w="2480" w:type="dxa"/>
            <w:vAlign w:val="bottom"/>
          </w:tcPr>
          <w:p>
            <w:pPr>
              <w:spacing w:after="0"/>
              <w:rPr>
                <w:sz w:val="20"/>
                <w:szCs w:val="20"/>
                <w:color w:val="auto"/>
              </w:rPr>
            </w:pPr>
            <w:r>
              <w:rPr>
                <w:rFonts w:ascii="Calibri" w:cs="Calibri" w:eastAsia="Calibri" w:hAnsi="Calibri"/>
                <w:sz w:val="16"/>
                <w:szCs w:val="16"/>
                <w:color w:val="auto"/>
              </w:rPr>
              <w:t>August 20, 2025</w:t>
            </w:r>
          </w:p>
        </w:tc>
        <w:tc>
          <w:tcPr>
            <w:tcW w:w="1500" w:type="dxa"/>
            <w:vAlign w:val="bottom"/>
          </w:tcPr>
          <w:p>
            <w:pPr>
              <w:jc w:val="right"/>
              <w:ind w:right="219"/>
              <w:spacing w:after="0"/>
              <w:rPr>
                <w:sz w:val="20"/>
                <w:szCs w:val="20"/>
                <w:color w:val="auto"/>
              </w:rPr>
            </w:pPr>
            <w:r>
              <w:rPr>
                <w:rFonts w:ascii="Calibri" w:cs="Calibri" w:eastAsia="Calibri" w:hAnsi="Calibri"/>
                <w:sz w:val="16"/>
                <w:szCs w:val="16"/>
                <w:color w:val="auto"/>
              </w:rPr>
              <w:t>2,000,125</w:t>
            </w:r>
          </w:p>
        </w:tc>
        <w:tc>
          <w:tcPr>
            <w:tcW w:w="1440" w:type="dxa"/>
            <w:vAlign w:val="bottom"/>
          </w:tcPr>
          <w:p>
            <w:pPr>
              <w:jc w:val="right"/>
              <w:ind w:right="259"/>
              <w:spacing w:after="0"/>
              <w:rPr>
                <w:sz w:val="20"/>
                <w:szCs w:val="20"/>
                <w:color w:val="auto"/>
              </w:rPr>
            </w:pPr>
            <w:r>
              <w:rPr>
                <w:rFonts w:ascii="Calibri" w:cs="Calibri" w:eastAsia="Calibri" w:hAnsi="Calibri"/>
                <w:sz w:val="16"/>
                <w:szCs w:val="16"/>
                <w:color w:val="auto"/>
              </w:rPr>
              <w:t>1,475,125</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1,381,375</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0.64</w:t>
            </w:r>
          </w:p>
        </w:tc>
        <w:tc>
          <w:tcPr>
            <w:tcW w:w="1520" w:type="dxa"/>
            <w:vAlign w:val="bottom"/>
          </w:tcPr>
          <w:p>
            <w:pPr>
              <w:jc w:val="right"/>
              <w:ind w:right="79"/>
              <w:spacing w:after="0"/>
              <w:rPr>
                <w:sz w:val="20"/>
                <w:szCs w:val="20"/>
                <w:color w:val="auto"/>
              </w:rPr>
            </w:pPr>
            <w:r>
              <w:rPr>
                <w:rFonts w:ascii="Calibri" w:cs="Calibri" w:eastAsia="Calibri" w:hAnsi="Calibri"/>
                <w:sz w:val="16"/>
                <w:szCs w:val="16"/>
                <w:color w:val="auto"/>
              </w:rPr>
              <w:t>677</w:t>
            </w:r>
          </w:p>
        </w:tc>
        <w:tc>
          <w:tcPr>
            <w:tcW w:w="1400" w:type="dxa"/>
            <w:vAlign w:val="bottom"/>
          </w:tcPr>
          <w:p>
            <w:pPr>
              <w:jc w:val="right"/>
              <w:spacing w:after="0"/>
              <w:rPr>
                <w:sz w:val="20"/>
                <w:szCs w:val="20"/>
                <w:color w:val="auto"/>
              </w:rPr>
            </w:pPr>
            <w:r>
              <w:rPr>
                <w:rFonts w:ascii="Calibri" w:cs="Calibri" w:eastAsia="Calibri" w:hAnsi="Calibri"/>
                <w:sz w:val="16"/>
                <w:szCs w:val="16"/>
                <w:color w:val="auto"/>
              </w:rPr>
              <w:t>3.39</w:t>
            </w:r>
          </w:p>
        </w:tc>
      </w:tr>
      <w:tr>
        <w:trPr>
          <w:trHeight w:val="208"/>
        </w:trPr>
        <w:tc>
          <w:tcPr>
            <w:tcW w:w="2480" w:type="dxa"/>
            <w:vAlign w:val="bottom"/>
          </w:tcPr>
          <w:p>
            <w:pPr>
              <w:spacing w:after="0"/>
              <w:rPr>
                <w:sz w:val="20"/>
                <w:szCs w:val="20"/>
                <w:color w:val="auto"/>
              </w:rPr>
            </w:pPr>
            <w:r>
              <w:rPr>
                <w:rFonts w:ascii="Calibri" w:cs="Calibri" w:eastAsia="Calibri" w:hAnsi="Calibri"/>
                <w:sz w:val="16"/>
                <w:szCs w:val="16"/>
                <w:color w:val="auto"/>
              </w:rPr>
              <w:t>November 15, 2025</w:t>
            </w:r>
          </w:p>
        </w:tc>
        <w:tc>
          <w:tcPr>
            <w:tcW w:w="1500" w:type="dxa"/>
            <w:vAlign w:val="bottom"/>
          </w:tcPr>
          <w:p>
            <w:pPr>
              <w:jc w:val="right"/>
              <w:ind w:right="219"/>
              <w:spacing w:after="0"/>
              <w:rPr>
                <w:sz w:val="20"/>
                <w:szCs w:val="20"/>
                <w:color w:val="auto"/>
              </w:rPr>
            </w:pPr>
            <w:r>
              <w:rPr>
                <w:rFonts w:ascii="Calibri" w:cs="Calibri" w:eastAsia="Calibri" w:hAnsi="Calibri"/>
                <w:sz w:val="16"/>
                <w:szCs w:val="16"/>
                <w:color w:val="auto"/>
              </w:rPr>
              <w:t>1,150,000</w:t>
            </w:r>
          </w:p>
        </w:tc>
        <w:tc>
          <w:tcPr>
            <w:tcW w:w="1440" w:type="dxa"/>
            <w:vAlign w:val="bottom"/>
          </w:tcPr>
          <w:p>
            <w:pPr>
              <w:jc w:val="right"/>
              <w:ind w:right="259"/>
              <w:spacing w:after="0"/>
              <w:rPr>
                <w:sz w:val="20"/>
                <w:szCs w:val="20"/>
                <w:color w:val="auto"/>
              </w:rPr>
            </w:pPr>
            <w:r>
              <w:rPr>
                <w:rFonts w:ascii="Calibri" w:cs="Calibri" w:eastAsia="Calibri" w:hAnsi="Calibri"/>
                <w:sz w:val="16"/>
                <w:szCs w:val="16"/>
                <w:color w:val="auto"/>
              </w:rPr>
              <w:t>1,150,000</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1,150,000</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0.25</w:t>
            </w:r>
          </w:p>
        </w:tc>
        <w:tc>
          <w:tcPr>
            <w:tcW w:w="1520" w:type="dxa"/>
            <w:vAlign w:val="bottom"/>
          </w:tcPr>
          <w:p>
            <w:pPr>
              <w:jc w:val="right"/>
              <w:ind w:right="79"/>
              <w:spacing w:after="0"/>
              <w:rPr>
                <w:sz w:val="20"/>
                <w:szCs w:val="20"/>
                <w:color w:val="auto"/>
              </w:rPr>
            </w:pPr>
            <w:r>
              <w:rPr>
                <w:rFonts w:ascii="Calibri" w:cs="Calibri" w:eastAsia="Calibri" w:hAnsi="Calibri"/>
                <w:sz w:val="16"/>
                <w:szCs w:val="16"/>
                <w:color w:val="auto"/>
              </w:rPr>
              <w:t>220</w:t>
            </w:r>
          </w:p>
        </w:tc>
        <w:tc>
          <w:tcPr>
            <w:tcW w:w="1400" w:type="dxa"/>
            <w:vAlign w:val="bottom"/>
          </w:tcPr>
          <w:p>
            <w:pPr>
              <w:jc w:val="right"/>
              <w:spacing w:after="0"/>
              <w:rPr>
                <w:sz w:val="20"/>
                <w:szCs w:val="20"/>
                <w:color w:val="auto"/>
              </w:rPr>
            </w:pPr>
            <w:r>
              <w:rPr>
                <w:rFonts w:ascii="Calibri" w:cs="Calibri" w:eastAsia="Calibri" w:hAnsi="Calibri"/>
                <w:sz w:val="16"/>
                <w:szCs w:val="16"/>
                <w:color w:val="auto"/>
              </w:rPr>
              <w:t>3.63</w:t>
            </w:r>
          </w:p>
        </w:tc>
      </w:tr>
      <w:tr>
        <w:trPr>
          <w:trHeight w:val="21"/>
        </w:trPr>
        <w:tc>
          <w:tcPr>
            <w:tcW w:w="2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929292"/>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3"/>
        </w:trPr>
        <w:tc>
          <w:tcPr>
            <w:tcW w:w="2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9"/>
              <w:spacing w:after="0" w:line="193" w:lineRule="exact"/>
              <w:rPr>
                <w:sz w:val="20"/>
                <w:szCs w:val="20"/>
                <w:color w:val="auto"/>
              </w:rPr>
            </w:pPr>
            <w:r>
              <w:rPr>
                <w:rFonts w:ascii="Calibri" w:cs="Calibri" w:eastAsia="Calibri" w:hAnsi="Calibri"/>
                <w:sz w:val="16"/>
                <w:szCs w:val="16"/>
                <w:b w:val="1"/>
                <w:bCs w:val="1"/>
                <w:color w:val="auto"/>
              </w:rPr>
              <w:t>29,957,860</w:t>
            </w:r>
          </w:p>
        </w:tc>
        <w:tc>
          <w:tcPr>
            <w:tcW w:w="1440" w:type="dxa"/>
            <w:vAlign w:val="bottom"/>
            <w:tcBorders>
              <w:bottom w:val="single" w:sz="8" w:color="auto"/>
            </w:tcBorders>
          </w:tcPr>
          <w:p>
            <w:pPr>
              <w:jc w:val="right"/>
              <w:ind w:right="259"/>
              <w:spacing w:after="0" w:line="193" w:lineRule="exact"/>
              <w:rPr>
                <w:sz w:val="20"/>
                <w:szCs w:val="20"/>
                <w:color w:val="auto"/>
              </w:rPr>
            </w:pPr>
            <w:r>
              <w:rPr>
                <w:rFonts w:ascii="Calibri" w:cs="Calibri" w:eastAsia="Calibri" w:hAnsi="Calibri"/>
                <w:sz w:val="16"/>
                <w:szCs w:val="16"/>
                <w:b w:val="1"/>
                <w:bCs w:val="1"/>
                <w:color w:val="auto"/>
              </w:rPr>
              <w:t>25,548,836</w:t>
            </w:r>
          </w:p>
        </w:tc>
        <w:tc>
          <w:tcPr>
            <w:tcW w:w="11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24,755,086</w:t>
            </w:r>
          </w:p>
        </w:tc>
        <w:tc>
          <w:tcPr>
            <w:tcW w:w="14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1.22</w:t>
            </w:r>
          </w:p>
        </w:tc>
        <w:tc>
          <w:tcPr>
            <w:tcW w:w="1520" w:type="dxa"/>
            <w:vAlign w:val="bottom"/>
            <w:tcBorders>
              <w:bottom w:val="single" w:sz="8" w:color="auto"/>
            </w:tcBorders>
          </w:tcPr>
          <w:p>
            <w:pPr>
              <w:jc w:val="right"/>
              <w:ind w:right="79"/>
              <w:spacing w:after="0" w:line="193" w:lineRule="exact"/>
              <w:rPr>
                <w:sz w:val="20"/>
                <w:szCs w:val="20"/>
                <w:color w:val="auto"/>
              </w:rPr>
            </w:pPr>
            <w:r>
              <w:rPr>
                <w:rFonts w:ascii="Calibri" w:cs="Calibri" w:eastAsia="Calibri" w:hAnsi="Calibri"/>
                <w:sz w:val="16"/>
                <w:szCs w:val="16"/>
                <w:b w:val="1"/>
                <w:bCs w:val="1"/>
                <w:color w:val="auto"/>
              </w:rPr>
              <w:t>10,453</w:t>
            </w:r>
          </w:p>
        </w:tc>
        <w:tc>
          <w:tcPr>
            <w:tcW w:w="14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2.59</w:t>
            </w:r>
          </w:p>
        </w:tc>
      </w:tr>
      <w:tr>
        <w:trPr>
          <w:trHeight w:val="406"/>
        </w:trPr>
        <w:tc>
          <w:tcPr>
            <w:tcW w:w="2480" w:type="dxa"/>
            <w:vAlign w:val="bottom"/>
          </w:tcPr>
          <w:p>
            <w:pPr>
              <w:ind w:left="60"/>
              <w:spacing w:after="0"/>
              <w:rPr>
                <w:sz w:val="20"/>
                <w:szCs w:val="20"/>
                <w:color w:val="auto"/>
              </w:rPr>
            </w:pPr>
            <w:r>
              <w:rPr>
                <w:rFonts w:ascii="Calibri" w:cs="Calibri" w:eastAsia="Calibri" w:hAnsi="Calibri"/>
                <w:sz w:val="16"/>
                <w:szCs w:val="16"/>
                <w:b w:val="1"/>
                <w:bCs w:val="1"/>
                <w:i w:val="1"/>
                <w:iCs w:val="1"/>
                <w:color w:val="auto"/>
              </w:rPr>
              <w:t>Unit Purchase Warrants</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8"/>
        </w:trPr>
        <w:tc>
          <w:tcPr>
            <w:tcW w:w="2480" w:type="dxa"/>
            <w:vAlign w:val="bottom"/>
          </w:tcPr>
          <w:p>
            <w:pPr>
              <w:spacing w:after="0"/>
              <w:rPr>
                <w:sz w:val="20"/>
                <w:szCs w:val="20"/>
                <w:color w:val="auto"/>
              </w:rPr>
            </w:pPr>
            <w:r>
              <w:rPr>
                <w:rFonts w:ascii="Calibri" w:cs="Calibri" w:eastAsia="Calibri" w:hAnsi="Calibri"/>
                <w:sz w:val="16"/>
                <w:szCs w:val="16"/>
                <w:color w:val="auto"/>
              </w:rPr>
              <w:t>February 4, 2024</w:t>
            </w:r>
          </w:p>
        </w:tc>
        <w:tc>
          <w:tcPr>
            <w:tcW w:w="1500" w:type="dxa"/>
            <w:vAlign w:val="bottom"/>
          </w:tcPr>
          <w:p>
            <w:pPr>
              <w:jc w:val="right"/>
              <w:ind w:right="219"/>
              <w:spacing w:after="0"/>
              <w:rPr>
                <w:sz w:val="20"/>
                <w:szCs w:val="20"/>
                <w:color w:val="auto"/>
              </w:rPr>
            </w:pPr>
            <w:r>
              <w:rPr>
                <w:rFonts w:ascii="Calibri" w:cs="Calibri" w:eastAsia="Calibri" w:hAnsi="Calibri"/>
                <w:sz w:val="16"/>
                <w:szCs w:val="16"/>
                <w:color w:val="auto"/>
              </w:rPr>
              <w:t>868,740</w:t>
            </w:r>
          </w:p>
        </w:tc>
        <w:tc>
          <w:tcPr>
            <w:tcW w:w="1440" w:type="dxa"/>
            <w:vAlign w:val="bottom"/>
          </w:tcPr>
          <w:p>
            <w:pPr>
              <w:jc w:val="right"/>
              <w:ind w:right="259"/>
              <w:spacing w:after="0"/>
              <w:rPr>
                <w:sz w:val="20"/>
                <w:szCs w:val="20"/>
                <w:color w:val="auto"/>
              </w:rPr>
            </w:pPr>
            <w:r>
              <w:rPr>
                <w:rFonts w:ascii="Calibri" w:cs="Calibri" w:eastAsia="Calibri" w:hAnsi="Calibri"/>
                <w:sz w:val="16"/>
                <w:szCs w:val="16"/>
                <w:color w:val="auto"/>
              </w:rPr>
              <w:t>868,740</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868,740</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2.25</w:t>
            </w:r>
          </w:p>
        </w:tc>
        <w:tc>
          <w:tcPr>
            <w:tcW w:w="1520" w:type="dxa"/>
            <w:vAlign w:val="bottom"/>
          </w:tcPr>
          <w:p>
            <w:pPr>
              <w:jc w:val="right"/>
              <w:ind w:right="79"/>
              <w:spacing w:after="0"/>
              <w:rPr>
                <w:sz w:val="20"/>
                <w:szCs w:val="20"/>
                <w:color w:val="auto"/>
              </w:rPr>
            </w:pPr>
            <w:r>
              <w:rPr>
                <w:rFonts w:ascii="Calibri" w:cs="Calibri" w:eastAsia="Calibri" w:hAnsi="Calibri"/>
                <w:sz w:val="16"/>
                <w:szCs w:val="16"/>
                <w:color w:val="auto"/>
              </w:rPr>
              <w:t>970</w:t>
            </w:r>
          </w:p>
        </w:tc>
        <w:tc>
          <w:tcPr>
            <w:tcW w:w="1400" w:type="dxa"/>
            <w:vAlign w:val="bottom"/>
          </w:tcPr>
          <w:p>
            <w:pPr>
              <w:jc w:val="right"/>
              <w:spacing w:after="0"/>
              <w:rPr>
                <w:sz w:val="20"/>
                <w:szCs w:val="20"/>
                <w:color w:val="auto"/>
              </w:rPr>
            </w:pPr>
            <w:r>
              <w:rPr>
                <w:rFonts w:ascii="Calibri" w:cs="Calibri" w:eastAsia="Calibri" w:hAnsi="Calibri"/>
                <w:sz w:val="16"/>
                <w:szCs w:val="16"/>
                <w:color w:val="auto"/>
              </w:rPr>
              <w:t>1.85</w:t>
            </w:r>
          </w:p>
        </w:tc>
      </w:tr>
      <w:tr>
        <w:trPr>
          <w:trHeight w:val="21"/>
        </w:trPr>
        <w:tc>
          <w:tcPr>
            <w:tcW w:w="2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3"/>
        </w:trPr>
        <w:tc>
          <w:tcPr>
            <w:tcW w:w="2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9"/>
              <w:spacing w:after="0" w:line="193" w:lineRule="exact"/>
              <w:rPr>
                <w:sz w:val="20"/>
                <w:szCs w:val="20"/>
                <w:color w:val="auto"/>
              </w:rPr>
            </w:pPr>
            <w:r>
              <w:rPr>
                <w:rFonts w:ascii="Calibri" w:cs="Calibri" w:eastAsia="Calibri" w:hAnsi="Calibri"/>
                <w:sz w:val="16"/>
                <w:szCs w:val="16"/>
                <w:b w:val="1"/>
                <w:bCs w:val="1"/>
                <w:color w:val="auto"/>
              </w:rPr>
              <w:t>868,740</w:t>
            </w:r>
          </w:p>
        </w:tc>
        <w:tc>
          <w:tcPr>
            <w:tcW w:w="1440" w:type="dxa"/>
            <w:vAlign w:val="bottom"/>
            <w:tcBorders>
              <w:bottom w:val="single" w:sz="8" w:color="auto"/>
            </w:tcBorders>
          </w:tcPr>
          <w:p>
            <w:pPr>
              <w:jc w:val="right"/>
              <w:ind w:right="259"/>
              <w:spacing w:after="0" w:line="193" w:lineRule="exact"/>
              <w:rPr>
                <w:sz w:val="20"/>
                <w:szCs w:val="20"/>
                <w:color w:val="auto"/>
              </w:rPr>
            </w:pPr>
            <w:r>
              <w:rPr>
                <w:rFonts w:ascii="Calibri" w:cs="Calibri" w:eastAsia="Calibri" w:hAnsi="Calibri"/>
                <w:sz w:val="16"/>
                <w:szCs w:val="16"/>
                <w:b w:val="1"/>
                <w:bCs w:val="1"/>
                <w:color w:val="auto"/>
              </w:rPr>
              <w:t>868,740</w:t>
            </w:r>
          </w:p>
        </w:tc>
        <w:tc>
          <w:tcPr>
            <w:tcW w:w="11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868,740</w:t>
            </w:r>
          </w:p>
        </w:tc>
        <w:tc>
          <w:tcPr>
            <w:tcW w:w="14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2.25</w:t>
            </w:r>
          </w:p>
        </w:tc>
        <w:tc>
          <w:tcPr>
            <w:tcW w:w="1520" w:type="dxa"/>
            <w:vAlign w:val="bottom"/>
            <w:tcBorders>
              <w:bottom w:val="single" w:sz="8" w:color="auto"/>
            </w:tcBorders>
          </w:tcPr>
          <w:p>
            <w:pPr>
              <w:jc w:val="right"/>
              <w:ind w:right="79"/>
              <w:spacing w:after="0" w:line="193" w:lineRule="exact"/>
              <w:rPr>
                <w:sz w:val="20"/>
                <w:szCs w:val="20"/>
                <w:color w:val="auto"/>
              </w:rPr>
            </w:pPr>
            <w:r>
              <w:rPr>
                <w:rFonts w:ascii="Calibri" w:cs="Calibri" w:eastAsia="Calibri" w:hAnsi="Calibri"/>
                <w:sz w:val="16"/>
                <w:szCs w:val="16"/>
                <w:b w:val="1"/>
                <w:bCs w:val="1"/>
                <w:color w:val="auto"/>
              </w:rPr>
              <w:t>970</w:t>
            </w:r>
          </w:p>
        </w:tc>
        <w:tc>
          <w:tcPr>
            <w:tcW w:w="14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1.85</w:t>
            </w:r>
          </w:p>
        </w:tc>
      </w:tr>
    </w:tbl>
    <w:p>
      <w:pPr>
        <w:spacing w:after="0" w:line="200" w:lineRule="exact"/>
        <w:rPr>
          <w:sz w:val="20"/>
          <w:szCs w:val="20"/>
          <w:color w:val="auto"/>
        </w:rPr>
      </w:pPr>
    </w:p>
    <w:p>
      <w:pPr>
        <w:spacing w:after="0" w:line="243"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As at March 31, 2022, the Company has 3,125,032 Common Share purchase warrants held in escrow (March 31, 2021 - 9,375,094).</w:t>
      </w:r>
    </w:p>
    <w:p>
      <w:pPr>
        <w:spacing w:after="0" w:line="160"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The Company recognized share-based payments compensaton related to the issuance of Common Share purchase warrants for the year ended March 31, 2022 of $40 (March 31, 2021 - $4,242) .</w:t>
      </w:r>
    </w:p>
    <w:p>
      <w:pPr>
        <w:spacing w:after="0" w:line="160" w:lineRule="exact"/>
        <w:rPr>
          <w:sz w:val="20"/>
          <w:szCs w:val="20"/>
          <w:color w:val="auto"/>
        </w:rPr>
      </w:pPr>
    </w:p>
    <w:p>
      <w:pPr>
        <w:ind w:left="520" w:hanging="289"/>
        <w:spacing w:after="0"/>
        <w:tabs>
          <w:tab w:leader="none" w:pos="520" w:val="left"/>
        </w:tabs>
        <w:numPr>
          <w:ilvl w:val="0"/>
          <w:numId w:val="82"/>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Stock optons</w:t>
      </w:r>
    </w:p>
    <w:p>
      <w:pPr>
        <w:spacing w:after="0" w:line="172"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November 5, 2020, Cybin adopted a new equity incentve plan. Under the plan, the board of directors may grant share-based awards to acquire such number of Common Shares as is equal to up to 20% of the total number of issued and outstanding Common Shares at the tme such awards are granted. Optons granted under the plan vest over a period of tme at the discreton of the board of directors. On August 16, 2021, the board of directors and the shareholders approved an amendment to the equity incentve plan to modify certain provisions for awards granted to residents of the United States, to increase the fxed number of Incentve Stock Optons (as defned in the plan) and certain other housekeeping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38 of 53</w:t>
      </w:r>
    </w:p>
    <w:p>
      <w:pPr>
        <w:sectPr>
          <w:pgSz w:w="11900" w:h="16838" w:orient="portrait"/>
          <w:cols w:equalWidth="0" w:num="1">
            <w:col w:w="11200"/>
          </w:cols>
          <w:pgMar w:left="380" w:top="151" w:right="319" w:bottom="1440" w:gutter="0" w:footer="0" w:header="0"/>
        </w:sectPr>
      </w:pPr>
    </w:p>
    <w:bookmarkStart w:id="138" w:name="page139"/>
    <w:bookmarkEnd w:id="138"/>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4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180" w:type="dxa"/>
            <w:vAlign w:val="bottom"/>
          </w:tcPr>
          <w:p>
            <w:pPr>
              <w:spacing w:after="0"/>
              <w:rPr>
                <w:sz w:val="20"/>
                <w:szCs w:val="20"/>
                <w:color w:val="auto"/>
              </w:rPr>
            </w:pPr>
            <w:r>
              <w:rPr>
                <w:rFonts w:ascii="Calibri" w:cs="Calibri" w:eastAsia="Calibri" w:hAnsi="Calibri"/>
                <w:sz w:val="16"/>
                <w:szCs w:val="16"/>
                <w:color w:val="auto"/>
              </w:rPr>
              <w:t>The changes in optons for the two years ended March 31, 2022 are as follows:</w:t>
            </w:r>
          </w:p>
        </w:tc>
        <w:tc>
          <w:tcPr>
            <w:tcW w:w="246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68"/>
        </w:trPr>
        <w:tc>
          <w:tcPr>
            <w:tcW w:w="6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Calibri" w:cs="Calibri" w:eastAsia="Calibri" w:hAnsi="Calibri"/>
                <w:sz w:val="16"/>
                <w:szCs w:val="16"/>
                <w:b w:val="1"/>
                <w:bCs w:val="1"/>
                <w:color w:val="auto"/>
              </w:rPr>
              <w:t>Weighted average exercise</w:t>
            </w:r>
          </w:p>
        </w:tc>
      </w:tr>
      <w:tr>
        <w:trPr>
          <w:trHeight w:val="206"/>
        </w:trPr>
        <w:tc>
          <w:tcPr>
            <w:tcW w:w="618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Calibri" w:cs="Calibri" w:eastAsia="Calibri" w:hAnsi="Calibri"/>
                <w:sz w:val="16"/>
                <w:szCs w:val="16"/>
                <w:b w:val="1"/>
                <w:bCs w:val="1"/>
                <w:color w:val="auto"/>
              </w:rPr>
              <w:t>Number of Optons</w:t>
            </w:r>
          </w:p>
        </w:tc>
        <w:tc>
          <w:tcPr>
            <w:tcW w:w="1880" w:type="dxa"/>
            <w:vAlign w:val="bottom"/>
          </w:tcPr>
          <w:p>
            <w:pPr>
              <w:jc w:val="right"/>
              <w:spacing w:after="0" w:line="194" w:lineRule="exact"/>
              <w:rPr>
                <w:sz w:val="20"/>
                <w:szCs w:val="20"/>
                <w:color w:val="auto"/>
              </w:rPr>
            </w:pPr>
            <w:r>
              <w:rPr>
                <w:rFonts w:ascii="Calibri" w:cs="Calibri" w:eastAsia="Calibri" w:hAnsi="Calibri"/>
                <w:sz w:val="16"/>
                <w:szCs w:val="16"/>
                <w:b w:val="1"/>
                <w:bCs w:val="1"/>
                <w:color w:val="auto"/>
              </w:rPr>
              <w:t>price</w:t>
            </w:r>
          </w:p>
        </w:tc>
      </w:tr>
      <w:tr>
        <w:trPr>
          <w:trHeight w:val="21"/>
        </w:trPr>
        <w:tc>
          <w:tcPr>
            <w:tcW w:w="61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93"/>
        </w:trPr>
        <w:tc>
          <w:tcPr>
            <w:tcW w:w="6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w:t>
            </w:r>
          </w:p>
        </w:tc>
      </w:tr>
      <w:tr>
        <w:trPr>
          <w:trHeight w:val="193"/>
        </w:trPr>
        <w:tc>
          <w:tcPr>
            <w:tcW w:w="6180" w:type="dxa"/>
            <w:vAlign w:val="bottom"/>
          </w:tcPr>
          <w:p>
            <w:pPr>
              <w:ind w:left="60"/>
              <w:spacing w:after="0" w:line="193" w:lineRule="exact"/>
              <w:rPr>
                <w:sz w:val="20"/>
                <w:szCs w:val="20"/>
                <w:color w:val="auto"/>
              </w:rPr>
            </w:pPr>
            <w:r>
              <w:rPr>
                <w:rFonts w:ascii="Calibri" w:cs="Calibri" w:eastAsia="Calibri" w:hAnsi="Calibri"/>
                <w:sz w:val="16"/>
                <w:szCs w:val="16"/>
                <w:color w:val="auto"/>
              </w:rPr>
              <w:t>As at March 31, 2020</w:t>
            </w:r>
          </w:p>
        </w:tc>
        <w:tc>
          <w:tcPr>
            <w:tcW w:w="2460" w:type="dxa"/>
            <w:vAlign w:val="bottom"/>
          </w:tcPr>
          <w:p>
            <w:pPr>
              <w:jc w:val="right"/>
              <w:spacing w:after="0" w:line="193" w:lineRule="exact"/>
              <w:rPr>
                <w:sz w:val="20"/>
                <w:szCs w:val="20"/>
                <w:color w:val="auto"/>
              </w:rPr>
            </w:pPr>
            <w:r>
              <w:rPr>
                <w:rFonts w:ascii="Calibri" w:cs="Calibri" w:eastAsia="Calibri" w:hAnsi="Calibri"/>
                <w:sz w:val="16"/>
                <w:szCs w:val="16"/>
                <w:color w:val="auto"/>
              </w:rPr>
              <w:t>1,702,338</w:t>
            </w:r>
          </w:p>
        </w:tc>
        <w:tc>
          <w:tcPr>
            <w:tcW w:w="1880" w:type="dxa"/>
            <w:vAlign w:val="bottom"/>
          </w:tcPr>
          <w:p>
            <w:pPr>
              <w:jc w:val="right"/>
              <w:spacing w:after="0" w:line="193" w:lineRule="exact"/>
              <w:rPr>
                <w:sz w:val="20"/>
                <w:szCs w:val="20"/>
                <w:color w:val="auto"/>
              </w:rPr>
            </w:pPr>
            <w:r>
              <w:rPr>
                <w:rFonts w:ascii="Calibri" w:cs="Calibri" w:eastAsia="Calibri" w:hAnsi="Calibri"/>
                <w:sz w:val="16"/>
                <w:szCs w:val="16"/>
                <w:color w:val="auto"/>
              </w:rPr>
              <w:t>0.30</w:t>
            </w:r>
          </w:p>
        </w:tc>
      </w:tr>
      <w:tr>
        <w:trPr>
          <w:trHeight w:val="200"/>
        </w:trPr>
        <w:tc>
          <w:tcPr>
            <w:tcW w:w="6180" w:type="dxa"/>
            <w:vAlign w:val="bottom"/>
          </w:tcPr>
          <w:p>
            <w:pPr>
              <w:ind w:left="60"/>
              <w:spacing w:after="0"/>
              <w:rPr>
                <w:sz w:val="20"/>
                <w:szCs w:val="20"/>
                <w:color w:val="auto"/>
              </w:rPr>
            </w:pPr>
            <w:r>
              <w:rPr>
                <w:rFonts w:ascii="Calibri" w:cs="Calibri" w:eastAsia="Calibri" w:hAnsi="Calibri"/>
                <w:sz w:val="16"/>
                <w:szCs w:val="16"/>
                <w:color w:val="auto"/>
              </w:rPr>
              <w:t>Granted</w:t>
            </w:r>
          </w:p>
        </w:tc>
        <w:tc>
          <w:tcPr>
            <w:tcW w:w="2460" w:type="dxa"/>
            <w:vAlign w:val="bottom"/>
          </w:tcPr>
          <w:p>
            <w:pPr>
              <w:jc w:val="right"/>
              <w:spacing w:after="0"/>
              <w:rPr>
                <w:sz w:val="20"/>
                <w:szCs w:val="20"/>
                <w:color w:val="auto"/>
              </w:rPr>
            </w:pPr>
            <w:r>
              <w:rPr>
                <w:rFonts w:ascii="Calibri" w:cs="Calibri" w:eastAsia="Calibri" w:hAnsi="Calibri"/>
                <w:sz w:val="16"/>
                <w:szCs w:val="16"/>
                <w:color w:val="auto"/>
              </w:rPr>
              <w:t>21,927,500</w:t>
            </w:r>
          </w:p>
        </w:tc>
        <w:tc>
          <w:tcPr>
            <w:tcW w:w="1880" w:type="dxa"/>
            <w:vAlign w:val="bottom"/>
          </w:tcPr>
          <w:p>
            <w:pPr>
              <w:jc w:val="right"/>
              <w:spacing w:after="0"/>
              <w:rPr>
                <w:sz w:val="20"/>
                <w:szCs w:val="20"/>
                <w:color w:val="auto"/>
              </w:rPr>
            </w:pPr>
            <w:r>
              <w:rPr>
                <w:rFonts w:ascii="Calibri" w:cs="Calibri" w:eastAsia="Calibri" w:hAnsi="Calibri"/>
                <w:sz w:val="16"/>
                <w:szCs w:val="16"/>
                <w:color w:val="auto"/>
              </w:rPr>
              <w:t>1.02</w:t>
            </w:r>
          </w:p>
        </w:tc>
      </w:tr>
      <w:tr>
        <w:trPr>
          <w:trHeight w:val="208"/>
        </w:trPr>
        <w:tc>
          <w:tcPr>
            <w:tcW w:w="6180" w:type="dxa"/>
            <w:vAlign w:val="bottom"/>
          </w:tcPr>
          <w:p>
            <w:pPr>
              <w:ind w:left="60"/>
              <w:spacing w:after="0"/>
              <w:rPr>
                <w:sz w:val="20"/>
                <w:szCs w:val="20"/>
                <w:color w:val="auto"/>
              </w:rPr>
            </w:pPr>
            <w:r>
              <w:rPr>
                <w:rFonts w:ascii="Calibri" w:cs="Calibri" w:eastAsia="Calibri" w:hAnsi="Calibri"/>
                <w:sz w:val="16"/>
                <w:szCs w:val="16"/>
                <w:color w:val="auto"/>
              </w:rPr>
              <w:t>Exercised</w:t>
            </w:r>
          </w:p>
        </w:tc>
        <w:tc>
          <w:tcPr>
            <w:tcW w:w="2460" w:type="dxa"/>
            <w:vAlign w:val="bottom"/>
          </w:tcPr>
          <w:p>
            <w:pPr>
              <w:jc w:val="right"/>
              <w:spacing w:after="0"/>
              <w:rPr>
                <w:sz w:val="20"/>
                <w:szCs w:val="20"/>
                <w:color w:val="auto"/>
              </w:rPr>
            </w:pPr>
            <w:r>
              <w:rPr>
                <w:rFonts w:ascii="Calibri" w:cs="Calibri" w:eastAsia="Calibri" w:hAnsi="Calibri"/>
                <w:sz w:val="16"/>
                <w:szCs w:val="16"/>
                <w:color w:val="auto"/>
              </w:rPr>
              <w:t>(492,386)</w:t>
            </w:r>
          </w:p>
        </w:tc>
        <w:tc>
          <w:tcPr>
            <w:tcW w:w="1880" w:type="dxa"/>
            <w:vAlign w:val="bottom"/>
          </w:tcPr>
          <w:p>
            <w:pPr>
              <w:jc w:val="right"/>
              <w:spacing w:after="0"/>
              <w:rPr>
                <w:sz w:val="20"/>
                <w:szCs w:val="20"/>
                <w:color w:val="auto"/>
              </w:rPr>
            </w:pPr>
            <w:r>
              <w:rPr>
                <w:rFonts w:ascii="Calibri" w:cs="Calibri" w:eastAsia="Calibri" w:hAnsi="Calibri"/>
                <w:sz w:val="16"/>
                <w:szCs w:val="16"/>
                <w:color w:val="auto"/>
              </w:rPr>
              <w:t>0.37</w:t>
            </w:r>
          </w:p>
        </w:tc>
      </w:tr>
      <w:tr>
        <w:trPr>
          <w:trHeight w:val="208"/>
        </w:trPr>
        <w:tc>
          <w:tcPr>
            <w:tcW w:w="6180" w:type="dxa"/>
            <w:vAlign w:val="bottom"/>
          </w:tcPr>
          <w:p>
            <w:pPr>
              <w:ind w:left="60"/>
              <w:spacing w:after="0"/>
              <w:rPr>
                <w:sz w:val="20"/>
                <w:szCs w:val="20"/>
                <w:color w:val="auto"/>
              </w:rPr>
            </w:pPr>
            <w:r>
              <w:rPr>
                <w:rFonts w:ascii="Calibri" w:cs="Calibri" w:eastAsia="Calibri" w:hAnsi="Calibri"/>
                <w:sz w:val="16"/>
                <w:szCs w:val="16"/>
                <w:color w:val="auto"/>
              </w:rPr>
              <w:t>Forfeited</w:t>
            </w:r>
          </w:p>
        </w:tc>
        <w:tc>
          <w:tcPr>
            <w:tcW w:w="2460" w:type="dxa"/>
            <w:vAlign w:val="bottom"/>
          </w:tcPr>
          <w:p>
            <w:pPr>
              <w:jc w:val="right"/>
              <w:spacing w:after="0"/>
              <w:rPr>
                <w:sz w:val="20"/>
                <w:szCs w:val="20"/>
                <w:color w:val="auto"/>
              </w:rPr>
            </w:pPr>
            <w:r>
              <w:rPr>
                <w:rFonts w:ascii="Calibri" w:cs="Calibri" w:eastAsia="Calibri" w:hAnsi="Calibri"/>
                <w:sz w:val="16"/>
                <w:szCs w:val="16"/>
                <w:color w:val="auto"/>
              </w:rPr>
              <w:t>(1,105,000)</w:t>
            </w:r>
          </w:p>
        </w:tc>
        <w:tc>
          <w:tcPr>
            <w:tcW w:w="1880" w:type="dxa"/>
            <w:vAlign w:val="bottom"/>
          </w:tcPr>
          <w:p>
            <w:pPr>
              <w:jc w:val="right"/>
              <w:spacing w:after="0"/>
              <w:rPr>
                <w:sz w:val="20"/>
                <w:szCs w:val="20"/>
                <w:color w:val="auto"/>
              </w:rPr>
            </w:pPr>
            <w:r>
              <w:rPr>
                <w:rFonts w:ascii="Calibri" w:cs="Calibri" w:eastAsia="Calibri" w:hAnsi="Calibri"/>
                <w:sz w:val="16"/>
                <w:szCs w:val="16"/>
                <w:color w:val="auto"/>
              </w:rPr>
              <w:t>0.37</w:t>
            </w:r>
          </w:p>
        </w:tc>
      </w:tr>
      <w:tr>
        <w:trPr>
          <w:trHeight w:val="21"/>
        </w:trPr>
        <w:tc>
          <w:tcPr>
            <w:tcW w:w="61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6"/>
        </w:trPr>
        <w:tc>
          <w:tcPr>
            <w:tcW w:w="6180" w:type="dxa"/>
            <w:vAlign w:val="bottom"/>
          </w:tcPr>
          <w:p>
            <w:pPr>
              <w:ind w:left="60"/>
              <w:spacing w:after="0" w:line="186" w:lineRule="exact"/>
              <w:rPr>
                <w:sz w:val="20"/>
                <w:szCs w:val="20"/>
                <w:color w:val="auto"/>
              </w:rPr>
            </w:pPr>
            <w:r>
              <w:rPr>
                <w:rFonts w:ascii="Calibri" w:cs="Calibri" w:eastAsia="Calibri" w:hAnsi="Calibri"/>
                <w:sz w:val="16"/>
                <w:szCs w:val="16"/>
                <w:color w:val="auto"/>
              </w:rPr>
              <w:t>As at March 31, 2021</w:t>
            </w:r>
          </w:p>
        </w:tc>
        <w:tc>
          <w:tcPr>
            <w:tcW w:w="2460" w:type="dxa"/>
            <w:vAlign w:val="bottom"/>
          </w:tcPr>
          <w:p>
            <w:pPr>
              <w:jc w:val="right"/>
              <w:spacing w:after="0" w:line="186" w:lineRule="exact"/>
              <w:rPr>
                <w:sz w:val="20"/>
                <w:szCs w:val="20"/>
                <w:color w:val="auto"/>
              </w:rPr>
            </w:pPr>
            <w:r>
              <w:rPr>
                <w:rFonts w:ascii="Calibri" w:cs="Calibri" w:eastAsia="Calibri" w:hAnsi="Calibri"/>
                <w:sz w:val="16"/>
                <w:szCs w:val="16"/>
                <w:color w:val="auto"/>
              </w:rPr>
              <w:t>22,032,452</w:t>
            </w:r>
          </w:p>
        </w:tc>
        <w:tc>
          <w:tcPr>
            <w:tcW w:w="1880" w:type="dxa"/>
            <w:vAlign w:val="bottom"/>
          </w:tcPr>
          <w:p>
            <w:pPr>
              <w:jc w:val="right"/>
              <w:spacing w:after="0" w:line="186" w:lineRule="exact"/>
              <w:rPr>
                <w:sz w:val="20"/>
                <w:szCs w:val="20"/>
                <w:color w:val="auto"/>
              </w:rPr>
            </w:pPr>
            <w:r>
              <w:rPr>
                <w:rFonts w:ascii="Calibri" w:cs="Calibri" w:eastAsia="Calibri" w:hAnsi="Calibri"/>
                <w:sz w:val="16"/>
                <w:szCs w:val="16"/>
                <w:color w:val="auto"/>
              </w:rPr>
              <w:t>1.01</w:t>
            </w:r>
          </w:p>
        </w:tc>
      </w:tr>
      <w:tr>
        <w:trPr>
          <w:trHeight w:val="200"/>
        </w:trPr>
        <w:tc>
          <w:tcPr>
            <w:tcW w:w="6180" w:type="dxa"/>
            <w:vAlign w:val="bottom"/>
          </w:tcPr>
          <w:p>
            <w:pPr>
              <w:ind w:left="60"/>
              <w:spacing w:after="0"/>
              <w:rPr>
                <w:sz w:val="20"/>
                <w:szCs w:val="20"/>
                <w:color w:val="auto"/>
              </w:rPr>
            </w:pPr>
            <w:r>
              <w:rPr>
                <w:rFonts w:ascii="Calibri" w:cs="Calibri" w:eastAsia="Calibri" w:hAnsi="Calibri"/>
                <w:sz w:val="16"/>
                <w:szCs w:val="16"/>
                <w:color w:val="auto"/>
              </w:rPr>
              <w:t>Granted</w:t>
            </w:r>
          </w:p>
        </w:tc>
        <w:tc>
          <w:tcPr>
            <w:tcW w:w="2460" w:type="dxa"/>
            <w:vAlign w:val="bottom"/>
          </w:tcPr>
          <w:p>
            <w:pPr>
              <w:jc w:val="right"/>
              <w:spacing w:after="0"/>
              <w:rPr>
                <w:sz w:val="20"/>
                <w:szCs w:val="20"/>
                <w:color w:val="auto"/>
              </w:rPr>
            </w:pPr>
            <w:r>
              <w:rPr>
                <w:rFonts w:ascii="Calibri" w:cs="Calibri" w:eastAsia="Calibri" w:hAnsi="Calibri"/>
                <w:sz w:val="16"/>
                <w:szCs w:val="16"/>
                <w:color w:val="auto"/>
              </w:rPr>
              <w:t>9,144,600</w:t>
            </w:r>
          </w:p>
        </w:tc>
        <w:tc>
          <w:tcPr>
            <w:tcW w:w="1880" w:type="dxa"/>
            <w:vAlign w:val="bottom"/>
          </w:tcPr>
          <w:p>
            <w:pPr>
              <w:jc w:val="right"/>
              <w:spacing w:after="0"/>
              <w:rPr>
                <w:sz w:val="20"/>
                <w:szCs w:val="20"/>
                <w:color w:val="auto"/>
              </w:rPr>
            </w:pPr>
            <w:r>
              <w:rPr>
                <w:rFonts w:ascii="Calibri" w:cs="Calibri" w:eastAsia="Calibri" w:hAnsi="Calibri"/>
                <w:sz w:val="16"/>
                <w:szCs w:val="16"/>
                <w:color w:val="auto"/>
              </w:rPr>
              <w:t>2.42</w:t>
            </w:r>
          </w:p>
        </w:tc>
      </w:tr>
      <w:tr>
        <w:trPr>
          <w:trHeight w:val="208"/>
        </w:trPr>
        <w:tc>
          <w:tcPr>
            <w:tcW w:w="6180" w:type="dxa"/>
            <w:vAlign w:val="bottom"/>
          </w:tcPr>
          <w:p>
            <w:pPr>
              <w:ind w:left="60"/>
              <w:spacing w:after="0"/>
              <w:rPr>
                <w:sz w:val="20"/>
                <w:szCs w:val="20"/>
                <w:color w:val="auto"/>
              </w:rPr>
            </w:pPr>
            <w:r>
              <w:rPr>
                <w:rFonts w:ascii="Calibri" w:cs="Calibri" w:eastAsia="Calibri" w:hAnsi="Calibri"/>
                <w:sz w:val="16"/>
                <w:szCs w:val="16"/>
                <w:color w:val="auto"/>
              </w:rPr>
              <w:t>Exercised</w:t>
            </w:r>
          </w:p>
        </w:tc>
        <w:tc>
          <w:tcPr>
            <w:tcW w:w="2460" w:type="dxa"/>
            <w:vAlign w:val="bottom"/>
          </w:tcPr>
          <w:p>
            <w:pPr>
              <w:jc w:val="right"/>
              <w:spacing w:after="0"/>
              <w:rPr>
                <w:sz w:val="20"/>
                <w:szCs w:val="20"/>
                <w:color w:val="auto"/>
              </w:rPr>
            </w:pPr>
            <w:r>
              <w:rPr>
                <w:rFonts w:ascii="Calibri" w:cs="Calibri" w:eastAsia="Calibri" w:hAnsi="Calibri"/>
                <w:sz w:val="16"/>
                <w:szCs w:val="16"/>
                <w:color w:val="auto"/>
              </w:rPr>
              <w:t>(1,588,300)</w:t>
            </w:r>
          </w:p>
        </w:tc>
        <w:tc>
          <w:tcPr>
            <w:tcW w:w="1880" w:type="dxa"/>
            <w:vAlign w:val="bottom"/>
          </w:tcPr>
          <w:p>
            <w:pPr>
              <w:jc w:val="right"/>
              <w:spacing w:after="0"/>
              <w:rPr>
                <w:sz w:val="20"/>
                <w:szCs w:val="20"/>
                <w:color w:val="auto"/>
              </w:rPr>
            </w:pPr>
            <w:r>
              <w:rPr>
                <w:rFonts w:ascii="Calibri" w:cs="Calibri" w:eastAsia="Calibri" w:hAnsi="Calibri"/>
                <w:sz w:val="16"/>
                <w:szCs w:val="16"/>
                <w:color w:val="auto"/>
              </w:rPr>
              <w:t>0.83</w:t>
            </w:r>
          </w:p>
        </w:tc>
      </w:tr>
      <w:tr>
        <w:trPr>
          <w:trHeight w:val="208"/>
        </w:trPr>
        <w:tc>
          <w:tcPr>
            <w:tcW w:w="6180" w:type="dxa"/>
            <w:vAlign w:val="bottom"/>
          </w:tcPr>
          <w:p>
            <w:pPr>
              <w:ind w:left="60"/>
              <w:spacing w:after="0"/>
              <w:rPr>
                <w:sz w:val="20"/>
                <w:szCs w:val="20"/>
                <w:color w:val="auto"/>
              </w:rPr>
            </w:pPr>
            <w:r>
              <w:rPr>
                <w:rFonts w:ascii="Calibri" w:cs="Calibri" w:eastAsia="Calibri" w:hAnsi="Calibri"/>
                <w:sz w:val="16"/>
                <w:szCs w:val="16"/>
                <w:color w:val="auto"/>
              </w:rPr>
              <w:t>Forfeited</w:t>
            </w:r>
          </w:p>
        </w:tc>
        <w:tc>
          <w:tcPr>
            <w:tcW w:w="2460" w:type="dxa"/>
            <w:vAlign w:val="bottom"/>
          </w:tcPr>
          <w:p>
            <w:pPr>
              <w:jc w:val="right"/>
              <w:spacing w:after="0"/>
              <w:rPr>
                <w:sz w:val="20"/>
                <w:szCs w:val="20"/>
                <w:color w:val="auto"/>
              </w:rPr>
            </w:pPr>
            <w:r>
              <w:rPr>
                <w:rFonts w:ascii="Calibri" w:cs="Calibri" w:eastAsia="Calibri" w:hAnsi="Calibri"/>
                <w:sz w:val="16"/>
                <w:szCs w:val="16"/>
                <w:color w:val="auto"/>
              </w:rPr>
              <w:t>(683,750)</w:t>
            </w:r>
          </w:p>
        </w:tc>
        <w:tc>
          <w:tcPr>
            <w:tcW w:w="1880" w:type="dxa"/>
            <w:vAlign w:val="bottom"/>
          </w:tcPr>
          <w:p>
            <w:pPr>
              <w:jc w:val="right"/>
              <w:spacing w:after="0"/>
              <w:rPr>
                <w:sz w:val="20"/>
                <w:szCs w:val="20"/>
                <w:color w:val="auto"/>
              </w:rPr>
            </w:pPr>
            <w:r>
              <w:rPr>
                <w:rFonts w:ascii="Calibri" w:cs="Calibri" w:eastAsia="Calibri" w:hAnsi="Calibri"/>
                <w:sz w:val="16"/>
                <w:szCs w:val="16"/>
                <w:color w:val="auto"/>
              </w:rPr>
              <w:t>1.55</w:t>
            </w:r>
          </w:p>
        </w:tc>
      </w:tr>
      <w:tr>
        <w:trPr>
          <w:trHeight w:val="208"/>
        </w:trPr>
        <w:tc>
          <w:tcPr>
            <w:tcW w:w="6180" w:type="dxa"/>
            <w:vAlign w:val="bottom"/>
          </w:tcPr>
          <w:p>
            <w:pPr>
              <w:ind w:left="60"/>
              <w:spacing w:after="0"/>
              <w:rPr>
                <w:sz w:val="20"/>
                <w:szCs w:val="20"/>
                <w:color w:val="auto"/>
              </w:rPr>
            </w:pPr>
            <w:r>
              <w:rPr>
                <w:rFonts w:ascii="Calibri" w:cs="Calibri" w:eastAsia="Calibri" w:hAnsi="Calibri"/>
                <w:sz w:val="16"/>
                <w:szCs w:val="16"/>
                <w:color w:val="auto"/>
              </w:rPr>
              <w:t>Cancelled</w:t>
            </w:r>
          </w:p>
        </w:tc>
        <w:tc>
          <w:tcPr>
            <w:tcW w:w="2460" w:type="dxa"/>
            <w:vAlign w:val="bottom"/>
          </w:tcPr>
          <w:p>
            <w:pPr>
              <w:jc w:val="right"/>
              <w:spacing w:after="0"/>
              <w:rPr>
                <w:sz w:val="20"/>
                <w:szCs w:val="20"/>
                <w:color w:val="auto"/>
              </w:rPr>
            </w:pPr>
            <w:r>
              <w:rPr>
                <w:rFonts w:ascii="Calibri" w:cs="Calibri" w:eastAsia="Calibri" w:hAnsi="Calibri"/>
                <w:sz w:val="16"/>
                <w:szCs w:val="16"/>
                <w:color w:val="auto"/>
              </w:rPr>
              <w:t>(20,000)</w:t>
            </w:r>
          </w:p>
        </w:tc>
        <w:tc>
          <w:tcPr>
            <w:tcW w:w="1880" w:type="dxa"/>
            <w:vAlign w:val="bottom"/>
          </w:tcPr>
          <w:p>
            <w:pPr>
              <w:jc w:val="right"/>
              <w:spacing w:after="0"/>
              <w:rPr>
                <w:sz w:val="20"/>
                <w:szCs w:val="20"/>
                <w:color w:val="auto"/>
              </w:rPr>
            </w:pPr>
            <w:r>
              <w:rPr>
                <w:rFonts w:ascii="Calibri" w:cs="Calibri" w:eastAsia="Calibri" w:hAnsi="Calibri"/>
                <w:sz w:val="16"/>
                <w:szCs w:val="16"/>
                <w:color w:val="auto"/>
              </w:rPr>
              <w:t>2.78</w:t>
            </w:r>
          </w:p>
        </w:tc>
      </w:tr>
      <w:tr>
        <w:trPr>
          <w:trHeight w:val="21"/>
        </w:trPr>
        <w:tc>
          <w:tcPr>
            <w:tcW w:w="61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93"/>
        </w:trPr>
        <w:tc>
          <w:tcPr>
            <w:tcW w:w="6180" w:type="dxa"/>
            <w:vAlign w:val="bottom"/>
            <w:tcBorders>
              <w:bottom w:val="single" w:sz="8" w:color="auto"/>
            </w:tcBorders>
          </w:tcPr>
          <w:p>
            <w:pPr>
              <w:ind w:left="60"/>
              <w:spacing w:after="0" w:line="193" w:lineRule="exact"/>
              <w:rPr>
                <w:sz w:val="20"/>
                <w:szCs w:val="20"/>
                <w:color w:val="auto"/>
              </w:rPr>
            </w:pPr>
            <w:r>
              <w:rPr>
                <w:rFonts w:ascii="Calibri" w:cs="Calibri" w:eastAsia="Calibri" w:hAnsi="Calibri"/>
                <w:sz w:val="16"/>
                <w:szCs w:val="16"/>
                <w:b w:val="1"/>
                <w:bCs w:val="1"/>
                <w:color w:val="auto"/>
              </w:rPr>
              <w:t>Outstanding as at March 31, 2022</w:t>
            </w:r>
          </w:p>
        </w:tc>
        <w:tc>
          <w:tcPr>
            <w:tcW w:w="24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28,885,002</w:t>
            </w:r>
          </w:p>
        </w:tc>
        <w:tc>
          <w:tcPr>
            <w:tcW w:w="18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1.45</w:t>
            </w:r>
          </w:p>
        </w:tc>
      </w:tr>
      <w:tr>
        <w:trPr>
          <w:trHeight w:val="200"/>
        </w:trPr>
        <w:tc>
          <w:tcPr>
            <w:tcW w:w="6180" w:type="dxa"/>
            <w:vAlign w:val="bottom"/>
            <w:tcBorders>
              <w:bottom w:val="single" w:sz="8" w:color="auto"/>
            </w:tcBorders>
          </w:tcPr>
          <w:p>
            <w:pPr>
              <w:ind w:left="60"/>
              <w:spacing w:after="0" w:line="194" w:lineRule="exact"/>
              <w:rPr>
                <w:sz w:val="20"/>
                <w:szCs w:val="20"/>
                <w:color w:val="auto"/>
              </w:rPr>
            </w:pPr>
            <w:r>
              <w:rPr>
                <w:rFonts w:ascii="Calibri" w:cs="Calibri" w:eastAsia="Calibri" w:hAnsi="Calibri"/>
                <w:sz w:val="16"/>
                <w:szCs w:val="16"/>
                <w:b w:val="1"/>
                <w:bCs w:val="1"/>
                <w:color w:val="auto"/>
              </w:rPr>
              <w:t>Exercisable as at March 31, 2022</w:t>
            </w:r>
          </w:p>
        </w:tc>
        <w:tc>
          <w:tcPr>
            <w:tcW w:w="2460" w:type="dxa"/>
            <w:vAlign w:val="bottom"/>
            <w:tcBorders>
              <w:bottom w:val="single" w:sz="8" w:color="auto"/>
            </w:tcBorders>
          </w:tcPr>
          <w:p>
            <w:pPr>
              <w:jc w:val="right"/>
              <w:spacing w:after="0" w:line="194" w:lineRule="exact"/>
              <w:rPr>
                <w:sz w:val="20"/>
                <w:szCs w:val="20"/>
                <w:color w:val="auto"/>
              </w:rPr>
            </w:pPr>
            <w:r>
              <w:rPr>
                <w:rFonts w:ascii="Calibri" w:cs="Calibri" w:eastAsia="Calibri" w:hAnsi="Calibri"/>
                <w:sz w:val="16"/>
                <w:szCs w:val="16"/>
                <w:b w:val="1"/>
                <w:bCs w:val="1"/>
                <w:color w:val="auto"/>
              </w:rPr>
              <w:t>19,408,182</w:t>
            </w:r>
          </w:p>
        </w:tc>
        <w:tc>
          <w:tcPr>
            <w:tcW w:w="1880" w:type="dxa"/>
            <w:vAlign w:val="bottom"/>
            <w:tcBorders>
              <w:bottom w:val="single" w:sz="8" w:color="auto"/>
            </w:tcBorders>
          </w:tcPr>
          <w:p>
            <w:pPr>
              <w:jc w:val="right"/>
              <w:spacing w:after="0" w:line="194" w:lineRule="exact"/>
              <w:rPr>
                <w:sz w:val="20"/>
                <w:szCs w:val="20"/>
                <w:color w:val="auto"/>
              </w:rPr>
            </w:pPr>
            <w:r>
              <w:rPr>
                <w:rFonts w:ascii="Calibri" w:cs="Calibri" w:eastAsia="Calibri" w:hAnsi="Calibri"/>
                <w:sz w:val="16"/>
                <w:szCs w:val="16"/>
                <w:b w:val="1"/>
                <w:bCs w:val="1"/>
                <w:color w:val="auto"/>
              </w:rPr>
              <w:t>1.29</w:t>
            </w:r>
          </w:p>
        </w:tc>
      </w:tr>
    </w:tbl>
    <w:p>
      <w:pPr>
        <w:spacing w:after="0" w:line="223"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color w:val="auto"/>
        </w:rPr>
        <w:t>During the year ended March 31, 2021, the Company completed the following opton issuances:</w:t>
      </w:r>
    </w:p>
    <w:p>
      <w:pPr>
        <w:spacing w:after="0" w:line="160"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June 15, 2020, the Company granted optons to purchase up to 2,600,000 Common Shares to executve ofcers with an exercise price of $0.25. The optons will expire on June 15, 2025.</w:t>
      </w:r>
    </w:p>
    <w:p>
      <w:pPr>
        <w:spacing w:after="0" w:line="161"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July 22, 2020, the Company granted optons to purchase up to 500,000 Common Shares to executve ofcers with an exercise price of $0.64 per share. The optons will expire on July 22, 2025.</w:t>
      </w:r>
    </w:p>
    <w:p>
      <w:pPr>
        <w:spacing w:after="0" w:line="173"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October 12, 2020, the Company granted optons to purchase up to 3,000,000 Common Shares to executve ofcers with an exercise price of $0.75 per share, vestng over a 24-month period. The optons will expire on October 12, 2025.</w:t>
      </w:r>
    </w:p>
    <w:p>
      <w:pPr>
        <w:spacing w:after="0" w:line="222"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November 4, 2020, the Company granted 6,200,000 optons to purchase up to: 4,500,000 Common Shares to executve ofcers, 250,000 Common Shares to employees, and 1,450,000 Common Shares to advisors, with an exercise price of $0.75 per Common Share and vestng over a 24-month period. The optons will expire on November 4, 2025.</w:t>
      </w:r>
    </w:p>
    <w:p>
      <w:pPr>
        <w:spacing w:after="0" w:line="223"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November 5, 2020, the Company completed a Common Share consolidaton on the basis of 6.6672 old Common Shares into one new Common Share. Afer completon of the consolidaton, there were 202,338 optons to purchase Common Shares outstanding, with an exercise price of $0.6672 per Common Share, with such optons being fully vested and having an expiraton date of December 11, 2022.</w:t>
      </w:r>
    </w:p>
    <w:p>
      <w:pPr>
        <w:spacing w:after="0" w:line="223"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November 13, 2020, the Company granted optons to purchase up to 500,000 Common Shares to executve ofcers with an exercise price of $0.88 per Common Share and vestng over a 24-month period. The optons will expire on November 13, 2025.</w:t>
      </w:r>
    </w:p>
    <w:p>
      <w:pPr>
        <w:spacing w:after="0" w:line="222"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November 27, 2020, the Company granted optons to purchase up to 200,000 Common Shares to a consultant of the Company with an exercise price of $0.91 per Common Share, and vestng on April 27, 2021. The optons will expire on November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auto"/>
        </w:rPr>
        <w:t>Page 39 of 53</w:t>
      </w:r>
    </w:p>
    <w:p>
      <w:pPr>
        <w:sectPr>
          <w:pgSz w:w="11900" w:h="16838" w:orient="portrait"/>
          <w:cols w:equalWidth="0" w:num="1">
            <w:col w:w="11180"/>
          </w:cols>
          <w:pgMar w:left="380" w:top="151" w:right="339" w:bottom="1440" w:gutter="0" w:footer="0" w:header="0"/>
        </w:sectPr>
      </w:pPr>
    </w:p>
    <w:bookmarkStart w:id="139" w:name="page140"/>
    <w:bookmarkEnd w:id="139"/>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On December 11, 2020, the Company granted optons to purchase up to 700,000 Common Shares to consultants of the Company with an exercise price of $1.48 per Common Share, and vestng over a 24-month period. The optons will expire on December 11, 2025.</w:t>
      </w:r>
    </w:p>
    <w:p>
      <w:pPr>
        <w:spacing w:after="0" w:line="222"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On December 14, 2020, the Company granted optons to purchase up to 2,244,100 Common Shares to executve ofcers and consultants of the Company with an exercise price of $1.74 per Common Share, and vestng over a 24-month period. The optons will expire on December 14, 2025 (see note 4).</w:t>
      </w:r>
    </w:p>
    <w:p>
      <w:pPr>
        <w:spacing w:after="0" w:line="221"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On December 16, 2020, optons to purchase up to 200,000 Common Shares expired unexercised as a result of the terminaton of a consultant of the Company.</w:t>
      </w:r>
    </w:p>
    <w:p>
      <w:pPr>
        <w:spacing w:after="0" w:line="221"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On December 28, 2020, the Company granted optons to purchase up to 760,000 Common Shares to directors and executve ofcers with an exercise price of $1.89 per Common Share, and vestng over a 24-month period. The optons will expire on December 28, 2025.</w:t>
      </w:r>
    </w:p>
    <w:p>
      <w:pPr>
        <w:spacing w:after="0" w:line="222"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On January 2, 2021, the Company granted optons to purchase up to 225,000 Common Shares to an employee with an exercise price of $1.89 per Common Share, and vestng over a 24-month period. The optons will expire on January 2, 2026.</w:t>
      </w:r>
    </w:p>
    <w:p>
      <w:pPr>
        <w:spacing w:after="0" w:line="222"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On February 15, 2021, the Company granted optons to purchase up to 170,000 Common Shares to consultants with an exercise price of $2.03 per Common Share, and vestng over a 24-month period. The optons will expire on February 15, 2026.</w:t>
      </w:r>
    </w:p>
    <w:p>
      <w:pPr>
        <w:spacing w:after="0" w:line="222"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On February 16, 2021, the Company granted optons to purchase up to 150,000 Common Shares to a consultant with an exercise price of $2.03 per Common Share, and vestng over a 24-month period. The optons will expire on February 16, 2026.</w:t>
      </w:r>
    </w:p>
    <w:p>
      <w:pPr>
        <w:spacing w:after="0" w:line="222"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On March 10, 2021, the Company granted optons to purchase up to 1,900,900 Common Shares to certain executve ofcers, employees, and consultants, with an exercise price of $1.39 per Common Share and vestng over a 24-month period. The optons will expire on March 10, 2026.</w:t>
      </w:r>
    </w:p>
    <w:p>
      <w:pPr>
        <w:spacing w:after="0" w:line="222"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On March 15, 2021, the Company granted optons to purchase up to 300,000 Common Shares to a consultant with an exercise price of 1.55 per Common Share, and vestng over a 24-month period. The optons will expire on March 15, 2026.</w:t>
      </w:r>
    </w:p>
    <w:p>
      <w:pPr>
        <w:spacing w:after="0" w:line="222"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March 28, 2021, the Company granted optons to purchase up to: 225,000 Common Shares to an executve ofcer, 275,000 Common Shares to employees, and 1,575,000 Common Shares to consultants, with an exercise price of $1.36 per Common Share and vestng over a 24-month period. The optons will expire on March 28, 2026.</w:t>
      </w:r>
    </w:p>
    <w:p>
      <w:pPr>
        <w:spacing w:after="0" w:line="223"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March 29, 2021, the Company granted optons to purchase up to 37,500 Common Shares to a consultant with an exercise price of $1.32 per Common Share, vestng over a 24-month period expiring March 29, 2026.</w:t>
      </w:r>
    </w:p>
    <w:p>
      <w:pPr>
        <w:spacing w:after="0" w:line="2"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On March 31, 2021, the Company granted optons to purchase up to 20,000 Common Shares to certain employees with an exercise price of 1.74 per Common Share, and vestng over 24-month period and 345,000 Common Shares with an exercise price of $1.35 per Common Share to certain employees, vestng over a 24-month period. The optons will expire on December 25, 2025 and March 31, 2026, respectvely.</w:t>
      </w:r>
    </w:p>
    <w:p>
      <w:pPr>
        <w:spacing w:after="0" w:line="222"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From April 1, 2020 to March 31, 2021, employees and consultants exercised 492,386 optons for gross proceeds of $183 paid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40 of 53</w:t>
      </w:r>
    </w:p>
    <w:p>
      <w:pPr>
        <w:sectPr>
          <w:pgSz w:w="11900" w:h="16838" w:orient="portrait"/>
          <w:cols w:equalWidth="0" w:num="1">
            <w:col w:w="11200"/>
          </w:cols>
          <w:pgMar w:left="380" w:top="151" w:right="319" w:bottom="1440" w:gutter="0" w:footer="0" w:header="0"/>
        </w:sectPr>
      </w:pPr>
    </w:p>
    <w:bookmarkStart w:id="140" w:name="page141"/>
    <w:bookmarkEnd w:id="140"/>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i w:val="1"/>
          <w:iCs w:val="1"/>
          <w:color w:val="auto"/>
        </w:rPr>
        <w:t>During the year ended March 31, 2022, the Company completed the following opton issuances:</w:t>
      </w:r>
    </w:p>
    <w:p>
      <w:pPr>
        <w:spacing w:after="0" w:line="221"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June 28, 2021, the Company granted optons to purchase up to: 1,975,000 Common Shares to executve ofcers, 1,090,000 Common Shares to employees, and 194,000 Common Shares to consultants, with an exercise price of $2.90 per Common Share and vestng over two years. On the same date, the Company granted optons to purchase 550,000 Common Shares to consultants with an exercise price of $2.90 per Common Share and vestng over one year. In additon, the Company granted optons to purchase up to 25,000 Common Shares to a consultant that vested immediately with an exercise price of $2.90 per Common Share. The optons will expire on June 28, 2026. The aggregate estmated grant date fair value was determined to be $7,994, calculated using the Black-Scholes opton pricing model with the following assumptons:</w:t>
      </w:r>
    </w:p>
    <w:p>
      <w:pPr>
        <w:spacing w:after="0" w:line="200" w:lineRule="exact"/>
        <w:rPr>
          <w:sz w:val="20"/>
          <w:szCs w:val="20"/>
          <w:color w:val="auto"/>
        </w:rPr>
      </w:pPr>
    </w:p>
    <w:p>
      <w:pPr>
        <w:spacing w:after="0" w:line="232"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0.98%</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2.90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2.90</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August 16, 2021, the Company granted optons to purchase up to: 165,000 Common Shares to employees, and 50,000 Common Shares to consultants, with an exercise price of $2.48 per Common Share, and vestng over two years. The optons will expire on August 16, 2026. The estmated grant date fair value was determined to be $383, calculated using the Black-Scholes opton pricing model with the following assumptons:</w:t>
      </w:r>
    </w:p>
    <w:p>
      <w:pPr>
        <w:spacing w:after="0" w:line="209"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0.81%</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2.48</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2.48</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On August 18, 2021, the Company granted optons to purchase up to 300,000 Common Shares to an executve ofcer with an exercise price of $2.48 per Common Share and vestng over two years. The optons will expire on August 18, 2026. The estmated grant date fair value was determined to be $519, calculated using the Black-Scholes opton pricing model with the following assumptons:</w:t>
      </w:r>
    </w:p>
    <w:p>
      <w:pPr>
        <w:spacing w:after="0" w:line="209"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0.82%</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2.42</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2.48</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41 of 53</w:t>
      </w:r>
    </w:p>
    <w:p>
      <w:pPr>
        <w:sectPr>
          <w:pgSz w:w="11900" w:h="16838" w:orient="portrait"/>
          <w:cols w:equalWidth="0" w:num="1">
            <w:col w:w="11200"/>
          </w:cols>
          <w:pgMar w:left="380" w:top="151" w:right="319" w:bottom="1440" w:gutter="0" w:footer="0" w:header="0"/>
        </w:sectPr>
      </w:pPr>
    </w:p>
    <w:bookmarkStart w:id="141" w:name="page142"/>
    <w:bookmarkEnd w:id="141"/>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4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September 27, 2021, the Company granted optons to purchase up to 585,000 Common Shares to employees with an exercise price of $3.15 per Common Share and vestng over two years. The optons will expire on September 27, 2026. The estmated grant date fair value was determined to be $1,186, calculated using the Black-Scholes opton pricing model with the following assumptons:</w:t>
      </w:r>
    </w:p>
    <w:p>
      <w:pPr>
        <w:spacing w:after="0" w:line="197"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1.06%</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2.87</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3.15</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September 27, 2021, the Company granted optons to purchase up to 195,000 Common Shares to a director with an exercise price of $2.87 per Common Share and vestng over two years. The optons will expire on September 27, 2026. The estmated grant date fair value was determined to be $403, calculated using the Black-Scholes opton pricing model with the following assumptons:</w:t>
      </w:r>
    </w:p>
    <w:p>
      <w:pPr>
        <w:spacing w:after="0" w:line="197"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1.06%</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2.87</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2.87</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September 30, 2021, the Company granted optons to purchase up to 450,000 Common Shares to employees with an exercise price of $3.15 per Common Share and vestng over two years. The optons will expire on September 30, 2026. The estmated grant date fair value was determined to be $878, calculated using the Black-Scholes opton pricing model with the following assumptons:</w:t>
      </w:r>
    </w:p>
    <w:p>
      <w:pPr>
        <w:spacing w:after="0" w:line="197"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1.11%</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2.78</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3.15</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September 30, 2021, the Company granted optons to purchase up to 40,000 Common Shares to a consultant with an exercise price of $2.78 per Common Share and vestng over one year. The optons will expire on June 30, 2023. The estmated grant date fair value was determined to be $48, calculated using the Black-Scholes opton pricing model with the following assumptons: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auto"/>
        </w:rPr>
        <w:t>Page 42 of 53</w:t>
      </w:r>
    </w:p>
    <w:p>
      <w:pPr>
        <w:sectPr>
          <w:pgSz w:w="11900" w:h="16838" w:orient="portrait"/>
          <w:cols w:equalWidth="0" w:num="1">
            <w:col w:w="11180"/>
          </w:cols>
          <w:pgMar w:left="380" w:top="151" w:right="339" w:bottom="1440" w:gutter="0" w:footer="0" w:header="0"/>
        </w:sectPr>
      </w:pPr>
    </w:p>
    <w:bookmarkStart w:id="142" w:name="page143"/>
    <w:bookmarkEnd w:id="142"/>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4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0.53%</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85.00%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1.75</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2.78</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2.78</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September 30, 2021, the Company granted optons to purchase up to 700,000 Common Shares to consultants with an exercise price of $2.78 per Common Share and vestng over one year. The optons will expire on December 31, 2022. The estmated grant date fair value was determined to be $715, calculated using the Black-Scholes opton pricing model with the following assumptons:</w:t>
      </w:r>
    </w:p>
    <w:p>
      <w:pPr>
        <w:spacing w:after="0" w:line="197"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0.41%</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85.00%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1.25</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2.78</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2.78</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December 31, 2021, the Company granted optons to purchase up to 40,000 Common Shares to employees with an exercise price of $3.15 per Common Share and vestng over two years. The optons will expire on December 31, 2026. The estmated grant date fair value was determined to be $36, calculated using the Black-Scholes opton pricing model with the following assumptons:</w:t>
      </w:r>
    </w:p>
    <w:p>
      <w:pPr>
        <w:spacing w:after="0" w:line="197"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1.25%</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1.50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3.15</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December 31, 2021, the Company granted optons to purchase up to 1,250,000 Common Shares to consultants with an exercise price of $1.50 per Common Share and vestng over two years. The optons will expire on December 31, 2026. The estmated grant date fair value was determined to be $1,352, calculated using the Black-Company opton pricing model with the following assumptons:</w:t>
      </w:r>
    </w:p>
    <w:p>
      <w:pPr>
        <w:spacing w:after="0" w:line="197"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1.25%</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1.50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1.50</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auto"/>
        </w:rPr>
        <w:t>Page 43 of 53</w:t>
      </w:r>
    </w:p>
    <w:p>
      <w:pPr>
        <w:sectPr>
          <w:pgSz w:w="11900" w:h="16838" w:orient="portrait"/>
          <w:cols w:equalWidth="0" w:num="1">
            <w:col w:w="11180"/>
          </w:cols>
          <w:pgMar w:left="380" w:top="151" w:right="339" w:bottom="1440" w:gutter="0" w:footer="0" w:header="0"/>
        </w:sectPr>
      </w:pPr>
    </w:p>
    <w:bookmarkStart w:id="143" w:name="page144"/>
    <w:bookmarkEnd w:id="143"/>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4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March 4, 2022, the Company granted optons to purchase up to: 1,035,600 Common Shares to executve ofcers and 40,000 Common Shares to consultants, with an exercise price of $1.13 per Common Share and vestng over two years. The optons will expire on March 4, 2027. The estmated grant date fair value was determined to be $878, calculated using the Black-Scholes opton pricing model with the following assumptons:</w:t>
      </w:r>
    </w:p>
    <w:p>
      <w:pPr>
        <w:spacing w:after="0" w:line="209"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1.46%</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1.13</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1.13</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March 4, 2022, the Company granted optons to purchase up to 60,000 Common Shares to employees with an exercise price of $3.15 per Common Share and vestng over two years. The optons will expire on March 4, 2027. The estmated grant date fair value was determined to be $38, calculated using the Black-Scholes opton pricing model with the following assumptons:</w:t>
      </w:r>
    </w:p>
    <w:p>
      <w:pPr>
        <w:spacing w:after="0" w:line="197"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1.46%</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1.13</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3.15</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On March 8, 2022, the Company granted optons to purchase up to 400,000 Common Shares to a consultant with an exercise price of $1.02 per Common Share and vestng over two months. The optons will expire on March 8, 2027. The estmated grant date fair value was determined to be $295, calculated using the Black-Scholes opton pricing model with the following assumptons:</w:t>
      </w:r>
    </w:p>
    <w:p>
      <w:pPr>
        <w:spacing w:after="0" w:line="197"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1.61%</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1.02</w:t>
            </w:r>
          </w:p>
        </w:tc>
      </w:tr>
      <w:tr>
        <w:trPr>
          <w:trHeight w:val="208"/>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20" w:type="dxa"/>
            <w:vAlign w:val="bottom"/>
          </w:tcPr>
          <w:p>
            <w:pPr>
              <w:jc w:val="right"/>
              <w:ind w:right="55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1.02</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During the year ended March 31, 2022, the Company amended the vestng and expiry dates of certain optons with former employees of the Company, resultng in a modifcaton of terms. As a result of the modifcatons, the Company calculated the incremental fair value using the Black-Scholes opton pricing model. The fair value of the optons afer modifcaton was determined to be less than the fair value prior to modifcaton and therefore the original fair value of the grant was used and is being recognized over the new vestng schedule.</w:t>
      </w:r>
    </w:p>
    <w:p>
      <w:pPr>
        <w:spacing w:after="0" w:line="175"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The Company accelerated the vestng schedule of 1,031,250 optons issued to certain consultants to a date during the year ended March 31, 2022. As a result, an additonal share-based payment compensaton expense of $168 was recorded in the consolidated statement of loss and other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auto"/>
        </w:rPr>
        <w:t>Page 44 of 53</w:t>
      </w:r>
    </w:p>
    <w:p>
      <w:pPr>
        <w:sectPr>
          <w:pgSz w:w="11900" w:h="16838" w:orient="portrait"/>
          <w:cols w:equalWidth="0" w:num="1">
            <w:col w:w="11180"/>
          </w:cols>
          <w:pgMar w:left="380" w:top="151" w:right="339" w:bottom="1440" w:gutter="0" w:footer="0" w:header="0"/>
        </w:sectPr>
      </w:pPr>
    </w:p>
    <w:bookmarkStart w:id="144" w:name="page145"/>
    <w:bookmarkEnd w:id="144"/>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right="20"/>
        <w:spacing w:after="0" w:line="239" w:lineRule="auto"/>
        <w:rPr>
          <w:sz w:val="20"/>
          <w:szCs w:val="20"/>
          <w:color w:val="auto"/>
        </w:rPr>
      </w:pPr>
      <w:r>
        <w:rPr>
          <w:rFonts w:ascii="Calibri" w:cs="Calibri" w:eastAsia="Calibri" w:hAnsi="Calibri"/>
          <w:sz w:val="16"/>
          <w:szCs w:val="16"/>
          <w:color w:val="auto"/>
        </w:rPr>
        <w:t>During the year ended March 31, 2022, 1,588,300 optons (March 31, 2021 - $492,386) were exercised by various holders for aggregate proceeds to the Company of $1,342 (March 31, 2021 - $182).</w:t>
      </w:r>
    </w:p>
    <w:p>
      <w:pPr>
        <w:spacing w:after="0" w:line="172"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The following summarizes informaton about stock optons outstanding on March 31, 2022:</w:t>
      </w:r>
    </w:p>
    <w:p>
      <w:pPr>
        <w:spacing w:after="0" w:line="160"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740" w:type="dxa"/>
            <w:vAlign w:val="bottom"/>
          </w:tcPr>
          <w:p>
            <w:pPr>
              <w:jc w:val="right"/>
              <w:ind w:right="179"/>
              <w:spacing w:after="0"/>
              <w:rPr>
                <w:sz w:val="20"/>
                <w:szCs w:val="20"/>
                <w:color w:val="auto"/>
              </w:rPr>
            </w:pPr>
            <w:r>
              <w:rPr>
                <w:rFonts w:ascii="Calibri" w:cs="Calibri" w:eastAsia="Calibri" w:hAnsi="Calibri"/>
                <w:sz w:val="16"/>
                <w:szCs w:val="16"/>
                <w:b w:val="1"/>
                <w:bCs w:val="1"/>
                <w:color w:val="auto"/>
              </w:rPr>
              <w:t>Number of optons</w:t>
            </w:r>
          </w:p>
        </w:tc>
        <w:tc>
          <w:tcPr>
            <w:tcW w:w="1780" w:type="dxa"/>
            <w:vAlign w:val="bottom"/>
          </w:tcPr>
          <w:p>
            <w:pPr>
              <w:jc w:val="right"/>
              <w:ind w:right="199"/>
              <w:spacing w:after="0"/>
              <w:rPr>
                <w:sz w:val="20"/>
                <w:szCs w:val="20"/>
                <w:color w:val="auto"/>
              </w:rPr>
            </w:pPr>
            <w:r>
              <w:rPr>
                <w:rFonts w:ascii="Calibri" w:cs="Calibri" w:eastAsia="Calibri" w:hAnsi="Calibri"/>
                <w:sz w:val="16"/>
                <w:szCs w:val="16"/>
                <w:b w:val="1"/>
                <w:bCs w:val="1"/>
                <w:color w:val="auto"/>
              </w:rPr>
              <w:t>Number of optons</w:t>
            </w:r>
          </w:p>
        </w:tc>
        <w:tc>
          <w:tcPr>
            <w:tcW w:w="162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Weighted average</w:t>
            </w:r>
          </w:p>
        </w:tc>
        <w:tc>
          <w:tcPr>
            <w:tcW w:w="1660" w:type="dxa"/>
            <w:vAlign w:val="bottom"/>
          </w:tcPr>
          <w:p>
            <w:pPr>
              <w:jc w:val="right"/>
              <w:spacing w:after="0"/>
              <w:rPr>
                <w:sz w:val="20"/>
                <w:szCs w:val="20"/>
                <w:color w:val="auto"/>
              </w:rPr>
            </w:pPr>
            <w:r>
              <w:rPr>
                <w:rFonts w:ascii="Calibri" w:cs="Calibri" w:eastAsia="Calibri" w:hAnsi="Calibri"/>
                <w:sz w:val="16"/>
                <w:szCs w:val="16"/>
                <w:b w:val="1"/>
                <w:bCs w:val="1"/>
                <w:color w:val="auto"/>
              </w:rPr>
              <w:t>Recognized estmated</w:t>
            </w:r>
          </w:p>
        </w:tc>
      </w:tr>
      <w:tr>
        <w:trPr>
          <w:trHeight w:val="206"/>
        </w:trPr>
        <w:tc>
          <w:tcPr>
            <w:tcW w:w="2160" w:type="dxa"/>
            <w:vAlign w:val="bottom"/>
          </w:tcPr>
          <w:p>
            <w:pPr>
              <w:spacing w:after="0"/>
              <w:rPr>
                <w:sz w:val="17"/>
                <w:szCs w:val="17"/>
                <w:color w:val="auto"/>
              </w:rPr>
            </w:pPr>
          </w:p>
        </w:tc>
        <w:tc>
          <w:tcPr>
            <w:tcW w:w="2000" w:type="dxa"/>
            <w:vAlign w:val="bottom"/>
          </w:tcPr>
          <w:p>
            <w:pPr>
              <w:jc w:val="right"/>
              <w:ind w:right="179"/>
              <w:spacing w:after="0"/>
              <w:rPr>
                <w:sz w:val="20"/>
                <w:szCs w:val="20"/>
                <w:color w:val="auto"/>
              </w:rPr>
            </w:pPr>
            <w:r>
              <w:rPr>
                <w:rFonts w:ascii="Calibri" w:cs="Calibri" w:eastAsia="Calibri" w:hAnsi="Calibri"/>
                <w:sz w:val="16"/>
                <w:szCs w:val="16"/>
                <w:b w:val="1"/>
                <w:bCs w:val="1"/>
                <w:color w:val="auto"/>
              </w:rPr>
              <w:t>Exercise Price</w:t>
            </w:r>
          </w:p>
        </w:tc>
        <w:tc>
          <w:tcPr>
            <w:tcW w:w="1740" w:type="dxa"/>
            <w:vAlign w:val="bottom"/>
          </w:tcPr>
          <w:p>
            <w:pPr>
              <w:jc w:val="right"/>
              <w:ind w:right="179"/>
              <w:spacing w:after="0" w:line="194" w:lineRule="exact"/>
              <w:rPr>
                <w:sz w:val="20"/>
                <w:szCs w:val="20"/>
                <w:color w:val="auto"/>
              </w:rPr>
            </w:pPr>
            <w:r>
              <w:rPr>
                <w:rFonts w:ascii="Calibri" w:cs="Calibri" w:eastAsia="Calibri" w:hAnsi="Calibri"/>
                <w:sz w:val="16"/>
                <w:szCs w:val="16"/>
                <w:b w:val="1"/>
                <w:bCs w:val="1"/>
                <w:color w:val="auto"/>
              </w:rPr>
              <w:t>outstanding</w:t>
            </w:r>
          </w:p>
        </w:tc>
        <w:tc>
          <w:tcPr>
            <w:tcW w:w="1780" w:type="dxa"/>
            <w:vAlign w:val="bottom"/>
          </w:tcPr>
          <w:p>
            <w:pPr>
              <w:jc w:val="right"/>
              <w:ind w:right="199"/>
              <w:spacing w:after="0" w:line="194" w:lineRule="exact"/>
              <w:rPr>
                <w:sz w:val="20"/>
                <w:szCs w:val="20"/>
                <w:color w:val="auto"/>
              </w:rPr>
            </w:pPr>
            <w:r>
              <w:rPr>
                <w:rFonts w:ascii="Calibri" w:cs="Calibri" w:eastAsia="Calibri" w:hAnsi="Calibri"/>
                <w:sz w:val="16"/>
                <w:szCs w:val="16"/>
                <w:b w:val="1"/>
                <w:bCs w:val="1"/>
                <w:color w:val="auto"/>
              </w:rPr>
              <w:t>exercisable</w:t>
            </w:r>
          </w:p>
        </w:tc>
        <w:tc>
          <w:tcPr>
            <w:tcW w:w="1620" w:type="dxa"/>
            <w:vAlign w:val="bottom"/>
          </w:tcPr>
          <w:p>
            <w:pPr>
              <w:jc w:val="right"/>
              <w:ind w:right="79"/>
              <w:spacing w:after="0" w:line="194" w:lineRule="exact"/>
              <w:rPr>
                <w:sz w:val="20"/>
                <w:szCs w:val="20"/>
                <w:color w:val="auto"/>
              </w:rPr>
            </w:pPr>
            <w:r>
              <w:rPr>
                <w:rFonts w:ascii="Calibri" w:cs="Calibri" w:eastAsia="Calibri" w:hAnsi="Calibri"/>
                <w:sz w:val="16"/>
                <w:szCs w:val="16"/>
                <w:b w:val="1"/>
                <w:bCs w:val="1"/>
                <w:color w:val="auto"/>
              </w:rPr>
              <w:t>remaining life</w:t>
            </w:r>
          </w:p>
        </w:tc>
        <w:tc>
          <w:tcPr>
            <w:tcW w:w="1660" w:type="dxa"/>
            <w:vAlign w:val="bottom"/>
          </w:tcPr>
          <w:p>
            <w:pPr>
              <w:jc w:val="right"/>
              <w:spacing w:after="0" w:line="194" w:lineRule="exact"/>
              <w:rPr>
                <w:sz w:val="20"/>
                <w:szCs w:val="20"/>
                <w:color w:val="auto"/>
              </w:rPr>
            </w:pPr>
            <w:r>
              <w:rPr>
                <w:rFonts w:ascii="Calibri" w:cs="Calibri" w:eastAsia="Calibri" w:hAnsi="Calibri"/>
                <w:sz w:val="16"/>
                <w:szCs w:val="16"/>
                <w:b w:val="1"/>
                <w:bCs w:val="1"/>
                <w:color w:val="auto"/>
              </w:rPr>
              <w:t>grant date fair value</w:t>
            </w: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3"/>
        </w:trPr>
        <w:tc>
          <w:tcPr>
            <w:tcW w:w="2160" w:type="dxa"/>
            <w:vAlign w:val="bottom"/>
            <w:tcBorders>
              <w:bottom w:val="single" w:sz="8" w:color="auto"/>
            </w:tcBorders>
          </w:tcPr>
          <w:p>
            <w:pPr>
              <w:spacing w:after="0" w:line="193" w:lineRule="exact"/>
              <w:rPr>
                <w:sz w:val="20"/>
                <w:szCs w:val="20"/>
                <w:color w:val="auto"/>
              </w:rPr>
            </w:pPr>
            <w:r>
              <w:rPr>
                <w:rFonts w:ascii="Calibri" w:cs="Calibri" w:eastAsia="Calibri" w:hAnsi="Calibri"/>
                <w:sz w:val="16"/>
                <w:szCs w:val="16"/>
                <w:b w:val="1"/>
                <w:bCs w:val="1"/>
                <w:color w:val="auto"/>
              </w:rPr>
              <w:t>Expiry date</w:t>
            </w:r>
          </w:p>
        </w:tc>
        <w:tc>
          <w:tcPr>
            <w:tcW w:w="2000" w:type="dxa"/>
            <w:vAlign w:val="bottom"/>
            <w:tcBorders>
              <w:bottom w:val="single" w:sz="8" w:color="auto"/>
            </w:tcBorders>
          </w:tcPr>
          <w:p>
            <w:pPr>
              <w:jc w:val="right"/>
              <w:ind w:right="179"/>
              <w:spacing w:after="0" w:line="193" w:lineRule="exact"/>
              <w:rPr>
                <w:sz w:val="20"/>
                <w:szCs w:val="20"/>
                <w:color w:val="auto"/>
              </w:rPr>
            </w:pPr>
            <w:r>
              <w:rPr>
                <w:rFonts w:ascii="Calibri" w:cs="Calibri" w:eastAsia="Calibri" w:hAnsi="Calibri"/>
                <w:sz w:val="16"/>
                <w:szCs w:val="16"/>
                <w:b w:val="1"/>
                <w:bCs w:val="1"/>
                <w:color w:val="auto"/>
              </w:rPr>
              <w:t>$</w:t>
            </w:r>
          </w:p>
        </w:tc>
        <w:tc>
          <w:tcPr>
            <w:tcW w:w="17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9"/>
              <w:spacing w:after="0" w:line="193" w:lineRule="exact"/>
              <w:rPr>
                <w:sz w:val="20"/>
                <w:szCs w:val="20"/>
                <w:color w:val="auto"/>
              </w:rPr>
            </w:pPr>
            <w:r>
              <w:rPr>
                <w:rFonts w:ascii="Calibri" w:cs="Calibri" w:eastAsia="Calibri" w:hAnsi="Calibri"/>
                <w:sz w:val="16"/>
                <w:szCs w:val="16"/>
                <w:b w:val="1"/>
                <w:bCs w:val="1"/>
                <w:color w:val="auto"/>
              </w:rPr>
              <w:t>Years</w:t>
            </w:r>
          </w:p>
        </w:tc>
        <w:tc>
          <w:tcPr>
            <w:tcW w:w="16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$000’s</w:t>
            </w:r>
          </w:p>
        </w:tc>
      </w:tr>
      <w:tr>
        <w:trPr>
          <w:trHeight w:val="193"/>
        </w:trPr>
        <w:tc>
          <w:tcPr>
            <w:tcW w:w="2160" w:type="dxa"/>
            <w:vAlign w:val="bottom"/>
          </w:tcPr>
          <w:p>
            <w:pPr>
              <w:spacing w:after="0" w:line="193" w:lineRule="exact"/>
              <w:rPr>
                <w:sz w:val="20"/>
                <w:szCs w:val="20"/>
                <w:color w:val="auto"/>
              </w:rPr>
            </w:pPr>
            <w:r>
              <w:rPr>
                <w:rFonts w:ascii="Calibri" w:cs="Calibri" w:eastAsia="Calibri" w:hAnsi="Calibri"/>
                <w:sz w:val="16"/>
                <w:szCs w:val="16"/>
                <w:color w:val="auto"/>
              </w:rPr>
              <w:t>May 10, 2022</w:t>
            </w:r>
          </w:p>
        </w:tc>
        <w:tc>
          <w:tcPr>
            <w:tcW w:w="2000" w:type="dxa"/>
            <w:vAlign w:val="bottom"/>
          </w:tcPr>
          <w:p>
            <w:pPr>
              <w:jc w:val="right"/>
              <w:ind w:right="179"/>
              <w:spacing w:after="0" w:line="193" w:lineRule="exact"/>
              <w:rPr>
                <w:sz w:val="20"/>
                <w:szCs w:val="20"/>
                <w:color w:val="auto"/>
              </w:rPr>
            </w:pPr>
            <w:r>
              <w:rPr>
                <w:rFonts w:ascii="Calibri" w:cs="Calibri" w:eastAsia="Calibri" w:hAnsi="Calibri"/>
                <w:sz w:val="16"/>
                <w:szCs w:val="16"/>
                <w:color w:val="auto"/>
              </w:rPr>
              <w:t>2.90</w:t>
            </w:r>
          </w:p>
        </w:tc>
        <w:tc>
          <w:tcPr>
            <w:tcW w:w="1740" w:type="dxa"/>
            <w:vAlign w:val="bottom"/>
          </w:tcPr>
          <w:p>
            <w:pPr>
              <w:jc w:val="right"/>
              <w:ind w:right="179"/>
              <w:spacing w:after="0" w:line="193" w:lineRule="exact"/>
              <w:rPr>
                <w:sz w:val="20"/>
                <w:szCs w:val="20"/>
                <w:color w:val="auto"/>
              </w:rPr>
            </w:pPr>
            <w:r>
              <w:rPr>
                <w:rFonts w:ascii="Calibri" w:cs="Calibri" w:eastAsia="Calibri" w:hAnsi="Calibri"/>
                <w:sz w:val="16"/>
                <w:szCs w:val="16"/>
                <w:color w:val="auto"/>
              </w:rPr>
              <w:t>13,500</w:t>
            </w:r>
          </w:p>
        </w:tc>
        <w:tc>
          <w:tcPr>
            <w:tcW w:w="1780" w:type="dxa"/>
            <w:vAlign w:val="bottom"/>
          </w:tcPr>
          <w:p>
            <w:pPr>
              <w:jc w:val="right"/>
              <w:ind w:right="199"/>
              <w:spacing w:after="0" w:line="193" w:lineRule="exact"/>
              <w:rPr>
                <w:sz w:val="20"/>
                <w:szCs w:val="20"/>
                <w:color w:val="auto"/>
              </w:rPr>
            </w:pPr>
            <w:r>
              <w:rPr>
                <w:rFonts w:ascii="Calibri" w:cs="Calibri" w:eastAsia="Calibri" w:hAnsi="Calibri"/>
                <w:sz w:val="16"/>
                <w:szCs w:val="16"/>
                <w:color w:val="auto"/>
              </w:rPr>
              <w:t>13,500</w:t>
            </w:r>
          </w:p>
        </w:tc>
        <w:tc>
          <w:tcPr>
            <w:tcW w:w="162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0.11</w:t>
            </w:r>
          </w:p>
        </w:tc>
        <w:tc>
          <w:tcPr>
            <w:tcW w:w="1660" w:type="dxa"/>
            <w:vAlign w:val="bottom"/>
          </w:tcPr>
          <w:p>
            <w:pPr>
              <w:jc w:val="right"/>
              <w:spacing w:after="0" w:line="193" w:lineRule="exact"/>
              <w:rPr>
                <w:sz w:val="20"/>
                <w:szCs w:val="20"/>
                <w:color w:val="auto"/>
              </w:rPr>
            </w:pPr>
            <w:r>
              <w:rPr>
                <w:rFonts w:ascii="Calibri" w:cs="Calibri" w:eastAsia="Calibri" w:hAnsi="Calibri"/>
                <w:sz w:val="16"/>
                <w:szCs w:val="16"/>
                <w:color w:val="auto"/>
              </w:rPr>
              <w:t>28</w:t>
            </w:r>
          </w:p>
        </w:tc>
      </w:tr>
      <w:tr>
        <w:trPr>
          <w:trHeight w:val="200"/>
        </w:trPr>
        <w:tc>
          <w:tcPr>
            <w:tcW w:w="2160" w:type="dxa"/>
            <w:vAlign w:val="bottom"/>
          </w:tcPr>
          <w:p>
            <w:pPr>
              <w:spacing w:after="0"/>
              <w:rPr>
                <w:sz w:val="20"/>
                <w:szCs w:val="20"/>
                <w:color w:val="auto"/>
              </w:rPr>
            </w:pPr>
            <w:r>
              <w:rPr>
                <w:rFonts w:ascii="Calibri" w:cs="Calibri" w:eastAsia="Calibri" w:hAnsi="Calibri"/>
                <w:sz w:val="16"/>
                <w:szCs w:val="16"/>
                <w:color w:val="auto"/>
              </w:rPr>
              <w:t>June 29, 2022</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2.90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37,500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37,500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0.25</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78</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August 12, 2022</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2.90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6,250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6,250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0.37</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13</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November 27, 2022</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0.91</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200,000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0.66</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91</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December 11, 2022</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0.67</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59,952</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59,952</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0.70</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23</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December 31, 2022</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2.78</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700,000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700,000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0.75</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715</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June 30, 2023</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2.78</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20,000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1.25</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24</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June 15, 2025</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0.25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2,350,000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2,350,000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3.21</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420</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October 12, 2025</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0.75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3,000,000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2,250,000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3.54</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1,557</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November 4, 2025</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0.75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6,000,000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4,562,500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3.60</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3,110</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November 13, 2025</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0.88</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500,000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375,000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3.62</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303</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December 11, 2025</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1.48</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700,000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625,000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3.70</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721</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December 14, 2025</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1.74</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2,264,100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1,695,572</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3.71</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2,668</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December 28, 2025</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1.89</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760,000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570,000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3.75</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969</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January 2, 2026</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1.89</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225,000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140,625</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3.76</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286</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February 15, 2026</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2.03</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170,000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96,875</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3.88</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213</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February 16, 2026</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2.03</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150,000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93,750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3.88</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194</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March 10, 2026</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1.39</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1,272,600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1,071,633</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3.95</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1,210</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March 15, 2026</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1.55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187,500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3.96</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318</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March 28, 2026</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1.36</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1,575,000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1,340,625</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3.99</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1,463</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March 29, 2026</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1.32</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37,500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37,500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4.00</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36</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March 31, 2026</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1.35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345,000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165,625</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4.00</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270</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June 28, 2026</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2.90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3,648,000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1,714,875</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4.25</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6,224</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August 16, 2026</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2.48</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215,000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80,625</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4.38</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260</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August 18, 2026</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2.48</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112,500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4.39</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352</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September 27, 2026</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3.15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565,000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141,250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4.50</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637</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September 27, 2026</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2.87</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195,000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73,125</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4.50</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262</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September 30, 2026</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3.15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450,000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112,500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4.50</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486</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December 31, 2026</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3.15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40,000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10,000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4.76</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16</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December 31, 2026</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1.50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1,250,000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87,500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4.76</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329</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March 4, 2027</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1.13</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1,075,600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268,900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4.93</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287</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March 4, 2027</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3.15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60,000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7,500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4.93</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8</w:t>
            </w:r>
          </w:p>
        </w:tc>
      </w:tr>
      <w:tr>
        <w:trPr>
          <w:trHeight w:val="208"/>
        </w:trPr>
        <w:tc>
          <w:tcPr>
            <w:tcW w:w="2160" w:type="dxa"/>
            <w:vAlign w:val="bottom"/>
          </w:tcPr>
          <w:p>
            <w:pPr>
              <w:spacing w:after="0"/>
              <w:rPr>
                <w:sz w:val="20"/>
                <w:szCs w:val="20"/>
                <w:color w:val="auto"/>
              </w:rPr>
            </w:pPr>
            <w:r>
              <w:rPr>
                <w:rFonts w:ascii="Calibri" w:cs="Calibri" w:eastAsia="Calibri" w:hAnsi="Calibri"/>
                <w:sz w:val="16"/>
                <w:szCs w:val="16"/>
                <w:color w:val="auto"/>
              </w:rPr>
              <w:t>March 8, 2027</w:t>
            </w:r>
          </w:p>
        </w:tc>
        <w:tc>
          <w:tcPr>
            <w:tcW w:w="2000" w:type="dxa"/>
            <w:vAlign w:val="bottom"/>
          </w:tcPr>
          <w:p>
            <w:pPr>
              <w:jc w:val="right"/>
              <w:ind w:right="179"/>
              <w:spacing w:after="0"/>
              <w:rPr>
                <w:sz w:val="20"/>
                <w:szCs w:val="20"/>
                <w:color w:val="auto"/>
              </w:rPr>
            </w:pPr>
            <w:r>
              <w:rPr>
                <w:rFonts w:ascii="Calibri" w:cs="Calibri" w:eastAsia="Calibri" w:hAnsi="Calibri"/>
                <w:sz w:val="16"/>
                <w:szCs w:val="16"/>
                <w:color w:val="auto"/>
              </w:rPr>
              <w:t>1.02</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400,000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200,000</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4.94</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212</w:t>
            </w: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6"/>
        </w:trPr>
        <w:tc>
          <w:tcPr>
            <w:tcW w:w="2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740" w:type="dxa"/>
            <w:vAlign w:val="bottom"/>
          </w:tcPr>
          <w:p>
            <w:pPr>
              <w:jc w:val="right"/>
              <w:ind w:right="159"/>
              <w:spacing w:after="0" w:line="186" w:lineRule="exact"/>
              <w:rPr>
                <w:sz w:val="20"/>
                <w:szCs w:val="20"/>
                <w:color w:val="auto"/>
              </w:rPr>
            </w:pPr>
            <w:r>
              <w:rPr>
                <w:rFonts w:ascii="Calibri" w:cs="Calibri" w:eastAsia="Calibri" w:hAnsi="Calibri"/>
                <w:sz w:val="16"/>
                <w:szCs w:val="16"/>
                <w:b w:val="1"/>
                <w:bCs w:val="1"/>
                <w:color w:val="auto"/>
              </w:rPr>
              <w:t>28,885,002</w:t>
            </w:r>
          </w:p>
        </w:tc>
        <w:tc>
          <w:tcPr>
            <w:tcW w:w="1780" w:type="dxa"/>
            <w:vAlign w:val="bottom"/>
          </w:tcPr>
          <w:p>
            <w:pPr>
              <w:jc w:val="right"/>
              <w:ind w:right="199"/>
              <w:spacing w:after="0" w:line="186" w:lineRule="exact"/>
              <w:rPr>
                <w:sz w:val="20"/>
                <w:szCs w:val="20"/>
                <w:color w:val="auto"/>
              </w:rPr>
            </w:pPr>
            <w:r>
              <w:rPr>
                <w:rFonts w:ascii="Calibri" w:cs="Calibri" w:eastAsia="Calibri" w:hAnsi="Calibri"/>
                <w:sz w:val="16"/>
                <w:szCs w:val="16"/>
                <w:b w:val="1"/>
                <w:bCs w:val="1"/>
                <w:color w:val="auto"/>
              </w:rPr>
              <w:t>19,408,182</w:t>
            </w:r>
          </w:p>
        </w:tc>
        <w:tc>
          <w:tcPr>
            <w:tcW w:w="1620" w:type="dxa"/>
            <w:vAlign w:val="bottom"/>
          </w:tcPr>
          <w:p>
            <w:pPr>
              <w:jc w:val="right"/>
              <w:ind w:right="79"/>
              <w:spacing w:after="0" w:line="186" w:lineRule="exact"/>
              <w:rPr>
                <w:sz w:val="20"/>
                <w:szCs w:val="20"/>
                <w:color w:val="auto"/>
              </w:rPr>
            </w:pPr>
            <w:r>
              <w:rPr>
                <w:rFonts w:ascii="Calibri" w:cs="Calibri" w:eastAsia="Calibri" w:hAnsi="Calibri"/>
                <w:sz w:val="16"/>
                <w:szCs w:val="16"/>
                <w:b w:val="1"/>
                <w:bCs w:val="1"/>
                <w:color w:val="auto"/>
              </w:rPr>
              <w:t>3.58</w:t>
            </w:r>
          </w:p>
        </w:tc>
        <w:tc>
          <w:tcPr>
            <w:tcW w:w="166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23,783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45 of 53</w:t>
      </w:r>
    </w:p>
    <w:p>
      <w:pPr>
        <w:sectPr>
          <w:pgSz w:w="11900" w:h="16838" w:orient="portrait"/>
          <w:cols w:equalWidth="0" w:num="1">
            <w:col w:w="11200"/>
          </w:cols>
          <w:pgMar w:left="380" w:top="151" w:right="319" w:bottom="1440" w:gutter="0" w:footer="0" w:header="0"/>
        </w:sectPr>
      </w:pPr>
    </w:p>
    <w:bookmarkStart w:id="145" w:name="page146"/>
    <w:bookmarkEnd w:id="145"/>
    <w:p>
      <w:pPr>
        <w:ind w:left="62"/>
        <w:spacing w:after="0"/>
        <w:rPr>
          <w:sz w:val="20"/>
          <w:szCs w:val="20"/>
          <w:color w:val="auto"/>
        </w:rPr>
      </w:pPr>
      <w:r>
        <w:rPr>
          <w:rFonts w:ascii="Calibri" w:cs="Calibri" w:eastAsia="Calibri" w:hAnsi="Calibri"/>
          <w:sz w:val="20"/>
          <w:szCs w:val="20"/>
          <w:b w:val="1"/>
          <w:bCs w:val="1"/>
          <w:color w:val="auto"/>
        </w:rPr>
        <w:t>CYBIN INC.</w:t>
      </w:r>
    </w:p>
    <w:p>
      <w:pPr>
        <w:ind w:left="62"/>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2"/>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2"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4565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2" w:right="20"/>
        <w:spacing w:after="0" w:line="239" w:lineRule="auto"/>
        <w:rPr>
          <w:sz w:val="20"/>
          <w:szCs w:val="20"/>
          <w:color w:val="auto"/>
        </w:rPr>
      </w:pPr>
      <w:r>
        <w:rPr>
          <w:rFonts w:ascii="Calibri" w:cs="Calibri" w:eastAsia="Calibri" w:hAnsi="Calibri"/>
          <w:sz w:val="16"/>
          <w:szCs w:val="16"/>
          <w:color w:val="auto"/>
        </w:rPr>
        <w:t>The Company recognized share-based payments expense related to the issuance of stock optons for the year ended March 31, 2022 of $17,990 (March 31, 2021 - $7,312).</w:t>
      </w:r>
    </w:p>
    <w:p>
      <w:pPr>
        <w:spacing w:after="0" w:line="172" w:lineRule="exact"/>
        <w:rPr>
          <w:sz w:val="20"/>
          <w:szCs w:val="20"/>
          <w:color w:val="auto"/>
        </w:rPr>
      </w:pPr>
    </w:p>
    <w:p>
      <w:pPr>
        <w:ind w:left="302"/>
        <w:spacing w:after="0"/>
        <w:rPr>
          <w:sz w:val="20"/>
          <w:szCs w:val="20"/>
          <w:color w:val="auto"/>
        </w:rPr>
      </w:pPr>
      <w:r>
        <w:rPr>
          <w:rFonts w:ascii="Calibri" w:cs="Calibri" w:eastAsia="Calibri" w:hAnsi="Calibri"/>
          <w:sz w:val="16"/>
          <w:szCs w:val="16"/>
          <w:color w:val="auto"/>
        </w:rPr>
        <w:t>As at March 31, 2022, the Company has 2,981,250 optons held in escrow (March 31, 2021 - 8,475,000).</w:t>
      </w:r>
    </w:p>
    <w:p>
      <w:pPr>
        <w:spacing w:after="0" w:line="159" w:lineRule="exact"/>
        <w:rPr>
          <w:sz w:val="20"/>
          <w:szCs w:val="20"/>
          <w:color w:val="auto"/>
        </w:rPr>
      </w:pPr>
    </w:p>
    <w:p>
      <w:pPr>
        <w:ind w:left="302"/>
        <w:spacing w:after="0"/>
        <w:rPr>
          <w:sz w:val="20"/>
          <w:szCs w:val="20"/>
          <w:color w:val="auto"/>
        </w:rPr>
      </w:pPr>
      <w:r>
        <w:rPr>
          <w:rFonts w:ascii="Calibri" w:cs="Calibri" w:eastAsia="Calibri" w:hAnsi="Calibri"/>
          <w:sz w:val="16"/>
          <w:szCs w:val="16"/>
          <w:color w:val="auto"/>
        </w:rPr>
        <w:t>The outstanding optons and warrants disclosed above were ant-dilutve for the two years ended March 31, 2022 and did not impact the calculaton of the loss per share.</w:t>
      </w:r>
    </w:p>
    <w:p>
      <w:pPr>
        <w:spacing w:after="0" w:line="159" w:lineRule="exact"/>
        <w:rPr>
          <w:sz w:val="20"/>
          <w:szCs w:val="20"/>
          <w:color w:val="auto"/>
        </w:rPr>
      </w:pPr>
    </w:p>
    <w:p>
      <w:pPr>
        <w:ind w:left="2"/>
        <w:spacing w:after="0"/>
        <w:tabs>
          <w:tab w:leader="none" w:pos="322" w:val="left"/>
        </w:tabs>
        <w:rPr>
          <w:sz w:val="20"/>
          <w:szCs w:val="20"/>
          <w:color w:val="auto"/>
        </w:rPr>
      </w:pPr>
      <w:r>
        <w:rPr>
          <w:rFonts w:ascii="Calibri" w:cs="Calibri" w:eastAsia="Calibri" w:hAnsi="Calibri"/>
          <w:sz w:val="16"/>
          <w:szCs w:val="16"/>
          <w:b w:val="1"/>
          <w:bCs w:val="1"/>
          <w:color w:val="2D5F91"/>
        </w:rPr>
        <w:t>11.</w:t>
      </w:r>
      <w:r>
        <w:rPr>
          <w:sz w:val="20"/>
          <w:szCs w:val="20"/>
          <w:color w:val="auto"/>
        </w:rPr>
        <w:tab/>
      </w:r>
      <w:r>
        <w:rPr>
          <w:rFonts w:ascii="Calibri" w:cs="Calibri" w:eastAsia="Calibri" w:hAnsi="Calibri"/>
          <w:sz w:val="15"/>
          <w:szCs w:val="15"/>
          <w:b w:val="1"/>
          <w:bCs w:val="1"/>
          <w:color w:val="2D5F91"/>
        </w:rPr>
        <w:t>RELATED PARTY TRANSACTIONS AND BALANCES</w:t>
      </w:r>
    </w:p>
    <w:p>
      <w:pPr>
        <w:spacing w:after="0" w:line="172" w:lineRule="exact"/>
        <w:rPr>
          <w:sz w:val="20"/>
          <w:szCs w:val="20"/>
          <w:color w:val="auto"/>
        </w:rPr>
      </w:pPr>
    </w:p>
    <w:p>
      <w:pPr>
        <w:ind w:left="302"/>
        <w:spacing w:after="0" w:line="239" w:lineRule="auto"/>
        <w:rPr>
          <w:sz w:val="20"/>
          <w:szCs w:val="20"/>
          <w:color w:val="auto"/>
        </w:rPr>
      </w:pPr>
      <w:r>
        <w:rPr>
          <w:rFonts w:ascii="Calibri" w:cs="Calibri" w:eastAsia="Calibri" w:hAnsi="Calibri"/>
          <w:sz w:val="16"/>
          <w:szCs w:val="16"/>
          <w:color w:val="auto"/>
        </w:rPr>
        <w:t>Key management personnel include persons having the authority and responsibility for planning, directng, and controlling the actvites of the Company as a whole. The Company has determined its key management personnel to be executve ofcers and directors of the Company.</w:t>
      </w:r>
    </w:p>
    <w:p>
      <w:pPr>
        <w:spacing w:after="0" w:line="160" w:lineRule="exact"/>
        <w:rPr>
          <w:sz w:val="20"/>
          <w:szCs w:val="20"/>
          <w:color w:val="auto"/>
        </w:rPr>
      </w:pPr>
    </w:p>
    <w:p>
      <w:pPr>
        <w:ind w:left="302"/>
        <w:spacing w:after="0"/>
        <w:rPr>
          <w:sz w:val="20"/>
          <w:szCs w:val="20"/>
          <w:color w:val="auto"/>
        </w:rPr>
      </w:pPr>
      <w:r>
        <w:rPr>
          <w:rFonts w:ascii="Calibri" w:cs="Calibri" w:eastAsia="Calibri" w:hAnsi="Calibri"/>
          <w:sz w:val="16"/>
          <w:szCs w:val="16"/>
          <w:color w:val="auto"/>
        </w:rPr>
        <w:t>At March 31, 2022, accounts payable and accrued liabilites include accrued executve bonuses of $1,036 payable on future achievements of the Company.</w:t>
      </w:r>
    </w:p>
    <w:p>
      <w:pPr>
        <w:spacing w:after="0" w:line="159" w:lineRule="exact"/>
        <w:rPr>
          <w:sz w:val="20"/>
          <w:szCs w:val="20"/>
          <w:color w:val="auto"/>
        </w:rPr>
      </w:pPr>
    </w:p>
    <w:p>
      <w:pPr>
        <w:ind w:left="302"/>
        <w:spacing w:after="0"/>
        <w:rPr>
          <w:sz w:val="20"/>
          <w:szCs w:val="20"/>
          <w:color w:val="auto"/>
        </w:rPr>
      </w:pPr>
      <w:r>
        <w:rPr>
          <w:rFonts w:ascii="Calibri" w:cs="Calibri" w:eastAsia="Calibri" w:hAnsi="Calibri"/>
          <w:sz w:val="16"/>
          <w:szCs w:val="16"/>
          <w:color w:val="auto"/>
        </w:rPr>
        <w:t>The remuneraton of key management personnel for the years ended March 31, 2021 and 2022 are as follows:</w:t>
      </w:r>
    </w:p>
    <w:p>
      <w:pPr>
        <w:spacing w:after="0" w:line="208" w:lineRule="exact"/>
        <w:rPr>
          <w:sz w:val="20"/>
          <w:szCs w:val="20"/>
          <w:color w:val="auto"/>
        </w:rPr>
      </w:pPr>
    </w:p>
    <w:tbl>
      <w:tblPr>
        <w:tblLayout w:type="fixed"/>
        <w:tblInd w:w="302"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5240" w:type="dxa"/>
            <w:vAlign w:val="bottom"/>
            <w:gridSpan w:val="2"/>
          </w:tcPr>
          <w:p>
            <w:pPr>
              <w:jc w:val="right"/>
              <w:spacing w:after="0"/>
              <w:rPr>
                <w:sz w:val="20"/>
                <w:szCs w:val="20"/>
                <w:color w:val="auto"/>
              </w:rPr>
            </w:pPr>
            <w:r>
              <w:rPr>
                <w:rFonts w:ascii="Calibri" w:cs="Calibri" w:eastAsia="Calibri" w:hAnsi="Calibri"/>
                <w:sz w:val="16"/>
                <w:szCs w:val="16"/>
                <w:b w:val="1"/>
                <w:bCs w:val="1"/>
                <w:color w:val="auto"/>
              </w:rPr>
              <w:t>Year ended March 31,</w:t>
            </w:r>
          </w:p>
        </w:tc>
      </w:tr>
      <w:tr>
        <w:trPr>
          <w:trHeight w:val="208"/>
        </w:trPr>
        <w:tc>
          <w:tcPr>
            <w:tcW w:w="5560" w:type="dxa"/>
            <w:vAlign w:val="bottom"/>
          </w:tcPr>
          <w:p>
            <w:pPr>
              <w:spacing w:after="0"/>
              <w:rPr>
                <w:sz w:val="18"/>
                <w:szCs w:val="18"/>
                <w:color w:val="auto"/>
              </w:rPr>
            </w:pPr>
          </w:p>
        </w:tc>
        <w:tc>
          <w:tcPr>
            <w:tcW w:w="428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2022</w:t>
            </w:r>
          </w:p>
        </w:tc>
        <w:tc>
          <w:tcPr>
            <w:tcW w:w="960" w:type="dxa"/>
            <w:vAlign w:val="bottom"/>
          </w:tcPr>
          <w:p>
            <w:pPr>
              <w:jc w:val="right"/>
              <w:spacing w:after="0"/>
              <w:rPr>
                <w:sz w:val="20"/>
                <w:szCs w:val="20"/>
                <w:color w:val="auto"/>
              </w:rPr>
            </w:pPr>
            <w:r>
              <w:rPr>
                <w:rFonts w:ascii="Calibri" w:cs="Calibri" w:eastAsia="Calibri" w:hAnsi="Calibri"/>
                <w:sz w:val="16"/>
                <w:szCs w:val="16"/>
                <w:b w:val="1"/>
                <w:bCs w:val="1"/>
                <w:color w:val="auto"/>
              </w:rPr>
              <w:t>2021</w:t>
            </w:r>
          </w:p>
        </w:tc>
      </w:tr>
      <w:tr>
        <w:trPr>
          <w:trHeight w:val="208"/>
        </w:trPr>
        <w:tc>
          <w:tcPr>
            <w:tcW w:w="5560" w:type="dxa"/>
            <w:vAlign w:val="bottom"/>
          </w:tcPr>
          <w:p>
            <w:pPr>
              <w:spacing w:after="0"/>
              <w:rPr>
                <w:sz w:val="18"/>
                <w:szCs w:val="18"/>
                <w:color w:val="auto"/>
              </w:rPr>
            </w:pPr>
          </w:p>
        </w:tc>
        <w:tc>
          <w:tcPr>
            <w:tcW w:w="428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$000’s</w:t>
            </w:r>
          </w:p>
        </w:tc>
        <w:tc>
          <w:tcPr>
            <w:tcW w:w="960" w:type="dxa"/>
            <w:vAlign w:val="bottom"/>
          </w:tcPr>
          <w:p>
            <w:pPr>
              <w:jc w:val="right"/>
              <w:spacing w:after="0"/>
              <w:rPr>
                <w:sz w:val="20"/>
                <w:szCs w:val="20"/>
                <w:color w:val="auto"/>
              </w:rPr>
            </w:pPr>
            <w:r>
              <w:rPr>
                <w:rFonts w:ascii="Calibri" w:cs="Calibri" w:eastAsia="Calibri" w:hAnsi="Calibri"/>
                <w:sz w:val="16"/>
                <w:szCs w:val="16"/>
                <w:b w:val="1"/>
                <w:bCs w:val="1"/>
                <w:color w:val="auto"/>
              </w:rPr>
              <w:t>$000’s</w:t>
            </w: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2"/>
        </w:trPr>
        <w:tc>
          <w:tcPr>
            <w:tcW w:w="5560" w:type="dxa"/>
            <w:vAlign w:val="bottom"/>
          </w:tcPr>
          <w:p>
            <w:pPr>
              <w:ind w:left="60"/>
              <w:spacing w:after="0" w:line="193" w:lineRule="exact"/>
              <w:rPr>
                <w:sz w:val="20"/>
                <w:szCs w:val="20"/>
                <w:color w:val="auto"/>
              </w:rPr>
            </w:pPr>
            <w:r>
              <w:rPr>
                <w:rFonts w:ascii="Calibri" w:cs="Calibri" w:eastAsia="Calibri" w:hAnsi="Calibri"/>
                <w:sz w:val="16"/>
                <w:szCs w:val="16"/>
                <w:color w:val="auto"/>
              </w:rPr>
              <w:t>Payroll, consultng and benefts</w:t>
            </w:r>
            <w:r>
              <w:rPr>
                <w:rFonts w:ascii="Calibri" w:cs="Calibri" w:eastAsia="Calibri" w:hAnsi="Calibri"/>
                <w:sz w:val="21"/>
                <w:szCs w:val="21"/>
                <w:color w:val="auto"/>
                <w:vertAlign w:val="superscript"/>
              </w:rPr>
              <w:t>(1)</w:t>
            </w:r>
          </w:p>
        </w:tc>
        <w:tc>
          <w:tcPr>
            <w:tcW w:w="4280" w:type="dxa"/>
            <w:vAlign w:val="bottom"/>
          </w:tcPr>
          <w:p>
            <w:pPr>
              <w:jc w:val="right"/>
              <w:ind w:right="379"/>
              <w:spacing w:after="0" w:line="193" w:lineRule="exact"/>
              <w:rPr>
                <w:sz w:val="20"/>
                <w:szCs w:val="20"/>
                <w:color w:val="auto"/>
              </w:rPr>
            </w:pPr>
            <w:r>
              <w:rPr>
                <w:rFonts w:ascii="Calibri" w:cs="Calibri" w:eastAsia="Calibri" w:hAnsi="Calibri"/>
                <w:sz w:val="16"/>
                <w:szCs w:val="16"/>
                <w:b w:val="1"/>
                <w:bCs w:val="1"/>
                <w:color w:val="auto"/>
              </w:rPr>
              <w:t>6,569</w:t>
            </w: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4,001</w:t>
            </w:r>
          </w:p>
        </w:tc>
      </w:tr>
      <w:tr>
        <w:trPr>
          <w:trHeight w:val="194"/>
        </w:trPr>
        <w:tc>
          <w:tcPr>
            <w:tcW w:w="5560" w:type="dxa"/>
            <w:vAlign w:val="bottom"/>
          </w:tcPr>
          <w:p>
            <w:pPr>
              <w:ind w:left="60"/>
              <w:spacing w:after="0" w:line="194" w:lineRule="exact"/>
              <w:rPr>
                <w:sz w:val="20"/>
                <w:szCs w:val="20"/>
                <w:color w:val="auto"/>
              </w:rPr>
            </w:pPr>
            <w:r>
              <w:rPr>
                <w:rFonts w:ascii="Calibri" w:cs="Calibri" w:eastAsia="Calibri" w:hAnsi="Calibri"/>
                <w:sz w:val="16"/>
                <w:szCs w:val="16"/>
                <w:color w:val="auto"/>
              </w:rPr>
              <w:t>Share-based compensaton</w:t>
            </w:r>
          </w:p>
        </w:tc>
        <w:tc>
          <w:tcPr>
            <w:tcW w:w="4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8"/>
        </w:trPr>
        <w:tc>
          <w:tcPr>
            <w:tcW w:w="5560" w:type="dxa"/>
            <w:vAlign w:val="bottom"/>
          </w:tcPr>
          <w:p>
            <w:pPr>
              <w:ind w:left="240"/>
              <w:spacing w:after="0"/>
              <w:rPr>
                <w:sz w:val="20"/>
                <w:szCs w:val="20"/>
                <w:color w:val="auto"/>
              </w:rPr>
            </w:pPr>
            <w:r>
              <w:rPr>
                <w:rFonts w:ascii="Calibri" w:cs="Calibri" w:eastAsia="Calibri" w:hAnsi="Calibri"/>
                <w:sz w:val="16"/>
                <w:szCs w:val="16"/>
                <w:color w:val="auto"/>
              </w:rPr>
              <w:t>Optons</w:t>
            </w:r>
          </w:p>
        </w:tc>
        <w:tc>
          <w:tcPr>
            <w:tcW w:w="428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8,813</w:t>
            </w:r>
          </w:p>
        </w:tc>
        <w:tc>
          <w:tcPr>
            <w:tcW w:w="960" w:type="dxa"/>
            <w:vAlign w:val="bottom"/>
          </w:tcPr>
          <w:p>
            <w:pPr>
              <w:jc w:val="right"/>
              <w:spacing w:after="0"/>
              <w:rPr>
                <w:sz w:val="20"/>
                <w:szCs w:val="20"/>
                <w:color w:val="auto"/>
              </w:rPr>
            </w:pPr>
            <w:r>
              <w:rPr>
                <w:rFonts w:ascii="Calibri" w:cs="Calibri" w:eastAsia="Calibri" w:hAnsi="Calibri"/>
                <w:sz w:val="16"/>
                <w:szCs w:val="16"/>
                <w:color w:val="auto"/>
              </w:rPr>
              <w:t>4,786</w:t>
            </w:r>
          </w:p>
        </w:tc>
      </w:tr>
      <w:tr>
        <w:trPr>
          <w:trHeight w:val="208"/>
        </w:trPr>
        <w:tc>
          <w:tcPr>
            <w:tcW w:w="5560" w:type="dxa"/>
            <w:vAlign w:val="bottom"/>
          </w:tcPr>
          <w:p>
            <w:pPr>
              <w:ind w:left="240"/>
              <w:spacing w:after="0"/>
              <w:rPr>
                <w:sz w:val="20"/>
                <w:szCs w:val="20"/>
                <w:color w:val="auto"/>
              </w:rPr>
            </w:pPr>
            <w:r>
              <w:rPr>
                <w:rFonts w:ascii="Calibri" w:cs="Calibri" w:eastAsia="Calibri" w:hAnsi="Calibri"/>
                <w:sz w:val="16"/>
                <w:szCs w:val="16"/>
                <w:color w:val="auto"/>
              </w:rPr>
              <w:t>Warrants</w:t>
            </w:r>
          </w:p>
        </w:tc>
        <w:tc>
          <w:tcPr>
            <w:tcW w:w="428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109</w:t>
            </w:r>
          </w:p>
        </w:tc>
        <w:tc>
          <w:tcPr>
            <w:tcW w:w="960" w:type="dxa"/>
            <w:vAlign w:val="bottom"/>
          </w:tcPr>
          <w:p>
            <w:pPr>
              <w:jc w:val="right"/>
              <w:spacing w:after="0"/>
              <w:rPr>
                <w:sz w:val="20"/>
                <w:szCs w:val="20"/>
                <w:color w:val="auto"/>
              </w:rPr>
            </w:pPr>
            <w:r>
              <w:rPr>
                <w:rFonts w:ascii="Calibri" w:cs="Calibri" w:eastAsia="Calibri" w:hAnsi="Calibri"/>
                <w:sz w:val="16"/>
                <w:szCs w:val="16"/>
                <w:color w:val="auto"/>
              </w:rPr>
              <w:t>2,665</w:t>
            </w: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3"/>
        </w:trPr>
        <w:tc>
          <w:tcPr>
            <w:tcW w:w="5560" w:type="dxa"/>
            <w:vAlign w:val="bottom"/>
            <w:tcBorders>
              <w:bottom w:val="single" w:sz="8" w:color="auto"/>
            </w:tcBorders>
          </w:tcPr>
          <w:p>
            <w:pPr>
              <w:ind w:left="60"/>
              <w:spacing w:after="0" w:line="193" w:lineRule="exact"/>
              <w:rPr>
                <w:sz w:val="20"/>
                <w:szCs w:val="20"/>
                <w:color w:val="auto"/>
              </w:rPr>
            </w:pPr>
            <w:r>
              <w:rPr>
                <w:rFonts w:ascii="Calibri" w:cs="Calibri" w:eastAsia="Calibri" w:hAnsi="Calibri"/>
                <w:sz w:val="16"/>
                <w:szCs w:val="16"/>
                <w:b w:val="1"/>
                <w:bCs w:val="1"/>
                <w:color w:val="auto"/>
              </w:rPr>
              <w:t>Total</w:t>
            </w:r>
          </w:p>
        </w:tc>
        <w:tc>
          <w:tcPr>
            <w:tcW w:w="4280" w:type="dxa"/>
            <w:vAlign w:val="bottom"/>
            <w:tcBorders>
              <w:bottom w:val="single" w:sz="8" w:color="auto"/>
            </w:tcBorders>
          </w:tcPr>
          <w:p>
            <w:pPr>
              <w:jc w:val="right"/>
              <w:ind w:right="379"/>
              <w:spacing w:after="0" w:line="193" w:lineRule="exact"/>
              <w:rPr>
                <w:sz w:val="20"/>
                <w:szCs w:val="20"/>
                <w:color w:val="auto"/>
              </w:rPr>
            </w:pPr>
            <w:r>
              <w:rPr>
                <w:rFonts w:ascii="Calibri" w:cs="Calibri" w:eastAsia="Calibri" w:hAnsi="Calibri"/>
                <w:sz w:val="16"/>
                <w:szCs w:val="16"/>
                <w:b w:val="1"/>
                <w:bCs w:val="1"/>
                <w:color w:val="auto"/>
              </w:rPr>
              <w:t>15,491</w:t>
            </w:r>
          </w:p>
        </w:tc>
        <w:tc>
          <w:tcPr>
            <w:tcW w:w="9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11,452</w:t>
            </w:r>
          </w:p>
        </w:tc>
      </w:tr>
    </w:tbl>
    <w:p>
      <w:pPr>
        <w:spacing w:after="0" w:line="58" w:lineRule="exact"/>
        <w:rPr>
          <w:sz w:val="20"/>
          <w:szCs w:val="20"/>
          <w:color w:val="auto"/>
        </w:rPr>
      </w:pPr>
    </w:p>
    <w:p>
      <w:pPr>
        <w:ind w:left="302" w:right="20" w:hanging="9"/>
        <w:spacing w:after="0" w:line="206" w:lineRule="auto"/>
        <w:tabs>
          <w:tab w:leader="none" w:pos="445" w:val="left"/>
        </w:tabs>
        <w:numPr>
          <w:ilvl w:val="1"/>
          <w:numId w:val="83"/>
        </w:numPr>
        <w:rPr>
          <w:rFonts w:ascii="Calibri" w:cs="Calibri" w:eastAsia="Calibri" w:hAnsi="Calibri"/>
          <w:sz w:val="19"/>
          <w:szCs w:val="19"/>
          <w:i w:val="1"/>
          <w:iCs w:val="1"/>
          <w:color w:val="auto"/>
          <w:vertAlign w:val="superscript"/>
        </w:rPr>
      </w:pPr>
      <w:r>
        <w:rPr>
          <w:rFonts w:ascii="Calibri" w:cs="Calibri" w:eastAsia="Calibri" w:hAnsi="Calibri"/>
          <w:sz w:val="15"/>
          <w:szCs w:val="15"/>
          <w:i w:val="1"/>
          <w:iCs w:val="1"/>
          <w:color w:val="auto"/>
        </w:rPr>
        <w:t>For the year ended March 31, 2022, includes $4,596 presented in the statement of loss and comprehensive loss as a part of “General and administratve costs” and $1,973 presented in the statement of loss and comprehensive loss as a part of “Research”.</w:t>
      </w:r>
    </w:p>
    <w:p>
      <w:pPr>
        <w:spacing w:after="0" w:line="151" w:lineRule="exact"/>
        <w:rPr>
          <w:rFonts w:ascii="Calibri" w:cs="Calibri" w:eastAsia="Calibri" w:hAnsi="Calibri"/>
          <w:sz w:val="19"/>
          <w:szCs w:val="19"/>
          <w:i w:val="1"/>
          <w:iCs w:val="1"/>
          <w:color w:val="auto"/>
          <w:vertAlign w:val="superscript"/>
        </w:rPr>
      </w:pPr>
    </w:p>
    <w:p>
      <w:pPr>
        <w:ind w:left="342" w:hanging="342"/>
        <w:spacing w:after="0"/>
        <w:tabs>
          <w:tab w:leader="none" w:pos="342" w:val="left"/>
        </w:tabs>
        <w:numPr>
          <w:ilvl w:val="0"/>
          <w:numId w:val="84"/>
        </w:numPr>
        <w:rPr>
          <w:rFonts w:ascii="Calibri" w:cs="Calibri" w:eastAsia="Calibri" w:hAnsi="Calibri"/>
          <w:sz w:val="16"/>
          <w:szCs w:val="16"/>
          <w:b w:val="1"/>
          <w:bCs w:val="1"/>
          <w:color w:val="2D5F91"/>
        </w:rPr>
      </w:pPr>
      <w:r>
        <w:rPr>
          <w:rFonts w:ascii="Calibri" w:cs="Calibri" w:eastAsia="Calibri" w:hAnsi="Calibri"/>
          <w:sz w:val="16"/>
          <w:szCs w:val="16"/>
          <w:b w:val="1"/>
          <w:bCs w:val="1"/>
          <w:color w:val="2D5F91"/>
        </w:rPr>
        <w:t>GENERAL AND ADMINISTRATIVE EXPENSES</w:t>
      </w:r>
    </w:p>
    <w:p>
      <w:pPr>
        <w:spacing w:after="0" w:line="37" w:lineRule="exact"/>
        <w:rPr>
          <w:sz w:val="20"/>
          <w:szCs w:val="20"/>
          <w:color w:val="auto"/>
        </w:rPr>
      </w:pPr>
    </w:p>
    <w:tbl>
      <w:tblPr>
        <w:tblLayout w:type="fixed"/>
        <w:tblInd w:w="222"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5400" w:type="dxa"/>
            <w:vAlign w:val="bottom"/>
            <w:gridSpan w:val="2"/>
          </w:tcPr>
          <w:p>
            <w:pPr>
              <w:jc w:val="right"/>
              <w:spacing w:after="0"/>
              <w:rPr>
                <w:sz w:val="20"/>
                <w:szCs w:val="20"/>
                <w:color w:val="auto"/>
              </w:rPr>
            </w:pPr>
            <w:r>
              <w:rPr>
                <w:rFonts w:ascii="Calibri" w:cs="Calibri" w:eastAsia="Calibri" w:hAnsi="Calibri"/>
                <w:sz w:val="16"/>
                <w:szCs w:val="16"/>
                <w:b w:val="1"/>
                <w:bCs w:val="1"/>
                <w:color w:val="auto"/>
              </w:rPr>
              <w:t>Year ended March 31,</w:t>
            </w:r>
          </w:p>
        </w:tc>
      </w:tr>
      <w:tr>
        <w:trPr>
          <w:trHeight w:val="208"/>
        </w:trPr>
        <w:tc>
          <w:tcPr>
            <w:tcW w:w="5620" w:type="dxa"/>
            <w:vAlign w:val="bottom"/>
          </w:tcPr>
          <w:p>
            <w:pPr>
              <w:spacing w:after="0"/>
              <w:rPr>
                <w:sz w:val="18"/>
                <w:szCs w:val="18"/>
                <w:color w:val="auto"/>
              </w:rPr>
            </w:pPr>
          </w:p>
        </w:tc>
        <w:tc>
          <w:tcPr>
            <w:tcW w:w="442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2022</w:t>
            </w:r>
          </w:p>
        </w:tc>
        <w:tc>
          <w:tcPr>
            <w:tcW w:w="980" w:type="dxa"/>
            <w:vAlign w:val="bottom"/>
          </w:tcPr>
          <w:p>
            <w:pPr>
              <w:jc w:val="right"/>
              <w:spacing w:after="0"/>
              <w:rPr>
                <w:sz w:val="20"/>
                <w:szCs w:val="20"/>
                <w:color w:val="auto"/>
              </w:rPr>
            </w:pPr>
            <w:r>
              <w:rPr>
                <w:rFonts w:ascii="Calibri" w:cs="Calibri" w:eastAsia="Calibri" w:hAnsi="Calibri"/>
                <w:sz w:val="16"/>
                <w:szCs w:val="16"/>
                <w:b w:val="1"/>
                <w:bCs w:val="1"/>
                <w:color w:val="auto"/>
              </w:rPr>
              <w:t>2021</w:t>
            </w:r>
          </w:p>
        </w:tc>
      </w:tr>
      <w:tr>
        <w:trPr>
          <w:trHeight w:val="208"/>
        </w:trPr>
        <w:tc>
          <w:tcPr>
            <w:tcW w:w="5620" w:type="dxa"/>
            <w:vAlign w:val="bottom"/>
          </w:tcPr>
          <w:p>
            <w:pPr>
              <w:spacing w:after="0"/>
              <w:rPr>
                <w:sz w:val="18"/>
                <w:szCs w:val="18"/>
                <w:color w:val="auto"/>
              </w:rPr>
            </w:pPr>
          </w:p>
        </w:tc>
        <w:tc>
          <w:tcPr>
            <w:tcW w:w="442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$000’s</w:t>
            </w:r>
          </w:p>
        </w:tc>
        <w:tc>
          <w:tcPr>
            <w:tcW w:w="980" w:type="dxa"/>
            <w:vAlign w:val="bottom"/>
          </w:tcPr>
          <w:p>
            <w:pPr>
              <w:jc w:val="right"/>
              <w:spacing w:after="0"/>
              <w:rPr>
                <w:sz w:val="20"/>
                <w:szCs w:val="20"/>
                <w:color w:val="auto"/>
              </w:rPr>
            </w:pPr>
            <w:r>
              <w:rPr>
                <w:rFonts w:ascii="Calibri" w:cs="Calibri" w:eastAsia="Calibri" w:hAnsi="Calibri"/>
                <w:sz w:val="16"/>
                <w:szCs w:val="16"/>
                <w:b w:val="1"/>
                <w:bCs w:val="1"/>
                <w:color w:val="auto"/>
              </w:rPr>
              <w:t>$000’s</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6"/>
        </w:trPr>
        <w:tc>
          <w:tcPr>
            <w:tcW w:w="5620" w:type="dxa"/>
            <w:vAlign w:val="bottom"/>
          </w:tcPr>
          <w:p>
            <w:pPr>
              <w:ind w:left="80"/>
              <w:spacing w:after="0" w:line="186" w:lineRule="exact"/>
              <w:rPr>
                <w:sz w:val="20"/>
                <w:szCs w:val="20"/>
                <w:color w:val="auto"/>
              </w:rPr>
            </w:pPr>
            <w:r>
              <w:rPr>
                <w:rFonts w:ascii="Calibri" w:cs="Calibri" w:eastAsia="Calibri" w:hAnsi="Calibri"/>
                <w:sz w:val="16"/>
                <w:szCs w:val="16"/>
                <w:color w:val="auto"/>
              </w:rPr>
              <w:t>Payroll, consultng and benefts</w:t>
            </w:r>
          </w:p>
        </w:tc>
        <w:tc>
          <w:tcPr>
            <w:tcW w:w="4420" w:type="dxa"/>
            <w:vAlign w:val="bottom"/>
          </w:tcPr>
          <w:p>
            <w:pPr>
              <w:jc w:val="right"/>
              <w:ind w:right="399"/>
              <w:spacing w:after="0" w:line="186" w:lineRule="exact"/>
              <w:rPr>
                <w:sz w:val="20"/>
                <w:szCs w:val="20"/>
                <w:color w:val="auto"/>
              </w:rPr>
            </w:pPr>
            <w:r>
              <w:rPr>
                <w:rFonts w:ascii="Calibri" w:cs="Calibri" w:eastAsia="Calibri" w:hAnsi="Calibri"/>
                <w:sz w:val="16"/>
                <w:szCs w:val="16"/>
                <w:b w:val="1"/>
                <w:bCs w:val="1"/>
                <w:color w:val="auto"/>
              </w:rPr>
              <w:t>7,468</w:t>
            </w:r>
          </w:p>
        </w:tc>
        <w:tc>
          <w:tcPr>
            <w:tcW w:w="980" w:type="dxa"/>
            <w:vAlign w:val="bottom"/>
          </w:tcPr>
          <w:p>
            <w:pPr>
              <w:jc w:val="right"/>
              <w:spacing w:after="0" w:line="186" w:lineRule="exact"/>
              <w:rPr>
                <w:sz w:val="20"/>
                <w:szCs w:val="20"/>
                <w:color w:val="auto"/>
              </w:rPr>
            </w:pPr>
            <w:r>
              <w:rPr>
                <w:rFonts w:ascii="Calibri" w:cs="Calibri" w:eastAsia="Calibri" w:hAnsi="Calibri"/>
                <w:sz w:val="16"/>
                <w:szCs w:val="16"/>
                <w:color w:val="auto"/>
              </w:rPr>
              <w:t>4,867</w:t>
            </w:r>
          </w:p>
        </w:tc>
      </w:tr>
      <w:tr>
        <w:trPr>
          <w:trHeight w:val="200"/>
        </w:trPr>
        <w:tc>
          <w:tcPr>
            <w:tcW w:w="5620" w:type="dxa"/>
            <w:vAlign w:val="bottom"/>
          </w:tcPr>
          <w:p>
            <w:pPr>
              <w:ind w:left="80"/>
              <w:spacing w:after="0"/>
              <w:rPr>
                <w:sz w:val="20"/>
                <w:szCs w:val="20"/>
                <w:color w:val="auto"/>
              </w:rPr>
            </w:pPr>
            <w:r>
              <w:rPr>
                <w:rFonts w:ascii="Calibri" w:cs="Calibri" w:eastAsia="Calibri" w:hAnsi="Calibri"/>
                <w:sz w:val="16"/>
                <w:szCs w:val="16"/>
                <w:color w:val="auto"/>
              </w:rPr>
              <w:t>Capital market</w:t>
            </w:r>
          </w:p>
        </w:tc>
        <w:tc>
          <w:tcPr>
            <w:tcW w:w="442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7,277</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2,118</w:t>
            </w:r>
          </w:p>
        </w:tc>
      </w:tr>
      <w:tr>
        <w:trPr>
          <w:trHeight w:val="208"/>
        </w:trPr>
        <w:tc>
          <w:tcPr>
            <w:tcW w:w="5620" w:type="dxa"/>
            <w:vAlign w:val="bottom"/>
          </w:tcPr>
          <w:p>
            <w:pPr>
              <w:ind w:left="80"/>
              <w:spacing w:after="0"/>
              <w:rPr>
                <w:sz w:val="20"/>
                <w:szCs w:val="20"/>
                <w:color w:val="auto"/>
              </w:rPr>
            </w:pPr>
            <w:r>
              <w:rPr>
                <w:rFonts w:ascii="Calibri" w:cs="Calibri" w:eastAsia="Calibri" w:hAnsi="Calibri"/>
                <w:sz w:val="16"/>
                <w:szCs w:val="16"/>
                <w:color w:val="auto"/>
              </w:rPr>
              <w:t>Ofce and administraton</w:t>
            </w:r>
          </w:p>
        </w:tc>
        <w:tc>
          <w:tcPr>
            <w:tcW w:w="442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3,999</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936</w:t>
            </w:r>
          </w:p>
        </w:tc>
      </w:tr>
      <w:tr>
        <w:trPr>
          <w:trHeight w:val="208"/>
        </w:trPr>
        <w:tc>
          <w:tcPr>
            <w:tcW w:w="5620" w:type="dxa"/>
            <w:vAlign w:val="bottom"/>
          </w:tcPr>
          <w:p>
            <w:pPr>
              <w:ind w:left="80"/>
              <w:spacing w:after="0"/>
              <w:rPr>
                <w:sz w:val="20"/>
                <w:szCs w:val="20"/>
                <w:color w:val="auto"/>
              </w:rPr>
            </w:pPr>
            <w:r>
              <w:rPr>
                <w:rFonts w:ascii="Calibri" w:cs="Calibri" w:eastAsia="Calibri" w:hAnsi="Calibri"/>
                <w:sz w:val="16"/>
                <w:szCs w:val="16"/>
                <w:color w:val="auto"/>
              </w:rPr>
              <w:t>Professional and consultng fees</w:t>
            </w:r>
          </w:p>
        </w:tc>
        <w:tc>
          <w:tcPr>
            <w:tcW w:w="442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3,275</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3,070</w:t>
            </w:r>
          </w:p>
        </w:tc>
      </w:tr>
      <w:tr>
        <w:trPr>
          <w:trHeight w:val="208"/>
        </w:trPr>
        <w:tc>
          <w:tcPr>
            <w:tcW w:w="5620" w:type="dxa"/>
            <w:vAlign w:val="bottom"/>
          </w:tcPr>
          <w:p>
            <w:pPr>
              <w:ind w:left="80"/>
              <w:spacing w:after="0"/>
              <w:rPr>
                <w:sz w:val="20"/>
                <w:szCs w:val="20"/>
                <w:color w:val="auto"/>
              </w:rPr>
            </w:pPr>
            <w:r>
              <w:rPr>
                <w:rFonts w:ascii="Calibri" w:cs="Calibri" w:eastAsia="Calibri" w:hAnsi="Calibri"/>
                <w:sz w:val="16"/>
                <w:szCs w:val="16"/>
                <w:color w:val="auto"/>
              </w:rPr>
              <w:t>Business development</w:t>
            </w:r>
          </w:p>
        </w:tc>
        <w:tc>
          <w:tcPr>
            <w:tcW w:w="442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2,223</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907</w:t>
            </w:r>
          </w:p>
        </w:tc>
      </w:tr>
      <w:tr>
        <w:trPr>
          <w:trHeight w:val="208"/>
        </w:trPr>
        <w:tc>
          <w:tcPr>
            <w:tcW w:w="5620" w:type="dxa"/>
            <w:vAlign w:val="bottom"/>
          </w:tcPr>
          <w:p>
            <w:pPr>
              <w:ind w:left="80"/>
              <w:spacing w:after="0"/>
              <w:rPr>
                <w:sz w:val="20"/>
                <w:szCs w:val="20"/>
                <w:color w:val="auto"/>
              </w:rPr>
            </w:pPr>
            <w:r>
              <w:rPr>
                <w:rFonts w:ascii="Calibri" w:cs="Calibri" w:eastAsia="Calibri" w:hAnsi="Calibri"/>
                <w:sz w:val="16"/>
                <w:szCs w:val="16"/>
                <w:color w:val="auto"/>
              </w:rPr>
              <w:t>Investor relatons</w:t>
            </w:r>
          </w:p>
        </w:tc>
        <w:tc>
          <w:tcPr>
            <w:tcW w:w="442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1,981</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1,271</w:t>
            </w:r>
          </w:p>
        </w:tc>
      </w:tr>
      <w:tr>
        <w:trPr>
          <w:trHeight w:val="208"/>
        </w:trPr>
        <w:tc>
          <w:tcPr>
            <w:tcW w:w="5620" w:type="dxa"/>
            <w:vAlign w:val="bottom"/>
          </w:tcPr>
          <w:p>
            <w:pPr>
              <w:ind w:left="80"/>
              <w:spacing w:after="0"/>
              <w:rPr>
                <w:sz w:val="20"/>
                <w:szCs w:val="20"/>
                <w:color w:val="auto"/>
              </w:rPr>
            </w:pPr>
            <w:r>
              <w:rPr>
                <w:rFonts w:ascii="Calibri" w:cs="Calibri" w:eastAsia="Calibri" w:hAnsi="Calibri"/>
                <w:sz w:val="16"/>
                <w:szCs w:val="16"/>
                <w:color w:val="auto"/>
              </w:rPr>
              <w:t>Marketng media</w:t>
            </w:r>
          </w:p>
        </w:tc>
        <w:tc>
          <w:tcPr>
            <w:tcW w:w="442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1,466</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649</w:t>
            </w:r>
          </w:p>
        </w:tc>
      </w:tr>
      <w:tr>
        <w:trPr>
          <w:trHeight w:val="208"/>
        </w:trPr>
        <w:tc>
          <w:tcPr>
            <w:tcW w:w="5620" w:type="dxa"/>
            <w:vAlign w:val="bottom"/>
          </w:tcPr>
          <w:p>
            <w:pPr>
              <w:ind w:left="80"/>
              <w:spacing w:after="0"/>
              <w:rPr>
                <w:sz w:val="20"/>
                <w:szCs w:val="20"/>
                <w:color w:val="auto"/>
              </w:rPr>
            </w:pPr>
            <w:r>
              <w:rPr>
                <w:rFonts w:ascii="Calibri" w:cs="Calibri" w:eastAsia="Calibri" w:hAnsi="Calibri"/>
                <w:sz w:val="16"/>
                <w:szCs w:val="16"/>
                <w:color w:val="auto"/>
              </w:rPr>
              <w:t>Listng fees</w:t>
            </w:r>
          </w:p>
        </w:tc>
        <w:tc>
          <w:tcPr>
            <w:tcW w:w="442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533</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2,052</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3"/>
        </w:trPr>
        <w:tc>
          <w:tcPr>
            <w:tcW w:w="5620" w:type="dxa"/>
            <w:vAlign w:val="bottom"/>
            <w:tcBorders>
              <w:bottom w:val="single" w:sz="8" w:color="auto"/>
            </w:tcBorders>
          </w:tcPr>
          <w:p>
            <w:pPr>
              <w:ind w:left="80"/>
              <w:spacing w:after="0" w:line="193" w:lineRule="exact"/>
              <w:rPr>
                <w:sz w:val="20"/>
                <w:szCs w:val="20"/>
                <w:color w:val="auto"/>
              </w:rPr>
            </w:pPr>
            <w:r>
              <w:rPr>
                <w:rFonts w:ascii="Calibri" w:cs="Calibri" w:eastAsia="Calibri" w:hAnsi="Calibri"/>
                <w:sz w:val="16"/>
                <w:szCs w:val="16"/>
                <w:b w:val="1"/>
                <w:bCs w:val="1"/>
                <w:color w:val="auto"/>
              </w:rPr>
              <w:t>Total</w:t>
            </w:r>
          </w:p>
        </w:tc>
        <w:tc>
          <w:tcPr>
            <w:tcW w:w="4420" w:type="dxa"/>
            <w:vAlign w:val="bottom"/>
            <w:tcBorders>
              <w:bottom w:val="single" w:sz="8" w:color="auto"/>
            </w:tcBorders>
          </w:tcPr>
          <w:p>
            <w:pPr>
              <w:jc w:val="right"/>
              <w:ind w:right="399"/>
              <w:spacing w:after="0" w:line="193" w:lineRule="exact"/>
              <w:rPr>
                <w:sz w:val="20"/>
                <w:szCs w:val="20"/>
                <w:color w:val="auto"/>
              </w:rPr>
            </w:pPr>
            <w:r>
              <w:rPr>
                <w:rFonts w:ascii="Calibri" w:cs="Calibri" w:eastAsia="Calibri" w:hAnsi="Calibri"/>
                <w:sz w:val="16"/>
                <w:szCs w:val="16"/>
                <w:b w:val="1"/>
                <w:bCs w:val="1"/>
                <w:color w:val="auto"/>
              </w:rPr>
              <w:t>28,222</w:t>
            </w:r>
          </w:p>
        </w:tc>
        <w:tc>
          <w:tcPr>
            <w:tcW w:w="9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15,870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
        <w:spacing w:after="0"/>
        <w:rPr>
          <w:sz w:val="20"/>
          <w:szCs w:val="20"/>
          <w:color w:val="auto"/>
        </w:rPr>
      </w:pPr>
      <w:r>
        <w:rPr>
          <w:rFonts w:ascii="Calibri" w:cs="Calibri" w:eastAsia="Calibri" w:hAnsi="Calibri"/>
          <w:sz w:val="16"/>
          <w:szCs w:val="16"/>
          <w:b w:val="1"/>
          <w:bCs w:val="1"/>
          <w:color w:val="auto"/>
        </w:rPr>
        <w:t>Page 46 of 53</w:t>
      </w:r>
    </w:p>
    <w:p>
      <w:pPr>
        <w:sectPr>
          <w:pgSz w:w="11900" w:h="16838" w:orient="portrait"/>
          <w:cols w:equalWidth="0" w:num="1">
            <w:col w:w="11262"/>
          </w:cols>
          <w:pgMar w:left="318" w:top="151" w:right="319" w:bottom="1440" w:gutter="0" w:footer="0" w:header="0"/>
        </w:sectPr>
      </w:pPr>
    </w:p>
    <w:bookmarkStart w:id="146" w:name="page147"/>
    <w:bookmarkEnd w:id="146"/>
    <w:p>
      <w:pPr>
        <w:ind w:left="60"/>
        <w:spacing w:after="0"/>
        <w:rPr>
          <w:sz w:val="20"/>
          <w:szCs w:val="20"/>
          <w:color w:val="auto"/>
        </w:rPr>
      </w:pPr>
      <w:r>
        <w:rPr>
          <w:rFonts w:ascii="Calibri" w:cs="Calibri" w:eastAsia="Calibri" w:hAnsi="Calibri"/>
          <w:sz w:val="20"/>
          <w:szCs w:val="20"/>
          <w:b w:val="1"/>
          <w:bCs w:val="1"/>
          <w:color w:val="auto"/>
        </w:rPr>
        <w:t>CYBIN INC.</w:t>
      </w:r>
    </w:p>
    <w:p>
      <w:pPr>
        <w:ind w:left="60"/>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0"/>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0"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714565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13.</w:t>
      </w:r>
      <w:r>
        <w:rPr>
          <w:sz w:val="20"/>
          <w:szCs w:val="20"/>
          <w:color w:val="auto"/>
        </w:rPr>
        <w:tab/>
      </w:r>
      <w:r>
        <w:rPr>
          <w:rFonts w:ascii="Calibri" w:cs="Calibri" w:eastAsia="Calibri" w:hAnsi="Calibri"/>
          <w:sz w:val="15"/>
          <w:szCs w:val="15"/>
          <w:b w:val="1"/>
          <w:bCs w:val="1"/>
          <w:color w:val="2D5F91"/>
        </w:rPr>
        <w:t>CONTRACTS AND COMMITMENTS</w:t>
      </w:r>
    </w:p>
    <w:p>
      <w:pPr>
        <w:spacing w:after="0" w:line="172" w:lineRule="exact"/>
        <w:rPr>
          <w:sz w:val="20"/>
          <w:szCs w:val="20"/>
          <w:color w:val="auto"/>
        </w:rPr>
      </w:pPr>
    </w:p>
    <w:p>
      <w:pPr>
        <w:jc w:val="both"/>
        <w:ind w:left="300"/>
        <w:spacing w:after="0" w:line="239" w:lineRule="auto"/>
        <w:rPr>
          <w:sz w:val="20"/>
          <w:szCs w:val="20"/>
          <w:color w:val="auto"/>
        </w:rPr>
      </w:pPr>
      <w:r>
        <w:rPr>
          <w:rFonts w:ascii="Calibri" w:cs="Calibri" w:eastAsia="Calibri" w:hAnsi="Calibri"/>
          <w:sz w:val="16"/>
          <w:szCs w:val="16"/>
          <w:color w:val="auto"/>
        </w:rPr>
        <w:t>As at March 31, 2022, the Company had also entered into agreements for various studies which may require the Company to spend up to an additonal $5,968 (US$4,777). The Company expects to pay this amount within the 18 months ending September 30, 2023, however the tming and certainty of the payments are contngent on availability of materials and successful completon of certain milestones. The Company has the right to cancel the preclinical studies at its discreton, in which case a cancellaton fee may apply, however the Company is not liable to pay the full amount of the studies.</w:t>
      </w:r>
    </w:p>
    <w:p>
      <w:pPr>
        <w:spacing w:after="0" w:line="162"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In additon, the Company has entered into agreements with certain consultants which requires the Company to spend $437 in the year ending March 31, 2023.</w:t>
      </w:r>
    </w:p>
    <w:p>
      <w:pPr>
        <w:spacing w:after="0" w:line="159"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14.</w:t>
      </w:r>
      <w:r>
        <w:rPr>
          <w:sz w:val="20"/>
          <w:szCs w:val="20"/>
          <w:color w:val="auto"/>
        </w:rPr>
        <w:tab/>
      </w:r>
      <w:r>
        <w:rPr>
          <w:rFonts w:ascii="Calibri" w:cs="Calibri" w:eastAsia="Calibri" w:hAnsi="Calibri"/>
          <w:sz w:val="15"/>
          <w:szCs w:val="15"/>
          <w:b w:val="1"/>
          <w:bCs w:val="1"/>
          <w:color w:val="2D5F91"/>
        </w:rPr>
        <w:t>CAPITAL MANAGEMENT</w:t>
      </w:r>
    </w:p>
    <w:p>
      <w:pPr>
        <w:spacing w:after="0" w:line="172" w:lineRule="exact"/>
        <w:rPr>
          <w:sz w:val="20"/>
          <w:szCs w:val="20"/>
          <w:color w:val="auto"/>
        </w:rPr>
      </w:pPr>
    </w:p>
    <w:p>
      <w:pPr>
        <w:jc w:val="both"/>
        <w:ind w:left="300"/>
        <w:spacing w:after="0" w:line="239" w:lineRule="auto"/>
        <w:rPr>
          <w:sz w:val="20"/>
          <w:szCs w:val="20"/>
          <w:color w:val="auto"/>
        </w:rPr>
      </w:pPr>
      <w:r>
        <w:rPr>
          <w:rFonts w:ascii="Calibri" w:cs="Calibri" w:eastAsia="Calibri" w:hAnsi="Calibri"/>
          <w:sz w:val="16"/>
          <w:szCs w:val="16"/>
          <w:color w:val="auto"/>
        </w:rPr>
        <w:t>The Company’s objectves when managing capital are to safeguard the Company’s ability to contnue as a going concern in order to pursue business opportunites and to maintain a fexible capital structure that optmizes the costs of capital at an acceptable risk. The Company’s intentons are to (i) provide fnancial capacity and fexibility in order to preserve its ability to meet its strategic objectves and fnancial obligatons; (ii) maintain a capital structure which allows the Company to respond to changes in economic and marketplace conditons and afords the Company the ability to partcipate in new investments; (iii) optmize the use of its capital to provide an appropriate investment return to its shareholders equal with the level of risk; and (iv) maintain a fexible capital structure which optmizes the cost of capital at acceptable levels of risk.</w:t>
      </w:r>
    </w:p>
    <w:p>
      <w:pPr>
        <w:spacing w:after="0" w:line="165" w:lineRule="exact"/>
        <w:rPr>
          <w:sz w:val="20"/>
          <w:szCs w:val="20"/>
          <w:color w:val="auto"/>
        </w:rPr>
      </w:pPr>
    </w:p>
    <w:p>
      <w:pPr>
        <w:jc w:val="both"/>
        <w:ind w:left="300" w:right="20"/>
        <w:spacing w:after="0" w:line="239" w:lineRule="auto"/>
        <w:rPr>
          <w:sz w:val="20"/>
          <w:szCs w:val="20"/>
          <w:color w:val="auto"/>
        </w:rPr>
      </w:pPr>
      <w:r>
        <w:rPr>
          <w:rFonts w:ascii="Calibri" w:cs="Calibri" w:eastAsia="Calibri" w:hAnsi="Calibri"/>
          <w:sz w:val="16"/>
          <w:szCs w:val="16"/>
          <w:color w:val="auto"/>
        </w:rPr>
        <w:t>The Company’s fnancial strategy is formulated and adapted according to market conditons in order to maintain a fexible capital structure that is consistent with its objectves and the risk characteristcs of its underlying assets. The Company manages its capital structure and makes adjustments to it in light of changes in economic conditons and the risk characteristcs of its underlying assets. The Company maintains or adjusts its capital level to enable it to meet its objectves by raising capital through the issuance of securites.</w:t>
      </w:r>
    </w:p>
    <w:p>
      <w:pPr>
        <w:spacing w:after="0" w:line="162"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The Company’s capital management objectves, policies and processes generally remained unchanged during the year ended March 31, 2022.</w:t>
      </w:r>
    </w:p>
    <w:p>
      <w:pPr>
        <w:spacing w:after="0" w:line="172" w:lineRule="exact"/>
        <w:rPr>
          <w:sz w:val="20"/>
          <w:szCs w:val="20"/>
          <w:color w:val="auto"/>
        </w:rPr>
      </w:pPr>
    </w:p>
    <w:p>
      <w:pPr>
        <w:jc w:val="both"/>
        <w:ind w:left="300" w:right="20"/>
        <w:spacing w:after="0" w:line="239" w:lineRule="auto"/>
        <w:rPr>
          <w:sz w:val="20"/>
          <w:szCs w:val="20"/>
          <w:color w:val="auto"/>
        </w:rPr>
      </w:pPr>
      <w:r>
        <w:rPr>
          <w:rFonts w:ascii="Calibri" w:cs="Calibri" w:eastAsia="Calibri" w:hAnsi="Calibri"/>
          <w:sz w:val="16"/>
          <w:szCs w:val="16"/>
          <w:color w:val="auto"/>
        </w:rPr>
        <w:t>The Company requires capital to fund existng and future operatons and meet regulatory capital requirements. The Company’s policy is to maintain adequate levels of capital at all tmes.</w:t>
      </w:r>
    </w:p>
    <w:p>
      <w:pPr>
        <w:spacing w:after="0" w:line="160"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5540" w:type="dxa"/>
            <w:vAlign w:val="bottom"/>
          </w:tcPr>
          <w:p>
            <w:pPr>
              <w:spacing w:after="0"/>
              <w:rPr>
                <w:sz w:val="20"/>
                <w:szCs w:val="20"/>
                <w:color w:val="auto"/>
              </w:rPr>
            </w:pPr>
            <w:r>
              <w:rPr>
                <w:rFonts w:ascii="Calibri" w:cs="Calibri" w:eastAsia="Calibri" w:hAnsi="Calibri"/>
                <w:sz w:val="16"/>
                <w:szCs w:val="16"/>
                <w:color w:val="auto"/>
              </w:rPr>
              <w:t>The Company’s capital structure includes the following:</w:t>
            </w:r>
          </w:p>
        </w:tc>
        <w:tc>
          <w:tcPr>
            <w:tcW w:w="34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91"/>
        </w:trPr>
        <w:tc>
          <w:tcPr>
            <w:tcW w:w="5540" w:type="dxa"/>
            <w:vAlign w:val="bottom"/>
          </w:tcPr>
          <w:p>
            <w:pPr>
              <w:ind w:left="60"/>
              <w:spacing w:after="0"/>
              <w:rPr>
                <w:sz w:val="20"/>
                <w:szCs w:val="20"/>
                <w:color w:val="auto"/>
              </w:rPr>
            </w:pPr>
            <w:r>
              <w:rPr>
                <w:rFonts w:ascii="Calibri" w:cs="Calibri" w:eastAsia="Calibri" w:hAnsi="Calibri"/>
                <w:sz w:val="16"/>
                <w:szCs w:val="16"/>
                <w:b w:val="1"/>
                <w:bCs w:val="1"/>
                <w:color w:val="auto"/>
              </w:rPr>
              <w:t>As at</w:t>
            </w:r>
          </w:p>
        </w:tc>
        <w:tc>
          <w:tcPr>
            <w:tcW w:w="3480" w:type="dxa"/>
            <w:vAlign w:val="bottom"/>
          </w:tcPr>
          <w:p>
            <w:pPr>
              <w:jc w:val="right"/>
              <w:ind w:right="385"/>
              <w:spacing w:after="0"/>
              <w:rPr>
                <w:sz w:val="20"/>
                <w:szCs w:val="20"/>
                <w:color w:val="auto"/>
              </w:rPr>
            </w:pPr>
            <w:r>
              <w:rPr>
                <w:rFonts w:ascii="Calibri" w:cs="Calibri" w:eastAsia="Calibri" w:hAnsi="Calibri"/>
                <w:sz w:val="16"/>
                <w:szCs w:val="16"/>
                <w:b w:val="1"/>
                <w:bCs w:val="1"/>
                <w:color w:val="auto"/>
              </w:rPr>
              <w:t>March 31, 2022</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2021</w:t>
            </w:r>
          </w:p>
        </w:tc>
      </w:tr>
      <w:tr>
        <w:trPr>
          <w:trHeight w:val="208"/>
        </w:trPr>
        <w:tc>
          <w:tcPr>
            <w:tcW w:w="5540" w:type="dxa"/>
            <w:vAlign w:val="bottom"/>
          </w:tcPr>
          <w:p>
            <w:pPr>
              <w:spacing w:after="0"/>
              <w:rPr>
                <w:sz w:val="18"/>
                <w:szCs w:val="18"/>
                <w:color w:val="auto"/>
              </w:rPr>
            </w:pPr>
          </w:p>
        </w:tc>
        <w:tc>
          <w:tcPr>
            <w:tcW w:w="3480" w:type="dxa"/>
            <w:vAlign w:val="bottom"/>
          </w:tcPr>
          <w:p>
            <w:pPr>
              <w:jc w:val="right"/>
              <w:ind w:right="385"/>
              <w:spacing w:after="0"/>
              <w:rPr>
                <w:sz w:val="20"/>
                <w:szCs w:val="20"/>
                <w:color w:val="auto"/>
              </w:rPr>
            </w:pPr>
            <w:r>
              <w:rPr>
                <w:rFonts w:ascii="Calibri" w:cs="Calibri" w:eastAsia="Calibri" w:hAnsi="Calibri"/>
                <w:sz w:val="16"/>
                <w:szCs w:val="16"/>
                <w:b w:val="1"/>
                <w:bCs w:val="1"/>
                <w:color w:val="auto"/>
              </w:rPr>
              <w:t>$000’s</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$000’s</w:t>
            </w:r>
          </w:p>
        </w:tc>
      </w:tr>
      <w:tr>
        <w:trPr>
          <w:trHeight w:val="21"/>
        </w:trPr>
        <w:tc>
          <w:tcPr>
            <w:tcW w:w="554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6"/>
        </w:trPr>
        <w:tc>
          <w:tcPr>
            <w:tcW w:w="5540" w:type="dxa"/>
            <w:vAlign w:val="bottom"/>
          </w:tcPr>
          <w:p>
            <w:pPr>
              <w:ind w:left="60"/>
              <w:spacing w:after="0" w:line="186" w:lineRule="exact"/>
              <w:rPr>
                <w:sz w:val="20"/>
                <w:szCs w:val="20"/>
                <w:color w:val="auto"/>
              </w:rPr>
            </w:pPr>
            <w:r>
              <w:rPr>
                <w:rFonts w:ascii="Calibri" w:cs="Calibri" w:eastAsia="Calibri" w:hAnsi="Calibri"/>
                <w:sz w:val="16"/>
                <w:szCs w:val="16"/>
                <w:color w:val="auto"/>
              </w:rPr>
              <w:t>Shareholders’ equity comprised of:</w:t>
            </w:r>
          </w:p>
        </w:tc>
        <w:tc>
          <w:tcPr>
            <w:tcW w:w="34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0"/>
        </w:trPr>
        <w:tc>
          <w:tcPr>
            <w:tcW w:w="5540" w:type="dxa"/>
            <w:vAlign w:val="bottom"/>
          </w:tcPr>
          <w:p>
            <w:pPr>
              <w:ind w:left="160"/>
              <w:spacing w:after="0"/>
              <w:rPr>
                <w:sz w:val="20"/>
                <w:szCs w:val="20"/>
                <w:color w:val="auto"/>
              </w:rPr>
            </w:pPr>
            <w:r>
              <w:rPr>
                <w:rFonts w:ascii="Calibri" w:cs="Calibri" w:eastAsia="Calibri" w:hAnsi="Calibri"/>
                <w:sz w:val="16"/>
                <w:szCs w:val="16"/>
                <w:color w:val="auto"/>
              </w:rPr>
              <w:t>Share capital</w:t>
            </w:r>
          </w:p>
        </w:tc>
        <w:tc>
          <w:tcPr>
            <w:tcW w:w="3480" w:type="dxa"/>
            <w:vAlign w:val="bottom"/>
          </w:tcPr>
          <w:p>
            <w:pPr>
              <w:jc w:val="right"/>
              <w:ind w:right="365"/>
              <w:spacing w:after="0"/>
              <w:rPr>
                <w:sz w:val="20"/>
                <w:szCs w:val="20"/>
                <w:color w:val="auto"/>
              </w:rPr>
            </w:pPr>
            <w:r>
              <w:rPr>
                <w:rFonts w:ascii="Calibri" w:cs="Calibri" w:eastAsia="Calibri" w:hAnsi="Calibri"/>
                <w:sz w:val="15"/>
                <w:szCs w:val="15"/>
                <w:b w:val="1"/>
                <w:bCs w:val="1"/>
                <w:color w:val="auto"/>
              </w:rPr>
              <w:t>141,451</w:t>
            </w:r>
          </w:p>
        </w:tc>
        <w:tc>
          <w:tcPr>
            <w:tcW w:w="1500" w:type="dxa"/>
            <w:vAlign w:val="bottom"/>
          </w:tcPr>
          <w:p>
            <w:pPr>
              <w:jc w:val="right"/>
              <w:ind w:right="5"/>
              <w:spacing w:after="0"/>
              <w:rPr>
                <w:sz w:val="20"/>
                <w:szCs w:val="20"/>
                <w:color w:val="auto"/>
              </w:rPr>
            </w:pPr>
            <w:r>
              <w:rPr>
                <w:rFonts w:ascii="Calibri" w:cs="Calibri" w:eastAsia="Calibri" w:hAnsi="Calibri"/>
                <w:sz w:val="15"/>
                <w:szCs w:val="15"/>
                <w:color w:val="auto"/>
              </w:rPr>
              <w:t>100,676</w:t>
            </w:r>
          </w:p>
        </w:tc>
      </w:tr>
      <w:tr>
        <w:trPr>
          <w:trHeight w:val="208"/>
        </w:trPr>
        <w:tc>
          <w:tcPr>
            <w:tcW w:w="5540" w:type="dxa"/>
            <w:vAlign w:val="bottom"/>
          </w:tcPr>
          <w:p>
            <w:pPr>
              <w:ind w:left="160"/>
              <w:spacing w:after="0"/>
              <w:rPr>
                <w:sz w:val="20"/>
                <w:szCs w:val="20"/>
                <w:color w:val="auto"/>
              </w:rPr>
            </w:pPr>
            <w:r>
              <w:rPr>
                <w:rFonts w:ascii="Calibri" w:cs="Calibri" w:eastAsia="Calibri" w:hAnsi="Calibri"/>
                <w:sz w:val="16"/>
                <w:szCs w:val="16"/>
                <w:color w:val="auto"/>
              </w:rPr>
              <w:t>Contributed surplus</w:t>
            </w:r>
          </w:p>
        </w:tc>
        <w:tc>
          <w:tcPr>
            <w:tcW w:w="3480" w:type="dxa"/>
            <w:vAlign w:val="bottom"/>
          </w:tcPr>
          <w:p>
            <w:pPr>
              <w:jc w:val="right"/>
              <w:ind w:right="365"/>
              <w:spacing w:after="0"/>
              <w:rPr>
                <w:sz w:val="20"/>
                <w:szCs w:val="20"/>
                <w:color w:val="auto"/>
              </w:rPr>
            </w:pPr>
            <w:r>
              <w:rPr>
                <w:rFonts w:ascii="Calibri" w:cs="Calibri" w:eastAsia="Calibri" w:hAnsi="Calibri"/>
                <w:sz w:val="15"/>
                <w:szCs w:val="15"/>
                <w:b w:val="1"/>
                <w:bCs w:val="1"/>
                <w:color w:val="auto"/>
              </w:rPr>
              <w:t>525</w:t>
            </w:r>
          </w:p>
        </w:tc>
        <w:tc>
          <w:tcPr>
            <w:tcW w:w="1500" w:type="dxa"/>
            <w:vAlign w:val="bottom"/>
          </w:tcPr>
          <w:p>
            <w:pPr>
              <w:jc w:val="right"/>
              <w:ind w:right="5"/>
              <w:spacing w:after="0"/>
              <w:rPr>
                <w:sz w:val="20"/>
                <w:szCs w:val="20"/>
                <w:color w:val="auto"/>
              </w:rPr>
            </w:pPr>
            <w:r>
              <w:rPr>
                <w:rFonts w:ascii="Calibri" w:cs="Calibri" w:eastAsia="Calibri" w:hAnsi="Calibri"/>
                <w:sz w:val="15"/>
                <w:szCs w:val="15"/>
                <w:color w:val="auto"/>
              </w:rPr>
              <w:t>124</w:t>
            </w:r>
          </w:p>
        </w:tc>
      </w:tr>
      <w:tr>
        <w:trPr>
          <w:trHeight w:val="208"/>
        </w:trPr>
        <w:tc>
          <w:tcPr>
            <w:tcW w:w="5540" w:type="dxa"/>
            <w:vAlign w:val="bottom"/>
          </w:tcPr>
          <w:p>
            <w:pPr>
              <w:ind w:left="160"/>
              <w:spacing w:after="0"/>
              <w:rPr>
                <w:sz w:val="20"/>
                <w:szCs w:val="20"/>
                <w:color w:val="auto"/>
              </w:rPr>
            </w:pPr>
            <w:r>
              <w:rPr>
                <w:rFonts w:ascii="Calibri" w:cs="Calibri" w:eastAsia="Calibri" w:hAnsi="Calibri"/>
                <w:sz w:val="16"/>
                <w:szCs w:val="16"/>
                <w:color w:val="auto"/>
              </w:rPr>
              <w:t>Optons reserve</w:t>
            </w:r>
          </w:p>
        </w:tc>
        <w:tc>
          <w:tcPr>
            <w:tcW w:w="3480" w:type="dxa"/>
            <w:vAlign w:val="bottom"/>
          </w:tcPr>
          <w:p>
            <w:pPr>
              <w:jc w:val="right"/>
              <w:ind w:right="365"/>
              <w:spacing w:after="0"/>
              <w:rPr>
                <w:sz w:val="20"/>
                <w:szCs w:val="20"/>
                <w:color w:val="auto"/>
              </w:rPr>
            </w:pPr>
            <w:r>
              <w:rPr>
                <w:rFonts w:ascii="Calibri" w:cs="Calibri" w:eastAsia="Calibri" w:hAnsi="Calibri"/>
                <w:sz w:val="15"/>
                <w:szCs w:val="15"/>
                <w:b w:val="1"/>
                <w:bCs w:val="1"/>
                <w:color w:val="auto"/>
              </w:rPr>
              <w:t>23,783</w:t>
            </w:r>
          </w:p>
        </w:tc>
        <w:tc>
          <w:tcPr>
            <w:tcW w:w="1500" w:type="dxa"/>
            <w:vAlign w:val="bottom"/>
          </w:tcPr>
          <w:p>
            <w:pPr>
              <w:jc w:val="right"/>
              <w:ind w:right="5"/>
              <w:spacing w:after="0"/>
              <w:rPr>
                <w:sz w:val="20"/>
                <w:szCs w:val="20"/>
                <w:color w:val="auto"/>
              </w:rPr>
            </w:pPr>
            <w:r>
              <w:rPr>
                <w:rFonts w:ascii="Calibri" w:cs="Calibri" w:eastAsia="Calibri" w:hAnsi="Calibri"/>
                <w:sz w:val="15"/>
                <w:szCs w:val="15"/>
                <w:color w:val="auto"/>
              </w:rPr>
              <w:t>7,158</w:t>
            </w:r>
          </w:p>
        </w:tc>
      </w:tr>
      <w:tr>
        <w:trPr>
          <w:trHeight w:val="208"/>
        </w:trPr>
        <w:tc>
          <w:tcPr>
            <w:tcW w:w="5540" w:type="dxa"/>
            <w:vAlign w:val="bottom"/>
          </w:tcPr>
          <w:p>
            <w:pPr>
              <w:ind w:left="160"/>
              <w:spacing w:after="0"/>
              <w:rPr>
                <w:sz w:val="20"/>
                <w:szCs w:val="20"/>
                <w:color w:val="auto"/>
              </w:rPr>
            </w:pPr>
            <w:r>
              <w:rPr>
                <w:rFonts w:ascii="Calibri" w:cs="Calibri" w:eastAsia="Calibri" w:hAnsi="Calibri"/>
                <w:sz w:val="16"/>
                <w:szCs w:val="16"/>
                <w:color w:val="auto"/>
              </w:rPr>
              <w:t>Warrants reserve</w:t>
            </w:r>
          </w:p>
        </w:tc>
        <w:tc>
          <w:tcPr>
            <w:tcW w:w="3480" w:type="dxa"/>
            <w:vAlign w:val="bottom"/>
          </w:tcPr>
          <w:p>
            <w:pPr>
              <w:jc w:val="right"/>
              <w:ind w:right="365"/>
              <w:spacing w:after="0"/>
              <w:rPr>
                <w:sz w:val="20"/>
                <w:szCs w:val="20"/>
                <w:color w:val="auto"/>
              </w:rPr>
            </w:pPr>
            <w:r>
              <w:rPr>
                <w:rFonts w:ascii="Calibri" w:cs="Calibri" w:eastAsia="Calibri" w:hAnsi="Calibri"/>
                <w:sz w:val="15"/>
                <w:szCs w:val="15"/>
                <w:b w:val="1"/>
                <w:bCs w:val="1"/>
                <w:color w:val="auto"/>
              </w:rPr>
              <w:t>11,423</w:t>
            </w:r>
          </w:p>
        </w:tc>
        <w:tc>
          <w:tcPr>
            <w:tcW w:w="1500" w:type="dxa"/>
            <w:vAlign w:val="bottom"/>
          </w:tcPr>
          <w:p>
            <w:pPr>
              <w:jc w:val="right"/>
              <w:ind w:right="5"/>
              <w:spacing w:after="0"/>
              <w:rPr>
                <w:sz w:val="20"/>
                <w:szCs w:val="20"/>
                <w:color w:val="auto"/>
              </w:rPr>
            </w:pPr>
            <w:r>
              <w:rPr>
                <w:rFonts w:ascii="Calibri" w:cs="Calibri" w:eastAsia="Calibri" w:hAnsi="Calibri"/>
                <w:sz w:val="15"/>
                <w:szCs w:val="15"/>
                <w:color w:val="auto"/>
              </w:rPr>
              <w:t>11,166</w:t>
            </w:r>
          </w:p>
        </w:tc>
      </w:tr>
      <w:tr>
        <w:trPr>
          <w:trHeight w:val="208"/>
        </w:trPr>
        <w:tc>
          <w:tcPr>
            <w:tcW w:w="5540" w:type="dxa"/>
            <w:vAlign w:val="bottom"/>
          </w:tcPr>
          <w:p>
            <w:pPr>
              <w:ind w:left="160"/>
              <w:spacing w:after="0"/>
              <w:rPr>
                <w:sz w:val="20"/>
                <w:szCs w:val="20"/>
                <w:color w:val="auto"/>
              </w:rPr>
            </w:pPr>
            <w:r>
              <w:rPr>
                <w:rFonts w:ascii="Calibri" w:cs="Calibri" w:eastAsia="Calibri" w:hAnsi="Calibri"/>
                <w:sz w:val="16"/>
                <w:szCs w:val="16"/>
                <w:color w:val="auto"/>
              </w:rPr>
              <w:t>Accumulated other comprehensive income (loss)</w:t>
            </w:r>
          </w:p>
        </w:tc>
        <w:tc>
          <w:tcPr>
            <w:tcW w:w="3480" w:type="dxa"/>
            <w:vAlign w:val="bottom"/>
          </w:tcPr>
          <w:p>
            <w:pPr>
              <w:jc w:val="right"/>
              <w:ind w:right="345"/>
              <w:spacing w:after="0"/>
              <w:rPr>
                <w:sz w:val="20"/>
                <w:szCs w:val="20"/>
                <w:color w:val="auto"/>
              </w:rPr>
            </w:pPr>
            <w:r>
              <w:rPr>
                <w:rFonts w:ascii="Calibri" w:cs="Calibri" w:eastAsia="Calibri" w:hAnsi="Calibri"/>
                <w:sz w:val="15"/>
                <w:szCs w:val="15"/>
                <w:b w:val="1"/>
                <w:bCs w:val="1"/>
                <w:color w:val="auto"/>
              </w:rPr>
              <w:t>(366)</w:t>
            </w:r>
          </w:p>
        </w:tc>
        <w:tc>
          <w:tcPr>
            <w:tcW w:w="1500" w:type="dxa"/>
            <w:vAlign w:val="bottom"/>
          </w:tcPr>
          <w:p>
            <w:pPr>
              <w:jc w:val="right"/>
              <w:ind w:right="5"/>
              <w:spacing w:after="0"/>
              <w:rPr>
                <w:sz w:val="20"/>
                <w:szCs w:val="20"/>
                <w:color w:val="auto"/>
              </w:rPr>
            </w:pPr>
            <w:r>
              <w:rPr>
                <w:rFonts w:ascii="Calibri" w:cs="Calibri" w:eastAsia="Calibri" w:hAnsi="Calibri"/>
                <w:sz w:val="15"/>
                <w:szCs w:val="15"/>
                <w:color w:val="auto"/>
              </w:rPr>
              <w:t>24</w:t>
            </w:r>
          </w:p>
        </w:tc>
      </w:tr>
      <w:tr>
        <w:trPr>
          <w:trHeight w:val="208"/>
        </w:trPr>
        <w:tc>
          <w:tcPr>
            <w:tcW w:w="5540" w:type="dxa"/>
            <w:vAlign w:val="bottom"/>
          </w:tcPr>
          <w:p>
            <w:pPr>
              <w:ind w:left="160"/>
              <w:spacing w:after="0"/>
              <w:rPr>
                <w:sz w:val="20"/>
                <w:szCs w:val="20"/>
                <w:color w:val="auto"/>
              </w:rPr>
            </w:pPr>
            <w:r>
              <w:rPr>
                <w:rFonts w:ascii="Calibri" w:cs="Calibri" w:eastAsia="Calibri" w:hAnsi="Calibri"/>
                <w:sz w:val="16"/>
                <w:szCs w:val="16"/>
                <w:color w:val="auto"/>
              </w:rPr>
              <w:t>Defcit</w:t>
            </w:r>
          </w:p>
        </w:tc>
        <w:tc>
          <w:tcPr>
            <w:tcW w:w="3480" w:type="dxa"/>
            <w:vAlign w:val="bottom"/>
          </w:tcPr>
          <w:p>
            <w:pPr>
              <w:jc w:val="right"/>
              <w:ind w:right="345"/>
              <w:spacing w:after="0"/>
              <w:rPr>
                <w:sz w:val="20"/>
                <w:szCs w:val="20"/>
                <w:color w:val="auto"/>
              </w:rPr>
            </w:pPr>
            <w:r>
              <w:rPr>
                <w:rFonts w:ascii="Calibri" w:cs="Calibri" w:eastAsia="Calibri" w:hAnsi="Calibri"/>
                <w:sz w:val="15"/>
                <w:szCs w:val="15"/>
                <w:b w:val="1"/>
                <w:bCs w:val="1"/>
                <w:color w:val="auto"/>
              </w:rPr>
              <w:t>(100,661)</w:t>
            </w:r>
          </w:p>
        </w:tc>
        <w:tc>
          <w:tcPr>
            <w:tcW w:w="1500" w:type="dxa"/>
            <w:vAlign w:val="bottom"/>
          </w:tcPr>
          <w:p>
            <w:pPr>
              <w:jc w:val="right"/>
              <w:ind w:right="5"/>
              <w:spacing w:after="0"/>
              <w:rPr>
                <w:sz w:val="20"/>
                <w:szCs w:val="20"/>
                <w:color w:val="auto"/>
              </w:rPr>
            </w:pPr>
            <w:r>
              <w:rPr>
                <w:rFonts w:ascii="Calibri" w:cs="Calibri" w:eastAsia="Calibri" w:hAnsi="Calibri"/>
                <w:sz w:val="15"/>
                <w:szCs w:val="15"/>
                <w:color w:val="auto"/>
              </w:rPr>
              <w:t>(33,030)</w:t>
            </w:r>
          </w:p>
        </w:tc>
      </w:tr>
      <w:tr>
        <w:trPr>
          <w:trHeight w:val="21"/>
        </w:trPr>
        <w:tc>
          <w:tcPr>
            <w:tcW w:w="554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3"/>
        </w:trPr>
        <w:tc>
          <w:tcPr>
            <w:tcW w:w="5540" w:type="dxa"/>
            <w:vAlign w:val="bottom"/>
            <w:tcBorders>
              <w:bottom w:val="single" w:sz="8" w:color="auto"/>
            </w:tcBorders>
          </w:tcPr>
          <w:p>
            <w:pPr>
              <w:ind w:left="60"/>
              <w:spacing w:after="0" w:line="193" w:lineRule="exact"/>
              <w:rPr>
                <w:sz w:val="20"/>
                <w:szCs w:val="20"/>
                <w:color w:val="auto"/>
              </w:rPr>
            </w:pPr>
            <w:r>
              <w:rPr>
                <w:rFonts w:ascii="Calibri" w:cs="Calibri" w:eastAsia="Calibri" w:hAnsi="Calibri"/>
                <w:sz w:val="16"/>
                <w:szCs w:val="16"/>
                <w:b w:val="1"/>
                <w:bCs w:val="1"/>
                <w:color w:val="auto"/>
              </w:rPr>
              <w:t>Total</w:t>
            </w:r>
          </w:p>
        </w:tc>
        <w:tc>
          <w:tcPr>
            <w:tcW w:w="3480" w:type="dxa"/>
            <w:vAlign w:val="bottom"/>
            <w:tcBorders>
              <w:bottom w:val="single" w:sz="8" w:color="auto"/>
            </w:tcBorders>
          </w:tcPr>
          <w:p>
            <w:pPr>
              <w:jc w:val="right"/>
              <w:ind w:right="385"/>
              <w:spacing w:after="0" w:line="174" w:lineRule="exact"/>
              <w:rPr>
                <w:sz w:val="20"/>
                <w:szCs w:val="20"/>
                <w:color w:val="auto"/>
              </w:rPr>
            </w:pPr>
            <w:r>
              <w:rPr>
                <w:rFonts w:ascii="Calibri" w:cs="Calibri" w:eastAsia="Calibri" w:hAnsi="Calibri"/>
                <w:sz w:val="15"/>
                <w:szCs w:val="15"/>
                <w:b w:val="1"/>
                <w:bCs w:val="1"/>
                <w:color w:val="auto"/>
              </w:rPr>
              <w:t>76,155</w:t>
            </w:r>
          </w:p>
        </w:tc>
        <w:tc>
          <w:tcPr>
            <w:tcW w:w="1500" w:type="dxa"/>
            <w:vAlign w:val="bottom"/>
            <w:tcBorders>
              <w:bottom w:val="single" w:sz="8" w:color="auto"/>
            </w:tcBorders>
          </w:tcPr>
          <w:p>
            <w:pPr>
              <w:jc w:val="right"/>
              <w:ind w:right="5"/>
              <w:spacing w:after="0" w:line="174" w:lineRule="exact"/>
              <w:rPr>
                <w:sz w:val="20"/>
                <w:szCs w:val="20"/>
                <w:color w:val="auto"/>
              </w:rPr>
            </w:pPr>
            <w:r>
              <w:rPr>
                <w:rFonts w:ascii="Calibri" w:cs="Calibri" w:eastAsia="Calibri" w:hAnsi="Calibri"/>
                <w:sz w:val="15"/>
                <w:szCs w:val="15"/>
                <w:color w:val="auto"/>
              </w:rPr>
              <w:t>86,118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47 of #NUM_PAGES#</w:t>
      </w:r>
    </w:p>
    <w:p>
      <w:pPr>
        <w:sectPr>
          <w:pgSz w:w="11900" w:h="16838" w:orient="portrait"/>
          <w:cols w:equalWidth="0" w:num="1">
            <w:col w:w="11260"/>
          </w:cols>
          <w:pgMar w:left="320" w:top="151" w:right="319" w:bottom="1440" w:gutter="0" w:footer="0" w:header="0"/>
        </w:sectPr>
      </w:pPr>
    </w:p>
    <w:bookmarkStart w:id="147" w:name="page148"/>
    <w:bookmarkEnd w:id="147"/>
    <w:p>
      <w:pPr>
        <w:ind w:left="60"/>
        <w:spacing w:after="0"/>
        <w:rPr>
          <w:sz w:val="20"/>
          <w:szCs w:val="20"/>
          <w:color w:val="auto"/>
        </w:rPr>
      </w:pPr>
      <w:r>
        <w:rPr>
          <w:rFonts w:ascii="Calibri" w:cs="Calibri" w:eastAsia="Calibri" w:hAnsi="Calibri"/>
          <w:sz w:val="20"/>
          <w:szCs w:val="20"/>
          <w:b w:val="1"/>
          <w:bCs w:val="1"/>
          <w:color w:val="auto"/>
        </w:rPr>
        <w:t>CYBIN INC.</w:t>
      </w:r>
    </w:p>
    <w:p>
      <w:pPr>
        <w:ind w:left="60"/>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0"/>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0"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714565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15.</w:t>
      </w:r>
      <w:r>
        <w:rPr>
          <w:sz w:val="20"/>
          <w:szCs w:val="20"/>
          <w:color w:val="auto"/>
        </w:rPr>
        <w:tab/>
      </w:r>
      <w:r>
        <w:rPr>
          <w:rFonts w:ascii="Calibri" w:cs="Calibri" w:eastAsia="Calibri" w:hAnsi="Calibri"/>
          <w:sz w:val="15"/>
          <w:szCs w:val="15"/>
          <w:b w:val="1"/>
          <w:bCs w:val="1"/>
          <w:color w:val="2D5F91"/>
        </w:rPr>
        <w:t>FINANCIAL INSTRUMENTS</w:t>
      </w:r>
    </w:p>
    <w:p>
      <w:pPr>
        <w:spacing w:after="0" w:line="159"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The Company’s fnancial instruments are exposed to certain fnancial risks, which include currency risk, credit risk, liquidity risk and interest rate risk.</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5800" w:type="dxa"/>
            <w:vAlign w:val="bottom"/>
          </w:tcPr>
          <w:p>
            <w:pPr>
              <w:spacing w:after="0"/>
              <w:rPr>
                <w:sz w:val="20"/>
                <w:szCs w:val="20"/>
                <w:color w:val="auto"/>
              </w:rPr>
            </w:pPr>
            <w:r>
              <w:rPr>
                <w:rFonts w:ascii="Calibri" w:cs="Calibri" w:eastAsia="Calibri" w:hAnsi="Calibri"/>
                <w:sz w:val="16"/>
                <w:szCs w:val="16"/>
                <w:color w:val="auto"/>
              </w:rPr>
              <w:t>The Company has classifed its fnancial instruments as follows:</w:t>
            </w:r>
          </w:p>
        </w:tc>
        <w:tc>
          <w:tcPr>
            <w:tcW w:w="34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403"/>
        </w:trPr>
        <w:tc>
          <w:tcPr>
            <w:tcW w:w="5800" w:type="dxa"/>
            <w:vAlign w:val="bottom"/>
          </w:tcPr>
          <w:p>
            <w:pPr>
              <w:ind w:left="60"/>
              <w:spacing w:after="0"/>
              <w:rPr>
                <w:sz w:val="20"/>
                <w:szCs w:val="20"/>
                <w:color w:val="auto"/>
              </w:rPr>
            </w:pPr>
            <w:r>
              <w:rPr>
                <w:rFonts w:ascii="Calibri" w:cs="Calibri" w:eastAsia="Calibri" w:hAnsi="Calibri"/>
                <w:sz w:val="16"/>
                <w:szCs w:val="16"/>
                <w:b w:val="1"/>
                <w:bCs w:val="1"/>
                <w:color w:val="auto"/>
              </w:rPr>
              <w:t>As at</w:t>
            </w:r>
          </w:p>
        </w:tc>
        <w:tc>
          <w:tcPr>
            <w:tcW w:w="342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March 31, 2022</w:t>
            </w: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2021</w:t>
            </w:r>
          </w:p>
        </w:tc>
      </w:tr>
      <w:tr>
        <w:trPr>
          <w:trHeight w:val="208"/>
        </w:trPr>
        <w:tc>
          <w:tcPr>
            <w:tcW w:w="5800" w:type="dxa"/>
            <w:vAlign w:val="bottom"/>
          </w:tcPr>
          <w:p>
            <w:pPr>
              <w:spacing w:after="0"/>
              <w:rPr>
                <w:sz w:val="18"/>
                <w:szCs w:val="18"/>
                <w:color w:val="auto"/>
              </w:rPr>
            </w:pPr>
          </w:p>
        </w:tc>
        <w:tc>
          <w:tcPr>
            <w:tcW w:w="342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$000’s</w:t>
            </w:r>
          </w:p>
        </w:tc>
        <w:tc>
          <w:tcPr>
            <w:tcW w:w="1740" w:type="dxa"/>
            <w:vAlign w:val="bottom"/>
          </w:tcPr>
          <w:p>
            <w:pPr>
              <w:jc w:val="right"/>
              <w:spacing w:after="0"/>
              <w:rPr>
                <w:sz w:val="20"/>
                <w:szCs w:val="20"/>
                <w:color w:val="auto"/>
              </w:rPr>
            </w:pPr>
            <w:r>
              <w:rPr>
                <w:rFonts w:ascii="Calibri" w:cs="Calibri" w:eastAsia="Calibri" w:hAnsi="Calibri"/>
                <w:sz w:val="16"/>
                <w:szCs w:val="16"/>
                <w:b w:val="1"/>
                <w:bCs w:val="1"/>
                <w:color w:val="auto"/>
              </w:rPr>
              <w:t>$000’s</w:t>
            </w:r>
          </w:p>
        </w:tc>
      </w:tr>
      <w:tr>
        <w:trPr>
          <w:trHeight w:val="21"/>
        </w:trPr>
        <w:tc>
          <w:tcPr>
            <w:tcW w:w="580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6"/>
        </w:trPr>
        <w:tc>
          <w:tcPr>
            <w:tcW w:w="5800" w:type="dxa"/>
            <w:vAlign w:val="bottom"/>
          </w:tcPr>
          <w:p>
            <w:pPr>
              <w:ind w:left="60"/>
              <w:spacing w:after="0" w:line="186" w:lineRule="exact"/>
              <w:rPr>
                <w:sz w:val="20"/>
                <w:szCs w:val="20"/>
                <w:color w:val="auto"/>
              </w:rPr>
            </w:pPr>
            <w:r>
              <w:rPr>
                <w:rFonts w:ascii="Calibri" w:cs="Calibri" w:eastAsia="Calibri" w:hAnsi="Calibri"/>
                <w:sz w:val="16"/>
                <w:szCs w:val="16"/>
                <w:b w:val="1"/>
                <w:bCs w:val="1"/>
                <w:color w:val="auto"/>
              </w:rPr>
              <w:t>Financial assets, measured at fair value:</w:t>
            </w:r>
          </w:p>
        </w:tc>
        <w:tc>
          <w:tcPr>
            <w:tcW w:w="34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0"/>
        </w:trPr>
        <w:tc>
          <w:tcPr>
            <w:tcW w:w="5800" w:type="dxa"/>
            <w:vAlign w:val="bottom"/>
          </w:tcPr>
          <w:p>
            <w:pPr>
              <w:ind w:left="160"/>
              <w:spacing w:after="0"/>
              <w:rPr>
                <w:sz w:val="20"/>
                <w:szCs w:val="20"/>
                <w:color w:val="auto"/>
              </w:rPr>
            </w:pPr>
            <w:r>
              <w:rPr>
                <w:rFonts w:ascii="Calibri" w:cs="Calibri" w:eastAsia="Calibri" w:hAnsi="Calibri"/>
                <w:sz w:val="16"/>
                <w:szCs w:val="16"/>
                <w:color w:val="auto"/>
              </w:rPr>
              <w:t>Cash</w:t>
            </w:r>
          </w:p>
        </w:tc>
        <w:tc>
          <w:tcPr>
            <w:tcW w:w="3420" w:type="dxa"/>
            <w:vAlign w:val="bottom"/>
          </w:tcPr>
          <w:p>
            <w:pPr>
              <w:jc w:val="right"/>
              <w:ind w:right="559"/>
              <w:spacing w:after="0"/>
              <w:rPr>
                <w:sz w:val="20"/>
                <w:szCs w:val="20"/>
                <w:color w:val="auto"/>
              </w:rPr>
            </w:pPr>
            <w:r>
              <w:rPr>
                <w:rFonts w:ascii="Calibri" w:cs="Calibri" w:eastAsia="Calibri" w:hAnsi="Calibri"/>
                <w:sz w:val="16"/>
                <w:szCs w:val="16"/>
                <w:color w:val="auto"/>
              </w:rPr>
              <w:t>53,641</w:t>
            </w:r>
          </w:p>
        </w:tc>
        <w:tc>
          <w:tcPr>
            <w:tcW w:w="1740" w:type="dxa"/>
            <w:vAlign w:val="bottom"/>
          </w:tcPr>
          <w:p>
            <w:pPr>
              <w:jc w:val="right"/>
              <w:spacing w:after="0"/>
              <w:rPr>
                <w:sz w:val="20"/>
                <w:szCs w:val="20"/>
                <w:color w:val="auto"/>
              </w:rPr>
            </w:pPr>
            <w:r>
              <w:rPr>
                <w:rFonts w:ascii="Calibri" w:cs="Calibri" w:eastAsia="Calibri" w:hAnsi="Calibri"/>
                <w:sz w:val="16"/>
                <w:szCs w:val="16"/>
                <w:color w:val="auto"/>
              </w:rPr>
              <w:t>64,026</w:t>
            </w:r>
          </w:p>
        </w:tc>
      </w:tr>
      <w:tr>
        <w:trPr>
          <w:trHeight w:val="208"/>
        </w:trPr>
        <w:tc>
          <w:tcPr>
            <w:tcW w:w="5800" w:type="dxa"/>
            <w:vAlign w:val="bottom"/>
          </w:tcPr>
          <w:p>
            <w:pPr>
              <w:ind w:left="160"/>
              <w:spacing w:after="0"/>
              <w:rPr>
                <w:sz w:val="20"/>
                <w:szCs w:val="20"/>
                <w:color w:val="auto"/>
              </w:rPr>
            </w:pPr>
            <w:r>
              <w:rPr>
                <w:rFonts w:ascii="Calibri" w:cs="Calibri" w:eastAsia="Calibri" w:hAnsi="Calibri"/>
                <w:sz w:val="16"/>
                <w:szCs w:val="16"/>
                <w:color w:val="auto"/>
              </w:rPr>
              <w:t>Investments</w:t>
            </w:r>
          </w:p>
        </w:tc>
        <w:tc>
          <w:tcPr>
            <w:tcW w:w="3420" w:type="dxa"/>
            <w:vAlign w:val="bottom"/>
          </w:tcPr>
          <w:p>
            <w:pPr>
              <w:jc w:val="right"/>
              <w:ind w:right="559"/>
              <w:spacing w:after="0"/>
              <w:rPr>
                <w:sz w:val="20"/>
                <w:szCs w:val="20"/>
                <w:color w:val="auto"/>
              </w:rPr>
            </w:pPr>
            <w:r>
              <w:rPr>
                <w:rFonts w:ascii="Calibri" w:cs="Calibri" w:eastAsia="Calibri" w:hAnsi="Calibri"/>
                <w:sz w:val="16"/>
                <w:szCs w:val="16"/>
                <w:color w:val="auto"/>
              </w:rPr>
              <w:t>242</w:t>
            </w:r>
          </w:p>
        </w:tc>
        <w:tc>
          <w:tcPr>
            <w:tcW w:w="17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8"/>
        </w:trPr>
        <w:tc>
          <w:tcPr>
            <w:tcW w:w="5800" w:type="dxa"/>
            <w:vAlign w:val="bottom"/>
          </w:tcPr>
          <w:p>
            <w:pPr>
              <w:ind w:left="60"/>
              <w:spacing w:after="0"/>
              <w:rPr>
                <w:sz w:val="20"/>
                <w:szCs w:val="20"/>
                <w:color w:val="auto"/>
              </w:rPr>
            </w:pPr>
            <w:r>
              <w:rPr>
                <w:rFonts w:ascii="Calibri" w:cs="Calibri" w:eastAsia="Calibri" w:hAnsi="Calibri"/>
                <w:sz w:val="16"/>
                <w:szCs w:val="16"/>
                <w:b w:val="1"/>
                <w:bCs w:val="1"/>
                <w:color w:val="auto"/>
              </w:rPr>
              <w:t>Financial assets, measured at amortzed cost:</w:t>
            </w:r>
          </w:p>
        </w:tc>
        <w:tc>
          <w:tcPr>
            <w:tcW w:w="34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08"/>
        </w:trPr>
        <w:tc>
          <w:tcPr>
            <w:tcW w:w="5800" w:type="dxa"/>
            <w:vAlign w:val="bottom"/>
          </w:tcPr>
          <w:p>
            <w:pPr>
              <w:ind w:left="160"/>
              <w:spacing w:after="0"/>
              <w:rPr>
                <w:sz w:val="20"/>
                <w:szCs w:val="20"/>
                <w:color w:val="auto"/>
              </w:rPr>
            </w:pPr>
            <w:r>
              <w:rPr>
                <w:rFonts w:ascii="Calibri" w:cs="Calibri" w:eastAsia="Calibri" w:hAnsi="Calibri"/>
                <w:sz w:val="16"/>
                <w:szCs w:val="16"/>
                <w:color w:val="auto"/>
              </w:rPr>
              <w:t>Accounts receivable</w:t>
            </w:r>
          </w:p>
        </w:tc>
        <w:tc>
          <w:tcPr>
            <w:tcW w:w="3420" w:type="dxa"/>
            <w:vAlign w:val="bottom"/>
          </w:tcPr>
          <w:p>
            <w:pPr>
              <w:jc w:val="right"/>
              <w:ind w:right="559"/>
              <w:spacing w:after="0"/>
              <w:rPr>
                <w:sz w:val="20"/>
                <w:szCs w:val="20"/>
                <w:color w:val="auto"/>
              </w:rPr>
            </w:pPr>
            <w:r>
              <w:rPr>
                <w:rFonts w:ascii="Calibri" w:cs="Calibri" w:eastAsia="Calibri" w:hAnsi="Calibri"/>
                <w:sz w:val="16"/>
                <w:szCs w:val="16"/>
                <w:color w:val="auto"/>
              </w:rPr>
              <w:t>28</w:t>
            </w:r>
          </w:p>
        </w:tc>
        <w:tc>
          <w:tcPr>
            <w:tcW w:w="17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8"/>
        </w:trPr>
        <w:tc>
          <w:tcPr>
            <w:tcW w:w="5800" w:type="dxa"/>
            <w:vAlign w:val="bottom"/>
          </w:tcPr>
          <w:p>
            <w:pPr>
              <w:ind w:left="60"/>
              <w:spacing w:after="0"/>
              <w:rPr>
                <w:sz w:val="20"/>
                <w:szCs w:val="20"/>
                <w:color w:val="auto"/>
              </w:rPr>
            </w:pPr>
            <w:r>
              <w:rPr>
                <w:rFonts w:ascii="Calibri" w:cs="Calibri" w:eastAsia="Calibri" w:hAnsi="Calibri"/>
                <w:sz w:val="16"/>
                <w:szCs w:val="16"/>
                <w:b w:val="1"/>
                <w:bCs w:val="1"/>
                <w:color w:val="auto"/>
              </w:rPr>
              <w:t>Financial liabilites, measured at fair value:</w:t>
            </w:r>
          </w:p>
        </w:tc>
        <w:tc>
          <w:tcPr>
            <w:tcW w:w="34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0"/>
        </w:trPr>
        <w:tc>
          <w:tcPr>
            <w:tcW w:w="5800" w:type="dxa"/>
            <w:vAlign w:val="bottom"/>
          </w:tcPr>
          <w:p>
            <w:pPr>
              <w:ind w:left="140"/>
              <w:spacing w:after="0"/>
              <w:rPr>
                <w:sz w:val="20"/>
                <w:szCs w:val="20"/>
                <w:color w:val="auto"/>
              </w:rPr>
            </w:pPr>
            <w:r>
              <w:rPr>
                <w:rFonts w:ascii="Calibri" w:cs="Calibri" w:eastAsia="Calibri" w:hAnsi="Calibri"/>
                <w:sz w:val="16"/>
                <w:szCs w:val="16"/>
                <w:color w:val="auto"/>
              </w:rPr>
              <w:t>Contngent consideraton payable</w:t>
            </w:r>
          </w:p>
        </w:tc>
        <w:tc>
          <w:tcPr>
            <w:tcW w:w="3420" w:type="dxa"/>
            <w:vAlign w:val="bottom"/>
          </w:tcPr>
          <w:p>
            <w:pPr>
              <w:jc w:val="right"/>
              <w:ind w:right="559"/>
              <w:spacing w:after="0"/>
              <w:rPr>
                <w:sz w:val="20"/>
                <w:szCs w:val="20"/>
                <w:color w:val="auto"/>
              </w:rPr>
            </w:pPr>
            <w:r>
              <w:rPr>
                <w:rFonts w:ascii="Calibri" w:cs="Calibri" w:eastAsia="Calibri" w:hAnsi="Calibri"/>
                <w:sz w:val="16"/>
                <w:szCs w:val="16"/>
                <w:color w:val="auto"/>
              </w:rPr>
              <w:t>2,646</w:t>
            </w:r>
          </w:p>
        </w:tc>
        <w:tc>
          <w:tcPr>
            <w:tcW w:w="1740" w:type="dxa"/>
            <w:vAlign w:val="bottom"/>
          </w:tcPr>
          <w:p>
            <w:pPr>
              <w:jc w:val="right"/>
              <w:spacing w:after="0"/>
              <w:rPr>
                <w:sz w:val="20"/>
                <w:szCs w:val="20"/>
                <w:color w:val="auto"/>
              </w:rPr>
            </w:pPr>
            <w:r>
              <w:rPr>
                <w:rFonts w:ascii="Calibri" w:cs="Calibri" w:eastAsia="Calibri" w:hAnsi="Calibri"/>
                <w:sz w:val="16"/>
                <w:szCs w:val="16"/>
                <w:color w:val="auto"/>
              </w:rPr>
              <w:t>3,201</w:t>
            </w:r>
          </w:p>
        </w:tc>
      </w:tr>
      <w:tr>
        <w:trPr>
          <w:trHeight w:val="232"/>
        </w:trPr>
        <w:tc>
          <w:tcPr>
            <w:tcW w:w="5800" w:type="dxa"/>
            <w:vAlign w:val="bottom"/>
          </w:tcPr>
          <w:p>
            <w:pPr>
              <w:ind w:left="60"/>
              <w:spacing w:after="0"/>
              <w:rPr>
                <w:sz w:val="20"/>
                <w:szCs w:val="20"/>
                <w:color w:val="auto"/>
              </w:rPr>
            </w:pPr>
            <w:r>
              <w:rPr>
                <w:rFonts w:ascii="Calibri" w:cs="Calibri" w:eastAsia="Calibri" w:hAnsi="Calibri"/>
                <w:sz w:val="16"/>
                <w:szCs w:val="16"/>
                <w:b w:val="1"/>
                <w:bCs w:val="1"/>
                <w:color w:val="auto"/>
              </w:rPr>
              <w:t>Financial liabilites, measured at amortzed cost:</w:t>
            </w:r>
          </w:p>
        </w:tc>
        <w:tc>
          <w:tcPr>
            <w:tcW w:w="34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08"/>
        </w:trPr>
        <w:tc>
          <w:tcPr>
            <w:tcW w:w="5800" w:type="dxa"/>
            <w:vAlign w:val="bottom"/>
          </w:tcPr>
          <w:p>
            <w:pPr>
              <w:ind w:left="160"/>
              <w:spacing w:after="0"/>
              <w:rPr>
                <w:sz w:val="20"/>
                <w:szCs w:val="20"/>
                <w:color w:val="auto"/>
              </w:rPr>
            </w:pPr>
            <w:r>
              <w:rPr>
                <w:rFonts w:ascii="Calibri" w:cs="Calibri" w:eastAsia="Calibri" w:hAnsi="Calibri"/>
                <w:sz w:val="16"/>
                <w:szCs w:val="16"/>
                <w:color w:val="auto"/>
              </w:rPr>
              <w:t>Accounts payable and accrued liabilites</w:t>
            </w:r>
          </w:p>
        </w:tc>
        <w:tc>
          <w:tcPr>
            <w:tcW w:w="3420" w:type="dxa"/>
            <w:vAlign w:val="bottom"/>
          </w:tcPr>
          <w:p>
            <w:pPr>
              <w:jc w:val="right"/>
              <w:ind w:right="559"/>
              <w:spacing w:after="0"/>
              <w:rPr>
                <w:sz w:val="20"/>
                <w:szCs w:val="20"/>
                <w:color w:val="auto"/>
              </w:rPr>
            </w:pPr>
            <w:r>
              <w:rPr>
                <w:rFonts w:ascii="Calibri" w:cs="Calibri" w:eastAsia="Calibri" w:hAnsi="Calibri"/>
                <w:sz w:val="16"/>
                <w:szCs w:val="16"/>
                <w:color w:val="auto"/>
              </w:rPr>
              <w:t>5,262</w:t>
            </w:r>
          </w:p>
        </w:tc>
        <w:tc>
          <w:tcPr>
            <w:tcW w:w="1740" w:type="dxa"/>
            <w:vAlign w:val="bottom"/>
          </w:tcPr>
          <w:p>
            <w:pPr>
              <w:jc w:val="right"/>
              <w:spacing w:after="0"/>
              <w:rPr>
                <w:sz w:val="20"/>
                <w:szCs w:val="20"/>
                <w:color w:val="auto"/>
              </w:rPr>
            </w:pPr>
            <w:r>
              <w:rPr>
                <w:rFonts w:ascii="Calibri" w:cs="Calibri" w:eastAsia="Calibri" w:hAnsi="Calibri"/>
                <w:sz w:val="16"/>
                <w:szCs w:val="16"/>
                <w:color w:val="auto"/>
              </w:rPr>
              <w:t>2,793</w:t>
            </w:r>
          </w:p>
        </w:tc>
      </w:tr>
      <w:tr>
        <w:trPr>
          <w:trHeight w:val="21"/>
        </w:trPr>
        <w:tc>
          <w:tcPr>
            <w:tcW w:w="580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The carrying value of the Company’s fnancial instruments approximate their fair value.</w:t>
      </w:r>
    </w:p>
    <w:p>
      <w:pPr>
        <w:spacing w:after="0" w:line="159" w:lineRule="exact"/>
        <w:rPr>
          <w:sz w:val="20"/>
          <w:szCs w:val="20"/>
          <w:color w:val="auto"/>
        </w:rPr>
      </w:pPr>
    </w:p>
    <w:p>
      <w:pPr>
        <w:ind w:left="300"/>
        <w:spacing w:after="0"/>
        <w:rPr>
          <w:sz w:val="20"/>
          <w:szCs w:val="20"/>
          <w:color w:val="auto"/>
        </w:rPr>
      </w:pPr>
      <w:r>
        <w:rPr>
          <w:rFonts w:ascii="Calibri" w:cs="Calibri" w:eastAsia="Calibri" w:hAnsi="Calibri"/>
          <w:sz w:val="16"/>
          <w:szCs w:val="16"/>
          <w:b w:val="1"/>
          <w:bCs w:val="1"/>
          <w:u w:val="single" w:color="auto"/>
          <w:color w:val="auto"/>
        </w:rPr>
        <w:t>Fair value Hierarchy of Financial Instruments</w:t>
      </w:r>
    </w:p>
    <w:p>
      <w:pPr>
        <w:spacing w:after="0" w:line="160" w:lineRule="exact"/>
        <w:rPr>
          <w:sz w:val="20"/>
          <w:szCs w:val="20"/>
          <w:color w:val="auto"/>
        </w:rPr>
      </w:pPr>
    </w:p>
    <w:p>
      <w:pPr>
        <w:jc w:val="both"/>
        <w:ind w:left="300" w:right="20"/>
        <w:spacing w:after="0" w:line="239" w:lineRule="auto"/>
        <w:rPr>
          <w:sz w:val="20"/>
          <w:szCs w:val="20"/>
          <w:color w:val="auto"/>
        </w:rPr>
      </w:pPr>
      <w:r>
        <w:rPr>
          <w:rFonts w:ascii="Calibri" w:cs="Calibri" w:eastAsia="Calibri" w:hAnsi="Calibri"/>
          <w:sz w:val="16"/>
          <w:szCs w:val="16"/>
          <w:color w:val="auto"/>
        </w:rPr>
        <w:t>The Company has categorized its fnancial instruments that are carried at fair value, based on the priority of the inputs to the valuaton techniques used to measure fair value, into a three-level fair value hierarchy as follows:</w:t>
      </w:r>
    </w:p>
    <w:p>
      <w:pPr>
        <w:spacing w:after="0" w:line="173" w:lineRule="exact"/>
        <w:rPr>
          <w:sz w:val="20"/>
          <w:szCs w:val="20"/>
          <w:color w:val="auto"/>
        </w:rPr>
      </w:pPr>
    </w:p>
    <w:p>
      <w:pPr>
        <w:jc w:val="both"/>
        <w:ind w:left="300" w:right="20"/>
        <w:spacing w:after="0" w:line="239" w:lineRule="auto"/>
        <w:rPr>
          <w:sz w:val="20"/>
          <w:szCs w:val="20"/>
          <w:color w:val="auto"/>
        </w:rPr>
      </w:pPr>
      <w:r>
        <w:rPr>
          <w:rFonts w:ascii="Calibri" w:cs="Calibri" w:eastAsia="Calibri" w:hAnsi="Calibri"/>
          <w:sz w:val="16"/>
          <w:szCs w:val="16"/>
          <w:color w:val="auto"/>
        </w:rPr>
        <w:t>Level 1: Fair value is based on unadjusted quoted prices for identcal assets or liabilites in an actve market. The types of assets and liabilites classifed as Level 1 generally included cash.</w:t>
      </w:r>
    </w:p>
    <w:p>
      <w:pPr>
        <w:spacing w:after="0" w:line="161" w:lineRule="exact"/>
        <w:rPr>
          <w:sz w:val="20"/>
          <w:szCs w:val="20"/>
          <w:color w:val="auto"/>
        </w:rPr>
      </w:pPr>
    </w:p>
    <w:p>
      <w:pPr>
        <w:jc w:val="both"/>
        <w:ind w:left="300" w:right="20"/>
        <w:spacing w:after="0" w:line="239" w:lineRule="auto"/>
        <w:rPr>
          <w:sz w:val="20"/>
          <w:szCs w:val="20"/>
          <w:color w:val="auto"/>
        </w:rPr>
      </w:pPr>
      <w:r>
        <w:rPr>
          <w:rFonts w:ascii="Calibri" w:cs="Calibri" w:eastAsia="Calibri" w:hAnsi="Calibri"/>
          <w:sz w:val="16"/>
          <w:szCs w:val="16"/>
          <w:color w:val="auto"/>
        </w:rPr>
        <w:t>Level 2: Fair value is based on quoted prices for similar assets or liabilites in actve markets, valuaton that is based on signifcant observable inputs, or inputs that are derived principally from or corroborated with observable market data through correlaton or other means. Currently, the Company has no fnancial instruments that would be classifed as Level 2.</w:t>
      </w:r>
    </w:p>
    <w:p>
      <w:pPr>
        <w:spacing w:after="0" w:line="162" w:lineRule="exact"/>
        <w:rPr>
          <w:sz w:val="20"/>
          <w:szCs w:val="20"/>
          <w:color w:val="auto"/>
        </w:rPr>
      </w:pPr>
    </w:p>
    <w:p>
      <w:pPr>
        <w:jc w:val="both"/>
        <w:ind w:left="300" w:right="20"/>
        <w:spacing w:after="0" w:line="239" w:lineRule="auto"/>
        <w:rPr>
          <w:sz w:val="20"/>
          <w:szCs w:val="20"/>
          <w:color w:val="auto"/>
        </w:rPr>
      </w:pPr>
      <w:r>
        <w:rPr>
          <w:rFonts w:ascii="Calibri" w:cs="Calibri" w:eastAsia="Calibri" w:hAnsi="Calibri"/>
          <w:sz w:val="16"/>
          <w:szCs w:val="16"/>
          <w:color w:val="auto"/>
        </w:rPr>
        <w:t>Level 3: Fair value is based on valuaton techniques that require one or more signifcant inputs that are not based on observable market inputs. These unobservable inputs refect the Company’s assumptons about the assumptons market partcipants would use in pricing the asset or liability. The investments and the contngent liabilites are classifed as Level 3.</w:t>
      </w:r>
    </w:p>
    <w:p>
      <w:pPr>
        <w:spacing w:after="0" w:line="173"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There were no transfers between levels of the fair value hierarchy for the year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48 of 53</w:t>
      </w:r>
    </w:p>
    <w:p>
      <w:pPr>
        <w:sectPr>
          <w:pgSz w:w="11900" w:h="16838" w:orient="portrait"/>
          <w:cols w:equalWidth="0" w:num="1">
            <w:col w:w="11260"/>
          </w:cols>
          <w:pgMar w:left="320" w:top="151" w:right="319" w:bottom="1440" w:gutter="0" w:footer="0" w:header="0"/>
        </w:sectPr>
      </w:pPr>
    </w:p>
    <w:bookmarkStart w:id="148" w:name="page149"/>
    <w:bookmarkEnd w:id="148"/>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The following table presents the changes in level 3 fnancial instruments for the year ended March 31, 2022.</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80" w:type="dxa"/>
            <w:vAlign w:val="bottom"/>
            <w:gridSpan w:val="2"/>
          </w:tcPr>
          <w:p>
            <w:pPr>
              <w:jc w:val="right"/>
              <w:ind w:right="20"/>
              <w:spacing w:after="0"/>
              <w:rPr>
                <w:sz w:val="20"/>
                <w:szCs w:val="20"/>
                <w:color w:val="auto"/>
              </w:rPr>
            </w:pPr>
            <w:r>
              <w:rPr>
                <w:rFonts w:ascii="Calibri" w:cs="Calibri" w:eastAsia="Calibri" w:hAnsi="Calibri"/>
                <w:sz w:val="16"/>
                <w:szCs w:val="16"/>
                <w:b w:val="1"/>
                <w:bCs w:val="1"/>
                <w:color w:val="auto"/>
              </w:rPr>
              <w:t>$000’s</w:t>
            </w:r>
          </w:p>
        </w:tc>
        <w:tc>
          <w:tcPr>
            <w:tcW w:w="0" w:type="dxa"/>
            <w:vAlign w:val="bottom"/>
          </w:tcPr>
          <w:p>
            <w:pPr>
              <w:spacing w:after="0"/>
              <w:rPr>
                <w:sz w:val="1"/>
                <w:szCs w:val="1"/>
                <w:color w:val="auto"/>
              </w:rPr>
            </w:pPr>
          </w:p>
        </w:tc>
      </w:tr>
      <w:tr>
        <w:trPr>
          <w:trHeight w:val="46"/>
        </w:trPr>
        <w:tc>
          <w:tcPr>
            <w:tcW w:w="16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80" w:type="dxa"/>
            <w:vAlign w:val="bottom"/>
            <w:gridSpan w:val="2"/>
          </w:tcPr>
          <w:p>
            <w:pPr>
              <w:spacing w:after="0" w:line="186" w:lineRule="exact"/>
              <w:rPr>
                <w:sz w:val="20"/>
                <w:szCs w:val="20"/>
                <w:color w:val="auto"/>
              </w:rPr>
            </w:pPr>
            <w:r>
              <w:rPr>
                <w:rFonts w:ascii="Calibri" w:cs="Calibri" w:eastAsia="Calibri" w:hAnsi="Calibri"/>
                <w:sz w:val="16"/>
                <w:szCs w:val="16"/>
                <w:color w:val="auto"/>
              </w:rPr>
              <w:t>Balance as at March 31, 2021</w:t>
            </w:r>
          </w:p>
        </w:tc>
        <w:tc>
          <w:tcPr>
            <w:tcW w:w="1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80" w:type="dxa"/>
            <w:vAlign w:val="bottom"/>
            <w:gridSpan w:val="2"/>
          </w:tcPr>
          <w:p>
            <w:pPr>
              <w:jc w:val="right"/>
              <w:ind w:right="60"/>
              <w:spacing w:after="0" w:line="186"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5"/>
        </w:trPr>
        <w:tc>
          <w:tcPr>
            <w:tcW w:w="2080" w:type="dxa"/>
            <w:vAlign w:val="bottom"/>
            <w:gridSpan w:val="2"/>
          </w:tcPr>
          <w:p>
            <w:pPr>
              <w:spacing w:after="0"/>
              <w:rPr>
                <w:sz w:val="20"/>
                <w:szCs w:val="20"/>
                <w:color w:val="auto"/>
              </w:rPr>
            </w:pPr>
            <w:r>
              <w:rPr>
                <w:rFonts w:ascii="Calibri" w:cs="Calibri" w:eastAsia="Calibri" w:hAnsi="Calibri"/>
                <w:sz w:val="16"/>
                <w:szCs w:val="16"/>
                <w:color w:val="auto"/>
              </w:rPr>
              <w:t>Additons</w:t>
            </w:r>
          </w:p>
        </w:tc>
        <w:tc>
          <w:tcPr>
            <w:tcW w:w="1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Calibri" w:cs="Calibri" w:eastAsia="Calibri" w:hAnsi="Calibri"/>
                <w:sz w:val="16"/>
                <w:szCs w:val="16"/>
                <w:color w:val="auto"/>
              </w:rPr>
              <w:t>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80" w:type="dxa"/>
            <w:vAlign w:val="bottom"/>
            <w:gridSpan w:val="2"/>
          </w:tcPr>
          <w:p>
            <w:pPr>
              <w:spacing w:after="0"/>
              <w:rPr>
                <w:sz w:val="20"/>
                <w:szCs w:val="20"/>
                <w:color w:val="auto"/>
              </w:rPr>
            </w:pPr>
            <w:r>
              <w:rPr>
                <w:rFonts w:ascii="Calibri" w:cs="Calibri" w:eastAsia="Calibri" w:hAnsi="Calibri"/>
                <w:sz w:val="16"/>
                <w:szCs w:val="16"/>
                <w:color w:val="auto"/>
              </w:rPr>
              <w:t>Interest income</w:t>
            </w:r>
          </w:p>
        </w:tc>
        <w:tc>
          <w:tcPr>
            <w:tcW w:w="1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Calibri" w:cs="Calibri" w:eastAsia="Calibri" w:hAnsi="Calibri"/>
                <w:sz w:val="16"/>
                <w:szCs w:val="16"/>
                <w:color w:val="auto"/>
              </w:rPr>
              <w:t>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60" w:type="dxa"/>
            <w:vAlign w:val="bottom"/>
            <w:gridSpan w:val="5"/>
          </w:tcPr>
          <w:p>
            <w:pPr>
              <w:spacing w:after="0"/>
              <w:rPr>
                <w:sz w:val="20"/>
                <w:szCs w:val="20"/>
                <w:color w:val="auto"/>
              </w:rPr>
            </w:pPr>
            <w:r>
              <w:rPr>
                <w:rFonts w:ascii="Calibri" w:cs="Calibri" w:eastAsia="Calibri" w:hAnsi="Calibri"/>
                <w:sz w:val="16"/>
                <w:szCs w:val="16"/>
                <w:color w:val="auto"/>
              </w:rPr>
              <w:t>Change in fair value of investments measured at fair value through proft or loss</w:t>
            </w:r>
          </w:p>
        </w:tc>
        <w:tc>
          <w:tcPr>
            <w:tcW w:w="1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80" w:type="dxa"/>
            <w:vAlign w:val="bottom"/>
            <w:gridSpan w:val="2"/>
          </w:tcPr>
          <w:p>
            <w:pPr>
              <w:jc w:val="right"/>
              <w:ind w:right="40"/>
              <w:spacing w:after="0"/>
              <w:rPr>
                <w:sz w:val="20"/>
                <w:szCs w:val="20"/>
                <w:color w:val="auto"/>
              </w:rPr>
            </w:pPr>
            <w:r>
              <w:rPr>
                <w:rFonts w:ascii="Calibri" w:cs="Calibri" w:eastAsia="Calibri" w:hAnsi="Calibri"/>
                <w:sz w:val="16"/>
                <w:szCs w:val="16"/>
                <w:color w:val="auto"/>
              </w:rPr>
              <w:t>(29)</w:t>
            </w:r>
          </w:p>
        </w:tc>
        <w:tc>
          <w:tcPr>
            <w:tcW w:w="0" w:type="dxa"/>
            <w:vAlign w:val="bottom"/>
          </w:tcPr>
          <w:p>
            <w:pPr>
              <w:spacing w:after="0"/>
              <w:rPr>
                <w:sz w:val="1"/>
                <w:szCs w:val="1"/>
                <w:color w:val="auto"/>
              </w:rPr>
            </w:pPr>
          </w:p>
        </w:tc>
      </w:tr>
      <w:tr>
        <w:trPr>
          <w:trHeight w:val="46"/>
        </w:trPr>
        <w:tc>
          <w:tcPr>
            <w:tcW w:w="16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80" w:type="dxa"/>
            <w:vAlign w:val="bottom"/>
            <w:gridSpan w:val="2"/>
          </w:tcPr>
          <w:p>
            <w:pPr>
              <w:spacing w:after="0" w:line="186" w:lineRule="exact"/>
              <w:rPr>
                <w:sz w:val="20"/>
                <w:szCs w:val="20"/>
                <w:color w:val="auto"/>
              </w:rPr>
            </w:pPr>
            <w:r>
              <w:rPr>
                <w:rFonts w:ascii="Calibri" w:cs="Calibri" w:eastAsia="Calibri" w:hAnsi="Calibri"/>
                <w:sz w:val="16"/>
                <w:szCs w:val="16"/>
                <w:color w:val="auto"/>
              </w:rPr>
              <w:t>Balance as at March 31, 2022</w:t>
            </w:r>
          </w:p>
        </w:tc>
        <w:tc>
          <w:tcPr>
            <w:tcW w:w="1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4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242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62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gridSpan w:val="3"/>
          </w:tcPr>
          <w:p>
            <w:pPr>
              <w:spacing w:after="0"/>
              <w:rPr>
                <w:sz w:val="3"/>
                <w:szCs w:val="3"/>
                <w:color w:val="auto"/>
              </w:rPr>
            </w:pPr>
          </w:p>
        </w:tc>
        <w:tc>
          <w:tcPr>
            <w:tcW w:w="5720" w:type="dxa"/>
            <w:vAlign w:val="bottom"/>
            <w:tcBorders>
              <w:bottom w:val="single" w:sz="8" w:color="auto"/>
            </w:tcBorders>
            <w:gridSpan w:val="4"/>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1"/>
        </w:trPr>
        <w:tc>
          <w:tcPr>
            <w:tcW w:w="10800" w:type="dxa"/>
            <w:vAlign w:val="bottom"/>
            <w:gridSpan w:val="9"/>
          </w:tcPr>
          <w:p>
            <w:pPr>
              <w:spacing w:after="0"/>
              <w:rPr>
                <w:sz w:val="20"/>
                <w:szCs w:val="20"/>
                <w:color w:val="auto"/>
              </w:rPr>
            </w:pPr>
            <w:r>
              <w:rPr>
                <w:rFonts w:ascii="Calibri" w:cs="Calibri" w:eastAsia="Calibri" w:hAnsi="Calibri"/>
                <w:sz w:val="16"/>
                <w:szCs w:val="16"/>
                <w:color w:val="auto"/>
              </w:rPr>
              <w:t>The following table summarizes the quanttatve informaton about the signifcant unobservable inputs used in level 3 fair value measurements:</w:t>
            </w:r>
          </w:p>
        </w:tc>
        <w:tc>
          <w:tcPr>
            <w:tcW w:w="0" w:type="dxa"/>
            <w:vAlign w:val="bottom"/>
          </w:tcPr>
          <w:p>
            <w:pPr>
              <w:spacing w:after="0"/>
              <w:rPr>
                <w:sz w:val="1"/>
                <w:szCs w:val="1"/>
                <w:color w:val="auto"/>
              </w:rPr>
            </w:pPr>
          </w:p>
        </w:tc>
      </w:tr>
      <w:tr>
        <w:trPr>
          <w:trHeight w:val="415"/>
        </w:trPr>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Pr>
          <w:p>
            <w:pPr>
              <w:jc w:val="right"/>
              <w:ind w:right="20"/>
              <w:spacing w:after="0"/>
              <w:rPr>
                <w:sz w:val="20"/>
                <w:szCs w:val="20"/>
                <w:color w:val="auto"/>
              </w:rPr>
            </w:pPr>
            <w:r>
              <w:rPr>
                <w:rFonts w:ascii="Calibri" w:cs="Calibri" w:eastAsia="Calibri" w:hAnsi="Calibri"/>
                <w:sz w:val="16"/>
                <w:szCs w:val="16"/>
                <w:b w:val="1"/>
                <w:bCs w:val="1"/>
                <w:color w:val="auto"/>
              </w:rPr>
              <w:t>Fair Value as at</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40" w:type="dxa"/>
            <w:vAlign w:val="bottom"/>
          </w:tcPr>
          <w:p>
            <w:pPr>
              <w:jc w:val="right"/>
              <w:ind w:right="540"/>
              <w:spacing w:after="0" w:line="191" w:lineRule="exact"/>
              <w:rPr>
                <w:sz w:val="20"/>
                <w:szCs w:val="20"/>
                <w:color w:val="auto"/>
              </w:rPr>
            </w:pPr>
            <w:r>
              <w:rPr>
                <w:rFonts w:ascii="Calibri" w:cs="Calibri" w:eastAsia="Calibri" w:hAnsi="Calibri"/>
                <w:sz w:val="16"/>
                <w:szCs w:val="16"/>
                <w:b w:val="1"/>
                <w:bCs w:val="1"/>
                <w:color w:val="auto"/>
              </w:rPr>
              <w:t>March 31, 2022</w:t>
            </w:r>
          </w:p>
        </w:tc>
        <w:tc>
          <w:tcPr>
            <w:tcW w:w="1440" w:type="dxa"/>
            <w:vAlign w:val="bottom"/>
            <w:gridSpan w:val="2"/>
          </w:tcPr>
          <w:p>
            <w:pPr>
              <w:ind w:left="100"/>
              <w:spacing w:after="0" w:line="191" w:lineRule="exact"/>
              <w:rPr>
                <w:sz w:val="20"/>
                <w:szCs w:val="20"/>
                <w:color w:val="auto"/>
              </w:rPr>
            </w:pPr>
            <w:r>
              <w:rPr>
                <w:rFonts w:ascii="Calibri" w:cs="Calibri" w:eastAsia="Calibri" w:hAnsi="Calibri"/>
                <w:sz w:val="16"/>
                <w:szCs w:val="16"/>
                <w:b w:val="1"/>
                <w:bCs w:val="1"/>
                <w:color w:val="auto"/>
              </w:rPr>
              <w:t>March 31, 2021</w:t>
            </w:r>
          </w:p>
        </w:tc>
        <w:tc>
          <w:tcPr>
            <w:tcW w:w="19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Range of</w:t>
            </w:r>
          </w:p>
        </w:tc>
        <w:tc>
          <w:tcPr>
            <w:tcW w:w="2580" w:type="dxa"/>
            <w:vAlign w:val="bottom"/>
            <w:gridSpan w:val="2"/>
            <w:vMerge w:val="restart"/>
          </w:tcPr>
          <w:p>
            <w:pPr>
              <w:jc w:val="right"/>
              <w:ind w:right="100"/>
              <w:spacing w:after="0"/>
              <w:rPr>
                <w:sz w:val="20"/>
                <w:szCs w:val="20"/>
                <w:color w:val="auto"/>
              </w:rPr>
            </w:pPr>
            <w:r>
              <w:rPr>
                <w:rFonts w:ascii="Calibri" w:cs="Calibri" w:eastAsia="Calibri" w:hAnsi="Calibri"/>
                <w:sz w:val="16"/>
                <w:szCs w:val="16"/>
                <w:b w:val="1"/>
                <w:bCs w:val="1"/>
                <w:color w:val="auto"/>
              </w:rPr>
              <w:t>Relatonship of unobservable inputs</w:t>
            </w:r>
          </w:p>
        </w:tc>
        <w:tc>
          <w:tcPr>
            <w:tcW w:w="0" w:type="dxa"/>
            <w:vAlign w:val="bottom"/>
          </w:tcPr>
          <w:p>
            <w:pPr>
              <w:spacing w:after="0"/>
              <w:rPr>
                <w:sz w:val="1"/>
                <w:szCs w:val="1"/>
                <w:color w:val="auto"/>
              </w:rPr>
            </w:pPr>
          </w:p>
        </w:tc>
      </w:tr>
      <w:tr>
        <w:trPr>
          <w:trHeight w:val="38"/>
        </w:trPr>
        <w:tc>
          <w:tcPr>
            <w:tcW w:w="2080" w:type="dxa"/>
            <w:vAlign w:val="bottom"/>
            <w:gridSpan w:val="2"/>
            <w:vMerge w:val="restart"/>
          </w:tcPr>
          <w:p>
            <w:pPr>
              <w:spacing w:after="0"/>
              <w:rPr>
                <w:sz w:val="20"/>
                <w:szCs w:val="20"/>
                <w:color w:val="auto"/>
              </w:rPr>
            </w:pPr>
            <w:r>
              <w:rPr>
                <w:rFonts w:ascii="Calibri" w:cs="Calibri" w:eastAsia="Calibri" w:hAnsi="Calibri"/>
                <w:sz w:val="16"/>
                <w:szCs w:val="16"/>
                <w:b w:val="1"/>
                <w:bCs w:val="1"/>
                <w:color w:val="auto"/>
              </w:rPr>
              <w:t>Descripton</w:t>
            </w:r>
          </w:p>
        </w:tc>
        <w:tc>
          <w:tcPr>
            <w:tcW w:w="1840" w:type="dxa"/>
            <w:vAlign w:val="bottom"/>
            <w:vMerge w:val="restart"/>
          </w:tcPr>
          <w:p>
            <w:pPr>
              <w:jc w:val="right"/>
              <w:ind w:right="580"/>
              <w:spacing w:after="0"/>
              <w:rPr>
                <w:sz w:val="20"/>
                <w:szCs w:val="20"/>
                <w:color w:val="auto"/>
              </w:rPr>
            </w:pPr>
            <w:r>
              <w:rPr>
                <w:rFonts w:ascii="Calibri" w:cs="Calibri" w:eastAsia="Calibri" w:hAnsi="Calibri"/>
                <w:sz w:val="16"/>
                <w:szCs w:val="16"/>
                <w:b w:val="1"/>
                <w:bCs w:val="1"/>
                <w:color w:val="auto"/>
              </w:rPr>
              <w:t>000’s</w:t>
            </w:r>
          </w:p>
        </w:tc>
        <w:tc>
          <w:tcPr>
            <w:tcW w:w="1440" w:type="dxa"/>
            <w:vAlign w:val="bottom"/>
            <w:gridSpan w:val="2"/>
            <w:vMerge w:val="restart"/>
          </w:tcPr>
          <w:p>
            <w:pPr>
              <w:ind w:left="740"/>
              <w:spacing w:after="0"/>
              <w:rPr>
                <w:sz w:val="20"/>
                <w:szCs w:val="20"/>
                <w:color w:val="auto"/>
              </w:rPr>
            </w:pPr>
            <w:r>
              <w:rPr>
                <w:rFonts w:ascii="Calibri" w:cs="Calibri" w:eastAsia="Calibri" w:hAnsi="Calibri"/>
                <w:sz w:val="16"/>
                <w:szCs w:val="16"/>
                <w:b w:val="1"/>
                <w:bCs w:val="1"/>
                <w:color w:val="auto"/>
              </w:rPr>
              <w:t>000’s</w:t>
            </w:r>
          </w:p>
        </w:tc>
        <w:tc>
          <w:tcPr>
            <w:tcW w:w="19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5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2080" w:type="dxa"/>
            <w:vAlign w:val="bottom"/>
            <w:gridSpan w:val="2"/>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960" w:type="dxa"/>
            <w:vAlign w:val="bottom"/>
          </w:tcPr>
          <w:p>
            <w:pPr>
              <w:jc w:val="right"/>
              <w:ind w:right="159"/>
              <w:spacing w:after="0"/>
              <w:rPr>
                <w:sz w:val="20"/>
                <w:szCs w:val="20"/>
                <w:color w:val="auto"/>
              </w:rPr>
            </w:pPr>
            <w:r>
              <w:rPr>
                <w:rFonts w:ascii="Calibri" w:cs="Calibri" w:eastAsia="Calibri" w:hAnsi="Calibri"/>
                <w:sz w:val="16"/>
                <w:szCs w:val="16"/>
                <w:b w:val="1"/>
                <w:bCs w:val="1"/>
                <w:color w:val="auto"/>
              </w:rPr>
              <w:t>Unobservable inputs</w:t>
            </w:r>
          </w:p>
        </w:tc>
        <w:tc>
          <w:tcPr>
            <w:tcW w:w="900" w:type="dxa"/>
            <w:vAlign w:val="bottom"/>
          </w:tcPr>
          <w:p>
            <w:pPr>
              <w:jc w:val="right"/>
              <w:spacing w:after="0" w:line="194" w:lineRule="exact"/>
              <w:rPr>
                <w:sz w:val="20"/>
                <w:szCs w:val="20"/>
                <w:color w:val="auto"/>
              </w:rPr>
            </w:pPr>
            <w:r>
              <w:rPr>
                <w:rFonts w:ascii="Calibri" w:cs="Calibri" w:eastAsia="Calibri" w:hAnsi="Calibri"/>
                <w:sz w:val="16"/>
                <w:szCs w:val="16"/>
                <w:b w:val="1"/>
                <w:bCs w:val="1"/>
                <w:color w:val="auto"/>
              </w:rPr>
              <w:t>inputs</w:t>
            </w:r>
          </w:p>
        </w:tc>
        <w:tc>
          <w:tcPr>
            <w:tcW w:w="2580" w:type="dxa"/>
            <w:vAlign w:val="bottom"/>
            <w:gridSpan w:val="2"/>
          </w:tcPr>
          <w:p>
            <w:pPr>
              <w:jc w:val="right"/>
              <w:ind w:right="100"/>
              <w:spacing w:after="0" w:line="194" w:lineRule="exact"/>
              <w:rPr>
                <w:sz w:val="20"/>
                <w:szCs w:val="20"/>
                <w:color w:val="auto"/>
              </w:rPr>
            </w:pPr>
            <w:r>
              <w:rPr>
                <w:rFonts w:ascii="Calibri" w:cs="Calibri" w:eastAsia="Calibri" w:hAnsi="Calibri"/>
                <w:sz w:val="16"/>
                <w:szCs w:val="16"/>
                <w:b w:val="1"/>
                <w:bCs w:val="1"/>
                <w:color w:val="auto"/>
              </w:rPr>
              <w:t>to fair value</w:t>
            </w:r>
          </w:p>
        </w:tc>
        <w:tc>
          <w:tcPr>
            <w:tcW w:w="0" w:type="dxa"/>
            <w:vAlign w:val="bottom"/>
          </w:tcPr>
          <w:p>
            <w:pPr>
              <w:spacing w:after="0"/>
              <w:rPr>
                <w:sz w:val="1"/>
                <w:szCs w:val="1"/>
                <w:color w:val="auto"/>
              </w:rPr>
            </w:pPr>
          </w:p>
        </w:tc>
      </w:tr>
      <w:tr>
        <w:trPr>
          <w:trHeight w:val="21"/>
        </w:trPr>
        <w:tc>
          <w:tcPr>
            <w:tcW w:w="20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2080" w:type="dxa"/>
            <w:vAlign w:val="bottom"/>
            <w:tcBorders>
              <w:top w:val="single" w:sz="8" w:color="auto"/>
            </w:tcBorders>
            <w:gridSpan w:val="2"/>
          </w:tcPr>
          <w:p>
            <w:pPr>
              <w:spacing w:after="0" w:line="144" w:lineRule="exact"/>
              <w:rPr>
                <w:sz w:val="20"/>
                <w:szCs w:val="20"/>
                <w:color w:val="auto"/>
              </w:rPr>
            </w:pPr>
            <w:r>
              <w:rPr>
                <w:rFonts w:ascii="Calibri" w:cs="Calibri" w:eastAsia="Calibri" w:hAnsi="Calibri"/>
                <w:sz w:val="15"/>
                <w:szCs w:val="15"/>
                <w:color w:val="auto"/>
              </w:rPr>
              <w:t>Rx Hybrid Instrument</w:t>
            </w:r>
          </w:p>
        </w:tc>
        <w:tc>
          <w:tcPr>
            <w:tcW w:w="1840" w:type="dxa"/>
            <w:vAlign w:val="bottom"/>
            <w:tcBorders>
              <w:top w:val="single" w:sz="8" w:color="auto"/>
            </w:tcBorders>
          </w:tcPr>
          <w:p>
            <w:pPr>
              <w:jc w:val="right"/>
              <w:ind w:right="580"/>
              <w:spacing w:after="0" w:line="144" w:lineRule="exact"/>
              <w:rPr>
                <w:sz w:val="20"/>
                <w:szCs w:val="20"/>
                <w:color w:val="auto"/>
              </w:rPr>
            </w:pPr>
            <w:r>
              <w:rPr>
                <w:rFonts w:ascii="Calibri" w:cs="Calibri" w:eastAsia="Calibri" w:hAnsi="Calibri"/>
                <w:sz w:val="15"/>
                <w:szCs w:val="15"/>
                <w:color w:val="auto"/>
              </w:rPr>
              <w:t>242</w:t>
            </w:r>
          </w:p>
        </w:tc>
        <w:tc>
          <w:tcPr>
            <w:tcW w:w="3400" w:type="dxa"/>
            <w:vAlign w:val="bottom"/>
            <w:tcBorders>
              <w:top w:val="single" w:sz="8" w:color="auto"/>
            </w:tcBorders>
            <w:gridSpan w:val="3"/>
          </w:tcPr>
          <w:p>
            <w:pPr>
              <w:jc w:val="right"/>
              <w:ind w:right="159"/>
              <w:spacing w:after="0" w:line="144" w:lineRule="exact"/>
              <w:rPr>
                <w:sz w:val="20"/>
                <w:szCs w:val="20"/>
                <w:color w:val="auto"/>
              </w:rPr>
            </w:pPr>
            <w:r>
              <w:rPr>
                <w:rFonts w:ascii="Calibri" w:cs="Calibri" w:eastAsia="Calibri" w:hAnsi="Calibri"/>
                <w:sz w:val="15"/>
                <w:szCs w:val="15"/>
                <w:color w:val="auto"/>
              </w:rPr>
              <w:t>—  Fair value interest rate of loan</w:t>
            </w:r>
          </w:p>
        </w:tc>
        <w:tc>
          <w:tcPr>
            <w:tcW w:w="900" w:type="dxa"/>
            <w:vAlign w:val="bottom"/>
            <w:tcBorders>
              <w:top w:val="single" w:sz="8" w:color="auto"/>
            </w:tcBorders>
          </w:tcPr>
          <w:p>
            <w:pPr>
              <w:jc w:val="right"/>
              <w:spacing w:after="0" w:line="144" w:lineRule="exact"/>
              <w:rPr>
                <w:sz w:val="20"/>
                <w:szCs w:val="20"/>
                <w:color w:val="auto"/>
              </w:rPr>
            </w:pPr>
            <w:r>
              <w:rPr>
                <w:rFonts w:ascii="Calibri" w:cs="Calibri" w:eastAsia="Calibri" w:hAnsi="Calibri"/>
                <w:sz w:val="15"/>
                <w:szCs w:val="15"/>
                <w:color w:val="auto"/>
              </w:rPr>
              <w:t>10%</w:t>
            </w:r>
          </w:p>
        </w:tc>
        <w:tc>
          <w:tcPr>
            <w:tcW w:w="2540" w:type="dxa"/>
            <w:vAlign w:val="bottom"/>
            <w:tcBorders>
              <w:top w:val="single" w:sz="8" w:color="auto"/>
            </w:tcBorders>
          </w:tcPr>
          <w:p>
            <w:pPr>
              <w:jc w:val="right"/>
              <w:spacing w:after="0" w:line="144" w:lineRule="exact"/>
              <w:rPr>
                <w:sz w:val="20"/>
                <w:szCs w:val="20"/>
                <w:color w:val="auto"/>
              </w:rPr>
            </w:pPr>
            <w:r>
              <w:rPr>
                <w:rFonts w:ascii="Calibri" w:cs="Calibri" w:eastAsia="Calibri" w:hAnsi="Calibri"/>
                <w:sz w:val="15"/>
                <w:szCs w:val="15"/>
                <w:color w:val="auto"/>
              </w:rPr>
              <w:t>Increase/decrease in the 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tcPr>
          <w:p>
            <w:pPr>
              <w:jc w:val="right"/>
              <w:ind w:right="159"/>
              <w:spacing w:after="0" w:line="171" w:lineRule="exact"/>
              <w:rPr>
                <w:sz w:val="20"/>
                <w:szCs w:val="20"/>
                <w:color w:val="auto"/>
              </w:rPr>
            </w:pPr>
            <w:r>
              <w:rPr>
                <w:rFonts w:ascii="Calibri" w:cs="Calibri" w:eastAsia="Calibri" w:hAnsi="Calibri"/>
                <w:sz w:val="16"/>
                <w:szCs w:val="16"/>
                <w:color w:val="auto"/>
              </w:rPr>
              <w:t>and conversion feature</w:t>
            </w:r>
          </w:p>
        </w:tc>
        <w:tc>
          <w:tcPr>
            <w:tcW w:w="900" w:type="dxa"/>
            <w:vAlign w:val="bottom"/>
          </w:tcPr>
          <w:p>
            <w:pPr>
              <w:spacing w:after="0"/>
              <w:rPr>
                <w:sz w:val="14"/>
                <w:szCs w:val="14"/>
                <w:color w:val="auto"/>
              </w:rPr>
            </w:pPr>
          </w:p>
        </w:tc>
        <w:tc>
          <w:tcPr>
            <w:tcW w:w="2580" w:type="dxa"/>
            <w:vAlign w:val="bottom"/>
            <w:gridSpan w:val="2"/>
          </w:tcPr>
          <w:p>
            <w:pPr>
              <w:jc w:val="right"/>
              <w:ind w:right="100"/>
              <w:spacing w:after="0" w:line="171" w:lineRule="exact"/>
              <w:rPr>
                <w:sz w:val="20"/>
                <w:szCs w:val="20"/>
                <w:color w:val="auto"/>
              </w:rPr>
            </w:pPr>
            <w:r>
              <w:rPr>
                <w:rFonts w:ascii="Calibri" w:cs="Calibri" w:eastAsia="Calibri" w:hAnsi="Calibri"/>
                <w:sz w:val="16"/>
                <w:szCs w:val="16"/>
                <w:color w:val="auto"/>
              </w:rPr>
              <w:t>rate by 1% would not have a material</w:t>
            </w:r>
          </w:p>
        </w:tc>
        <w:tc>
          <w:tcPr>
            <w:tcW w:w="0" w:type="dxa"/>
            <w:vAlign w:val="bottom"/>
          </w:tcPr>
          <w:p>
            <w:pPr>
              <w:spacing w:after="0"/>
              <w:rPr>
                <w:sz w:val="1"/>
                <w:szCs w:val="1"/>
                <w:color w:val="auto"/>
              </w:rPr>
            </w:pPr>
          </w:p>
        </w:tc>
      </w:tr>
      <w:tr>
        <w:trPr>
          <w:trHeight w:val="159"/>
        </w:trPr>
        <w:tc>
          <w:tcPr>
            <w:tcW w:w="1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80" w:type="dxa"/>
            <w:vAlign w:val="bottom"/>
            <w:gridSpan w:val="2"/>
          </w:tcPr>
          <w:p>
            <w:pPr>
              <w:jc w:val="right"/>
              <w:ind w:right="100"/>
              <w:spacing w:after="0" w:line="159" w:lineRule="exact"/>
              <w:rPr>
                <w:sz w:val="20"/>
                <w:szCs w:val="20"/>
                <w:color w:val="auto"/>
              </w:rPr>
            </w:pPr>
            <w:r>
              <w:rPr>
                <w:rFonts w:ascii="Calibri" w:cs="Calibri" w:eastAsia="Calibri" w:hAnsi="Calibri"/>
                <w:sz w:val="16"/>
                <w:szCs w:val="16"/>
                <w:color w:val="auto"/>
              </w:rPr>
              <w:t>efect on the fair value of the</w:t>
            </w:r>
          </w:p>
        </w:tc>
        <w:tc>
          <w:tcPr>
            <w:tcW w:w="0" w:type="dxa"/>
            <w:vAlign w:val="bottom"/>
          </w:tcPr>
          <w:p>
            <w:pPr>
              <w:spacing w:after="0"/>
              <w:rPr>
                <w:sz w:val="1"/>
                <w:szCs w:val="1"/>
                <w:color w:val="auto"/>
              </w:rPr>
            </w:pPr>
          </w:p>
        </w:tc>
      </w:tr>
      <w:tr>
        <w:trPr>
          <w:trHeight w:val="194"/>
        </w:trPr>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80" w:type="dxa"/>
            <w:vAlign w:val="bottom"/>
            <w:gridSpan w:val="2"/>
          </w:tcPr>
          <w:p>
            <w:pPr>
              <w:jc w:val="right"/>
              <w:ind w:right="100"/>
              <w:spacing w:after="0" w:line="194" w:lineRule="exact"/>
              <w:rPr>
                <w:sz w:val="20"/>
                <w:szCs w:val="20"/>
                <w:color w:val="auto"/>
              </w:rPr>
            </w:pPr>
            <w:r>
              <w:rPr>
                <w:rFonts w:ascii="Calibri" w:cs="Calibri" w:eastAsia="Calibri" w:hAnsi="Calibri"/>
                <w:sz w:val="16"/>
                <w:szCs w:val="16"/>
                <w:color w:val="auto"/>
              </w:rPr>
              <w:t>investment</w:t>
            </w:r>
          </w:p>
        </w:tc>
        <w:tc>
          <w:tcPr>
            <w:tcW w:w="0" w:type="dxa"/>
            <w:vAlign w:val="bottom"/>
          </w:tcPr>
          <w:p>
            <w:pPr>
              <w:spacing w:after="0"/>
              <w:rPr>
                <w:sz w:val="1"/>
                <w:szCs w:val="1"/>
                <w:color w:val="auto"/>
              </w:rPr>
            </w:pPr>
          </w:p>
        </w:tc>
      </w:tr>
      <w:tr>
        <w:trPr>
          <w:trHeight w:val="21"/>
        </w:trPr>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u w:val="single" w:color="auto"/>
          <w:color w:val="auto"/>
        </w:rPr>
        <w:t>Financial risk management</w:t>
      </w:r>
    </w:p>
    <w:p>
      <w:pPr>
        <w:spacing w:after="0" w:line="159"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color w:val="auto"/>
        </w:rPr>
        <w:t>Credit risk</w:t>
      </w:r>
    </w:p>
    <w:p>
      <w:pPr>
        <w:spacing w:after="0" w:line="172"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Credit risk is the risk that one party to a fnancial instrument will cause a fnancial loss for the other party by failing to discharge an obligaton. The Company’s cash is exposed to credit risk. The Company reduces its credit risk on cash by placing these instruments with insttutons of high credit worthiness. As at March 31, 2022, the Company’s maximum exposure to credit risk is the carrying value of its fnancial assets.</w:t>
      </w:r>
    </w:p>
    <w:p>
      <w:pPr>
        <w:spacing w:after="0" w:line="161"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color w:val="auto"/>
        </w:rPr>
        <w:t>Liquidity risk</w:t>
      </w:r>
    </w:p>
    <w:p>
      <w:pPr>
        <w:spacing w:after="0" w:line="160"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Liquidity risk is the risk that an entty will encounter difculty in raising funds to meet commitments associated with fnancial instruments. The Company manages liquidity by maintaining adequate cash balances to meet liabilites as they become due.</w:t>
      </w:r>
    </w:p>
    <w:p>
      <w:pPr>
        <w:spacing w:after="0" w:line="173" w:lineRule="exact"/>
        <w:rPr>
          <w:sz w:val="20"/>
          <w:szCs w:val="20"/>
          <w:color w:val="auto"/>
        </w:rPr>
      </w:pPr>
    </w:p>
    <w:p>
      <w:pPr>
        <w:jc w:val="both"/>
        <w:ind w:left="240" w:right="20"/>
        <w:spacing w:after="0" w:line="239" w:lineRule="auto"/>
        <w:rPr>
          <w:sz w:val="20"/>
          <w:szCs w:val="20"/>
          <w:color w:val="auto"/>
        </w:rPr>
      </w:pPr>
      <w:r>
        <w:rPr>
          <w:rFonts w:ascii="Calibri" w:cs="Calibri" w:eastAsia="Calibri" w:hAnsi="Calibri"/>
          <w:sz w:val="16"/>
          <w:szCs w:val="16"/>
          <w:color w:val="auto"/>
        </w:rPr>
        <w:t>As at March 31, 2022, the Company had cash of $53,641 (March 31, 2021 - $64,026) in order to meet current liabilites. Accounts payable and accrued liabilites include trade payables and other obligatons of $5,262 (March 31, 2021 - $2,793), all amounts are due within the next 12 months.</w:t>
      </w:r>
    </w:p>
    <w:p>
      <w:pPr>
        <w:spacing w:after="0" w:line="160"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color w:val="auto"/>
        </w:rPr>
        <w:t>Market risk</w:t>
      </w:r>
    </w:p>
    <w:p>
      <w:pPr>
        <w:spacing w:after="0" w:line="159"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The signifcant market risks to which the Company is exposed are interest rate risk and currency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49 of 53</w:t>
      </w:r>
    </w:p>
    <w:p>
      <w:pPr>
        <w:sectPr>
          <w:pgSz w:w="11900" w:h="16838" w:orient="portrait"/>
          <w:cols w:equalWidth="0" w:num="1">
            <w:col w:w="11200"/>
          </w:cols>
          <w:pgMar w:left="380" w:top="151" w:right="319" w:bottom="1440" w:gutter="0" w:footer="0" w:header="0"/>
        </w:sectPr>
      </w:pPr>
    </w:p>
    <w:bookmarkStart w:id="149" w:name="page150"/>
    <w:bookmarkEnd w:id="149"/>
    <w:p>
      <w:pPr>
        <w:ind w:left="60"/>
        <w:spacing w:after="0"/>
        <w:rPr>
          <w:sz w:val="20"/>
          <w:szCs w:val="20"/>
          <w:color w:val="auto"/>
        </w:rPr>
      </w:pPr>
      <w:r>
        <w:rPr>
          <w:rFonts w:ascii="Calibri" w:cs="Calibri" w:eastAsia="Calibri" w:hAnsi="Calibri"/>
          <w:sz w:val="20"/>
          <w:szCs w:val="20"/>
          <w:b w:val="1"/>
          <w:bCs w:val="1"/>
          <w:color w:val="auto"/>
        </w:rPr>
        <w:t>CYBIN INC.</w:t>
      </w:r>
    </w:p>
    <w:p>
      <w:pPr>
        <w:ind w:left="60"/>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0"/>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0"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714565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Calibri" w:cs="Calibri" w:eastAsia="Calibri" w:hAnsi="Calibri"/>
          <w:sz w:val="16"/>
          <w:szCs w:val="16"/>
          <w:i w:val="1"/>
          <w:iCs w:val="1"/>
          <w:u w:val="single" w:color="auto"/>
          <w:color w:val="auto"/>
        </w:rPr>
        <w:t>Interest rate risk</w:t>
      </w:r>
    </w:p>
    <w:p>
      <w:pPr>
        <w:spacing w:after="0" w:line="172" w:lineRule="exact"/>
        <w:rPr>
          <w:sz w:val="20"/>
          <w:szCs w:val="20"/>
          <w:color w:val="auto"/>
        </w:rPr>
      </w:pPr>
    </w:p>
    <w:p>
      <w:pPr>
        <w:jc w:val="both"/>
        <w:ind w:left="300" w:right="20"/>
        <w:spacing w:after="0" w:line="239" w:lineRule="auto"/>
        <w:rPr>
          <w:sz w:val="20"/>
          <w:szCs w:val="20"/>
          <w:color w:val="auto"/>
        </w:rPr>
      </w:pPr>
      <w:r>
        <w:rPr>
          <w:rFonts w:ascii="Calibri" w:cs="Calibri" w:eastAsia="Calibri" w:hAnsi="Calibri"/>
          <w:sz w:val="16"/>
          <w:szCs w:val="16"/>
          <w:color w:val="auto"/>
        </w:rPr>
        <w:t>Interest rate risk is the risk that the fair value or the future cash fows of a fnancial instrument will fuctuate because of changes in market interest rate. In seeking to minimize the risks from interest rate fuctuatons, the Company manages exposure through its normal operatng and fnancing actvites. As at March 31, 2022, the Company has determined its exposure to interest rate risk is minimal.</w:t>
      </w:r>
    </w:p>
    <w:p>
      <w:pPr>
        <w:spacing w:after="0" w:line="161" w:lineRule="exact"/>
        <w:rPr>
          <w:sz w:val="20"/>
          <w:szCs w:val="20"/>
          <w:color w:val="auto"/>
        </w:rPr>
      </w:pPr>
    </w:p>
    <w:p>
      <w:pPr>
        <w:ind w:left="300"/>
        <w:spacing w:after="0"/>
        <w:rPr>
          <w:sz w:val="20"/>
          <w:szCs w:val="20"/>
          <w:color w:val="auto"/>
        </w:rPr>
      </w:pPr>
      <w:r>
        <w:rPr>
          <w:rFonts w:ascii="Calibri" w:cs="Calibri" w:eastAsia="Calibri" w:hAnsi="Calibri"/>
          <w:sz w:val="16"/>
          <w:szCs w:val="16"/>
          <w:i w:val="1"/>
          <w:iCs w:val="1"/>
          <w:u w:val="single" w:color="auto"/>
          <w:color w:val="auto"/>
        </w:rPr>
        <w:t>Currency risk</w:t>
      </w:r>
    </w:p>
    <w:p>
      <w:pPr>
        <w:spacing w:after="0" w:line="160" w:lineRule="exact"/>
        <w:rPr>
          <w:sz w:val="20"/>
          <w:szCs w:val="20"/>
          <w:color w:val="auto"/>
        </w:rPr>
      </w:pPr>
    </w:p>
    <w:p>
      <w:pPr>
        <w:jc w:val="both"/>
        <w:ind w:left="300"/>
        <w:spacing w:after="0" w:line="239" w:lineRule="auto"/>
        <w:rPr>
          <w:sz w:val="20"/>
          <w:szCs w:val="20"/>
          <w:color w:val="auto"/>
        </w:rPr>
      </w:pPr>
      <w:r>
        <w:rPr>
          <w:rFonts w:ascii="Calibri" w:cs="Calibri" w:eastAsia="Calibri" w:hAnsi="Calibri"/>
          <w:sz w:val="16"/>
          <w:szCs w:val="16"/>
          <w:color w:val="auto"/>
        </w:rPr>
        <w:t>The Company is exposed to currency risk to the extent that monetary operatonal expenses are denominated in both CAD and USD while functonal currency of CAD in used for reportng. The Company has not entered into any foreign currency contracts to mitgate this risk.</w:t>
      </w:r>
    </w:p>
    <w:p>
      <w:pPr>
        <w:spacing w:after="0" w:line="172"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The Company had the following balances in monetary assets and monetary liabilites which are subject to fuctuaton against CAD:</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5180" w:type="dxa"/>
            <w:vAlign w:val="bottom"/>
          </w:tcPr>
          <w:p>
            <w:pPr>
              <w:ind w:left="4060"/>
              <w:spacing w:after="0"/>
              <w:rPr>
                <w:sz w:val="20"/>
                <w:szCs w:val="20"/>
                <w:color w:val="auto"/>
              </w:rPr>
            </w:pPr>
            <w:r>
              <w:rPr>
                <w:rFonts w:ascii="Calibri" w:cs="Calibri" w:eastAsia="Calibri" w:hAnsi="Calibri"/>
                <w:sz w:val="16"/>
                <w:szCs w:val="16"/>
                <w:b w:val="1"/>
                <w:bCs w:val="1"/>
                <w:color w:val="auto"/>
                <w:w w:val="98"/>
              </w:rPr>
              <w:t>Denominated in:</w:t>
            </w:r>
          </w:p>
        </w:tc>
        <w:tc>
          <w:tcPr>
            <w:tcW w:w="6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b w:val="1"/>
                <w:bCs w:val="1"/>
                <w:color w:val="auto"/>
              </w:rPr>
              <w:t>US$000’s</w:t>
            </w: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alibri" w:cs="Calibri" w:eastAsia="Calibri" w:hAnsi="Calibri"/>
                <w:sz w:val="16"/>
                <w:szCs w:val="16"/>
                <w:b w:val="1"/>
                <w:bCs w:val="1"/>
                <w:color w:val="auto"/>
              </w:rPr>
              <w:t>GBP 000’s</w:t>
            </w:r>
          </w:p>
        </w:tc>
        <w:tc>
          <w:tcPr>
            <w:tcW w:w="5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b w:val="1"/>
                <w:bCs w:val="1"/>
                <w:color w:val="auto"/>
              </w:rPr>
              <w:t>EUR 000’s</w:t>
            </w:r>
          </w:p>
        </w:tc>
      </w:tr>
      <w:tr>
        <w:trPr>
          <w:trHeight w:val="21"/>
        </w:trPr>
        <w:tc>
          <w:tcPr>
            <w:tcW w:w="5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6"/>
        </w:trPr>
        <w:tc>
          <w:tcPr>
            <w:tcW w:w="5180" w:type="dxa"/>
            <w:vAlign w:val="bottom"/>
          </w:tcPr>
          <w:p>
            <w:pPr>
              <w:spacing w:after="0" w:line="186" w:lineRule="exact"/>
              <w:rPr>
                <w:sz w:val="20"/>
                <w:szCs w:val="20"/>
                <w:color w:val="auto"/>
              </w:rPr>
            </w:pPr>
            <w:r>
              <w:rPr>
                <w:rFonts w:ascii="Calibri" w:cs="Calibri" w:eastAsia="Calibri" w:hAnsi="Calibri"/>
                <w:sz w:val="16"/>
                <w:szCs w:val="16"/>
                <w:color w:val="auto"/>
              </w:rPr>
              <w:t>Cash</w:t>
            </w:r>
          </w:p>
        </w:tc>
        <w:tc>
          <w:tcPr>
            <w:tcW w:w="620" w:type="dxa"/>
            <w:vAlign w:val="bottom"/>
          </w:tcPr>
          <w:p>
            <w:pPr>
              <w:spacing w:after="0"/>
              <w:rPr>
                <w:sz w:val="16"/>
                <w:szCs w:val="16"/>
                <w:color w:val="auto"/>
              </w:rPr>
            </w:pPr>
          </w:p>
        </w:tc>
        <w:tc>
          <w:tcPr>
            <w:tcW w:w="116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740</w:t>
            </w:r>
          </w:p>
        </w:tc>
        <w:tc>
          <w:tcPr>
            <w:tcW w:w="560" w:type="dxa"/>
            <w:vAlign w:val="bottom"/>
          </w:tcPr>
          <w:p>
            <w:pPr>
              <w:spacing w:after="0"/>
              <w:rPr>
                <w:sz w:val="16"/>
                <w:szCs w:val="16"/>
                <w:color w:val="auto"/>
              </w:rPr>
            </w:pPr>
          </w:p>
        </w:tc>
        <w:tc>
          <w:tcPr>
            <w:tcW w:w="120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485</w:t>
            </w:r>
          </w:p>
        </w:tc>
        <w:tc>
          <w:tcPr>
            <w:tcW w:w="58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386</w:t>
            </w:r>
          </w:p>
        </w:tc>
      </w:tr>
      <w:tr>
        <w:trPr>
          <w:trHeight w:val="200"/>
        </w:trPr>
        <w:tc>
          <w:tcPr>
            <w:tcW w:w="5180" w:type="dxa"/>
            <w:vAlign w:val="bottom"/>
          </w:tcPr>
          <w:p>
            <w:pPr>
              <w:spacing w:after="0"/>
              <w:rPr>
                <w:sz w:val="20"/>
                <w:szCs w:val="20"/>
                <w:color w:val="auto"/>
              </w:rPr>
            </w:pPr>
            <w:r>
              <w:rPr>
                <w:rFonts w:ascii="Calibri" w:cs="Calibri" w:eastAsia="Calibri" w:hAnsi="Calibri"/>
                <w:sz w:val="16"/>
                <w:szCs w:val="16"/>
                <w:color w:val="auto"/>
              </w:rPr>
              <w:t>Accounts payable and accrued liabilites</w:t>
            </w: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b w:val="1"/>
                <w:bCs w:val="1"/>
                <w:color w:val="auto"/>
              </w:rPr>
              <w:t>(78)</w:t>
            </w: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alibri" w:cs="Calibri" w:eastAsia="Calibri" w:hAnsi="Calibri"/>
                <w:sz w:val="16"/>
                <w:szCs w:val="16"/>
                <w:b w:val="1"/>
                <w:bCs w:val="1"/>
                <w:color w:val="auto"/>
              </w:rPr>
              <w:t>(29)</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1"/>
        </w:trPr>
        <w:tc>
          <w:tcPr>
            <w:tcW w:w="5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6"/>
        </w:trPr>
        <w:tc>
          <w:tcPr>
            <w:tcW w:w="5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662</w:t>
            </w:r>
          </w:p>
        </w:tc>
        <w:tc>
          <w:tcPr>
            <w:tcW w:w="560" w:type="dxa"/>
            <w:vAlign w:val="bottom"/>
          </w:tcPr>
          <w:p>
            <w:pPr>
              <w:spacing w:after="0"/>
              <w:rPr>
                <w:sz w:val="16"/>
                <w:szCs w:val="16"/>
                <w:color w:val="auto"/>
              </w:rPr>
            </w:pPr>
          </w:p>
        </w:tc>
        <w:tc>
          <w:tcPr>
            <w:tcW w:w="120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456</w:t>
            </w:r>
          </w:p>
        </w:tc>
        <w:tc>
          <w:tcPr>
            <w:tcW w:w="58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386</w:t>
            </w:r>
          </w:p>
        </w:tc>
      </w:tr>
      <w:tr>
        <w:trPr>
          <w:trHeight w:val="200"/>
        </w:trPr>
        <w:tc>
          <w:tcPr>
            <w:tcW w:w="5180" w:type="dxa"/>
            <w:vAlign w:val="bottom"/>
          </w:tcPr>
          <w:p>
            <w:pPr>
              <w:spacing w:after="0"/>
              <w:rPr>
                <w:sz w:val="20"/>
                <w:szCs w:val="20"/>
                <w:color w:val="auto"/>
              </w:rPr>
            </w:pPr>
            <w:r>
              <w:rPr>
                <w:rFonts w:ascii="Calibri" w:cs="Calibri" w:eastAsia="Calibri" w:hAnsi="Calibri"/>
                <w:sz w:val="16"/>
                <w:szCs w:val="16"/>
                <w:color w:val="auto"/>
              </w:rPr>
              <w:t>Foreign currency rate</w:t>
            </w: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1.2496</w:t>
            </w: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alibri" w:cs="Calibri" w:eastAsia="Calibri" w:hAnsi="Calibri"/>
                <w:sz w:val="16"/>
                <w:szCs w:val="16"/>
                <w:color w:val="auto"/>
              </w:rPr>
              <w:t>1.6417</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1.3853</w:t>
            </w:r>
          </w:p>
        </w:tc>
      </w:tr>
      <w:tr>
        <w:trPr>
          <w:trHeight w:val="21"/>
        </w:trPr>
        <w:tc>
          <w:tcPr>
            <w:tcW w:w="5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3"/>
        </w:trPr>
        <w:tc>
          <w:tcPr>
            <w:tcW w:w="5180" w:type="dxa"/>
            <w:vAlign w:val="bottom"/>
            <w:tcBorders>
              <w:bottom w:val="single" w:sz="8" w:color="auto"/>
            </w:tcBorders>
          </w:tcPr>
          <w:p>
            <w:pPr>
              <w:spacing w:after="0" w:line="193" w:lineRule="exact"/>
              <w:rPr>
                <w:sz w:val="20"/>
                <w:szCs w:val="20"/>
                <w:color w:val="auto"/>
              </w:rPr>
            </w:pPr>
            <w:r>
              <w:rPr>
                <w:rFonts w:ascii="Calibri" w:cs="Calibri" w:eastAsia="Calibri" w:hAnsi="Calibri"/>
                <w:sz w:val="16"/>
                <w:szCs w:val="16"/>
                <w:b w:val="1"/>
                <w:bCs w:val="1"/>
                <w:color w:val="auto"/>
              </w:rPr>
              <w:t>Equivalent in Canadian dollars</w:t>
            </w:r>
          </w:p>
        </w:tc>
        <w:tc>
          <w:tcPr>
            <w:tcW w:w="620" w:type="dxa"/>
            <w:vAlign w:val="bottom"/>
            <w:tcBorders>
              <w:bottom w:val="single" w:sz="8" w:color="auto"/>
            </w:tcBorders>
          </w:tcPr>
          <w:p>
            <w:pPr>
              <w:jc w:val="right"/>
              <w:ind w:right="439"/>
              <w:spacing w:after="0" w:line="193" w:lineRule="exact"/>
              <w:rPr>
                <w:sz w:val="20"/>
                <w:szCs w:val="20"/>
                <w:color w:val="auto"/>
              </w:rPr>
            </w:pPr>
            <w:r>
              <w:rPr>
                <w:rFonts w:ascii="Calibri" w:cs="Calibri" w:eastAsia="Calibri" w:hAnsi="Calibri"/>
                <w:sz w:val="16"/>
                <w:szCs w:val="16"/>
                <w:b w:val="1"/>
                <w:bCs w:val="1"/>
                <w:color w:val="auto"/>
                <w:w w:val="97"/>
              </w:rPr>
              <w:t>$</w:t>
            </w:r>
          </w:p>
        </w:tc>
        <w:tc>
          <w:tcPr>
            <w:tcW w:w="11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827</w:t>
            </w:r>
          </w:p>
        </w:tc>
        <w:tc>
          <w:tcPr>
            <w:tcW w:w="560" w:type="dxa"/>
            <w:vAlign w:val="bottom"/>
            <w:tcBorders>
              <w:bottom w:val="single" w:sz="8" w:color="auto"/>
            </w:tcBorders>
          </w:tcPr>
          <w:p>
            <w:pPr>
              <w:jc w:val="right"/>
              <w:ind w:right="379"/>
              <w:spacing w:after="0" w:line="193" w:lineRule="exact"/>
              <w:rPr>
                <w:sz w:val="20"/>
                <w:szCs w:val="20"/>
                <w:color w:val="auto"/>
              </w:rPr>
            </w:pPr>
            <w:r>
              <w:rPr>
                <w:rFonts w:ascii="Calibri" w:cs="Calibri" w:eastAsia="Calibri" w:hAnsi="Calibri"/>
                <w:sz w:val="16"/>
                <w:szCs w:val="16"/>
                <w:b w:val="1"/>
                <w:bCs w:val="1"/>
                <w:color w:val="auto"/>
                <w:w w:val="97"/>
              </w:rPr>
              <w:t>$</w:t>
            </w:r>
          </w:p>
        </w:tc>
        <w:tc>
          <w:tcPr>
            <w:tcW w:w="12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749</w:t>
            </w:r>
          </w:p>
        </w:tc>
        <w:tc>
          <w:tcPr>
            <w:tcW w:w="580" w:type="dxa"/>
            <w:vAlign w:val="bottom"/>
            <w:tcBorders>
              <w:bottom w:val="single" w:sz="8" w:color="auto"/>
            </w:tcBorders>
          </w:tcPr>
          <w:p>
            <w:pPr>
              <w:jc w:val="right"/>
              <w:ind w:right="399"/>
              <w:spacing w:after="0" w:line="193" w:lineRule="exact"/>
              <w:rPr>
                <w:sz w:val="20"/>
                <w:szCs w:val="20"/>
                <w:color w:val="auto"/>
              </w:rPr>
            </w:pPr>
            <w:r>
              <w:rPr>
                <w:rFonts w:ascii="Calibri" w:cs="Calibri" w:eastAsia="Calibri" w:hAnsi="Calibri"/>
                <w:sz w:val="16"/>
                <w:szCs w:val="16"/>
                <w:b w:val="1"/>
                <w:bCs w:val="1"/>
                <w:color w:val="auto"/>
                <w:w w:val="97"/>
              </w:rPr>
              <w:t>$</w:t>
            </w:r>
          </w:p>
        </w:tc>
        <w:tc>
          <w:tcPr>
            <w:tcW w:w="11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535</w:t>
            </w:r>
          </w:p>
        </w:tc>
      </w:tr>
      <w:tr>
        <w:trPr>
          <w:trHeight w:val="200"/>
        </w:trPr>
        <w:tc>
          <w:tcPr>
            <w:tcW w:w="5180" w:type="dxa"/>
            <w:vAlign w:val="bottom"/>
            <w:tcBorders>
              <w:bottom w:val="single" w:sz="8" w:color="auto"/>
            </w:tcBorders>
          </w:tcPr>
          <w:p>
            <w:pPr>
              <w:spacing w:after="0" w:line="194" w:lineRule="exact"/>
              <w:rPr>
                <w:sz w:val="20"/>
                <w:szCs w:val="20"/>
                <w:color w:val="auto"/>
              </w:rPr>
            </w:pPr>
            <w:r>
              <w:rPr>
                <w:rFonts w:ascii="Calibri" w:cs="Calibri" w:eastAsia="Calibri" w:hAnsi="Calibri"/>
                <w:sz w:val="16"/>
                <w:szCs w:val="16"/>
                <w:b w:val="1"/>
                <w:bCs w:val="1"/>
                <w:color w:val="auto"/>
              </w:rPr>
              <w:t>Impact of 10% change in foreign currency rate</w:t>
            </w:r>
          </w:p>
        </w:tc>
        <w:tc>
          <w:tcPr>
            <w:tcW w:w="620" w:type="dxa"/>
            <w:vAlign w:val="bottom"/>
            <w:tcBorders>
              <w:bottom w:val="single" w:sz="8" w:color="auto"/>
            </w:tcBorders>
          </w:tcPr>
          <w:p>
            <w:pPr>
              <w:jc w:val="right"/>
              <w:ind w:right="439"/>
              <w:spacing w:after="0" w:line="194" w:lineRule="exact"/>
              <w:rPr>
                <w:sz w:val="20"/>
                <w:szCs w:val="20"/>
                <w:color w:val="auto"/>
              </w:rPr>
            </w:pPr>
            <w:r>
              <w:rPr>
                <w:rFonts w:ascii="Calibri" w:cs="Calibri" w:eastAsia="Calibri" w:hAnsi="Calibri"/>
                <w:sz w:val="16"/>
                <w:szCs w:val="16"/>
                <w:b w:val="1"/>
                <w:bCs w:val="1"/>
                <w:color w:val="auto"/>
                <w:w w:val="97"/>
              </w:rPr>
              <w:t>$</w:t>
            </w:r>
          </w:p>
        </w:tc>
        <w:tc>
          <w:tcPr>
            <w:tcW w:w="1160" w:type="dxa"/>
            <w:vAlign w:val="bottom"/>
            <w:tcBorders>
              <w:bottom w:val="single" w:sz="8" w:color="auto"/>
            </w:tcBorders>
          </w:tcPr>
          <w:p>
            <w:pPr>
              <w:jc w:val="right"/>
              <w:spacing w:after="0" w:line="194" w:lineRule="exact"/>
              <w:rPr>
                <w:sz w:val="20"/>
                <w:szCs w:val="20"/>
                <w:color w:val="auto"/>
              </w:rPr>
            </w:pPr>
            <w:r>
              <w:rPr>
                <w:rFonts w:ascii="Calibri" w:cs="Calibri" w:eastAsia="Calibri" w:hAnsi="Calibri"/>
                <w:sz w:val="16"/>
                <w:szCs w:val="16"/>
                <w:b w:val="1"/>
                <w:bCs w:val="1"/>
                <w:color w:val="auto"/>
              </w:rPr>
              <w:t>83</w:t>
            </w:r>
          </w:p>
        </w:tc>
        <w:tc>
          <w:tcPr>
            <w:tcW w:w="560" w:type="dxa"/>
            <w:vAlign w:val="bottom"/>
            <w:tcBorders>
              <w:bottom w:val="single" w:sz="8" w:color="auto"/>
            </w:tcBorders>
          </w:tcPr>
          <w:p>
            <w:pPr>
              <w:jc w:val="right"/>
              <w:ind w:right="379"/>
              <w:spacing w:after="0" w:line="194" w:lineRule="exact"/>
              <w:rPr>
                <w:sz w:val="20"/>
                <w:szCs w:val="20"/>
                <w:color w:val="auto"/>
              </w:rPr>
            </w:pPr>
            <w:r>
              <w:rPr>
                <w:rFonts w:ascii="Calibri" w:cs="Calibri" w:eastAsia="Calibri" w:hAnsi="Calibri"/>
                <w:sz w:val="16"/>
                <w:szCs w:val="16"/>
                <w:b w:val="1"/>
                <w:bCs w:val="1"/>
                <w:color w:val="auto"/>
                <w:w w:val="97"/>
              </w:rPr>
              <w:t>$</w:t>
            </w:r>
          </w:p>
        </w:tc>
        <w:tc>
          <w:tcPr>
            <w:tcW w:w="1200" w:type="dxa"/>
            <w:vAlign w:val="bottom"/>
            <w:tcBorders>
              <w:bottom w:val="single" w:sz="8" w:color="auto"/>
            </w:tcBorders>
          </w:tcPr>
          <w:p>
            <w:pPr>
              <w:jc w:val="right"/>
              <w:spacing w:after="0" w:line="194" w:lineRule="exact"/>
              <w:rPr>
                <w:sz w:val="20"/>
                <w:szCs w:val="20"/>
                <w:color w:val="auto"/>
              </w:rPr>
            </w:pPr>
            <w:r>
              <w:rPr>
                <w:rFonts w:ascii="Calibri" w:cs="Calibri" w:eastAsia="Calibri" w:hAnsi="Calibri"/>
                <w:sz w:val="16"/>
                <w:szCs w:val="16"/>
                <w:b w:val="1"/>
                <w:bCs w:val="1"/>
                <w:color w:val="auto"/>
              </w:rPr>
              <w:t>75</w:t>
            </w:r>
          </w:p>
        </w:tc>
        <w:tc>
          <w:tcPr>
            <w:tcW w:w="580" w:type="dxa"/>
            <w:vAlign w:val="bottom"/>
            <w:tcBorders>
              <w:bottom w:val="single" w:sz="8" w:color="auto"/>
            </w:tcBorders>
          </w:tcPr>
          <w:p>
            <w:pPr>
              <w:jc w:val="right"/>
              <w:ind w:right="399"/>
              <w:spacing w:after="0" w:line="194" w:lineRule="exact"/>
              <w:rPr>
                <w:sz w:val="20"/>
                <w:szCs w:val="20"/>
                <w:color w:val="auto"/>
              </w:rPr>
            </w:pPr>
            <w:r>
              <w:rPr>
                <w:rFonts w:ascii="Calibri" w:cs="Calibri" w:eastAsia="Calibri" w:hAnsi="Calibri"/>
                <w:sz w:val="16"/>
                <w:szCs w:val="16"/>
                <w:b w:val="1"/>
                <w:bCs w:val="1"/>
                <w:color w:val="auto"/>
                <w:w w:val="97"/>
              </w:rPr>
              <w:t>$</w:t>
            </w:r>
          </w:p>
        </w:tc>
        <w:tc>
          <w:tcPr>
            <w:tcW w:w="1180" w:type="dxa"/>
            <w:vAlign w:val="bottom"/>
            <w:tcBorders>
              <w:bottom w:val="single" w:sz="8" w:color="auto"/>
            </w:tcBorders>
          </w:tcPr>
          <w:p>
            <w:pPr>
              <w:jc w:val="right"/>
              <w:spacing w:after="0" w:line="194" w:lineRule="exact"/>
              <w:rPr>
                <w:sz w:val="20"/>
                <w:szCs w:val="20"/>
                <w:color w:val="auto"/>
              </w:rPr>
            </w:pPr>
            <w:r>
              <w:rPr>
                <w:rFonts w:ascii="Calibri" w:cs="Calibri" w:eastAsia="Calibri" w:hAnsi="Calibri"/>
                <w:sz w:val="16"/>
                <w:szCs w:val="16"/>
                <w:b w:val="1"/>
                <w:bCs w:val="1"/>
                <w:color w:val="auto"/>
              </w:rPr>
              <w:t>54</w:t>
            </w:r>
          </w:p>
        </w:tc>
      </w:tr>
    </w:tbl>
    <w:p>
      <w:pPr>
        <w:spacing w:after="0" w:line="225" w:lineRule="exact"/>
        <w:rPr>
          <w:sz w:val="20"/>
          <w:szCs w:val="20"/>
          <w:color w:val="auto"/>
        </w:rPr>
      </w:pPr>
    </w:p>
    <w:p>
      <w:pPr>
        <w:ind w:left="300"/>
        <w:spacing w:after="0" w:line="239" w:lineRule="auto"/>
        <w:rPr>
          <w:sz w:val="20"/>
          <w:szCs w:val="20"/>
          <w:color w:val="auto"/>
        </w:rPr>
      </w:pPr>
      <w:r>
        <w:rPr>
          <w:rFonts w:ascii="Calibri" w:cs="Calibri" w:eastAsia="Calibri" w:hAnsi="Calibri"/>
          <w:sz w:val="16"/>
          <w:szCs w:val="16"/>
          <w:color w:val="auto"/>
        </w:rPr>
        <w:t>Based on the above net exposures as at March 31, 2022, and assuming that all other variables remain constant, a 10% change of the USD, GBP and EUR, against the CAD would impact net loss by approximately by $212.</w:t>
      </w:r>
    </w:p>
    <w:p>
      <w:pPr>
        <w:spacing w:after="0" w:line="160"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16.</w:t>
      </w:r>
      <w:r>
        <w:rPr>
          <w:sz w:val="20"/>
          <w:szCs w:val="20"/>
          <w:color w:val="auto"/>
        </w:rPr>
        <w:tab/>
      </w:r>
      <w:r>
        <w:rPr>
          <w:rFonts w:ascii="Calibri" w:cs="Calibri" w:eastAsia="Calibri" w:hAnsi="Calibri"/>
          <w:sz w:val="15"/>
          <w:szCs w:val="15"/>
          <w:b w:val="1"/>
          <w:bCs w:val="1"/>
          <w:color w:val="2D5F91"/>
        </w:rPr>
        <w:t>INCOME TAX</w:t>
      </w:r>
    </w:p>
    <w:p>
      <w:pPr>
        <w:spacing w:after="0" w:line="171"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Major items causing the Company’s income tax rate to difer from the Canadian statutory rate of approximately 26.50% are as follows: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5940" w:type="dxa"/>
            <w:vAlign w:val="bottom"/>
          </w:tcPr>
          <w:p>
            <w:pPr>
              <w:spacing w:after="0"/>
              <w:rPr>
                <w:sz w:val="16"/>
                <w:szCs w:val="16"/>
                <w:color w:val="auto"/>
              </w:rPr>
            </w:pPr>
          </w:p>
        </w:tc>
        <w:tc>
          <w:tcPr>
            <w:tcW w:w="4500" w:type="dxa"/>
            <w:vAlign w:val="bottom"/>
            <w:gridSpan w:val="2"/>
          </w:tcPr>
          <w:p>
            <w:pPr>
              <w:jc w:val="right"/>
              <w:spacing w:after="0"/>
              <w:rPr>
                <w:sz w:val="20"/>
                <w:szCs w:val="20"/>
                <w:color w:val="auto"/>
              </w:rPr>
            </w:pPr>
            <w:r>
              <w:rPr>
                <w:rFonts w:ascii="Calibri" w:cs="Calibri" w:eastAsia="Calibri" w:hAnsi="Calibri"/>
                <w:sz w:val="16"/>
                <w:szCs w:val="16"/>
                <w:b w:val="1"/>
                <w:bCs w:val="1"/>
                <w:color w:val="auto"/>
              </w:rPr>
              <w:t>Year ended March 31,</w:t>
            </w:r>
          </w:p>
        </w:tc>
      </w:tr>
      <w:tr>
        <w:trPr>
          <w:trHeight w:val="208"/>
        </w:trPr>
        <w:tc>
          <w:tcPr>
            <w:tcW w:w="5940" w:type="dxa"/>
            <w:vAlign w:val="bottom"/>
          </w:tcPr>
          <w:p>
            <w:pPr>
              <w:spacing w:after="0"/>
              <w:rPr>
                <w:sz w:val="18"/>
                <w:szCs w:val="18"/>
                <w:color w:val="auto"/>
              </w:rPr>
            </w:pPr>
          </w:p>
        </w:tc>
        <w:tc>
          <w:tcPr>
            <w:tcW w:w="35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2022</w:t>
            </w:r>
          </w:p>
        </w:tc>
        <w:tc>
          <w:tcPr>
            <w:tcW w:w="980" w:type="dxa"/>
            <w:vAlign w:val="bottom"/>
          </w:tcPr>
          <w:p>
            <w:pPr>
              <w:jc w:val="right"/>
              <w:spacing w:after="0"/>
              <w:rPr>
                <w:sz w:val="20"/>
                <w:szCs w:val="20"/>
                <w:color w:val="auto"/>
              </w:rPr>
            </w:pPr>
            <w:r>
              <w:rPr>
                <w:rFonts w:ascii="Calibri" w:cs="Calibri" w:eastAsia="Calibri" w:hAnsi="Calibri"/>
                <w:sz w:val="16"/>
                <w:szCs w:val="16"/>
                <w:b w:val="1"/>
                <w:bCs w:val="1"/>
                <w:color w:val="auto"/>
              </w:rPr>
              <w:t>2021</w:t>
            </w:r>
          </w:p>
        </w:tc>
      </w:tr>
      <w:tr>
        <w:trPr>
          <w:trHeight w:val="21"/>
        </w:trPr>
        <w:tc>
          <w:tcPr>
            <w:tcW w:w="594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3"/>
        </w:trPr>
        <w:tc>
          <w:tcPr>
            <w:tcW w:w="5940" w:type="dxa"/>
            <w:vAlign w:val="bottom"/>
            <w:tcBorders>
              <w:bottom w:val="single" w:sz="8" w:color="auto"/>
            </w:tcBorders>
          </w:tcPr>
          <w:p>
            <w:pPr>
              <w:spacing w:after="0" w:line="193" w:lineRule="exact"/>
              <w:rPr>
                <w:sz w:val="20"/>
                <w:szCs w:val="20"/>
                <w:color w:val="auto"/>
              </w:rPr>
            </w:pPr>
            <w:r>
              <w:rPr>
                <w:rFonts w:ascii="Calibri" w:cs="Calibri" w:eastAsia="Calibri" w:hAnsi="Calibri"/>
                <w:sz w:val="16"/>
                <w:szCs w:val="16"/>
                <w:color w:val="auto"/>
              </w:rPr>
              <w:t>Net loss and comprehensive loss before income taxes</w:t>
            </w:r>
          </w:p>
        </w:tc>
        <w:tc>
          <w:tcPr>
            <w:tcW w:w="3520" w:type="dxa"/>
            <w:vAlign w:val="bottom"/>
            <w:tcBorders>
              <w:bottom w:val="single" w:sz="8" w:color="auto"/>
            </w:tcBorders>
          </w:tcPr>
          <w:p>
            <w:pPr>
              <w:jc w:val="right"/>
              <w:ind w:right="379"/>
              <w:spacing w:after="0" w:line="193" w:lineRule="exact"/>
              <w:rPr>
                <w:sz w:val="20"/>
                <w:szCs w:val="20"/>
                <w:color w:val="auto"/>
              </w:rPr>
            </w:pPr>
            <w:r>
              <w:rPr>
                <w:rFonts w:ascii="Calibri" w:cs="Calibri" w:eastAsia="Calibri" w:hAnsi="Calibri"/>
                <w:sz w:val="16"/>
                <w:szCs w:val="16"/>
                <w:b w:val="1"/>
                <w:bCs w:val="1"/>
                <w:color w:val="auto"/>
              </w:rPr>
              <w:t>67,631</w:t>
            </w:r>
          </w:p>
        </w:tc>
        <w:tc>
          <w:tcPr>
            <w:tcW w:w="9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32,220</w:t>
            </w:r>
          </w:p>
        </w:tc>
      </w:tr>
      <w:tr>
        <w:trPr>
          <w:trHeight w:val="369"/>
        </w:trPr>
        <w:tc>
          <w:tcPr>
            <w:tcW w:w="5940" w:type="dxa"/>
            <w:vAlign w:val="bottom"/>
          </w:tcPr>
          <w:p>
            <w:pPr>
              <w:spacing w:after="0"/>
              <w:rPr>
                <w:sz w:val="20"/>
                <w:szCs w:val="20"/>
                <w:color w:val="auto"/>
              </w:rPr>
            </w:pPr>
            <w:r>
              <w:rPr>
                <w:rFonts w:ascii="Calibri" w:cs="Calibri" w:eastAsia="Calibri" w:hAnsi="Calibri"/>
                <w:sz w:val="16"/>
                <w:szCs w:val="16"/>
                <w:color w:val="auto"/>
              </w:rPr>
              <w:t>Expected recovery at statutory rate</w:t>
            </w:r>
          </w:p>
        </w:tc>
        <w:tc>
          <w:tcPr>
            <w:tcW w:w="35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17,922</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8,538</w:t>
            </w:r>
          </w:p>
        </w:tc>
      </w:tr>
      <w:tr>
        <w:trPr>
          <w:trHeight w:val="208"/>
        </w:trPr>
        <w:tc>
          <w:tcPr>
            <w:tcW w:w="5940" w:type="dxa"/>
            <w:vAlign w:val="bottom"/>
          </w:tcPr>
          <w:p>
            <w:pPr>
              <w:spacing w:after="0"/>
              <w:rPr>
                <w:sz w:val="20"/>
                <w:szCs w:val="20"/>
                <w:color w:val="auto"/>
              </w:rPr>
            </w:pPr>
            <w:r>
              <w:rPr>
                <w:rFonts w:ascii="Calibri" w:cs="Calibri" w:eastAsia="Calibri" w:hAnsi="Calibri"/>
                <w:sz w:val="16"/>
                <w:szCs w:val="16"/>
                <w:color w:val="auto"/>
              </w:rPr>
              <w:t>Share-based compensaton</w:t>
            </w:r>
          </w:p>
        </w:tc>
        <w:tc>
          <w:tcPr>
            <w:tcW w:w="35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(4,778)</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(3,099)</w:t>
            </w:r>
          </w:p>
        </w:tc>
      </w:tr>
      <w:tr>
        <w:trPr>
          <w:trHeight w:val="208"/>
        </w:trPr>
        <w:tc>
          <w:tcPr>
            <w:tcW w:w="5940" w:type="dxa"/>
            <w:vAlign w:val="bottom"/>
          </w:tcPr>
          <w:p>
            <w:pPr>
              <w:spacing w:after="0"/>
              <w:rPr>
                <w:sz w:val="20"/>
                <w:szCs w:val="20"/>
                <w:color w:val="auto"/>
              </w:rPr>
            </w:pPr>
            <w:r>
              <w:rPr>
                <w:rFonts w:ascii="Calibri" w:cs="Calibri" w:eastAsia="Calibri" w:hAnsi="Calibri"/>
                <w:sz w:val="16"/>
                <w:szCs w:val="16"/>
                <w:color w:val="auto"/>
              </w:rPr>
              <w:t>Share issuance costs</w:t>
            </w:r>
          </w:p>
        </w:tc>
        <w:tc>
          <w:tcPr>
            <w:tcW w:w="35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794</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1,324</w:t>
            </w:r>
          </w:p>
        </w:tc>
      </w:tr>
      <w:tr>
        <w:trPr>
          <w:trHeight w:val="208"/>
        </w:trPr>
        <w:tc>
          <w:tcPr>
            <w:tcW w:w="5940" w:type="dxa"/>
            <w:vAlign w:val="bottom"/>
          </w:tcPr>
          <w:p>
            <w:pPr>
              <w:spacing w:after="0"/>
              <w:rPr>
                <w:sz w:val="20"/>
                <w:szCs w:val="20"/>
                <w:color w:val="auto"/>
              </w:rPr>
            </w:pPr>
            <w:r>
              <w:rPr>
                <w:rFonts w:ascii="Calibri" w:cs="Calibri" w:eastAsia="Calibri" w:hAnsi="Calibri"/>
                <w:sz w:val="16"/>
                <w:szCs w:val="16"/>
                <w:color w:val="auto"/>
              </w:rPr>
              <w:t>Diference between Canadian and foreign tax rates</w:t>
            </w:r>
          </w:p>
        </w:tc>
        <w:tc>
          <w:tcPr>
            <w:tcW w:w="35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(1,414)</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(97)</w:t>
            </w:r>
          </w:p>
        </w:tc>
      </w:tr>
      <w:tr>
        <w:trPr>
          <w:trHeight w:val="208"/>
        </w:trPr>
        <w:tc>
          <w:tcPr>
            <w:tcW w:w="5940" w:type="dxa"/>
            <w:vAlign w:val="bottom"/>
          </w:tcPr>
          <w:p>
            <w:pPr>
              <w:spacing w:after="0"/>
              <w:rPr>
                <w:sz w:val="20"/>
                <w:szCs w:val="20"/>
                <w:color w:val="auto"/>
              </w:rPr>
            </w:pPr>
            <w:r>
              <w:rPr>
                <w:rFonts w:ascii="Calibri" w:cs="Calibri" w:eastAsia="Calibri" w:hAnsi="Calibri"/>
                <w:sz w:val="16"/>
                <w:szCs w:val="16"/>
                <w:color w:val="auto"/>
              </w:rPr>
              <w:t>Non-deductble expenses</w:t>
            </w:r>
          </w:p>
        </w:tc>
        <w:tc>
          <w:tcPr>
            <w:tcW w:w="35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(1,242)</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(40)</w:t>
            </w:r>
          </w:p>
        </w:tc>
      </w:tr>
      <w:tr>
        <w:trPr>
          <w:trHeight w:val="208"/>
        </w:trPr>
        <w:tc>
          <w:tcPr>
            <w:tcW w:w="5940" w:type="dxa"/>
            <w:vAlign w:val="bottom"/>
          </w:tcPr>
          <w:p>
            <w:pPr>
              <w:spacing w:after="0"/>
              <w:rPr>
                <w:sz w:val="20"/>
                <w:szCs w:val="20"/>
                <w:color w:val="auto"/>
              </w:rPr>
            </w:pPr>
            <w:r>
              <w:rPr>
                <w:rFonts w:ascii="Calibri" w:cs="Calibri" w:eastAsia="Calibri" w:hAnsi="Calibri"/>
                <w:sz w:val="16"/>
                <w:szCs w:val="16"/>
                <w:color w:val="auto"/>
              </w:rPr>
              <w:t>Change in unrecognized deferred tax assets</w:t>
            </w:r>
          </w:p>
        </w:tc>
        <w:tc>
          <w:tcPr>
            <w:tcW w:w="352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(11,282)</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(6,626)</w:t>
            </w:r>
          </w:p>
        </w:tc>
      </w:tr>
      <w:tr>
        <w:trPr>
          <w:trHeight w:val="21"/>
        </w:trPr>
        <w:tc>
          <w:tcPr>
            <w:tcW w:w="594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3"/>
        </w:trPr>
        <w:tc>
          <w:tcPr>
            <w:tcW w:w="5940" w:type="dxa"/>
            <w:vAlign w:val="bottom"/>
            <w:tcBorders>
              <w:bottom w:val="single" w:sz="8" w:color="auto"/>
            </w:tcBorders>
          </w:tcPr>
          <w:p>
            <w:pPr>
              <w:spacing w:after="0" w:line="193" w:lineRule="exact"/>
              <w:rPr>
                <w:sz w:val="20"/>
                <w:szCs w:val="20"/>
                <w:color w:val="auto"/>
              </w:rPr>
            </w:pPr>
            <w:r>
              <w:rPr>
                <w:rFonts w:ascii="Calibri" w:cs="Calibri" w:eastAsia="Calibri" w:hAnsi="Calibri"/>
                <w:sz w:val="16"/>
                <w:szCs w:val="16"/>
                <w:b w:val="1"/>
                <w:bCs w:val="1"/>
                <w:color w:val="auto"/>
              </w:rPr>
              <w:t>Income tax recovery</w:t>
            </w:r>
          </w:p>
        </w:tc>
        <w:tc>
          <w:tcPr>
            <w:tcW w:w="3520" w:type="dxa"/>
            <w:vAlign w:val="bottom"/>
            <w:tcBorders>
              <w:bottom w:val="single" w:sz="8" w:color="auto"/>
            </w:tcBorders>
          </w:tcPr>
          <w:p>
            <w:pPr>
              <w:jc w:val="right"/>
              <w:ind w:right="379"/>
              <w:spacing w:after="0" w:line="193" w:lineRule="exact"/>
              <w:rPr>
                <w:sz w:val="20"/>
                <w:szCs w:val="20"/>
                <w:color w:val="auto"/>
              </w:rPr>
            </w:pPr>
            <w:r>
              <w:rPr>
                <w:rFonts w:ascii="Calibri" w:cs="Calibri" w:eastAsia="Calibri" w:hAnsi="Calibri"/>
                <w:sz w:val="16"/>
                <w:szCs w:val="16"/>
                <w:b w:val="1"/>
                <w:bCs w:val="1"/>
                <w:color w:val="auto"/>
              </w:rPr>
              <w:t>—</w:t>
            </w:r>
          </w:p>
        </w:tc>
        <w:tc>
          <w:tcPr>
            <w:tcW w:w="9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50 of 53</w:t>
      </w:r>
    </w:p>
    <w:p>
      <w:pPr>
        <w:sectPr>
          <w:pgSz w:w="11900" w:h="16838" w:orient="portrait"/>
          <w:cols w:equalWidth="0" w:num="1">
            <w:col w:w="11260"/>
          </w:cols>
          <w:pgMar w:left="320" w:top="151" w:right="319" w:bottom="1440" w:gutter="0" w:footer="0" w:header="0"/>
        </w:sectPr>
      </w:pPr>
    </w:p>
    <w:bookmarkStart w:id="150" w:name="page151"/>
    <w:bookmarkEnd w:id="150"/>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4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The signifcant components of the Company’s deferred tax assets, resultng from temporary diferences, unused tax credits and unused tax losses, that have not been included on the consolidated statements of fnancial positon, are as follows:</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4780" w:type="dxa"/>
            <w:vAlign w:val="bottom"/>
          </w:tcPr>
          <w:p>
            <w:pPr>
              <w:spacing w:after="0"/>
              <w:rPr>
                <w:sz w:val="20"/>
                <w:szCs w:val="20"/>
                <w:color w:val="auto"/>
              </w:rPr>
            </w:pPr>
            <w:r>
              <w:rPr>
                <w:rFonts w:ascii="Calibri" w:cs="Calibri" w:eastAsia="Calibri" w:hAnsi="Calibri"/>
                <w:sz w:val="16"/>
                <w:szCs w:val="16"/>
                <w:b w:val="1"/>
                <w:bCs w:val="1"/>
                <w:color w:val="auto"/>
              </w:rPr>
              <w:t>As at</w:t>
            </w:r>
          </w:p>
        </w:tc>
        <w:tc>
          <w:tcPr>
            <w:tcW w:w="428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March 31, 2022</w:t>
            </w:r>
          </w:p>
        </w:tc>
        <w:tc>
          <w:tcPr>
            <w:tcW w:w="152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2021</w:t>
            </w: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6"/>
        </w:trPr>
        <w:tc>
          <w:tcPr>
            <w:tcW w:w="4780" w:type="dxa"/>
            <w:vAlign w:val="bottom"/>
          </w:tcPr>
          <w:p>
            <w:pPr>
              <w:spacing w:after="0" w:line="186" w:lineRule="exact"/>
              <w:rPr>
                <w:sz w:val="20"/>
                <w:szCs w:val="20"/>
                <w:color w:val="auto"/>
              </w:rPr>
            </w:pPr>
            <w:r>
              <w:rPr>
                <w:rFonts w:ascii="Calibri" w:cs="Calibri" w:eastAsia="Calibri" w:hAnsi="Calibri"/>
                <w:sz w:val="16"/>
                <w:szCs w:val="16"/>
                <w:color w:val="auto"/>
              </w:rPr>
              <w:t>Non-capital loss carryforwards</w:t>
            </w:r>
          </w:p>
        </w:tc>
        <w:tc>
          <w:tcPr>
            <w:tcW w:w="4280" w:type="dxa"/>
            <w:vAlign w:val="bottom"/>
          </w:tcPr>
          <w:p>
            <w:pPr>
              <w:jc w:val="right"/>
              <w:ind w:right="339"/>
              <w:spacing w:after="0" w:line="186" w:lineRule="exact"/>
              <w:rPr>
                <w:sz w:val="20"/>
                <w:szCs w:val="20"/>
                <w:color w:val="auto"/>
              </w:rPr>
            </w:pPr>
            <w:r>
              <w:rPr>
                <w:rFonts w:ascii="Calibri" w:cs="Calibri" w:eastAsia="Calibri" w:hAnsi="Calibri"/>
                <w:sz w:val="16"/>
                <w:szCs w:val="16"/>
                <w:b w:val="1"/>
                <w:bCs w:val="1"/>
                <w:color w:val="auto"/>
              </w:rPr>
              <w:t>16,307</w:t>
            </w:r>
          </w:p>
        </w:tc>
        <w:tc>
          <w:tcPr>
            <w:tcW w:w="1520" w:type="dxa"/>
            <w:vAlign w:val="bottom"/>
          </w:tcPr>
          <w:p>
            <w:pPr>
              <w:jc w:val="right"/>
              <w:spacing w:after="0" w:line="186" w:lineRule="exact"/>
              <w:rPr>
                <w:sz w:val="20"/>
                <w:szCs w:val="20"/>
                <w:color w:val="auto"/>
              </w:rPr>
            </w:pPr>
            <w:r>
              <w:rPr>
                <w:rFonts w:ascii="Calibri" w:cs="Calibri" w:eastAsia="Calibri" w:hAnsi="Calibri"/>
                <w:sz w:val="16"/>
                <w:szCs w:val="16"/>
                <w:color w:val="auto"/>
              </w:rPr>
              <w:t>5,660</w:t>
            </w:r>
          </w:p>
        </w:tc>
      </w:tr>
      <w:tr>
        <w:trPr>
          <w:trHeight w:val="200"/>
        </w:trPr>
        <w:tc>
          <w:tcPr>
            <w:tcW w:w="4780" w:type="dxa"/>
            <w:vAlign w:val="bottom"/>
          </w:tcPr>
          <w:p>
            <w:pPr>
              <w:spacing w:after="0"/>
              <w:rPr>
                <w:sz w:val="20"/>
                <w:szCs w:val="20"/>
                <w:color w:val="auto"/>
              </w:rPr>
            </w:pPr>
            <w:r>
              <w:rPr>
                <w:rFonts w:ascii="Calibri" w:cs="Calibri" w:eastAsia="Calibri" w:hAnsi="Calibri"/>
                <w:sz w:val="16"/>
                <w:szCs w:val="16"/>
                <w:color w:val="auto"/>
              </w:rPr>
              <w:t>Share issuance costs</w:t>
            </w:r>
          </w:p>
        </w:tc>
        <w:tc>
          <w:tcPr>
            <w:tcW w:w="428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1,526</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1,126</w:t>
            </w:r>
          </w:p>
        </w:tc>
      </w:tr>
      <w:tr>
        <w:trPr>
          <w:trHeight w:val="208"/>
        </w:trPr>
        <w:tc>
          <w:tcPr>
            <w:tcW w:w="4780" w:type="dxa"/>
            <w:vAlign w:val="bottom"/>
          </w:tcPr>
          <w:p>
            <w:pPr>
              <w:spacing w:after="0"/>
              <w:rPr>
                <w:sz w:val="20"/>
                <w:szCs w:val="20"/>
                <w:color w:val="auto"/>
              </w:rPr>
            </w:pPr>
            <w:r>
              <w:rPr>
                <w:rFonts w:ascii="Calibri" w:cs="Calibri" w:eastAsia="Calibri" w:hAnsi="Calibri"/>
                <w:sz w:val="16"/>
                <w:szCs w:val="16"/>
                <w:color w:val="auto"/>
              </w:rPr>
              <w:t>Depreciaton/CCA diferences</w:t>
            </w:r>
          </w:p>
        </w:tc>
        <w:tc>
          <w:tcPr>
            <w:tcW w:w="428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227</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12</w:t>
            </w:r>
          </w:p>
        </w:tc>
      </w:tr>
      <w:tr>
        <w:trPr>
          <w:trHeight w:val="208"/>
        </w:trPr>
        <w:tc>
          <w:tcPr>
            <w:tcW w:w="4780" w:type="dxa"/>
            <w:vAlign w:val="bottom"/>
          </w:tcPr>
          <w:p>
            <w:pPr>
              <w:spacing w:after="0"/>
              <w:rPr>
                <w:sz w:val="20"/>
                <w:szCs w:val="20"/>
                <w:color w:val="auto"/>
              </w:rPr>
            </w:pPr>
            <w:r>
              <w:rPr>
                <w:rFonts w:ascii="Calibri" w:cs="Calibri" w:eastAsia="Calibri" w:hAnsi="Calibri"/>
                <w:sz w:val="16"/>
                <w:szCs w:val="16"/>
                <w:color w:val="auto"/>
              </w:rPr>
              <w:t>Other</w:t>
            </w:r>
          </w:p>
        </w:tc>
        <w:tc>
          <w:tcPr>
            <w:tcW w:w="428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43</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23</w:t>
            </w: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6"/>
        </w:trPr>
        <w:tc>
          <w:tcPr>
            <w:tcW w:w="4780" w:type="dxa"/>
            <w:vAlign w:val="bottom"/>
          </w:tcPr>
          <w:p>
            <w:pPr>
              <w:spacing w:after="0"/>
              <w:rPr>
                <w:sz w:val="16"/>
                <w:szCs w:val="16"/>
                <w:color w:val="auto"/>
              </w:rPr>
            </w:pPr>
          </w:p>
        </w:tc>
        <w:tc>
          <w:tcPr>
            <w:tcW w:w="4280" w:type="dxa"/>
            <w:vAlign w:val="bottom"/>
          </w:tcPr>
          <w:p>
            <w:pPr>
              <w:jc w:val="right"/>
              <w:ind w:right="339"/>
              <w:spacing w:after="0" w:line="186" w:lineRule="exact"/>
              <w:rPr>
                <w:sz w:val="20"/>
                <w:szCs w:val="20"/>
                <w:color w:val="auto"/>
              </w:rPr>
            </w:pPr>
            <w:r>
              <w:rPr>
                <w:rFonts w:ascii="Calibri" w:cs="Calibri" w:eastAsia="Calibri" w:hAnsi="Calibri"/>
                <w:sz w:val="16"/>
                <w:szCs w:val="16"/>
                <w:b w:val="1"/>
                <w:bCs w:val="1"/>
                <w:color w:val="auto"/>
              </w:rPr>
              <w:t>18,103</w:t>
            </w:r>
          </w:p>
        </w:tc>
        <w:tc>
          <w:tcPr>
            <w:tcW w:w="1520" w:type="dxa"/>
            <w:vAlign w:val="bottom"/>
          </w:tcPr>
          <w:p>
            <w:pPr>
              <w:jc w:val="right"/>
              <w:spacing w:after="0" w:line="186" w:lineRule="exact"/>
              <w:rPr>
                <w:sz w:val="20"/>
                <w:szCs w:val="20"/>
                <w:color w:val="auto"/>
              </w:rPr>
            </w:pPr>
            <w:r>
              <w:rPr>
                <w:rFonts w:ascii="Calibri" w:cs="Calibri" w:eastAsia="Calibri" w:hAnsi="Calibri"/>
                <w:sz w:val="16"/>
                <w:szCs w:val="16"/>
                <w:color w:val="auto"/>
              </w:rPr>
              <w:t>6,821</w:t>
            </w:r>
          </w:p>
        </w:tc>
      </w:tr>
      <w:tr>
        <w:trPr>
          <w:trHeight w:val="200"/>
        </w:trPr>
        <w:tc>
          <w:tcPr>
            <w:tcW w:w="4780" w:type="dxa"/>
            <w:vAlign w:val="bottom"/>
          </w:tcPr>
          <w:p>
            <w:pPr>
              <w:spacing w:after="0"/>
              <w:rPr>
                <w:sz w:val="20"/>
                <w:szCs w:val="20"/>
                <w:color w:val="auto"/>
              </w:rPr>
            </w:pPr>
            <w:r>
              <w:rPr>
                <w:rFonts w:ascii="Calibri" w:cs="Calibri" w:eastAsia="Calibri" w:hAnsi="Calibri"/>
                <w:sz w:val="16"/>
                <w:szCs w:val="16"/>
                <w:color w:val="auto"/>
              </w:rPr>
              <w:t>Valuaton allowance</w:t>
            </w:r>
          </w:p>
        </w:tc>
        <w:tc>
          <w:tcPr>
            <w:tcW w:w="428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(18,103)</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(6,821)</w:t>
            </w: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3"/>
        </w:trPr>
        <w:tc>
          <w:tcPr>
            <w:tcW w:w="478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tcPr>
          <w:p>
            <w:pPr>
              <w:jc w:val="right"/>
              <w:ind w:right="339"/>
              <w:spacing w:after="0" w:line="193" w:lineRule="exact"/>
              <w:rPr>
                <w:sz w:val="20"/>
                <w:szCs w:val="20"/>
                <w:color w:val="auto"/>
              </w:rPr>
            </w:pPr>
            <w:r>
              <w:rPr>
                <w:rFonts w:ascii="Calibri" w:cs="Calibri" w:eastAsia="Calibri" w:hAnsi="Calibri"/>
                <w:sz w:val="16"/>
                <w:szCs w:val="16"/>
                <w:b w:val="1"/>
                <w:bCs w:val="1"/>
                <w:color w:val="auto"/>
              </w:rPr>
              <w:t>—</w:t>
            </w:r>
          </w:p>
        </w:tc>
        <w:tc>
          <w:tcPr>
            <w:tcW w:w="15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w:t>
            </w:r>
          </w:p>
        </w:tc>
      </w:tr>
    </w:tbl>
    <w:p>
      <w:pPr>
        <w:spacing w:after="0" w:line="225"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These deferred tax assets have not been recognized because it is not probable that future taxable proft will be available against which the Company will be able to use these potental benefts.</w:t>
      </w:r>
    </w:p>
    <w:p>
      <w:pPr>
        <w:spacing w:after="0" w:line="160"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color w:val="auto"/>
        </w:rPr>
        <w:t>Non-capital loss balance</w:t>
      </w:r>
    </w:p>
    <w:p>
      <w:pPr>
        <w:spacing w:after="0" w:line="160"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As at March 31, 2022, the Company has non-capital losses in Canada, which under certain circumstances can be used to reduce the taxable income of future years. The non-capital losses expire as follows:</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5460" w:type="dxa"/>
            <w:vAlign w:val="bottom"/>
          </w:tcPr>
          <w:p>
            <w:pPr>
              <w:spacing w:after="0"/>
              <w:rPr>
                <w:sz w:val="20"/>
                <w:szCs w:val="20"/>
                <w:color w:val="auto"/>
              </w:rPr>
            </w:pPr>
            <w:r>
              <w:rPr>
                <w:rFonts w:ascii="Calibri" w:cs="Calibri" w:eastAsia="Calibri" w:hAnsi="Calibri"/>
                <w:sz w:val="16"/>
                <w:szCs w:val="16"/>
                <w:color w:val="auto"/>
              </w:rPr>
              <w:t>Year of expiry</w:t>
            </w:r>
          </w:p>
        </w:tc>
        <w:tc>
          <w:tcPr>
            <w:tcW w:w="506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r>
      <w:tr>
        <w:trPr>
          <w:trHeight w:val="186"/>
        </w:trPr>
        <w:tc>
          <w:tcPr>
            <w:tcW w:w="5460" w:type="dxa"/>
            <w:vAlign w:val="bottom"/>
          </w:tcPr>
          <w:p>
            <w:pPr>
              <w:spacing w:after="0" w:line="186" w:lineRule="exact"/>
              <w:rPr>
                <w:sz w:val="20"/>
                <w:szCs w:val="20"/>
                <w:color w:val="auto"/>
              </w:rPr>
            </w:pPr>
            <w:r>
              <w:rPr>
                <w:rFonts w:ascii="Calibri" w:cs="Calibri" w:eastAsia="Calibri" w:hAnsi="Calibri"/>
                <w:sz w:val="16"/>
                <w:szCs w:val="16"/>
                <w:color w:val="auto"/>
              </w:rPr>
              <w:t>2040</w:t>
            </w:r>
          </w:p>
        </w:tc>
        <w:tc>
          <w:tcPr>
            <w:tcW w:w="506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740</w:t>
            </w:r>
          </w:p>
        </w:tc>
      </w:tr>
      <w:tr>
        <w:trPr>
          <w:trHeight w:val="200"/>
        </w:trPr>
        <w:tc>
          <w:tcPr>
            <w:tcW w:w="5460" w:type="dxa"/>
            <w:vAlign w:val="bottom"/>
          </w:tcPr>
          <w:p>
            <w:pPr>
              <w:spacing w:after="0"/>
              <w:rPr>
                <w:sz w:val="20"/>
                <w:szCs w:val="20"/>
                <w:color w:val="auto"/>
              </w:rPr>
            </w:pPr>
            <w:r>
              <w:rPr>
                <w:rFonts w:ascii="Calibri" w:cs="Calibri" w:eastAsia="Calibri" w:hAnsi="Calibri"/>
                <w:sz w:val="16"/>
                <w:szCs w:val="16"/>
                <w:color w:val="auto"/>
              </w:rPr>
              <w:t>2041</w:t>
            </w:r>
          </w:p>
        </w:tc>
        <w:tc>
          <w:tcPr>
            <w:tcW w:w="5060" w:type="dxa"/>
            <w:vAlign w:val="bottom"/>
          </w:tcPr>
          <w:p>
            <w:pPr>
              <w:jc w:val="right"/>
              <w:spacing w:after="0"/>
              <w:rPr>
                <w:sz w:val="20"/>
                <w:szCs w:val="20"/>
                <w:color w:val="auto"/>
              </w:rPr>
            </w:pPr>
            <w:r>
              <w:rPr>
                <w:rFonts w:ascii="Calibri" w:cs="Calibri" w:eastAsia="Calibri" w:hAnsi="Calibri"/>
                <w:sz w:val="16"/>
                <w:szCs w:val="16"/>
                <w:b w:val="1"/>
                <w:bCs w:val="1"/>
                <w:color w:val="auto"/>
              </w:rPr>
              <w:t>19,193</w:t>
            </w:r>
          </w:p>
        </w:tc>
      </w:tr>
      <w:tr>
        <w:trPr>
          <w:trHeight w:val="208"/>
        </w:trPr>
        <w:tc>
          <w:tcPr>
            <w:tcW w:w="5460" w:type="dxa"/>
            <w:vAlign w:val="bottom"/>
          </w:tcPr>
          <w:p>
            <w:pPr>
              <w:spacing w:after="0"/>
              <w:rPr>
                <w:sz w:val="20"/>
                <w:szCs w:val="20"/>
                <w:color w:val="auto"/>
              </w:rPr>
            </w:pPr>
            <w:r>
              <w:rPr>
                <w:rFonts w:ascii="Calibri" w:cs="Calibri" w:eastAsia="Calibri" w:hAnsi="Calibri"/>
                <w:sz w:val="16"/>
                <w:szCs w:val="16"/>
                <w:color w:val="auto"/>
              </w:rPr>
              <w:t>2042</w:t>
            </w:r>
          </w:p>
        </w:tc>
        <w:tc>
          <w:tcPr>
            <w:tcW w:w="5060" w:type="dxa"/>
            <w:vAlign w:val="bottom"/>
          </w:tcPr>
          <w:p>
            <w:pPr>
              <w:jc w:val="right"/>
              <w:spacing w:after="0"/>
              <w:rPr>
                <w:sz w:val="20"/>
                <w:szCs w:val="20"/>
                <w:color w:val="auto"/>
              </w:rPr>
            </w:pPr>
            <w:r>
              <w:rPr>
                <w:rFonts w:ascii="Calibri" w:cs="Calibri" w:eastAsia="Calibri" w:hAnsi="Calibri"/>
                <w:sz w:val="16"/>
                <w:szCs w:val="16"/>
                <w:b w:val="1"/>
                <w:bCs w:val="1"/>
                <w:color w:val="auto"/>
              </w:rPr>
              <w:t>30,112</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r>
      <w:tr>
        <w:trPr>
          <w:trHeight w:val="193"/>
        </w:trPr>
        <w:tc>
          <w:tcPr>
            <w:tcW w:w="5460" w:type="dxa"/>
            <w:vAlign w:val="bottom"/>
            <w:tcBorders>
              <w:bottom w:val="single" w:sz="8" w:color="auto"/>
            </w:tcBorders>
          </w:tcPr>
          <w:p>
            <w:pPr>
              <w:spacing w:after="0"/>
              <w:rPr>
                <w:sz w:val="16"/>
                <w:szCs w:val="16"/>
                <w:color w:val="auto"/>
              </w:rPr>
            </w:pPr>
          </w:p>
        </w:tc>
        <w:tc>
          <w:tcPr>
            <w:tcW w:w="50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50,045</w:t>
            </w:r>
          </w:p>
        </w:tc>
      </w:tr>
    </w:tbl>
    <w:p>
      <w:pPr>
        <w:spacing w:after="0" w:line="225"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As at March 31, 2022, the Company has non-capital losses in the United States, which under certain circumstances can be used to reduce the taxable income of future years. The non-capital losses, stated in Canadian dollars, that will expire as follows:</w:t>
      </w:r>
    </w:p>
    <w:p>
      <w:pPr>
        <w:spacing w:after="0" w:line="196"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7580" w:type="dxa"/>
            <w:vAlign w:val="bottom"/>
            <w:gridSpan w:val="2"/>
          </w:tcPr>
          <w:p>
            <w:pPr>
              <w:spacing w:after="0"/>
              <w:rPr>
                <w:sz w:val="20"/>
                <w:szCs w:val="20"/>
                <w:color w:val="auto"/>
              </w:rPr>
            </w:pPr>
            <w:r>
              <w:rPr>
                <w:rFonts w:ascii="Calibri" w:cs="Calibri" w:eastAsia="Calibri" w:hAnsi="Calibri"/>
                <w:sz w:val="16"/>
                <w:szCs w:val="16"/>
                <w:color w:val="auto"/>
              </w:rPr>
              <w:t>Year of expiry</w:t>
            </w:r>
          </w:p>
        </w:tc>
        <w:tc>
          <w:tcPr>
            <w:tcW w:w="29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r>
        <w:trPr>
          <w:trHeight w:val="186"/>
        </w:trPr>
        <w:tc>
          <w:tcPr>
            <w:tcW w:w="340" w:type="dxa"/>
            <w:vAlign w:val="bottom"/>
          </w:tcPr>
          <w:p>
            <w:pPr>
              <w:spacing w:after="0" w:line="186" w:lineRule="exact"/>
              <w:rPr>
                <w:sz w:val="20"/>
                <w:szCs w:val="20"/>
                <w:color w:val="auto"/>
              </w:rPr>
            </w:pPr>
            <w:r>
              <w:rPr>
                <w:rFonts w:ascii="Calibri" w:cs="Calibri" w:eastAsia="Calibri" w:hAnsi="Calibri"/>
                <w:sz w:val="16"/>
                <w:szCs w:val="16"/>
                <w:color w:val="auto"/>
                <w:w w:val="98"/>
              </w:rPr>
              <w:t>2041</w:t>
            </w:r>
          </w:p>
        </w:tc>
        <w:tc>
          <w:tcPr>
            <w:tcW w:w="7240" w:type="dxa"/>
            <w:vAlign w:val="bottom"/>
          </w:tcPr>
          <w:p>
            <w:pPr>
              <w:ind w:left="20"/>
              <w:spacing w:after="0" w:line="186" w:lineRule="exact"/>
              <w:rPr>
                <w:sz w:val="20"/>
                <w:szCs w:val="20"/>
                <w:color w:val="auto"/>
              </w:rPr>
            </w:pPr>
            <w:r>
              <w:rPr>
                <w:rFonts w:ascii="Calibri" w:cs="Calibri" w:eastAsia="Calibri" w:hAnsi="Calibri"/>
                <w:sz w:val="16"/>
                <w:szCs w:val="16"/>
                <w:color w:val="auto"/>
              </w:rPr>
              <w:t>- Pre-acquisiton loss generated up to December 4, 2020</w:t>
            </w:r>
          </w:p>
        </w:tc>
        <w:tc>
          <w:tcPr>
            <w:tcW w:w="2940" w:type="dxa"/>
            <w:vAlign w:val="bottom"/>
          </w:tcPr>
          <w:p>
            <w:pPr>
              <w:jc w:val="right"/>
              <w:spacing w:after="0" w:line="186" w:lineRule="exact"/>
              <w:rPr>
                <w:sz w:val="20"/>
                <w:szCs w:val="20"/>
                <w:color w:val="auto"/>
              </w:rPr>
            </w:pPr>
            <w:r>
              <w:rPr>
                <w:rFonts w:ascii="Calibri" w:cs="Calibri" w:eastAsia="Calibri" w:hAnsi="Calibri"/>
                <w:sz w:val="16"/>
                <w:szCs w:val="16"/>
                <w:b w:val="1"/>
                <w:bCs w:val="1"/>
                <w:color w:val="auto"/>
              </w:rPr>
              <w:t>933</w:t>
            </w:r>
          </w:p>
        </w:tc>
      </w:tr>
      <w:tr>
        <w:trPr>
          <w:trHeight w:val="200"/>
        </w:trPr>
        <w:tc>
          <w:tcPr>
            <w:tcW w:w="340" w:type="dxa"/>
            <w:vAlign w:val="bottom"/>
          </w:tcPr>
          <w:p>
            <w:pPr>
              <w:spacing w:after="0"/>
              <w:rPr>
                <w:sz w:val="20"/>
                <w:szCs w:val="20"/>
                <w:color w:val="auto"/>
              </w:rPr>
            </w:pPr>
            <w:r>
              <w:rPr>
                <w:rFonts w:ascii="Calibri" w:cs="Calibri" w:eastAsia="Calibri" w:hAnsi="Calibri"/>
                <w:sz w:val="16"/>
                <w:szCs w:val="16"/>
                <w:color w:val="auto"/>
                <w:w w:val="98"/>
              </w:rPr>
              <w:t>2041</w:t>
            </w:r>
          </w:p>
        </w:tc>
        <w:tc>
          <w:tcPr>
            <w:tcW w:w="7240" w:type="dxa"/>
            <w:vAlign w:val="bottom"/>
          </w:tcPr>
          <w:p>
            <w:pPr>
              <w:ind w:left="20"/>
              <w:spacing w:after="0"/>
              <w:rPr>
                <w:sz w:val="20"/>
                <w:szCs w:val="20"/>
                <w:color w:val="auto"/>
              </w:rPr>
            </w:pPr>
            <w:r>
              <w:rPr>
                <w:rFonts w:ascii="Calibri" w:cs="Calibri" w:eastAsia="Calibri" w:hAnsi="Calibri"/>
                <w:sz w:val="16"/>
                <w:szCs w:val="16"/>
                <w:color w:val="auto"/>
              </w:rPr>
              <w:t>- Loss generated in the period from December 4, 2020 to March 31, 2021</w:t>
            </w:r>
          </w:p>
        </w:tc>
        <w:tc>
          <w:tcPr>
            <w:tcW w:w="2940" w:type="dxa"/>
            <w:vAlign w:val="bottom"/>
          </w:tcPr>
          <w:p>
            <w:pPr>
              <w:jc w:val="right"/>
              <w:spacing w:after="0"/>
              <w:rPr>
                <w:sz w:val="20"/>
                <w:szCs w:val="20"/>
                <w:color w:val="auto"/>
              </w:rPr>
            </w:pPr>
            <w:r>
              <w:rPr>
                <w:rFonts w:ascii="Calibri" w:cs="Calibri" w:eastAsia="Calibri" w:hAnsi="Calibri"/>
                <w:sz w:val="16"/>
                <w:szCs w:val="16"/>
                <w:b w:val="1"/>
                <w:bCs w:val="1"/>
                <w:color w:val="auto"/>
              </w:rPr>
              <w:t>1,241</w:t>
            </w:r>
          </w:p>
        </w:tc>
      </w:tr>
      <w:tr>
        <w:trPr>
          <w:trHeight w:val="208"/>
        </w:trPr>
        <w:tc>
          <w:tcPr>
            <w:tcW w:w="340" w:type="dxa"/>
            <w:vAlign w:val="bottom"/>
          </w:tcPr>
          <w:p>
            <w:pPr>
              <w:spacing w:after="0"/>
              <w:rPr>
                <w:sz w:val="20"/>
                <w:szCs w:val="20"/>
                <w:color w:val="auto"/>
              </w:rPr>
            </w:pPr>
            <w:r>
              <w:rPr>
                <w:rFonts w:ascii="Calibri" w:cs="Calibri" w:eastAsia="Calibri" w:hAnsi="Calibri"/>
                <w:sz w:val="16"/>
                <w:szCs w:val="16"/>
                <w:color w:val="auto"/>
                <w:w w:val="98"/>
              </w:rPr>
              <w:t>2042</w:t>
            </w:r>
          </w:p>
        </w:tc>
        <w:tc>
          <w:tcPr>
            <w:tcW w:w="7240" w:type="dxa"/>
            <w:vAlign w:val="bottom"/>
          </w:tcPr>
          <w:p>
            <w:pPr>
              <w:ind w:left="20"/>
              <w:spacing w:after="0"/>
              <w:rPr>
                <w:sz w:val="20"/>
                <w:szCs w:val="20"/>
                <w:color w:val="auto"/>
              </w:rPr>
            </w:pPr>
            <w:r>
              <w:rPr>
                <w:rFonts w:ascii="Calibri" w:cs="Calibri" w:eastAsia="Calibri" w:hAnsi="Calibri"/>
                <w:sz w:val="16"/>
                <w:szCs w:val="16"/>
                <w:color w:val="auto"/>
              </w:rPr>
              <w:t>- Loss generated in the year ended March 31, 2022</w:t>
            </w:r>
          </w:p>
        </w:tc>
        <w:tc>
          <w:tcPr>
            <w:tcW w:w="2940" w:type="dxa"/>
            <w:vAlign w:val="bottom"/>
          </w:tcPr>
          <w:p>
            <w:pPr>
              <w:jc w:val="right"/>
              <w:spacing w:after="0"/>
              <w:rPr>
                <w:sz w:val="20"/>
                <w:szCs w:val="20"/>
                <w:color w:val="auto"/>
              </w:rPr>
            </w:pPr>
            <w:r>
              <w:rPr>
                <w:rFonts w:ascii="Calibri" w:cs="Calibri" w:eastAsia="Calibri" w:hAnsi="Calibri"/>
                <w:sz w:val="16"/>
                <w:szCs w:val="16"/>
                <w:b w:val="1"/>
                <w:bCs w:val="1"/>
                <w:color w:val="auto"/>
              </w:rPr>
              <w:t>6,722</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r>
        <w:trPr>
          <w:trHeight w:val="193"/>
        </w:trPr>
        <w:tc>
          <w:tcPr>
            <w:tcW w:w="340" w:type="dxa"/>
            <w:vAlign w:val="bottom"/>
            <w:tcBorders>
              <w:bottom w:val="single" w:sz="8" w:color="auto"/>
            </w:tcBorders>
          </w:tcPr>
          <w:p>
            <w:pPr>
              <w:spacing w:after="0"/>
              <w:rPr>
                <w:sz w:val="16"/>
                <w:szCs w:val="16"/>
                <w:color w:val="auto"/>
              </w:rPr>
            </w:pPr>
          </w:p>
        </w:tc>
        <w:tc>
          <w:tcPr>
            <w:tcW w:w="7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8,896</w:t>
            </w:r>
          </w:p>
        </w:tc>
      </w:tr>
    </w:tbl>
    <w:p>
      <w:pPr>
        <w:spacing w:after="0" w:line="225" w:lineRule="exact"/>
        <w:rPr>
          <w:sz w:val="20"/>
          <w:szCs w:val="20"/>
          <w:color w:val="auto"/>
        </w:rPr>
      </w:pPr>
    </w:p>
    <w:p>
      <w:pPr>
        <w:jc w:val="both"/>
        <w:ind w:left="240"/>
        <w:spacing w:after="0" w:line="239" w:lineRule="auto"/>
        <w:rPr>
          <w:sz w:val="20"/>
          <w:szCs w:val="20"/>
          <w:color w:val="auto"/>
        </w:rPr>
      </w:pPr>
      <w:r>
        <w:rPr>
          <w:rFonts w:ascii="Calibri" w:cs="Calibri" w:eastAsia="Calibri" w:hAnsi="Calibri"/>
          <w:sz w:val="16"/>
          <w:szCs w:val="16"/>
          <w:color w:val="auto"/>
        </w:rPr>
        <w:t>Although the US federal losses carryforward indefnitely, they are subject to restrictons on their deductbility. The deductbility of the pre-acquisiton loss and the post-acquisiton loss is restricted to 80% of taxable income in the year of deducton. The pre-acquisiton loss is further restricted to an annual limitaton under Secton 382. As at March 31, 2022, the annual limitaton was $136.</w:t>
      </w:r>
    </w:p>
    <w:p>
      <w:pPr>
        <w:spacing w:after="0" w:line="161"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Massachusets allows for a 20-year carryforward period for restricted and unrestricted losses without limitaton.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auto"/>
        </w:rPr>
        <w:t>Page 51 of 53</w:t>
      </w:r>
    </w:p>
    <w:p>
      <w:pPr>
        <w:sectPr>
          <w:pgSz w:w="11900" w:h="16838" w:orient="portrait"/>
          <w:cols w:equalWidth="0" w:num="1">
            <w:col w:w="11180"/>
          </w:cols>
          <w:pgMar w:left="380" w:top="151" w:right="339" w:bottom="1440" w:gutter="0" w:footer="0" w:header="0"/>
        </w:sectPr>
      </w:pPr>
    </w:p>
    <w:bookmarkStart w:id="151" w:name="page152"/>
    <w:bookmarkEnd w:id="151"/>
    <w:p>
      <w:pPr>
        <w:ind w:left="62"/>
        <w:spacing w:after="0"/>
        <w:rPr>
          <w:sz w:val="20"/>
          <w:szCs w:val="20"/>
          <w:color w:val="auto"/>
        </w:rPr>
      </w:pPr>
      <w:r>
        <w:rPr>
          <w:rFonts w:ascii="Calibri" w:cs="Calibri" w:eastAsia="Calibri" w:hAnsi="Calibri"/>
          <w:sz w:val="20"/>
          <w:szCs w:val="20"/>
          <w:b w:val="1"/>
          <w:bCs w:val="1"/>
          <w:color w:val="auto"/>
        </w:rPr>
        <w:t>CYBIN INC.</w:t>
      </w:r>
    </w:p>
    <w:p>
      <w:pPr>
        <w:ind w:left="62"/>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ind w:left="62"/>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left="62" w:right="6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4565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2"/>
        <w:spacing w:after="0" w:line="239" w:lineRule="auto"/>
        <w:rPr>
          <w:sz w:val="20"/>
          <w:szCs w:val="20"/>
          <w:color w:val="auto"/>
        </w:rPr>
      </w:pPr>
      <w:r>
        <w:rPr>
          <w:rFonts w:ascii="Calibri" w:cs="Calibri" w:eastAsia="Calibri" w:hAnsi="Calibri"/>
          <w:sz w:val="16"/>
          <w:szCs w:val="16"/>
          <w:color w:val="auto"/>
        </w:rPr>
        <w:t>As at March 31, 2022, the Company has non-capital losses in Ireland, which under certain circumstances can be used to reduce the taxable income of future years. The non-capital losses, stated in Canadian dollars, expire as follows:</w:t>
      </w:r>
    </w:p>
    <w:p>
      <w:pPr>
        <w:spacing w:after="0" w:line="208" w:lineRule="exact"/>
        <w:rPr>
          <w:sz w:val="20"/>
          <w:szCs w:val="20"/>
          <w:color w:val="auto"/>
        </w:rPr>
      </w:pPr>
    </w:p>
    <w:tbl>
      <w:tblPr>
        <w:tblLayout w:type="fixed"/>
        <w:tblInd w:w="302" w:type="dxa"/>
        <w:tblCellMar>
          <w:top w:w="0" w:type="dxa"/>
          <w:left w:w="0" w:type="dxa"/>
          <w:bottom w:w="0" w:type="dxa"/>
          <w:right w:w="0" w:type="dxa"/>
        </w:tblCellMar>
      </w:tblPr>
      <w:tr>
        <w:trPr>
          <w:trHeight w:val="208"/>
        </w:trPr>
        <w:tc>
          <w:tcPr>
            <w:tcW w:w="5560" w:type="dxa"/>
            <w:vAlign w:val="bottom"/>
          </w:tcPr>
          <w:p>
            <w:pPr>
              <w:spacing w:after="0"/>
              <w:rPr>
                <w:sz w:val="20"/>
                <w:szCs w:val="20"/>
                <w:color w:val="auto"/>
              </w:rPr>
            </w:pPr>
            <w:r>
              <w:rPr>
                <w:rFonts w:ascii="Calibri" w:cs="Calibri" w:eastAsia="Calibri" w:hAnsi="Calibri"/>
                <w:sz w:val="16"/>
                <w:szCs w:val="16"/>
                <w:color w:val="auto"/>
              </w:rPr>
              <w:t>Year of expiry</w:t>
            </w:r>
          </w:p>
        </w:tc>
        <w:tc>
          <w:tcPr>
            <w:tcW w:w="508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46"/>
        </w:trPr>
        <w:tc>
          <w:tcPr>
            <w:tcW w:w="556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r>
      <w:tr>
        <w:trPr>
          <w:trHeight w:val="191"/>
        </w:trPr>
        <w:tc>
          <w:tcPr>
            <w:tcW w:w="5560" w:type="dxa"/>
            <w:vAlign w:val="bottom"/>
          </w:tcPr>
          <w:p>
            <w:pPr>
              <w:spacing w:after="0" w:line="191" w:lineRule="exact"/>
              <w:rPr>
                <w:sz w:val="20"/>
                <w:szCs w:val="20"/>
                <w:color w:val="auto"/>
              </w:rPr>
            </w:pPr>
            <w:r>
              <w:rPr>
                <w:rFonts w:ascii="Calibri" w:cs="Calibri" w:eastAsia="Calibri" w:hAnsi="Calibri"/>
                <w:sz w:val="16"/>
                <w:szCs w:val="16"/>
                <w:color w:val="auto"/>
              </w:rPr>
              <w:t>2042</w:t>
            </w:r>
          </w:p>
        </w:tc>
        <w:tc>
          <w:tcPr>
            <w:tcW w:w="5080" w:type="dxa"/>
            <w:vAlign w:val="bottom"/>
          </w:tcPr>
          <w:p>
            <w:pPr>
              <w:jc w:val="right"/>
              <w:spacing w:after="0" w:line="191" w:lineRule="exact"/>
              <w:rPr>
                <w:sz w:val="20"/>
                <w:szCs w:val="20"/>
                <w:color w:val="auto"/>
              </w:rPr>
            </w:pPr>
            <w:r>
              <w:rPr>
                <w:rFonts w:ascii="Calibri" w:cs="Calibri" w:eastAsia="Calibri" w:hAnsi="Calibri"/>
                <w:sz w:val="16"/>
                <w:szCs w:val="16"/>
                <w:b w:val="1"/>
                <w:bCs w:val="1"/>
                <w:color w:val="auto"/>
              </w:rPr>
              <w:t>9,469</w:t>
            </w:r>
          </w:p>
        </w:tc>
      </w:tr>
      <w:tr>
        <w:trPr>
          <w:trHeight w:val="46"/>
        </w:trPr>
        <w:tc>
          <w:tcPr>
            <w:tcW w:w="556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r>
      <w:tr>
        <w:trPr>
          <w:trHeight w:val="193"/>
        </w:trPr>
        <w:tc>
          <w:tcPr>
            <w:tcW w:w="556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9,469</w:t>
            </w:r>
          </w:p>
        </w:tc>
      </w:tr>
    </w:tbl>
    <w:p>
      <w:pPr>
        <w:spacing w:after="0" w:line="223" w:lineRule="exact"/>
        <w:rPr>
          <w:sz w:val="20"/>
          <w:szCs w:val="20"/>
          <w:color w:val="auto"/>
        </w:rPr>
      </w:pPr>
    </w:p>
    <w:p>
      <w:pPr>
        <w:ind w:left="342" w:hanging="342"/>
        <w:spacing w:after="0"/>
        <w:tabs>
          <w:tab w:leader="none" w:pos="342" w:val="left"/>
        </w:tabs>
        <w:numPr>
          <w:ilvl w:val="0"/>
          <w:numId w:val="85"/>
        </w:numPr>
        <w:rPr>
          <w:rFonts w:ascii="Calibri" w:cs="Calibri" w:eastAsia="Calibri" w:hAnsi="Calibri"/>
          <w:sz w:val="16"/>
          <w:szCs w:val="16"/>
          <w:b w:val="1"/>
          <w:bCs w:val="1"/>
          <w:color w:val="2D5F91"/>
        </w:rPr>
      </w:pPr>
      <w:r>
        <w:rPr>
          <w:rFonts w:ascii="Calibri" w:cs="Calibri" w:eastAsia="Calibri" w:hAnsi="Calibri"/>
          <w:sz w:val="16"/>
          <w:szCs w:val="16"/>
          <w:b w:val="1"/>
          <w:bCs w:val="1"/>
          <w:color w:val="2D5F91"/>
        </w:rPr>
        <w:t>SUBSEQUENT EVENTS</w:t>
      </w:r>
    </w:p>
    <w:p>
      <w:pPr>
        <w:spacing w:after="0" w:line="158" w:lineRule="exact"/>
        <w:rPr>
          <w:rFonts w:ascii="Calibri" w:cs="Calibri" w:eastAsia="Calibri" w:hAnsi="Calibri"/>
          <w:sz w:val="16"/>
          <w:szCs w:val="16"/>
          <w:b w:val="1"/>
          <w:bCs w:val="1"/>
          <w:color w:val="2D5F91"/>
        </w:rPr>
      </w:pPr>
    </w:p>
    <w:p>
      <w:pPr>
        <w:ind w:left="502" w:hanging="209"/>
        <w:spacing w:after="0"/>
        <w:tabs>
          <w:tab w:leader="none" w:pos="502" w:val="left"/>
        </w:tabs>
        <w:numPr>
          <w:ilvl w:val="1"/>
          <w:numId w:val="85"/>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Adelia Milestones</w:t>
      </w:r>
    </w:p>
    <w:p>
      <w:pPr>
        <w:spacing w:after="0" w:line="160" w:lineRule="exact"/>
        <w:rPr>
          <w:sz w:val="20"/>
          <w:szCs w:val="20"/>
          <w:color w:val="auto"/>
        </w:rPr>
      </w:pPr>
    </w:p>
    <w:p>
      <w:pPr>
        <w:jc w:val="both"/>
        <w:ind w:left="302" w:right="20"/>
        <w:spacing w:after="0" w:line="239" w:lineRule="auto"/>
        <w:rPr>
          <w:sz w:val="20"/>
          <w:szCs w:val="20"/>
          <w:color w:val="auto"/>
        </w:rPr>
      </w:pPr>
      <w:r>
        <w:rPr>
          <w:rFonts w:ascii="Calibri" w:cs="Calibri" w:eastAsia="Calibri" w:hAnsi="Calibri"/>
          <w:sz w:val="16"/>
          <w:szCs w:val="16"/>
          <w:color w:val="auto"/>
        </w:rPr>
        <w:t>On April 1, 2022, Former Adelia Shareholders achieved the milestone identfed as Year 2 Q2 (iv), as contemplated by the terms of the Adelia Contributon Agreement. Accordingly, 22,428.3 Class B Shares having an aggregate value of $229 were issued to the Former Adelia Shareholders, at a price per share of $10.20. These Class B Shares are exchangeable for a total of 224,283 Common Shares, representng an efectve issue price of $1.02 per Common Share. In consideraton for the Milestone achieved, an additonal amount of $5 is issuable at a price per share to be determined in accordance with the terms of the Contributon Agreement and applicable securites laws.</w:t>
      </w:r>
    </w:p>
    <w:p>
      <w:pPr>
        <w:spacing w:after="0" w:line="176" w:lineRule="exact"/>
        <w:rPr>
          <w:sz w:val="20"/>
          <w:szCs w:val="20"/>
          <w:color w:val="auto"/>
        </w:rPr>
      </w:pPr>
    </w:p>
    <w:p>
      <w:pPr>
        <w:jc w:val="both"/>
        <w:ind w:left="302"/>
        <w:spacing w:after="0" w:line="239" w:lineRule="auto"/>
        <w:rPr>
          <w:sz w:val="20"/>
          <w:szCs w:val="20"/>
          <w:color w:val="auto"/>
        </w:rPr>
      </w:pPr>
      <w:r>
        <w:rPr>
          <w:rFonts w:ascii="Calibri" w:cs="Calibri" w:eastAsia="Calibri" w:hAnsi="Calibri"/>
          <w:sz w:val="16"/>
          <w:szCs w:val="16"/>
          <w:color w:val="auto"/>
        </w:rPr>
        <w:t>In additon, Former Adelia Shareholders achieved the milestones identfed as identfed as Y2, Q2 (i), (vi), Y2, Q3 (ii), Year 2 Q4 (i) and Year 3 Q1 (i), (ii), (iii), as contemplated by the terms of the Adelia Contributon Agreement. Accordingly, Class B Shares having an aggregate value of $2,033 became due to be issued to the Former Adelia Shareholders, at a price per share to be determined in accordance with the terms of the contributon agreement and applicable securites laws.</w:t>
      </w:r>
    </w:p>
    <w:p>
      <w:pPr>
        <w:spacing w:after="0" w:line="161" w:lineRule="exact"/>
        <w:rPr>
          <w:sz w:val="20"/>
          <w:szCs w:val="20"/>
          <w:color w:val="auto"/>
        </w:rPr>
      </w:pPr>
    </w:p>
    <w:p>
      <w:pPr>
        <w:ind w:left="302"/>
        <w:spacing w:after="0"/>
        <w:rPr>
          <w:sz w:val="20"/>
          <w:szCs w:val="20"/>
          <w:color w:val="auto"/>
        </w:rPr>
      </w:pPr>
      <w:r>
        <w:rPr>
          <w:rFonts w:ascii="Calibri" w:cs="Calibri" w:eastAsia="Calibri" w:hAnsi="Calibri"/>
          <w:sz w:val="16"/>
          <w:szCs w:val="16"/>
          <w:b w:val="1"/>
          <w:bCs w:val="1"/>
          <w:color w:val="auto"/>
        </w:rPr>
        <w:t>(b) Exchange of Class B Shares</w:t>
      </w:r>
    </w:p>
    <w:p>
      <w:pPr>
        <w:spacing w:after="0" w:line="159" w:lineRule="exact"/>
        <w:rPr>
          <w:sz w:val="20"/>
          <w:szCs w:val="20"/>
          <w:color w:val="auto"/>
        </w:rPr>
      </w:pPr>
    </w:p>
    <w:p>
      <w:pPr>
        <w:ind w:left="302"/>
        <w:spacing w:after="0"/>
        <w:rPr>
          <w:sz w:val="20"/>
          <w:szCs w:val="20"/>
          <w:color w:val="auto"/>
        </w:rPr>
      </w:pPr>
      <w:r>
        <w:rPr>
          <w:rFonts w:ascii="Calibri" w:cs="Calibri" w:eastAsia="Calibri" w:hAnsi="Calibri"/>
          <w:sz w:val="16"/>
          <w:szCs w:val="16"/>
          <w:color w:val="auto"/>
        </w:rPr>
        <w:t>On May 5, 2022, a Former Adelia Shareholders exchanged 38,023 Class B Shares for 380,230 Common Shares.</w:t>
      </w:r>
    </w:p>
    <w:p>
      <w:pPr>
        <w:spacing w:after="0" w:line="171" w:lineRule="exact"/>
        <w:rPr>
          <w:sz w:val="20"/>
          <w:szCs w:val="20"/>
          <w:color w:val="auto"/>
        </w:rPr>
      </w:pPr>
    </w:p>
    <w:p>
      <w:pPr>
        <w:ind w:left="302"/>
        <w:spacing w:after="0"/>
        <w:rPr>
          <w:sz w:val="20"/>
          <w:szCs w:val="20"/>
          <w:color w:val="auto"/>
        </w:rPr>
      </w:pPr>
      <w:r>
        <w:rPr>
          <w:rFonts w:ascii="Calibri" w:cs="Calibri" w:eastAsia="Calibri" w:hAnsi="Calibri"/>
          <w:sz w:val="16"/>
          <w:szCs w:val="16"/>
          <w:b w:val="1"/>
          <w:bCs w:val="1"/>
          <w:color w:val="auto"/>
        </w:rPr>
        <w:t>(c) Asset Acquisiton</w:t>
      </w:r>
    </w:p>
    <w:p>
      <w:pPr>
        <w:spacing w:after="0" w:line="160" w:lineRule="exact"/>
        <w:rPr>
          <w:sz w:val="20"/>
          <w:szCs w:val="20"/>
          <w:color w:val="auto"/>
        </w:rPr>
      </w:pPr>
    </w:p>
    <w:p>
      <w:pPr>
        <w:jc w:val="both"/>
        <w:ind w:left="302"/>
        <w:spacing w:after="0" w:line="239" w:lineRule="auto"/>
        <w:rPr>
          <w:sz w:val="20"/>
          <w:szCs w:val="20"/>
          <w:color w:val="auto"/>
        </w:rPr>
      </w:pPr>
      <w:r>
        <w:rPr>
          <w:rFonts w:ascii="Calibri" w:cs="Calibri" w:eastAsia="Calibri" w:hAnsi="Calibri"/>
          <w:sz w:val="16"/>
          <w:szCs w:val="16"/>
          <w:color w:val="auto"/>
        </w:rPr>
        <w:t>On June 7, 2022, the Company entered into an agreement to acquire a Phase 1 N,N-dimethyltryptamine (“DMT”) study (the “Asset Acquisiton”) from Entheon Biomedical Corp.(“Entheon”) to accelerate the clinical development path for CYB004, Cybin’s proprietary deuterated DMT molecule for the potental treatment of anxiety disorders. The purchase price of the Asset Acquisiton is $1,000, with a deposit payable upfront and the balance due on closing. In additon, the Company may pay up to $480 for consultng services to be provided from Entheon over a period of up to twelve months following the close of the Asset Acquisiton.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
        <w:spacing w:after="0"/>
        <w:rPr>
          <w:sz w:val="20"/>
          <w:szCs w:val="20"/>
          <w:color w:val="auto"/>
        </w:rPr>
      </w:pPr>
      <w:r>
        <w:rPr>
          <w:rFonts w:ascii="Calibri" w:cs="Calibri" w:eastAsia="Calibri" w:hAnsi="Calibri"/>
          <w:sz w:val="16"/>
          <w:szCs w:val="16"/>
          <w:b w:val="1"/>
          <w:bCs w:val="1"/>
          <w:color w:val="auto"/>
        </w:rPr>
        <w:t>Page 52 of 53</w:t>
      </w:r>
    </w:p>
    <w:p>
      <w:pPr>
        <w:sectPr>
          <w:pgSz w:w="11900" w:h="16838" w:orient="portrait"/>
          <w:cols w:equalWidth="0" w:num="1">
            <w:col w:w="11262"/>
          </w:cols>
          <w:pgMar w:left="318" w:top="151" w:right="319" w:bottom="1440" w:gutter="0" w:footer="0" w:header="0"/>
        </w:sectPr>
      </w:pPr>
    </w:p>
    <w:bookmarkStart w:id="152" w:name="page153"/>
    <w:bookmarkEnd w:id="152"/>
    <w:p>
      <w:pPr>
        <w:spacing w:after="0"/>
        <w:rPr>
          <w:sz w:val="20"/>
          <w:szCs w:val="20"/>
          <w:color w:val="auto"/>
        </w:rPr>
      </w:pPr>
      <w:r>
        <w:rPr>
          <w:rFonts w:ascii="Calibri" w:cs="Calibri" w:eastAsia="Calibri" w:hAnsi="Calibri"/>
          <w:sz w:val="20"/>
          <w:szCs w:val="20"/>
          <w:b w:val="1"/>
          <w:bCs w:val="1"/>
          <w:color w:val="auto"/>
        </w:rPr>
        <w:t>CYBIN INC.</w:t>
      </w:r>
    </w:p>
    <w:p>
      <w:pPr>
        <w:spacing w:after="0" w:line="228" w:lineRule="auto"/>
        <w:rPr>
          <w:sz w:val="20"/>
          <w:szCs w:val="20"/>
          <w:color w:val="auto"/>
        </w:rPr>
      </w:pPr>
      <w:r>
        <w:rPr>
          <w:rFonts w:ascii="Calibri" w:cs="Calibri" w:eastAsia="Calibri" w:hAnsi="Calibri"/>
          <w:sz w:val="20"/>
          <w:szCs w:val="20"/>
          <w:b w:val="1"/>
          <w:bCs w:val="1"/>
          <w:color w:val="auto"/>
        </w:rPr>
        <w:t>NOTES TO THE CONSOLIDATED FINANCIAL STATEMENTS</w:t>
      </w:r>
    </w:p>
    <w:p>
      <w:pPr>
        <w:spacing w:after="0" w:line="228" w:lineRule="auto"/>
        <w:rPr>
          <w:sz w:val="20"/>
          <w:szCs w:val="20"/>
          <w:color w:val="auto"/>
        </w:rPr>
      </w:pPr>
      <w:r>
        <w:rPr>
          <w:rFonts w:ascii="Calibri" w:cs="Calibri" w:eastAsia="Calibri" w:hAnsi="Calibri"/>
          <w:sz w:val="20"/>
          <w:szCs w:val="20"/>
          <w:b w:val="1"/>
          <w:bCs w:val="1"/>
          <w:color w:val="auto"/>
        </w:rPr>
        <w:t>March 31, 2022 and March 31, 2021</w:t>
      </w:r>
    </w:p>
    <w:p>
      <w:pPr>
        <w:spacing w:after="0" w:line="14" w:lineRule="exact"/>
        <w:rPr>
          <w:sz w:val="20"/>
          <w:szCs w:val="20"/>
          <w:color w:val="auto"/>
        </w:rPr>
      </w:pPr>
    </w:p>
    <w:p>
      <w:pPr>
        <w:ind w:right="40"/>
        <w:spacing w:after="0" w:line="230"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34925</wp:posOffset>
            </wp:positionV>
            <wp:extent cx="714565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Company expects the Asset Acquisiton to close within 30 days, subject to the completon of certain conditons and obtaining all necessary approvals.</w:t>
      </w:r>
    </w:p>
    <w:p>
      <w:pPr>
        <w:spacing w:after="0" w:line="171" w:lineRule="exact"/>
        <w:rPr>
          <w:sz w:val="20"/>
          <w:szCs w:val="20"/>
          <w:color w:val="auto"/>
        </w:rPr>
      </w:pPr>
    </w:p>
    <w:p>
      <w:pPr>
        <w:ind w:left="240"/>
        <w:spacing w:after="0"/>
        <w:rPr>
          <w:sz w:val="20"/>
          <w:szCs w:val="20"/>
          <w:color w:val="auto"/>
        </w:rPr>
      </w:pPr>
      <w:r>
        <w:rPr>
          <w:rFonts w:ascii="Calibri" w:cs="Calibri" w:eastAsia="Calibri" w:hAnsi="Calibri"/>
          <w:sz w:val="16"/>
          <w:szCs w:val="16"/>
          <w:b w:val="1"/>
          <w:bCs w:val="1"/>
          <w:color w:val="auto"/>
        </w:rPr>
        <w:t>(d) Exercised and Expired Securites</w:t>
      </w:r>
    </w:p>
    <w:p>
      <w:pPr>
        <w:spacing w:after="0" w:line="160" w:lineRule="exact"/>
        <w:rPr>
          <w:sz w:val="20"/>
          <w:szCs w:val="20"/>
          <w:color w:val="auto"/>
        </w:rPr>
      </w:pPr>
    </w:p>
    <w:p>
      <w:pPr>
        <w:ind w:left="240"/>
        <w:spacing w:after="0" w:line="239" w:lineRule="auto"/>
        <w:rPr>
          <w:sz w:val="20"/>
          <w:szCs w:val="20"/>
          <w:color w:val="auto"/>
        </w:rPr>
      </w:pPr>
      <w:r>
        <w:rPr>
          <w:rFonts w:ascii="Calibri" w:cs="Calibri" w:eastAsia="Calibri" w:hAnsi="Calibri"/>
          <w:sz w:val="16"/>
          <w:szCs w:val="16"/>
          <w:color w:val="auto"/>
        </w:rPr>
        <w:t>During the period from April 1, 2022 to June 20, 2022, holders of warrants exercised securites resultng in the issuance of 1,000,000 Common Shares for gross proceeds of approximately $250.</w:t>
      </w:r>
    </w:p>
    <w:p>
      <w:pPr>
        <w:spacing w:after="0" w:line="160"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During the period from April 1, 2022 to June 20, 2022, 13,500 vested optons expired and 34,000 unvested optons were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auto"/>
        </w:rPr>
        <w:t>Page 53 of 53</w:t>
      </w:r>
    </w:p>
    <w:p>
      <w:pPr>
        <w:sectPr>
          <w:pgSz w:w="11900" w:h="16838" w:orient="portrait"/>
          <w:cols w:equalWidth="0" w:num="1">
            <w:col w:w="11180"/>
          </w:cols>
          <w:pgMar w:left="380" w:top="151" w:right="339"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3080385</wp:posOffset>
            </wp:positionH>
            <wp:positionV relativeFrom="page">
              <wp:posOffset>2369820</wp:posOffset>
            </wp:positionV>
            <wp:extent cx="1396365" cy="8686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396365" cy="868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(formerly Clarmin Explorations Inc.)</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Management’s Discussion and Analysis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of Financial Condition and Operating Performance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 ended March 31, 2022</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June 20, 2022</w:t>
      </w:r>
    </w:p>
    <w:p>
      <w:pPr>
        <w:sectPr>
          <w:pgSz w:w="11900" w:h="16838" w:orient="portrait"/>
          <w:cols w:equalWidth="0" w:num="1">
            <w:col w:w="9019"/>
          </w:cols>
          <w:pgMar w:left="1440" w:top="1440"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has been prepared by management of Cybin Inc. (“</w:t>
      </w:r>
      <w:r>
        <w:rPr>
          <w:rFonts w:ascii="Times New Roman" w:cs="Times New Roman" w:eastAsia="Times New Roman" w:hAnsi="Times New Roman"/>
          <w:sz w:val="18"/>
          <w:szCs w:val="18"/>
          <w:b w:val="1"/>
          <w:bCs w:val="1"/>
          <w:color w:val="auto"/>
        </w:rPr>
        <w:t>Cybin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should be read in conjunction with Cybin’s audited condensed consolidated financial statements and notes as at and for the year ended March 31, 2022 (the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This MD&amp;A does not address all of the changes to the Company and its business, such changes are addressed in the Company’s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recently filed annual information form (the “</w:t>
      </w:r>
      <w:r>
        <w:rPr>
          <w:rFonts w:ascii="Times New Roman" w:cs="Times New Roman" w:eastAsia="Times New Roman" w:hAnsi="Times New Roman"/>
          <w:sz w:val="18"/>
          <w:szCs w:val="18"/>
          <w:b w:val="1"/>
          <w:bCs w:val="1"/>
          <w:color w:val="auto"/>
        </w:rPr>
        <w:t>AIF</w:t>
      </w:r>
      <w:r>
        <w:rPr>
          <w:rFonts w:ascii="Times New Roman" w:cs="Times New Roman" w:eastAsia="Times New Roman" w:hAnsi="Times New Roman"/>
          <w:sz w:val="18"/>
          <w:szCs w:val="18"/>
          <w:color w:val="auto"/>
        </w:rPr>
        <w:t>”) on SEDAR. The Financial Statements have been prepared using International Financial Reporting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xml:space="preserve">") as issued by the International Accounting Standards Board. All amounts are in Canadian dollars unless otherwise indicated. The Financial Statements may be viewed on the SEDAR profile of Cybin at </w:t>
      </w:r>
      <w:r>
        <w:rPr>
          <w:rFonts w:ascii="Times New Roman" w:cs="Times New Roman" w:eastAsia="Times New Roman" w:hAnsi="Times New Roman"/>
          <w:sz w:val="18"/>
          <w:szCs w:val="18"/>
          <w:i w:val="1"/>
          <w:iCs w:val="1"/>
          <w:u w:val="single" w:color="auto"/>
          <w:color w:val="0563C1"/>
        </w:rPr>
        <w:t>www.sedar.com</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This MD&amp;A contains disclosure related to Cybin occurring up to and including June 20, 2022. Unless otherwise indicated, all amounts in this MD&amp;A are in thousands of Canadian dollars.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Times New Roman" w:cs="Times New Roman" w:eastAsia="Times New Roman" w:hAnsi="Times New Roman"/>
          <w:sz w:val="18"/>
          <w:szCs w:val="18"/>
          <w:b w:val="1"/>
          <w:bCs w:val="1"/>
          <w:color w:val="auto"/>
        </w:rPr>
        <w:t>SubCo</w:t>
      </w:r>
      <w:r>
        <w:rPr>
          <w:rFonts w:ascii="Times New Roman" w:cs="Times New Roman" w:eastAsia="Times New Roman" w:hAnsi="Times New Roman"/>
          <w:sz w:val="18"/>
          <w:szCs w:val="18"/>
          <w:color w:val="auto"/>
        </w:rPr>
        <w:t>”), a wholly-owned subsidiary of the Company (the “</w:t>
      </w:r>
      <w:r>
        <w:rPr>
          <w:rFonts w:ascii="Times New Roman" w:cs="Times New Roman" w:eastAsia="Times New Roman" w:hAnsi="Times New Roman"/>
          <w:sz w:val="18"/>
          <w:szCs w:val="18"/>
          <w:b w:val="1"/>
          <w:bCs w:val="1"/>
          <w:color w:val="auto"/>
        </w:rPr>
        <w:t>Reverse Takeover</w:t>
      </w:r>
      <w:r>
        <w:rPr>
          <w:rFonts w:ascii="Times New Roman" w:cs="Times New Roman" w:eastAsia="Times New Roman" w:hAnsi="Times New Roman"/>
          <w:sz w:val="18"/>
          <w:szCs w:val="18"/>
          <w:color w:val="auto"/>
        </w:rPr>
        <w:t xml:space="preserve">”). The Reverse Takeover was completed by way of a “three-cornered” amalgamation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5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6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Some of the risks which could affect future results and could cause results to differ materially from those expressed in the forward-looking statements contained herein include:</w:t>
      </w:r>
    </w:p>
    <w:p>
      <w:pPr>
        <w:spacing w:after="0" w:line="156" w:lineRule="exact"/>
        <w:rPr>
          <w:sz w:val="20"/>
          <w:szCs w:val="20"/>
          <w:color w:val="auto"/>
        </w:rPr>
      </w:pPr>
    </w:p>
    <w:p>
      <w:pPr>
        <w:ind w:left="1160" w:hanging="576"/>
        <w:spacing w:after="0"/>
        <w:tabs>
          <w:tab w:leader="none" w:pos="11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coronavirus “COVID-19”;</w:t>
      </w:r>
    </w:p>
    <w:p>
      <w:pPr>
        <w:spacing w:after="0" w:line="20"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publicly announced milestones;</w:t>
      </w:r>
    </w:p>
    <w:p>
      <w:pPr>
        <w:spacing w:after="0" w:line="12"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nature of investment risk;</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of the industry and product development;</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and uncertainties</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growth;</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products;</w:t>
      </w:r>
    </w:p>
    <w:p>
      <w:pPr>
        <w:spacing w:after="0" w:line="12"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marketing and sales capabilities;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702" w:right="319" w:bottom="1440" w:gutter="0" w:footer="0" w:header="0"/>
        </w:sectPr>
      </w:pPr>
    </w:p>
    <w:bookmarkStart w:id="155" w:name="page156"/>
    <w:bookmarkEnd w:id="155"/>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of commercial success;</w:t>
      </w:r>
    </w:p>
    <w:p>
      <w:pPr>
        <w:spacing w:after="0" w:line="2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profits or significant revenues;</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clinical development activities;</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third party relationships;</w:t>
      </w:r>
    </w:p>
    <w:p>
      <w:pPr>
        <w:spacing w:after="0" w:line="12"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contract manufacturers;</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of products;</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testing and commercializing products;</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clinical trials;</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grade product manufacturing;</w:t>
      </w:r>
    </w:p>
    <w:p>
      <w:pPr>
        <w:spacing w:after="0" w:line="12"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of regulatory approvals;</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unfavourable publicity or consumer perception;</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biotechnology and pharmaceutical market competition;</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executives and scientists;</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misconduct;</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expansion and growth;</w:t>
      </w:r>
    </w:p>
    <w:p>
      <w:pPr>
        <w:spacing w:after="0" w:line="12"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of external clinical trials or studies;</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contracts;</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chain interruption;</w:t>
      </w:r>
    </w:p>
    <w:p>
      <w:pPr>
        <w:spacing w:after="0" w:line="12"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to forecast;</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brand;</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viability;</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quality control systems;</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inputs;</w:t>
      </w:r>
    </w:p>
    <w:p>
      <w:pPr>
        <w:spacing w:after="0" w:line="12"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fraudulent or illegal activity;</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 and insurance coverage;</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operating as public company;</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w:t>
      </w:r>
    </w:p>
    <w:p>
      <w:pPr>
        <w:spacing w:after="0" w:line="12"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operations;</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privacy risk;</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 and risks;</w:t>
      </w:r>
    </w:p>
    <w:p>
      <w:pPr>
        <w:spacing w:after="0" w:line="12"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18"/>
          <w:szCs w:val="18"/>
          <w:color w:val="auto"/>
        </w:rPr>
        <w:t>decriminalisation of psychedelics;</w:t>
      </w:r>
    </w:p>
    <w:p>
      <w:pPr>
        <w:spacing w:after="0" w:line="12" w:lineRule="exact"/>
        <w:rPr>
          <w:rFonts w:ascii="Arial" w:cs="Arial" w:eastAsia="Arial" w:hAnsi="Arial"/>
          <w:sz w:val="20"/>
          <w:szCs w:val="20"/>
          <w:color w:val="auto"/>
        </w:rPr>
      </w:pPr>
    </w:p>
    <w:p>
      <w:pPr>
        <w:ind w:left="1160" w:hanging="576"/>
        <w:spacing w:after="0"/>
        <w:tabs>
          <w:tab w:leader="none" w:pos="116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18"/>
          <w:szCs w:val="18"/>
          <w:color w:val="auto"/>
        </w:rPr>
        <w:t>forward-looking statements may prove to be inaccurate;</w:t>
      </w:r>
    </w:p>
    <w:p>
      <w:pPr>
        <w:spacing w:after="0" w:line="14" w:lineRule="exact"/>
        <w:rPr>
          <w:rFonts w:ascii="Arial" w:cs="Arial" w:eastAsia="Arial" w:hAnsi="Arial"/>
          <w:sz w:val="20"/>
          <w:szCs w:val="20"/>
          <w:color w:val="auto"/>
        </w:rPr>
      </w:pPr>
    </w:p>
    <w:p>
      <w:pPr>
        <w:ind w:left="1160" w:hanging="576"/>
        <w:spacing w:after="0"/>
        <w:tabs>
          <w:tab w:leader="none" w:pos="116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18"/>
          <w:szCs w:val="18"/>
          <w:color w:val="auto"/>
        </w:rPr>
        <w:t>effects of inflation;</w:t>
      </w:r>
    </w:p>
    <w:p>
      <w:pPr>
        <w:spacing w:after="0" w:line="11" w:lineRule="exact"/>
        <w:rPr>
          <w:rFonts w:ascii="Arial" w:cs="Arial" w:eastAsia="Arial" w:hAnsi="Arial"/>
          <w:sz w:val="20"/>
          <w:szCs w:val="20"/>
          <w:color w:val="auto"/>
        </w:rPr>
      </w:pPr>
    </w:p>
    <w:p>
      <w:pPr>
        <w:ind w:left="1160" w:hanging="576"/>
        <w:spacing w:after="0" w:line="233" w:lineRule="auto"/>
        <w:tabs>
          <w:tab w:leader="none" w:pos="116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18"/>
          <w:szCs w:val="18"/>
          <w:color w:val="auto"/>
        </w:rPr>
        <w:t>political and economic conditions;</w:t>
      </w:r>
    </w:p>
    <w:p>
      <w:pPr>
        <w:spacing w:after="0" w:line="11" w:lineRule="exact"/>
        <w:rPr>
          <w:rFonts w:ascii="Arial" w:cs="Arial" w:eastAsia="Arial" w:hAnsi="Arial"/>
          <w:sz w:val="20"/>
          <w:szCs w:val="20"/>
          <w:color w:val="auto"/>
        </w:rPr>
      </w:pPr>
    </w:p>
    <w:p>
      <w:pPr>
        <w:ind w:left="1160" w:hanging="576"/>
        <w:spacing w:after="0"/>
        <w:tabs>
          <w:tab w:leader="none" w:pos="116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18"/>
          <w:szCs w:val="18"/>
          <w:color w:val="auto"/>
        </w:rPr>
        <w:t>application and interpretation of tax laws;</w:t>
      </w:r>
    </w:p>
    <w:p>
      <w:pPr>
        <w:spacing w:after="0" w:line="11" w:lineRule="exact"/>
        <w:rPr>
          <w:rFonts w:ascii="Arial" w:cs="Arial" w:eastAsia="Arial" w:hAnsi="Arial"/>
          <w:sz w:val="20"/>
          <w:szCs w:val="20"/>
          <w:color w:val="auto"/>
        </w:rPr>
      </w:pPr>
    </w:p>
    <w:p>
      <w:pPr>
        <w:ind w:left="1160" w:hanging="576"/>
        <w:spacing w:after="0" w:line="233" w:lineRule="auto"/>
        <w:tabs>
          <w:tab w:leader="none" w:pos="116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18"/>
          <w:szCs w:val="18"/>
          <w:color w:val="auto"/>
        </w:rPr>
        <w:t>enforcement of civil liabilities;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Intellectual Property:</w:t>
      </w:r>
    </w:p>
    <w:p>
      <w:pPr>
        <w:spacing w:after="0" w:line="27" w:lineRule="exact"/>
        <w:rPr>
          <w:sz w:val="20"/>
          <w:szCs w:val="20"/>
          <w:color w:val="auto"/>
        </w:rPr>
      </w:pPr>
    </w:p>
    <w:p>
      <w:pPr>
        <w:ind w:left="1160" w:hanging="576"/>
        <w:spacing w:after="0"/>
        <w:tabs>
          <w:tab w:leader="none" w:pos="11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protection;</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law reform;</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litigation and intellectual property;</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Accounting Risks:</w:t>
      </w:r>
    </w:p>
    <w:p>
      <w:pPr>
        <w:spacing w:after="0" w:line="37" w:lineRule="exact"/>
        <w:rPr>
          <w:sz w:val="20"/>
          <w:szCs w:val="20"/>
          <w:color w:val="auto"/>
        </w:rPr>
      </w:pPr>
    </w:p>
    <w:p>
      <w:pPr>
        <w:ind w:left="1160" w:hanging="576"/>
        <w:spacing w:after="0"/>
        <w:tabs>
          <w:tab w:leader="none" w:pos="1160" w:val="left"/>
        </w:tabs>
        <w:numPr>
          <w:ilvl w:val="0"/>
          <w:numId w:val="89"/>
        </w:numPr>
        <w:rPr>
          <w:rFonts w:ascii="Arial" w:cs="Arial" w:eastAsia="Arial" w:hAnsi="Arial"/>
          <w:sz w:val="18"/>
          <w:szCs w:val="18"/>
          <w:color w:val="auto"/>
        </w:rPr>
      </w:pPr>
      <w:r>
        <w:rPr>
          <w:rFonts w:ascii="Times New Roman" w:cs="Times New Roman" w:eastAsia="Times New Roman" w:hAnsi="Times New Roman"/>
          <w:sz w:val="17"/>
          <w:szCs w:val="17"/>
          <w:color w:val="auto"/>
        </w:rPr>
        <w:t>substantial number of authorized but unissued Common Shares (as defined herein);</w:t>
      </w:r>
    </w:p>
    <w:p>
      <w:pPr>
        <w:spacing w:after="0" w:line="20" w:lineRule="exact"/>
        <w:rPr>
          <w:rFonts w:ascii="Arial" w:cs="Arial" w:eastAsia="Arial" w:hAnsi="Arial"/>
          <w:sz w:val="18"/>
          <w:szCs w:val="18"/>
          <w:color w:val="auto"/>
        </w:rPr>
      </w:pPr>
    </w:p>
    <w:p>
      <w:pPr>
        <w:ind w:left="1160" w:hanging="576"/>
        <w:spacing w:after="0"/>
        <w:tabs>
          <w:tab w:leader="none" w:pos="11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cash flow from operating activities;</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capital requirements;</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significant product revenue;</w:t>
      </w:r>
    </w:p>
    <w:p>
      <w:pPr>
        <w:spacing w:after="0" w:line="12"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or judgments relating to critical accounting policies;</w:t>
      </w:r>
    </w:p>
    <w:p>
      <w:pPr>
        <w:sectPr>
          <w:pgSz w:w="11900" w:h="16838" w:orient="portrait"/>
          <w:cols w:equalWidth="0" w:num="1">
            <w:col w:w="10139"/>
          </w:cols>
          <w:pgMar w:left="320" w:top="7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139"/>
          </w:cols>
          <w:pgMar w:left="320" w:top="705" w:right="1440"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t>Risks related to the Common Shares:</w:t>
      </w:r>
    </w:p>
    <w:p>
      <w:pPr>
        <w:spacing w:after="0" w:line="27" w:lineRule="exact"/>
        <w:rPr>
          <w:sz w:val="20"/>
          <w:szCs w:val="20"/>
          <w:color w:val="auto"/>
        </w:rPr>
      </w:pPr>
    </w:p>
    <w:p>
      <w:pPr>
        <w:ind w:left="1160" w:hanging="576"/>
        <w:spacing w:after="0"/>
        <w:tabs>
          <w:tab w:leader="none" w:pos="11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for the Common Shares;</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sales of Common Shares;</w:t>
      </w:r>
    </w:p>
    <w:p>
      <w:pPr>
        <w:spacing w:after="0" w:line="6"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market price for the Common Shares;</w:t>
      </w:r>
    </w:p>
    <w:p>
      <w:pPr>
        <w:spacing w:after="0" w:line="12"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and</w:t>
      </w:r>
    </w:p>
    <w:p>
      <w:pPr>
        <w:spacing w:after="0" w:line="7" w:lineRule="exact"/>
        <w:rPr>
          <w:rFonts w:ascii="Times New Roman" w:cs="Times New Roman" w:eastAsia="Times New Roman" w:hAnsi="Times New Roman"/>
          <w:sz w:val="18"/>
          <w:szCs w:val="18"/>
          <w:color w:val="auto"/>
        </w:rPr>
      </w:pPr>
    </w:p>
    <w:p>
      <w:pPr>
        <w:ind w:left="1160" w:hanging="576"/>
        <w:spacing w:after="0"/>
        <w:tabs>
          <w:tab w:leader="none" w:pos="11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w:t>
      </w:r>
    </w:p>
    <w:p>
      <w:pPr>
        <w:spacing w:after="0" w:line="21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63" w:lineRule="exact"/>
        <w:rPr>
          <w:sz w:val="20"/>
          <w:szCs w:val="20"/>
          <w:color w:val="auto"/>
        </w:rPr>
      </w:pPr>
    </w:p>
    <w:p>
      <w:pPr>
        <w:ind w:left="580" w:right="20" w:hanging="292"/>
        <w:spacing w:after="0" w:line="255" w:lineRule="auto"/>
        <w:tabs>
          <w:tab w:leader="none" w:pos="576"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substantial fluctuation of losses from quarter to quarter and year to year due to numerous external risk factors, and anticipation that we will continue to incur significant losses in the future;</w:t>
      </w:r>
    </w:p>
    <w:p>
      <w:pPr>
        <w:ind w:left="580" w:hanging="292"/>
        <w:spacing w:after="0"/>
        <w:tabs>
          <w:tab w:leader="none" w:pos="580"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uncertainty as to the Company’s ability to raise additional funding to support operations;</w:t>
      </w:r>
    </w:p>
    <w:p>
      <w:pPr>
        <w:ind w:left="580" w:hanging="292"/>
        <w:spacing w:after="0"/>
        <w:tabs>
          <w:tab w:leader="none" w:pos="580"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access additional funding;</w:t>
      </w:r>
    </w:p>
    <w:p>
      <w:pPr>
        <w:ind w:left="580" w:hanging="292"/>
        <w:spacing w:after="0"/>
        <w:tabs>
          <w:tab w:leader="none" w:pos="580"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fluctuation of foreign exchange rates;</w:t>
      </w:r>
    </w:p>
    <w:p>
      <w:pPr>
        <w:spacing w:after="0" w:line="12" w:lineRule="exact"/>
        <w:rPr>
          <w:rFonts w:ascii="Calibri" w:cs="Calibri" w:eastAsia="Calibri" w:hAnsi="Calibri"/>
          <w:sz w:val="18"/>
          <w:szCs w:val="18"/>
          <w:color w:val="auto"/>
        </w:rPr>
      </w:pPr>
    </w:p>
    <w:p>
      <w:pPr>
        <w:ind w:left="580" w:hanging="292"/>
        <w:spacing w:after="0"/>
        <w:tabs>
          <w:tab w:leader="none" w:pos="580"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duration of COVID-19 and the extent of its economic and social impact;</w:t>
      </w:r>
    </w:p>
    <w:p>
      <w:pPr>
        <w:ind w:left="580" w:hanging="292"/>
        <w:spacing w:after="0"/>
        <w:tabs>
          <w:tab w:leader="none" w:pos="580"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associated with the development of the Company’s product candidates which are at early stages of development;</w:t>
      </w:r>
    </w:p>
    <w:p>
      <w:pPr>
        <w:spacing w:after="0" w:line="12" w:lineRule="exact"/>
        <w:rPr>
          <w:rFonts w:ascii="Calibri" w:cs="Calibri" w:eastAsia="Calibri" w:hAnsi="Calibri"/>
          <w:sz w:val="18"/>
          <w:szCs w:val="18"/>
          <w:color w:val="auto"/>
        </w:rPr>
      </w:pPr>
    </w:p>
    <w:p>
      <w:pPr>
        <w:ind w:left="580" w:hanging="292"/>
        <w:spacing w:after="0"/>
        <w:tabs>
          <w:tab w:leader="none" w:pos="580"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upon industry publications as the Company’s primary sources for third-party industry data and forecasts;</w:t>
      </w:r>
    </w:p>
    <w:p>
      <w:pPr>
        <w:spacing w:after="0" w:line="12" w:lineRule="exact"/>
        <w:rPr>
          <w:rFonts w:ascii="Calibri" w:cs="Calibri" w:eastAsia="Calibri" w:hAnsi="Calibri"/>
          <w:sz w:val="18"/>
          <w:szCs w:val="18"/>
          <w:color w:val="auto"/>
        </w:rPr>
      </w:pPr>
    </w:p>
    <w:p>
      <w:pPr>
        <w:ind w:left="580" w:hanging="292"/>
        <w:spacing w:after="0"/>
        <w:tabs>
          <w:tab w:leader="none" w:pos="580"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parties to plan, conduct and monitor the Company’s preclinical studies and clinical trials;</w:t>
      </w:r>
    </w:p>
    <w:p>
      <w:pPr>
        <w:ind w:left="580" w:hanging="292"/>
        <w:spacing w:after="0"/>
        <w:tabs>
          <w:tab w:leader="none" w:pos="580"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party contract manufacturers to deliver quality clinical and preclinical materials;</w:t>
      </w:r>
    </w:p>
    <w:p>
      <w:pPr>
        <w:spacing w:after="0" w:line="12" w:lineRule="exact"/>
        <w:rPr>
          <w:rFonts w:ascii="Calibri" w:cs="Calibri" w:eastAsia="Calibri" w:hAnsi="Calibri"/>
          <w:sz w:val="18"/>
          <w:szCs w:val="18"/>
          <w:color w:val="auto"/>
        </w:rPr>
      </w:pPr>
    </w:p>
    <w:p>
      <w:pPr>
        <w:ind w:left="580" w:right="20" w:hanging="292"/>
        <w:spacing w:after="0" w:line="254" w:lineRule="auto"/>
        <w:tabs>
          <w:tab w:leader="none" w:pos="576"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product candidates may fail to demonstrate safety and efficacy to the satisfaction of regulatory authorities or may not otherwise produce positive results;</w:t>
      </w:r>
    </w:p>
    <w:p>
      <w:pPr>
        <w:ind w:left="580" w:hanging="292"/>
        <w:spacing w:after="0"/>
        <w:tabs>
          <w:tab w:leader="none" w:pos="580"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risks related to filing investigational new drug applications to commence clinical trials and to continue clinical trials if approved;</w:t>
      </w:r>
    </w:p>
    <w:p>
      <w:pPr>
        <w:ind w:left="580" w:hanging="292"/>
        <w:spacing w:after="0"/>
        <w:tabs>
          <w:tab w:leader="none" w:pos="580"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of delays and inability to complete clinical trials due to difficulties enrolling patients;</w:t>
      </w:r>
    </w:p>
    <w:p>
      <w:pPr>
        <w:ind w:left="580" w:hanging="292"/>
        <w:spacing w:after="0"/>
        <w:tabs>
          <w:tab w:leader="none" w:pos="580"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competition from other biotechnology and pharmaceutical companies;</w:t>
      </w:r>
    </w:p>
    <w:p>
      <w:pPr>
        <w:spacing w:after="0" w:line="12" w:lineRule="exact"/>
        <w:rPr>
          <w:rFonts w:ascii="Calibri" w:cs="Calibri" w:eastAsia="Calibri" w:hAnsi="Calibri"/>
          <w:sz w:val="18"/>
          <w:szCs w:val="18"/>
          <w:color w:val="auto"/>
        </w:rPr>
      </w:pPr>
    </w:p>
    <w:p>
      <w:pPr>
        <w:ind w:left="580" w:right="20" w:hanging="292"/>
        <w:spacing w:after="0" w:line="254" w:lineRule="auto"/>
        <w:tabs>
          <w:tab w:leader="none" w:pos="576"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reliance on the capabilities and experience of the Company’s key executives and scientists and the resulting loss of any of these individuals;</w:t>
      </w:r>
    </w:p>
    <w:p>
      <w:pPr>
        <w:ind w:left="580" w:hanging="292"/>
        <w:spacing w:after="0"/>
        <w:tabs>
          <w:tab w:leader="none" w:pos="580"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fully realize the benefits of acquisitions;</w:t>
      </w:r>
    </w:p>
    <w:p>
      <w:pPr>
        <w:ind w:left="580" w:hanging="292"/>
        <w:spacing w:after="0"/>
        <w:tabs>
          <w:tab w:leader="none" w:pos="580"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adequately protect the Company’s intellectual property and trade secrets;</w:t>
      </w:r>
    </w:p>
    <w:p>
      <w:pPr>
        <w:ind w:left="580" w:hanging="292"/>
        <w:spacing w:after="0"/>
        <w:tabs>
          <w:tab w:leader="none" w:pos="580" w:val="left"/>
        </w:tabs>
        <w:numPr>
          <w:ilvl w:val="0"/>
          <w:numId w:val="9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 of patent-related or other litigation; and</w:t>
      </w:r>
    </w:p>
    <w:p>
      <w:pPr>
        <w:spacing w:after="0" w:line="19" w:lineRule="exact"/>
        <w:rPr>
          <w:rFonts w:ascii="Calibri" w:cs="Calibri" w:eastAsia="Calibri" w:hAnsi="Calibri"/>
          <w:sz w:val="18"/>
          <w:szCs w:val="18"/>
          <w:color w:val="auto"/>
        </w:rPr>
      </w:pPr>
    </w:p>
    <w:p>
      <w:pPr>
        <w:ind w:left="580" w:right="20" w:hanging="292"/>
        <w:spacing w:after="0" w:line="263" w:lineRule="auto"/>
        <w:tabs>
          <w:tab w:leader="none" w:pos="578" w:val="left"/>
        </w:tabs>
        <w:numPr>
          <w:ilvl w:val="0"/>
          <w:numId w:val="91"/>
        </w:numPr>
        <w:rPr>
          <w:rFonts w:ascii="Arial" w:cs="Arial" w:eastAsia="Arial" w:hAnsi="Arial"/>
          <w:sz w:val="20"/>
          <w:szCs w:val="20"/>
          <w:color w:val="auto"/>
        </w:rPr>
      </w:pPr>
      <w:r>
        <w:rPr>
          <w:rFonts w:ascii="Times New Roman" w:cs="Times New Roman" w:eastAsia="Times New Roman" w:hAnsi="Times New Roman"/>
          <w:sz w:val="18"/>
          <w:szCs w:val="18"/>
          <w:color w:val="auto"/>
        </w:rPr>
        <w:t>the risk of unforeseen changes to the laws or regulations in the United States (the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the United Kingdom (the “</w:t>
      </w:r>
      <w:r>
        <w:rPr>
          <w:rFonts w:ascii="Times New Roman" w:cs="Times New Roman" w:eastAsia="Times New Roman" w:hAnsi="Times New Roman"/>
          <w:sz w:val="18"/>
          <w:szCs w:val="18"/>
          <w:b w:val="1"/>
          <w:bCs w:val="1"/>
          <w:color w:val="auto"/>
        </w:rPr>
        <w:t>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Kingdom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Canada, Ireland and other jurisdictions in which the Company operates.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9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 addition to the factors set out above and those identified in this MD&amp;A under “Risk Factors”,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320" w:top="705"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 Overview</w:t>
      </w:r>
    </w:p>
    <w:p>
      <w:pPr>
        <w:spacing w:after="0" w:line="21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is a biotechnology company focused on advancing pharmaceutical therapies, delivery mechanisms, novel compounds and protocols as potential therapies for various psychiatric and neurological conditions. The Company is developing technologies and delivery systems aiming to improve the pharmacokinetics of its psychedelic molecules while retaining the therapeutics benefit. The new molecules and delivery systems are expected to be studied through clinical trials to confirm safety and efficacy.</w:t>
      </w:r>
    </w:p>
    <w:p>
      <w:pPr>
        <w:spacing w:after="0" w:line="1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whereby Cybin Corp. amalgamated with SubCo to form an amalgamated corporation and a wholly owned subsidiary of the Company.</w:t>
      </w:r>
    </w:p>
    <w:p>
      <w:pPr>
        <w:spacing w:after="0" w:line="19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Immediately prior to the completion of the Reverse Takeover, the Company completed a consolidation of all of its issued and outstanding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on the basis of 6.672 old Common Shares into one new Common Share. All Common Share and per Common Share amounts expressed herein reflect the post-consolidation Common Shares.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Reverse Takeover, Clarmin Explorations Inc. (“</w:t>
      </w:r>
      <w:r>
        <w:rPr>
          <w:rFonts w:ascii="Times New Roman" w:cs="Times New Roman" w:eastAsia="Times New Roman" w:hAnsi="Times New Roman"/>
          <w:sz w:val="18"/>
          <w:szCs w:val="18"/>
          <w:b w:val="1"/>
          <w:bCs w:val="1"/>
          <w:color w:val="auto"/>
        </w:rPr>
        <w:t>Clarmin</w:t>
      </w:r>
      <w:r>
        <w:rPr>
          <w:rFonts w:ascii="Times New Roman" w:cs="Times New Roman" w:eastAsia="Times New Roman" w:hAnsi="Times New Roman"/>
          <w:sz w:val="18"/>
          <w:szCs w:val="18"/>
          <w:color w:val="auto"/>
        </w:rPr>
        <w:t>”) changed its name to “Cybin Inc.” and the Common Shares became listed for trading on the Neo Exchange Inc.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under the trading symbol “CYBN”.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substance of the Reverse Takeover was a reverse takeover of a non-operating company. The Reverse Takeover does not constitute a business combination as Clarmin did not meet the definition of a business under IFRS 3. As a result, the Reverse Takeover is accounted for as a capital transaction with Cybin being identified as the acquirer and the equity consideration being measured at fair value. The resulting unaudited condensed interim consolidated statement of financial position is presented as a continuation of Cybin Corp. and comparative figures presented in the condensed interim consolidated financial statements after the Reverse Takeover are those of Cybin Corp.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completing the Reverse Takeover, and during fiscal 2020, the Company was inactive and evaluating business opportunities.</w:t>
      </w:r>
    </w:p>
    <w:p>
      <w:pPr>
        <w:spacing w:after="0" w:line="23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On July 8, 2021, the Company announced the scaling up of its European operations and research activities with various academic and clinical research organizations, including the transfer of its intellectual property assets to its wholly owned Ireland subsidiary, Cybin IRL Limited (“</w:t>
      </w:r>
      <w:r>
        <w:rPr>
          <w:rFonts w:ascii="Times New Roman" w:cs="Times New Roman" w:eastAsia="Times New Roman" w:hAnsi="Times New Roman"/>
          <w:sz w:val="18"/>
          <w:szCs w:val="18"/>
          <w:b w:val="1"/>
          <w:bCs w:val="1"/>
          <w:color w:val="auto"/>
        </w:rPr>
        <w:t>Cybin Ireland</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On August 5, 2021, the Common Shares commenced trading on the NYSE American LLC stock exchange (the “</w:t>
      </w:r>
      <w:r>
        <w:rPr>
          <w:rFonts w:ascii="Times New Roman" w:cs="Times New Roman" w:eastAsia="Times New Roman" w:hAnsi="Times New Roman"/>
          <w:sz w:val="18"/>
          <w:szCs w:val="18"/>
          <w:b w:val="1"/>
          <w:bCs w:val="1"/>
          <w:color w:val="auto"/>
        </w:rPr>
        <w:t>NYSE American</w:t>
      </w:r>
      <w:r>
        <w:rPr>
          <w:rFonts w:ascii="Times New Roman" w:cs="Times New Roman" w:eastAsia="Times New Roman" w:hAnsi="Times New Roman"/>
          <w:sz w:val="18"/>
          <w:szCs w:val="18"/>
          <w:color w:val="auto"/>
        </w:rPr>
        <w:t>”) under the symbol “CYBN”. Concurrent with the commencement of trading on the NYSE American, the Common Shares ceased to be quoted on the OTCQB® Venture Market.</w:t>
      </w:r>
    </w:p>
    <w:p>
      <w:pPr>
        <w:spacing w:after="0" w:line="14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 xml:space="preserve">Please refer to “General Development of the Business” in the AIF for additional information on the background and operational highlights of Cybin. The AIF may be viewed under the SEDAR profile of Cybin at </w:t>
      </w:r>
      <w:r>
        <w:rPr>
          <w:rFonts w:ascii="Times New Roman" w:cs="Times New Roman" w:eastAsia="Times New Roman" w:hAnsi="Times New Roman"/>
          <w:sz w:val="18"/>
          <w:szCs w:val="18"/>
          <w:i w:val="1"/>
          <w:iCs w:val="1"/>
          <w:u w:val="single" w:color="auto"/>
          <w:color w:val="0563C1"/>
        </w:rPr>
        <w:t>www.sedar.com</w:t>
      </w:r>
      <w:r>
        <w:rPr>
          <w:rFonts w:ascii="Times New Roman" w:cs="Times New Roman" w:eastAsia="Times New Roman" w:hAnsi="Times New Roman"/>
          <w:sz w:val="18"/>
          <w:szCs w:val="18"/>
          <w:color w:val="auto"/>
        </w:rPr>
        <w: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has historically had two business segments (a) Serenity Life Sciences Inc. and Cybin US Holdings Inc. (“</w:t>
      </w:r>
      <w:r>
        <w:rPr>
          <w:rFonts w:ascii="Times New Roman" w:cs="Times New Roman" w:eastAsia="Times New Roman" w:hAnsi="Times New Roman"/>
          <w:sz w:val="18"/>
          <w:szCs w:val="18"/>
          <w:b w:val="1"/>
          <w:bCs w:val="1"/>
          <w:color w:val="auto"/>
        </w:rPr>
        <w:t>Cybin U.S.</w:t>
      </w:r>
      <w:r>
        <w:rPr>
          <w:rFonts w:ascii="Times New Roman" w:cs="Times New Roman" w:eastAsia="Times New Roman" w:hAnsi="Times New Roman"/>
          <w:sz w:val="18"/>
          <w:szCs w:val="18"/>
          <w:color w:val="auto"/>
        </w:rPr>
        <w:t>”) that focus on the research and development (“</w:t>
      </w:r>
      <w:r>
        <w:rPr>
          <w:rFonts w:ascii="Times New Roman" w:cs="Times New Roman" w:eastAsia="Times New Roman" w:hAnsi="Times New Roman"/>
          <w:sz w:val="18"/>
          <w:szCs w:val="18"/>
          <w:b w:val="1"/>
          <w:bCs w:val="1"/>
          <w:color w:val="auto"/>
        </w:rPr>
        <w:t>R&amp;D</w:t>
      </w:r>
      <w:r>
        <w:rPr>
          <w:rFonts w:ascii="Times New Roman" w:cs="Times New Roman" w:eastAsia="Times New Roman" w:hAnsi="Times New Roman"/>
          <w:sz w:val="18"/>
          <w:szCs w:val="18"/>
          <w:color w:val="auto"/>
        </w:rPr>
        <w:t>”) of psychedelic pharmaceutical products; and (b) Natures Journey Inc. (“</w:t>
      </w:r>
      <w:r>
        <w:rPr>
          <w:rFonts w:ascii="Times New Roman" w:cs="Times New Roman" w:eastAsia="Times New Roman" w:hAnsi="Times New Roman"/>
          <w:sz w:val="18"/>
          <w:szCs w:val="18"/>
          <w:b w:val="1"/>
          <w:bCs w:val="1"/>
          <w:color w:val="auto"/>
        </w:rPr>
        <w:t>Natures Journey</w:t>
      </w:r>
      <w:r>
        <w:rPr>
          <w:rFonts w:ascii="Times New Roman" w:cs="Times New Roman" w:eastAsia="Times New Roman" w:hAnsi="Times New Roman"/>
          <w:sz w:val="18"/>
          <w:szCs w:val="18"/>
          <w:color w:val="auto"/>
        </w:rPr>
        <w:t>”) that focused on consumer mental wellness, including non-psychedelic nutraceutical products (the “</w:t>
      </w:r>
      <w:r>
        <w:rPr>
          <w:rFonts w:ascii="Times New Roman" w:cs="Times New Roman" w:eastAsia="Times New Roman" w:hAnsi="Times New Roman"/>
          <w:sz w:val="18"/>
          <w:szCs w:val="18"/>
          <w:b w:val="1"/>
          <w:bCs w:val="1"/>
          <w:color w:val="auto"/>
        </w:rPr>
        <w:t>Product Line</w:t>
      </w:r>
      <w:r>
        <w:rPr>
          <w:rFonts w:ascii="Times New Roman" w:cs="Times New Roman" w:eastAsia="Times New Roman" w:hAnsi="Times New Roman"/>
          <w:sz w:val="18"/>
          <w:szCs w:val="18"/>
          <w:color w:val="auto"/>
        </w:rPr>
        <w:t>”) and consumer mental wellness. In November 2021, the Company decided to not proceed with the Natures Journey business segment in order to prioritize its research and development of psychedelic pharmaceutical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Psychedelics</w:t>
      </w:r>
    </w:p>
    <w:p>
      <w:pPr>
        <w:spacing w:after="0" w:line="210"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The Company is conducting research and development of psychedelic therapeutics that aim to address unmet mental health conditions by leveraging proprietary drug discovery platforms, novel formulation approaches, innovative drug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702" w:right="319" w:bottom="1440" w:gutter="0" w:footer="0" w:header="0"/>
        </w:sectPr>
      </w:pPr>
    </w:p>
    <w:bookmarkStart w:id="158" w:name="page159"/>
    <w:bookmarkEnd w:id="158"/>
    <w:p>
      <w:pPr>
        <w:jc w:val="both"/>
        <w:ind w:left="2" w:right="20"/>
        <w:spacing w:after="0" w:line="285" w:lineRule="auto"/>
        <w:rPr>
          <w:sz w:val="20"/>
          <w:szCs w:val="20"/>
          <w:color w:val="auto"/>
        </w:rPr>
      </w:pPr>
      <w:r>
        <w:rPr>
          <w:rFonts w:ascii="Times New Roman" w:cs="Times New Roman" w:eastAsia="Times New Roman" w:hAnsi="Times New Roman"/>
          <w:sz w:val="18"/>
          <w:szCs w:val="18"/>
          <w:color w:val="auto"/>
        </w:rPr>
        <w:t>delivery systems, and optimized treatment regimens. This comprehensive strategy is predicated on structural modifications of known tryptamine derivatives to improve their pharmacokinetic properties without altering their respective pharmacology.</w:t>
      </w:r>
    </w:p>
    <w:p>
      <w:pPr>
        <w:spacing w:after="0" w:line="132" w:lineRule="exact"/>
        <w:rPr>
          <w:sz w:val="20"/>
          <w:szCs w:val="20"/>
          <w:color w:val="auto"/>
        </w:rPr>
      </w:pPr>
    </w:p>
    <w:p>
      <w:pPr>
        <w:jc w:val="both"/>
        <w:ind w:left="2"/>
        <w:spacing w:after="0" w:line="239" w:lineRule="auto"/>
        <w:rPr>
          <w:sz w:val="20"/>
          <w:szCs w:val="20"/>
          <w:color w:val="auto"/>
        </w:rPr>
      </w:pPr>
      <w:r>
        <w:rPr>
          <w:rFonts w:ascii="Times New Roman" w:cs="Times New Roman" w:eastAsia="Times New Roman" w:hAnsi="Times New Roman"/>
          <w:sz w:val="18"/>
          <w:szCs w:val="18"/>
          <w:color w:val="auto"/>
        </w:rPr>
        <w:t>Across the various research and development programs, the Company is researching and developing a wide array of novel, synthetic psychedelic active pharmaceutical ingredients (“</w:t>
      </w:r>
      <w:r>
        <w:rPr>
          <w:rFonts w:ascii="Times New Roman" w:cs="Times New Roman" w:eastAsia="Times New Roman" w:hAnsi="Times New Roman"/>
          <w:sz w:val="18"/>
          <w:szCs w:val="18"/>
          <w:b w:val="1"/>
          <w:bCs w:val="1"/>
          <w:color w:val="auto"/>
        </w:rPr>
        <w:t>API</w:t>
      </w:r>
      <w:r>
        <w:rPr>
          <w:rFonts w:ascii="Times New Roman" w:cs="Times New Roman" w:eastAsia="Times New Roman" w:hAnsi="Times New Roman"/>
          <w:sz w:val="18"/>
          <w:szCs w:val="18"/>
          <w:color w:val="auto"/>
        </w:rPr>
        <w:t>”) intended to be delivered through innovative drug delivery systems including sublingual films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orally disintegrating tablets (“</w:t>
      </w:r>
      <w:r>
        <w:rPr>
          <w:rFonts w:ascii="Times New Roman" w:cs="Times New Roman" w:eastAsia="Times New Roman" w:hAnsi="Times New Roman"/>
          <w:sz w:val="18"/>
          <w:szCs w:val="18"/>
          <w:b w:val="1"/>
          <w:bCs w:val="1"/>
          <w:color w:val="auto"/>
        </w:rPr>
        <w:t>ODT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and via inhalation.</w:t>
      </w:r>
    </w:p>
    <w:p>
      <w:pPr>
        <w:spacing w:after="0" w:line="106" w:lineRule="exact"/>
        <w:rPr>
          <w:sz w:val="20"/>
          <w:szCs w:val="20"/>
          <w:color w:val="auto"/>
        </w:rPr>
      </w:pPr>
    </w:p>
    <w:p>
      <w:pPr>
        <w:jc w:val="both"/>
        <w:ind w:left="2" w:right="20"/>
        <w:spacing w:after="0" w:line="272" w:lineRule="auto"/>
        <w:rPr>
          <w:sz w:val="20"/>
          <w:szCs w:val="20"/>
          <w:color w:val="auto"/>
        </w:rPr>
      </w:pPr>
      <w:r>
        <w:rPr>
          <w:rFonts w:ascii="Times New Roman" w:cs="Times New Roman" w:eastAsia="Times New Roman" w:hAnsi="Times New Roman"/>
          <w:sz w:val="18"/>
          <w:szCs w:val="18"/>
          <w:color w:val="auto"/>
        </w:rPr>
        <w:t>The Company intends to apply for regulatory approval for products targeting major depressive disorder (“</w:t>
      </w:r>
      <w:r>
        <w:rPr>
          <w:rFonts w:ascii="Times New Roman" w:cs="Times New Roman" w:eastAsia="Times New Roman" w:hAnsi="Times New Roman"/>
          <w:sz w:val="18"/>
          <w:szCs w:val="18"/>
          <w:b w:val="1"/>
          <w:bCs w:val="1"/>
          <w:color w:val="auto"/>
        </w:rPr>
        <w:t>MDD</w:t>
      </w:r>
      <w:r>
        <w:rPr>
          <w:rFonts w:ascii="Times New Roman" w:cs="Times New Roman" w:eastAsia="Times New Roman" w:hAnsi="Times New Roman"/>
          <w:sz w:val="18"/>
          <w:szCs w:val="18"/>
          <w:color w:val="auto"/>
        </w:rPr>
        <w:t>”), alcohol use disorder (“</w:t>
      </w:r>
      <w:r>
        <w:rPr>
          <w:rFonts w:ascii="Times New Roman" w:cs="Times New Roman" w:eastAsia="Times New Roman" w:hAnsi="Times New Roman"/>
          <w:sz w:val="18"/>
          <w:szCs w:val="18"/>
          <w:b w:val="1"/>
          <w:bCs w:val="1"/>
          <w:color w:val="auto"/>
        </w:rPr>
        <w:t>AUD</w:t>
      </w:r>
      <w:r>
        <w:rPr>
          <w:rFonts w:ascii="Times New Roman" w:cs="Times New Roman" w:eastAsia="Times New Roman" w:hAnsi="Times New Roman"/>
          <w:sz w:val="18"/>
          <w:szCs w:val="18"/>
          <w:color w:val="auto"/>
        </w:rPr>
        <w:t>”) and various anxiety disorders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The Company is also developing products that may have the potential to address neuroinflammation</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both"/>
        <w:ind w:left="2" w:right="20"/>
        <w:spacing w:after="0" w:line="239" w:lineRule="auto"/>
        <w:rPr>
          <w:sz w:val="20"/>
          <w:szCs w:val="20"/>
          <w:color w:val="auto"/>
        </w:rPr>
      </w:pPr>
      <w:r>
        <w:rPr>
          <w:rFonts w:ascii="Times New Roman" w:cs="Times New Roman" w:eastAsia="Times New Roman" w:hAnsi="Times New Roman"/>
          <w:sz w:val="18"/>
          <w:szCs w:val="18"/>
          <w:color w:val="auto"/>
        </w:rPr>
        <w:t>Further, over the next 12-month period, the Company will continue to seek to establish strategic partnerships that advance the Company’s scientific research and intellectual property for new psychedelic compounds and novel delivery mechanisms</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The Company will also continue to sponsor select clinical trials that advance the safety and efficacy understanding of various psychedelic agents that target mental health</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Non-Psychedelics</w:t>
      </w:r>
    </w:p>
    <w:p>
      <w:pPr>
        <w:spacing w:after="0" w:line="210" w:lineRule="exact"/>
        <w:rPr>
          <w:sz w:val="20"/>
          <w:szCs w:val="20"/>
          <w:color w:val="auto"/>
        </w:rPr>
      </w:pPr>
    </w:p>
    <w:p>
      <w:pPr>
        <w:jc w:val="both"/>
        <w:ind w:left="2" w:right="20"/>
        <w:spacing w:after="0" w:line="242" w:lineRule="auto"/>
        <w:rPr>
          <w:sz w:val="20"/>
          <w:szCs w:val="20"/>
          <w:color w:val="auto"/>
        </w:rPr>
      </w:pPr>
      <w:r>
        <w:rPr>
          <w:rFonts w:ascii="Times New Roman" w:cs="Times New Roman" w:eastAsia="Times New Roman" w:hAnsi="Times New Roman"/>
          <w:sz w:val="18"/>
          <w:szCs w:val="18"/>
          <w:color w:val="auto"/>
        </w:rPr>
        <w:t>In November 2021, the Company decided to not proceed with the Natures Journey business segment, including the Product Line in order to prioritize its progression of its research and development of psychedelic pharmaceutical products. As of the date of this MD&amp;A, the Company has not begun operations nor generated any revenue from the sale of the Product Line and it does not expect any revenues from the Product Line going forward.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155194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05" w:lineRule="exact"/>
        <w:rPr>
          <w:sz w:val="20"/>
          <w:szCs w:val="20"/>
          <w:color w:val="auto"/>
        </w:rPr>
      </w:pPr>
    </w:p>
    <w:p>
      <w:pPr>
        <w:jc w:val="both"/>
        <w:ind w:left="2" w:firstLine="3"/>
        <w:spacing w:after="0" w:line="226" w:lineRule="auto"/>
        <w:tabs>
          <w:tab w:leader="none" w:pos="114" w:val="left"/>
        </w:tabs>
        <w:numPr>
          <w:ilvl w:val="0"/>
          <w:numId w:val="9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Company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w:t>
      </w:r>
      <w:r>
        <w:rPr>
          <w:rFonts w:ascii="Times New Roman" w:cs="Times New Roman" w:eastAsia="Times New Roman" w:hAnsi="Times New Roman"/>
          <w:sz w:val="13"/>
          <w:szCs w:val="13"/>
          <w:color w:val="auto"/>
        </w:rPr>
        <w:t>.</w:t>
      </w:r>
      <w:r>
        <w:rPr>
          <w:rFonts w:ascii="Times New Roman" w:cs="Times New Roman" w:eastAsia="Times New Roman" w:hAnsi="Times New Roman"/>
          <w:sz w:val="15"/>
          <w:szCs w:val="15"/>
          <w:color w:val="auto"/>
        </w:rPr>
        <w:t xml:space="preserve"> On November 8, 2021, the Company announced that its research into its Deuterated Psilocybin Analog program has identified a putative orally deliverable drug product that appears to have more desirable characteristics than psilocybin delivered by sublingual film. Although the Company is still evaluating the sublingual film technology, it has prioritized the Deuterated Psilocybin Analog program over the sublingual film technology as a result of the Company’s positive view of the Deuterated Psilocybin Analog program research data.</w:t>
      </w:r>
    </w:p>
    <w:p>
      <w:pPr>
        <w:spacing w:after="0" w:line="1" w:lineRule="exact"/>
        <w:rPr>
          <w:rFonts w:ascii="Times New Roman" w:cs="Times New Roman" w:eastAsia="Times New Roman" w:hAnsi="Times New Roman"/>
          <w:sz w:val="19"/>
          <w:szCs w:val="19"/>
          <w:color w:val="auto"/>
          <w:vertAlign w:val="superscript"/>
        </w:rPr>
      </w:pPr>
    </w:p>
    <w:p>
      <w:pPr>
        <w:jc w:val="both"/>
        <w:ind w:left="2" w:right="20"/>
        <w:spacing w:after="0" w:line="250"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The Company is currently applying Catalent’s proprietary Zydis® ODT technology as a delivery method during the development of the Company's novel deuterated tryptamine. Zydis technology creates a freeze-dried tablet that disperses almost instantly in the mouth without water and is recognized as one of the world’s best-performing ODTs. 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jc w:val="both"/>
        <w:ind w:left="2" w:right="20"/>
        <w:spacing w:after="0" w:line="226"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5"/>
          <w:szCs w:val="15"/>
          <w:color w:val="auto"/>
        </w:rPr>
        <w:t xml:space="preserve"> The material factors and assumption underlying this forward-looking statement is that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32" w:lineRule="exact"/>
        <w:rPr>
          <w:sz w:val="20"/>
          <w:szCs w:val="20"/>
          <w:color w:val="auto"/>
        </w:rPr>
      </w:pPr>
    </w:p>
    <w:p>
      <w:pPr>
        <w:jc w:val="both"/>
        <w:ind w:left="2" w:hanging="2"/>
        <w:spacing w:after="0" w:line="222" w:lineRule="auto"/>
        <w:tabs>
          <w:tab w:leader="none" w:pos="127" w:val="left"/>
        </w:tabs>
        <w:numPr>
          <w:ilvl w:val="0"/>
          <w:numId w:val="9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material factors and assumption underlying this forward-looking statement is that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3" w:lineRule="exact"/>
        <w:rPr>
          <w:rFonts w:ascii="Times New Roman" w:cs="Times New Roman" w:eastAsia="Times New Roman" w:hAnsi="Times New Roman"/>
          <w:sz w:val="25"/>
          <w:szCs w:val="25"/>
          <w:color w:val="auto"/>
          <w:vertAlign w:val="superscript"/>
        </w:rPr>
      </w:pPr>
    </w:p>
    <w:p>
      <w:pPr>
        <w:ind w:left="2"/>
        <w:spacing w:after="0" w:line="182"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5"/>
          <w:szCs w:val="15"/>
          <w:color w:val="auto"/>
        </w:rPr>
        <w:t xml:space="preserve"> The material factors and assumption underlying this forward-looking statement is that the Company will be able to successfully negotiate strategic partnerships.</w:t>
      </w:r>
    </w:p>
    <w:p>
      <w:pPr>
        <w:jc w:val="both"/>
        <w:ind w:left="2" w:right="20"/>
        <w:spacing w:after="0" w:line="216"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5"/>
          <w:szCs w:val="15"/>
          <w:color w:val="auto"/>
        </w:rPr>
        <w:t xml:space="preserve"> 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p>
    <w:p>
      <w:pPr>
        <w:spacing w:after="0" w:line="200" w:lineRule="exact"/>
        <w:rPr>
          <w:sz w:val="20"/>
          <w:szCs w:val="20"/>
          <w:color w:val="auto"/>
        </w:rPr>
      </w:pPr>
    </w:p>
    <w:p>
      <w:pPr>
        <w:spacing w:after="0" w:line="34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2"/>
          </w:cols>
          <w:pgMar w:left="318" w:top="705" w:right="319" w:bottom="1440" w:gutter="0" w:footer="0" w:header="0"/>
        </w:sectPr>
      </w:pPr>
    </w:p>
    <w:bookmarkStart w:id="159" w:name="page160"/>
    <w:bookmarkEnd w:id="159"/>
    <w:p>
      <w:pPr>
        <w:jc w:val="both"/>
        <w:ind w:left="2" w:right="20"/>
        <w:spacing w:after="0" w:line="271" w:lineRule="auto"/>
        <w:rPr>
          <w:sz w:val="20"/>
          <w:szCs w:val="20"/>
          <w:color w:val="auto"/>
        </w:rPr>
      </w:pPr>
      <w:r>
        <w:rPr>
          <w:rFonts w:ascii="Times New Roman" w:cs="Times New Roman" w:eastAsia="Times New Roman" w:hAnsi="Times New Roman"/>
          <w:sz w:val="18"/>
          <w:szCs w:val="18"/>
          <w:color w:val="auto"/>
        </w:rPr>
        <w:t>revenues reflected in its 2021 annual consolidated financial statements are from non-recurring opportunist sales of non-core products sold in the United States.</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Stage of Development</w:t>
      </w:r>
    </w:p>
    <w:p>
      <w:pPr>
        <w:spacing w:after="0" w:line="137"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8"/>
          <w:szCs w:val="18"/>
          <w:color w:val="auto"/>
        </w:rPr>
        <w:t>Like most life sciences and pharmaceutical companies, the Company's psychedelic business is focused on research and development and any future revenue will be dependent on a number of factors, including the outcome of the Company’s sponsored clinical trials and the receipt of all necessary regulatory approvals.</w:t>
      </w:r>
    </w:p>
    <w:p>
      <w:pPr>
        <w:spacing w:after="0" w:line="163"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8"/>
          <w:szCs w:val="18"/>
          <w:color w:val="auto"/>
        </w:rPr>
        <w:t>The Company’s revenues reflected in the Financial Statements originated from non-core, nutraceutical formulation which was purchased and formulated into finished goods and sold in the United States to one purchaser. The products will not be re-generated in the future and do not represent core sales of the Company and/or core products of the Company. The Company has discontinued its sales of such products as it is not in line with the Company’s core sales model.</w:t>
      </w:r>
    </w:p>
    <w:p>
      <w:pPr>
        <w:spacing w:after="0" w:line="154" w:lineRule="exact"/>
        <w:rPr>
          <w:sz w:val="20"/>
          <w:szCs w:val="20"/>
          <w:color w:val="auto"/>
        </w:rPr>
      </w:pPr>
    </w:p>
    <w:p>
      <w:pPr>
        <w:jc w:val="both"/>
        <w:ind w:left="2"/>
        <w:spacing w:after="0" w:line="264" w:lineRule="auto"/>
        <w:rPr>
          <w:sz w:val="20"/>
          <w:szCs w:val="20"/>
          <w:color w:val="auto"/>
        </w:rPr>
      </w:pPr>
      <w:r>
        <w:rPr>
          <w:rFonts w:ascii="Times New Roman" w:cs="Times New Roman" w:eastAsia="Times New Roman" w:hAnsi="Times New Roman"/>
          <w:sz w:val="18"/>
          <w:szCs w:val="18"/>
          <w:color w:val="auto"/>
        </w:rPr>
        <w:t>In order to establish its business operations, the Company intends to leverage the extensive professional network of its management to build working partnerships with (i) existing producers of psychedelic products based in Canada, the United States, and the United Kingdom to source the psychedelic pharmaceutical products the Company intends to develop and distribute under its specific brand, and (ii) to explore options to facilitate the development and distribution and sale of its specific brand of psychedelic pharmaceutical products.</w:t>
      </w:r>
      <w:r>
        <w:rPr>
          <w:rFonts w:ascii="Times New Roman" w:cs="Times New Roman" w:eastAsia="Times New Roman" w:hAnsi="Times New Roman"/>
          <w:sz w:val="23"/>
          <w:szCs w:val="23"/>
          <w:color w:val="auto"/>
          <w:vertAlign w:val="superscript"/>
        </w:rPr>
        <w:t>7</w:t>
      </w:r>
    </w:p>
    <w:p>
      <w:pPr>
        <w:spacing w:after="0" w:line="89" w:lineRule="exact"/>
        <w:rPr>
          <w:sz w:val="20"/>
          <w:szCs w:val="20"/>
          <w:color w:val="auto"/>
        </w:rPr>
      </w:pPr>
    </w:p>
    <w:p>
      <w:pPr>
        <w:jc w:val="both"/>
        <w:ind w:left="2"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Company’s marketing and brand development will be driven through a digital marketing strategy composed of digital advertising and influencer marketing. Prescription drugs are classified and regulated under the federal </w:t>
      </w:r>
      <w:r>
        <w:rPr>
          <w:rFonts w:ascii="Times New Roman" w:cs="Times New Roman" w:eastAsia="Times New Roman" w:hAnsi="Times New Roman"/>
          <w:sz w:val="18"/>
          <w:szCs w:val="18"/>
          <w:i w:val="1"/>
          <w:iCs w:val="1"/>
          <w:color w:val="auto"/>
        </w:rPr>
        <w:t>Food and Drugs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Canadian FDA</w:t>
      </w:r>
      <w:r>
        <w:rPr>
          <w:rFonts w:ascii="Times New Roman" w:cs="Times New Roman" w:eastAsia="Times New Roman" w:hAnsi="Times New Roman"/>
          <w:sz w:val="18"/>
          <w:szCs w:val="18"/>
          <w:color w:val="auto"/>
        </w:rPr>
        <w:t>”). Labelling, marketing and selling of any prescription drug must comply with the Canadian FDA, including by ensuring that the Company’s products are not packaged or marketed in a manner that is misleading or deceptive to a consumer.</w:t>
      </w:r>
    </w:p>
    <w:p>
      <w:pPr>
        <w:spacing w:after="0" w:line="167" w:lineRule="exact"/>
        <w:rPr>
          <w:sz w:val="20"/>
          <w:szCs w:val="20"/>
          <w:color w:val="auto"/>
        </w:rPr>
      </w:pPr>
    </w:p>
    <w:p>
      <w:pPr>
        <w:jc w:val="both"/>
        <w:ind w:left="2" w:right="20"/>
        <w:spacing w:after="0" w:line="256" w:lineRule="auto"/>
        <w:rPr>
          <w:sz w:val="20"/>
          <w:szCs w:val="20"/>
          <w:color w:val="auto"/>
        </w:rPr>
      </w:pPr>
      <w:r>
        <w:rPr>
          <w:rFonts w:ascii="Times New Roman" w:cs="Times New Roman" w:eastAsia="Times New Roman" w:hAnsi="Times New Roman"/>
          <w:sz w:val="18"/>
          <w:szCs w:val="18"/>
          <w:color w:val="auto"/>
        </w:rPr>
        <w:t xml:space="preserve">In the United States, foods, drugs and dietary supplements are subject to extensive regulation. The </w:t>
      </w:r>
      <w:r>
        <w:rPr>
          <w:rFonts w:ascii="Times New Roman" w:cs="Times New Roman" w:eastAsia="Times New Roman" w:hAnsi="Times New Roman"/>
          <w:sz w:val="18"/>
          <w:szCs w:val="18"/>
          <w:i w:val="1"/>
          <w:iCs w:val="1"/>
          <w:color w:val="auto"/>
        </w:rPr>
        <w:t>Federal Food, Drug, and Cosmetic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2" w:right="20"/>
        <w:spacing w:after="0" w:line="255" w:lineRule="auto"/>
        <w:rPr>
          <w:sz w:val="20"/>
          <w:szCs w:val="20"/>
          <w:color w:val="auto"/>
        </w:rPr>
      </w:pPr>
      <w:r>
        <w:rPr>
          <w:rFonts w:ascii="Times New Roman" w:cs="Times New Roman" w:eastAsia="Times New Roman" w:hAnsi="Times New Roman"/>
          <w:sz w:val="18"/>
          <w:szCs w:val="18"/>
          <w:color w:val="auto"/>
        </w:rPr>
        <w:t>On November 4, 2021, the Company announced that it has been granted a Schedule I manufacturing license from the U.S. Drug Enforcement Administration (“</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The DEA license is for the Company’s research lab in the Boston area. The license will allow the Company to further become a hub for innovation and drug discovery. Previously, the Company conducted much of its R&amp;D work through globally licensed research organizations in the U.S., Canada, and the UK, and through certain in-house capabilities. With the DEA license, the Company expects to be able to expand its internal R&amp;D capabilities to support innovative drug discovery and delivery involving Schedule I compounds.</w:t>
      </w:r>
    </w:p>
    <w:p>
      <w:pPr>
        <w:spacing w:after="0" w:line="191" w:lineRule="exact"/>
        <w:rPr>
          <w:sz w:val="20"/>
          <w:szCs w:val="20"/>
          <w:color w:val="auto"/>
        </w:rPr>
      </w:pPr>
    </w:p>
    <w:p>
      <w:pPr>
        <w:jc w:val="both"/>
        <w:ind w:left="2" w:right="20"/>
        <w:spacing w:after="0" w:line="276" w:lineRule="auto"/>
        <w:rPr>
          <w:sz w:val="20"/>
          <w:szCs w:val="20"/>
          <w:color w:val="auto"/>
        </w:rPr>
      </w:pPr>
      <w:r>
        <w:rPr>
          <w:rFonts w:ascii="Times New Roman" w:cs="Times New Roman" w:eastAsia="Times New Roman" w:hAnsi="Times New Roman"/>
          <w:sz w:val="18"/>
          <w:szCs w:val="18"/>
          <w:color w:val="auto"/>
        </w:rPr>
        <w:t>On May 31, 2022, the Company announced the submission of an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application to the FDA for its Phase I/IIa first-in-human clinical trial evaluating CYB003, a proprietary deuterated psilocybin analog, for the treatment of MDD.</w:t>
      </w:r>
    </w:p>
    <w:p>
      <w:pPr>
        <w:spacing w:after="0" w:line="163" w:lineRule="exact"/>
        <w:rPr>
          <w:sz w:val="20"/>
          <w:szCs w:val="20"/>
          <w:color w:val="auto"/>
        </w:rPr>
      </w:pPr>
    </w:p>
    <w:p>
      <w:pPr>
        <w:jc w:val="both"/>
        <w:ind w:left="2" w:right="20"/>
        <w:spacing w:after="0" w:line="246" w:lineRule="auto"/>
        <w:rPr>
          <w:sz w:val="20"/>
          <w:szCs w:val="20"/>
          <w:color w:val="auto"/>
        </w:rPr>
      </w:pPr>
      <w:r>
        <w:rPr>
          <w:rFonts w:ascii="Times New Roman" w:cs="Times New Roman" w:eastAsia="Times New Roman" w:hAnsi="Times New Roman"/>
          <w:sz w:val="18"/>
          <w:szCs w:val="18"/>
          <w:color w:val="auto"/>
        </w:rPr>
        <w:t>On June 7, 2022, the Company announced that, through its wholly-owned subsidiary, Cybin Ireland, it entered into an agreement to acquire a Phase I N. N dimethltryptamine (“</w:t>
      </w:r>
      <w:r>
        <w:rPr>
          <w:rFonts w:ascii="Times New Roman" w:cs="Times New Roman" w:eastAsia="Times New Roman" w:hAnsi="Times New Roman"/>
          <w:sz w:val="18"/>
          <w:szCs w:val="18"/>
          <w:b w:val="1"/>
          <w:bCs w:val="1"/>
          <w:color w:val="auto"/>
        </w:rPr>
        <w:t>DMT</w:t>
      </w:r>
      <w:r>
        <w:rPr>
          <w:rFonts w:ascii="Times New Roman" w:cs="Times New Roman" w:eastAsia="Times New Roman" w:hAnsi="Times New Roman"/>
          <w:sz w:val="18"/>
          <w:szCs w:val="18"/>
          <w:color w:val="auto"/>
        </w:rPr>
        <w:t>”) study from Entheon Biomedical Corp. (“</w:t>
      </w:r>
      <w:r>
        <w:rPr>
          <w:rFonts w:ascii="Times New Roman" w:cs="Times New Roman" w:eastAsia="Times New Roman" w:hAnsi="Times New Roman"/>
          <w:sz w:val="18"/>
          <w:szCs w:val="18"/>
          <w:b w:val="1"/>
          <w:bCs w:val="1"/>
          <w:color w:val="auto"/>
        </w:rPr>
        <w:t>Entheon</w:t>
      </w:r>
      <w:r>
        <w:rPr>
          <w:rFonts w:ascii="Times New Roman" w:cs="Times New Roman" w:eastAsia="Times New Roman" w:hAnsi="Times New Roman"/>
          <w:sz w:val="18"/>
          <w:szCs w:val="18"/>
          <w:color w:val="auto"/>
        </w:rPr>
        <w:t>”) to accelerate the clinical development path for CYB004, the Company’s proprietary deuterated DMT molecule for the potential treatment of anxiety disorders. Closing is subject to the completion of certain conditions and obtaining all necessary approvals. There is no assurance that the Company will be able to complete the acquisition on the terms contemplated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155194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27" w:lineRule="exact"/>
        <w:rPr>
          <w:sz w:val="20"/>
          <w:szCs w:val="20"/>
          <w:color w:val="auto"/>
        </w:rPr>
      </w:pPr>
    </w:p>
    <w:p>
      <w:pPr>
        <w:ind w:left="2" w:right="20" w:hanging="2"/>
        <w:spacing w:after="0" w:line="216" w:lineRule="auto"/>
        <w:tabs>
          <w:tab w:leader="none" w:pos="96" w:val="left"/>
        </w:tabs>
        <w:numPr>
          <w:ilvl w:val="0"/>
          <w:numId w:val="9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spacing w:after="0" w:line="200" w:lineRule="exact"/>
        <w:rPr>
          <w:sz w:val="20"/>
          <w:szCs w:val="20"/>
          <w:color w:val="auto"/>
        </w:rPr>
      </w:pPr>
    </w:p>
    <w:p>
      <w:pPr>
        <w:spacing w:after="0" w:line="34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2"/>
          </w:cols>
          <w:pgMar w:left="318" w:top="705" w:right="319" w:bottom="1440" w:gutter="0" w:footer="0" w:header="0"/>
        </w:sectPr>
      </w:pPr>
    </w:p>
    <w:bookmarkStart w:id="160" w:name="page161"/>
    <w:bookmarkEnd w:id="160"/>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Non-Revenue Generating Projects</w:t>
      </w:r>
      <w:r>
        <w:rPr>
          <w:rFonts w:ascii="Times New Roman" w:cs="Times New Roman" w:eastAsia="Times New Roman" w:hAnsi="Times New Roman"/>
          <w:sz w:val="23"/>
          <w:szCs w:val="23"/>
          <w:b w:val="1"/>
          <w:bCs w:val="1"/>
          <w:i w:val="1"/>
          <w:iCs w:val="1"/>
          <w:color w:val="auto"/>
          <w:vertAlign w:val="superscript"/>
        </w:rPr>
        <w:t>8</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currently has four significant projects, which have not yet generated revenue:</w:t>
      </w:r>
    </w:p>
    <w:p>
      <w:pPr>
        <w:spacing w:after="0" w:line="208" w:lineRule="exact"/>
        <w:rPr>
          <w:sz w:val="20"/>
          <w:szCs w:val="20"/>
          <w:color w:val="auto"/>
        </w:rPr>
      </w:pPr>
    </w:p>
    <w:p>
      <w:pPr>
        <w:ind w:left="582" w:hanging="289"/>
        <w:spacing w:after="0"/>
        <w:tabs>
          <w:tab w:leader="none" w:pos="582" w:val="left"/>
        </w:tabs>
        <w:numPr>
          <w:ilvl w:val="0"/>
          <w:numId w:val="95"/>
        </w:numPr>
        <w:rPr>
          <w:rFonts w:ascii="Calibri" w:cs="Calibri" w:eastAsia="Calibri" w:hAnsi="Calibri"/>
          <w:sz w:val="18"/>
          <w:szCs w:val="18"/>
          <w:color w:val="auto"/>
        </w:rPr>
      </w:pPr>
      <w:r>
        <w:rPr>
          <w:rFonts w:ascii="Times New Roman" w:cs="Times New Roman" w:eastAsia="Times New Roman" w:hAnsi="Times New Roman"/>
          <w:sz w:val="18"/>
          <w:szCs w:val="18"/>
          <w:color w:val="auto"/>
        </w:rPr>
        <w:t>Deuterated Psilocybin Analog Program</w:t>
      </w:r>
    </w:p>
    <w:p>
      <w:pPr>
        <w:spacing w:after="0" w:line="13" w:lineRule="exact"/>
        <w:rPr>
          <w:rFonts w:ascii="Calibri" w:cs="Calibri" w:eastAsia="Calibri" w:hAnsi="Calibri"/>
          <w:sz w:val="18"/>
          <w:szCs w:val="18"/>
          <w:color w:val="auto"/>
        </w:rPr>
      </w:pPr>
    </w:p>
    <w:p>
      <w:pPr>
        <w:ind w:left="582" w:hanging="289"/>
        <w:spacing w:after="0"/>
        <w:tabs>
          <w:tab w:leader="none" w:pos="582" w:val="left"/>
        </w:tabs>
        <w:numPr>
          <w:ilvl w:val="0"/>
          <w:numId w:val="95"/>
        </w:numPr>
        <w:rPr>
          <w:rFonts w:ascii="Calibri" w:cs="Calibri" w:eastAsia="Calibri" w:hAnsi="Calibri"/>
          <w:sz w:val="18"/>
          <w:szCs w:val="18"/>
          <w:color w:val="auto"/>
        </w:rPr>
      </w:pPr>
      <w:r>
        <w:rPr>
          <w:rFonts w:ascii="Times New Roman" w:cs="Times New Roman" w:eastAsia="Times New Roman" w:hAnsi="Times New Roman"/>
          <w:sz w:val="18"/>
          <w:szCs w:val="18"/>
          <w:color w:val="auto"/>
        </w:rPr>
        <w:t>Deuterated Tryptamines Programs</w:t>
      </w:r>
    </w:p>
    <w:p>
      <w:pPr>
        <w:ind w:left="582" w:hanging="289"/>
        <w:spacing w:after="0"/>
        <w:tabs>
          <w:tab w:leader="none" w:pos="582" w:val="left"/>
        </w:tabs>
        <w:numPr>
          <w:ilvl w:val="0"/>
          <w:numId w:val="95"/>
        </w:numPr>
        <w:rPr>
          <w:rFonts w:ascii="Calibri" w:cs="Calibri" w:eastAsia="Calibri" w:hAnsi="Calibri"/>
          <w:sz w:val="18"/>
          <w:szCs w:val="18"/>
          <w:color w:val="auto"/>
        </w:rPr>
      </w:pPr>
      <w:r>
        <w:rPr>
          <w:rFonts w:ascii="Times New Roman" w:cs="Times New Roman" w:eastAsia="Times New Roman" w:hAnsi="Times New Roman"/>
          <w:sz w:val="18"/>
          <w:szCs w:val="18"/>
          <w:color w:val="auto"/>
        </w:rPr>
        <w:t>Phenethylamine Program</w:t>
      </w:r>
    </w:p>
    <w:p>
      <w:pPr>
        <w:spacing w:after="0" w:line="12" w:lineRule="exact"/>
        <w:rPr>
          <w:rFonts w:ascii="Calibri" w:cs="Calibri" w:eastAsia="Calibri" w:hAnsi="Calibri"/>
          <w:sz w:val="18"/>
          <w:szCs w:val="18"/>
          <w:color w:val="auto"/>
        </w:rPr>
      </w:pPr>
    </w:p>
    <w:p>
      <w:pPr>
        <w:ind w:left="582" w:hanging="289"/>
        <w:spacing w:after="0"/>
        <w:tabs>
          <w:tab w:leader="none" w:pos="582" w:val="left"/>
        </w:tabs>
        <w:numPr>
          <w:ilvl w:val="0"/>
          <w:numId w:val="95"/>
        </w:numPr>
        <w:rPr>
          <w:rFonts w:ascii="Calibri" w:cs="Calibri" w:eastAsia="Calibri" w:hAnsi="Calibri"/>
          <w:sz w:val="18"/>
          <w:szCs w:val="18"/>
          <w:color w:val="auto"/>
        </w:rPr>
      </w:pPr>
      <w:r>
        <w:rPr>
          <w:rFonts w:ascii="Times New Roman" w:cs="Times New Roman" w:eastAsia="Times New Roman" w:hAnsi="Times New Roman"/>
          <w:sz w:val="18"/>
          <w:szCs w:val="18"/>
          <w:color w:val="auto"/>
        </w:rPr>
        <w:t>Technology Programs</w:t>
      </w:r>
    </w:p>
    <w:p>
      <w:pPr>
        <w:spacing w:after="0" w:line="194" w:lineRule="exact"/>
        <w:rPr>
          <w:sz w:val="20"/>
          <w:szCs w:val="20"/>
          <w:color w:val="auto"/>
        </w:rPr>
      </w:pPr>
    </w:p>
    <w:p>
      <w:pPr>
        <w:jc w:val="both"/>
        <w:ind w:left="2" w:right="20"/>
        <w:spacing w:after="0" w:line="260" w:lineRule="auto"/>
        <w:rPr>
          <w:sz w:val="20"/>
          <w:szCs w:val="20"/>
          <w:color w:val="auto"/>
        </w:rPr>
      </w:pPr>
      <w:r>
        <w:rPr>
          <w:rFonts w:ascii="Times New Roman" w:cs="Times New Roman" w:eastAsia="Times New Roman" w:hAnsi="Times New Roman"/>
          <w:sz w:val="18"/>
          <w:szCs w:val="18"/>
          <w:color w:val="auto"/>
        </w:rPr>
        <w:t>The Company was previously exploring a fifth program, the Nutraceutical Product Program; however, in November 2021, the Company concluded that it would no longer be progressing with this program in order to prioritize its progression of psychedelic molecules. In addition, the Company has merged its Psilocybin Program with its CYB003 Deuterated Tryptamine Program and will be prioritizing the progression of the Deuterated Psilocybin Analog Program going forward, as it has been identified as a potentially superior molecule.</w:t>
      </w:r>
    </w:p>
    <w:p>
      <w:pPr>
        <w:spacing w:after="0" w:line="170" w:lineRule="exact"/>
        <w:rPr>
          <w:sz w:val="20"/>
          <w:szCs w:val="20"/>
          <w:color w:val="auto"/>
        </w:rPr>
      </w:pPr>
    </w:p>
    <w:p>
      <w:pPr>
        <w:jc w:val="both"/>
        <w:ind w:left="2" w:right="20"/>
        <w:spacing w:after="0" w:line="216" w:lineRule="auto"/>
        <w:rPr>
          <w:sz w:val="20"/>
          <w:szCs w:val="20"/>
          <w:color w:val="auto"/>
        </w:rPr>
      </w:pPr>
      <w:r>
        <w:rPr>
          <w:rFonts w:ascii="Times New Roman" w:cs="Times New Roman" w:eastAsia="Times New Roman" w:hAnsi="Times New Roman"/>
          <w:sz w:val="18"/>
          <w:szCs w:val="18"/>
          <w:color w:val="auto"/>
        </w:rPr>
        <w:t>To support the programs listed above, the Company developed EMBARK</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a psychotherapeutic support model that integrates leading clinical approaches to promote supportive healing with psychedelic medicine. EMBARK</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’s six clinical domains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xistential-Spiritual,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indfulness,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ody Aware,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ffective-Cognitive,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 xml:space="preserve">elational, </w:t>
      </w: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eeping Momentum) represent the broad spectrum of ways in which therapeutic benefits may arise in psychedelic treatment and the equally broad training needed to prepare therapists to support them all. The Company has launched its EMBARK</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training program, which prepares facilitators to work within all of these domains, while inviting facilitators to bring in their own therapeutic training and expertise in a flexible, yet structured way. The EMBARK</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curriculum additionally emphasizes trauma-informed, culturally competent, and ethically rigorous care.</w:t>
      </w:r>
    </w:p>
    <w:p>
      <w:pPr>
        <w:spacing w:after="0" w:line="1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Deuterated Psilocybin Analog Program (formerly the Psilocybin Program)</w:t>
      </w:r>
    </w:p>
    <w:p>
      <w:pPr>
        <w:spacing w:after="0" w:line="233"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8"/>
          <w:szCs w:val="18"/>
          <w:color w:val="auto"/>
        </w:rPr>
        <w:t>Psilocybin was the Company’s first drug program in development. The Company’s sublingual film formulation of psilocybin is a synthetic psychedelic molecular formulation, the activity for which is in part based upon classical serotonin 2A psychedelic activity.</w:t>
      </w:r>
    </w:p>
    <w:p>
      <w:pPr>
        <w:spacing w:after="0" w:line="156" w:lineRule="exact"/>
        <w:rPr>
          <w:sz w:val="20"/>
          <w:szCs w:val="20"/>
          <w:color w:val="auto"/>
        </w:rPr>
      </w:pPr>
    </w:p>
    <w:p>
      <w:pPr>
        <w:jc w:val="both"/>
        <w:ind w:left="2" w:right="20"/>
        <w:spacing w:after="0" w:line="237" w:lineRule="auto"/>
        <w:rPr>
          <w:sz w:val="20"/>
          <w:szCs w:val="20"/>
          <w:color w:val="auto"/>
        </w:rPr>
      </w:pPr>
      <w:r>
        <w:rPr>
          <w:rFonts w:ascii="Times New Roman" w:cs="Times New Roman" w:eastAsia="Times New Roman" w:hAnsi="Times New Roman"/>
          <w:sz w:val="18"/>
          <w:szCs w:val="18"/>
          <w:color w:val="auto"/>
        </w:rPr>
        <w:t>Studies of psilocybin efficacy in depressive states published by Johns Hopkins University demonstrate promising potential efficacy of psilocybin and, therefore, of the Company’s novel formulation. The Company has contracted with IntelGenx Corp. (“</w:t>
      </w:r>
      <w:r>
        <w:rPr>
          <w:rFonts w:ascii="Times New Roman" w:cs="Times New Roman" w:eastAsia="Times New Roman" w:hAnsi="Times New Roman"/>
          <w:sz w:val="18"/>
          <w:szCs w:val="18"/>
          <w:b w:val="1"/>
          <w:bCs w:val="1"/>
          <w:color w:val="auto"/>
        </w:rPr>
        <w:t>IntelGenx</w:t>
      </w:r>
      <w:r>
        <w:rPr>
          <w:rFonts w:ascii="Times New Roman" w:cs="Times New Roman" w:eastAsia="Times New Roman" w:hAnsi="Times New Roman"/>
          <w:sz w:val="18"/>
          <w:szCs w:val="18"/>
          <w:color w:val="auto"/>
        </w:rPr>
        <w:t>”) to undertake the development of a sublingual film formulation of psilocybin. To date, an array of drug formulation candidates have been created and the Company continues to pursue the optimization of certain characteristics of these formulations including, but not limited to, composition, membrane permeation and stability. On November 8, 2021, the Company announced that its research into its novel oral psilocybin analog molecule (CYB003) has identified a putative orally deliverable drug product that appears to have more desirable characteristics than psilocybin delivered by sublingual film. Although the Company is still evaluating the sublingual film technology, it has prioritized the new Deuterated Psilocybin Analog Program over the sublingual film technology as a result of the Company’s positive view of the research data on the Company’s novel oral psilocybin analog molecule.</w:t>
      </w:r>
    </w:p>
    <w:p>
      <w:pPr>
        <w:spacing w:after="0" w:line="197"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8"/>
          <w:szCs w:val="18"/>
          <w:color w:val="auto"/>
        </w:rPr>
        <w:t>While oral psilocybin has been demonstrated to be efficacious, the Company did recognize the challenges and limitations of the molecule and worked on ways to address them by simultaneously looking at the formulation in two programs and then the molecule itself in another. In light of compelling data regarding the Company’s novel oral psilocybin analog molecule (CYB003), the Company has determined that it would be leveraging the data obtained through the Psilocybin Program to advance its newly defined Deuterated Psilocybin Analog Program. It is intended that the Deuterated Psilocybin Analog Program will merge both the MDD and AUD indication into a single program. The Company has determined that this merger of programs would be the most efficient and cost-effective way for the Company to move forward. The Company will be prioritizing the progression of the Deuterated Psilocybin Analog Program, as this has been demonstrated to be the potentially superior molecule. The Company will continue to advance on the previous disclosed psilocybin milestones, in the U.S. and the UK, as it deems them necessary to bring psychedelics to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155194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184" w:lineRule="exact"/>
        <w:rPr>
          <w:sz w:val="20"/>
          <w:szCs w:val="20"/>
          <w:color w:val="auto"/>
        </w:rPr>
      </w:pPr>
    </w:p>
    <w:p>
      <w:pPr>
        <w:ind w:left="102" w:hanging="102"/>
        <w:spacing w:after="0"/>
        <w:tabs>
          <w:tab w:leader="none" w:pos="102" w:val="left"/>
        </w:tabs>
        <w:numPr>
          <w:ilvl w:val="0"/>
          <w:numId w:val="9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All quarter references in this section are based on calendar year-end.</w:t>
      </w:r>
    </w:p>
    <w:p>
      <w:pPr>
        <w:spacing w:after="0" w:line="200" w:lineRule="exact"/>
        <w:rPr>
          <w:sz w:val="20"/>
          <w:szCs w:val="20"/>
          <w:color w:val="auto"/>
        </w:rPr>
      </w:pPr>
    </w:p>
    <w:p>
      <w:pPr>
        <w:spacing w:after="0" w:line="34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2"/>
          </w:cols>
          <w:pgMar w:left="318" w:top="921" w:right="319" w:bottom="1440" w:gutter="0" w:footer="0" w:header="0"/>
        </w:sectPr>
      </w:pPr>
    </w:p>
    <w:bookmarkStart w:id="161" w:name="page162"/>
    <w:bookmarkEnd w:id="161"/>
    <w:p>
      <w:pPr>
        <w:jc w:val="both"/>
        <w:ind w:left="2"/>
        <w:spacing w:after="0" w:line="285" w:lineRule="auto"/>
        <w:rPr>
          <w:sz w:val="20"/>
          <w:szCs w:val="20"/>
          <w:color w:val="auto"/>
        </w:rPr>
      </w:pPr>
      <w:r>
        <w:rPr>
          <w:rFonts w:ascii="Times New Roman" w:cs="Times New Roman" w:eastAsia="Times New Roman" w:hAnsi="Times New Roman"/>
          <w:sz w:val="18"/>
          <w:szCs w:val="18"/>
          <w:color w:val="auto"/>
        </w:rPr>
        <w:t>During Q1 2022, the Company had a productive and positive scientific advice meeting with the UK Medical and Healthcare Products Regulatory Agency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This program milestone brings the Company closer toward advancing into clinical development for the treatment of MDD and AUD.</w:t>
      </w:r>
    </w:p>
    <w:p>
      <w:pPr>
        <w:spacing w:after="0" w:line="164" w:lineRule="exact"/>
        <w:rPr>
          <w:sz w:val="20"/>
          <w:szCs w:val="20"/>
          <w:color w:val="auto"/>
        </w:rPr>
      </w:pPr>
    </w:p>
    <w:p>
      <w:pPr>
        <w:jc w:val="both"/>
        <w:ind w:left="2"/>
        <w:spacing w:after="0" w:line="243" w:lineRule="auto"/>
        <w:rPr>
          <w:sz w:val="20"/>
          <w:szCs w:val="20"/>
          <w:color w:val="auto"/>
        </w:rPr>
      </w:pPr>
      <w:r>
        <w:rPr>
          <w:rFonts w:ascii="Times New Roman" w:cs="Times New Roman" w:eastAsia="Times New Roman" w:hAnsi="Times New Roman"/>
          <w:sz w:val="18"/>
          <w:szCs w:val="18"/>
          <w:color w:val="auto"/>
        </w:rPr>
        <w:t>The Company completed the IND enabling pre-clinical studies and the Chemistry, Manufacturing and Control (“</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 development required to commence clinical trials, including the production of clinical materials, in Q2 2022. The Company intends to continue its progression of post IND enabling pre-clinical studies and CMC development progression throughout fiscal year 2023. There is no assurance that these timelines will be met or that these preclinical drug candidates will advance to clinical trials at all.</w:t>
      </w:r>
    </w:p>
    <w:p>
      <w:pPr>
        <w:spacing w:after="0" w:line="192" w:lineRule="exact"/>
        <w:rPr>
          <w:sz w:val="20"/>
          <w:szCs w:val="20"/>
          <w:color w:val="auto"/>
        </w:rPr>
      </w:pPr>
    </w:p>
    <w:p>
      <w:pPr>
        <w:jc w:val="both"/>
        <w:ind w:left="2"/>
        <w:spacing w:after="0" w:line="225" w:lineRule="auto"/>
        <w:rPr>
          <w:sz w:val="20"/>
          <w:szCs w:val="20"/>
          <w:color w:val="auto"/>
        </w:rPr>
      </w:pPr>
      <w:r>
        <w:rPr>
          <w:rFonts w:ascii="Times New Roman" w:cs="Times New Roman" w:eastAsia="Times New Roman" w:hAnsi="Times New Roman"/>
          <w:sz w:val="18"/>
          <w:szCs w:val="18"/>
          <w:color w:val="auto"/>
        </w:rPr>
        <w:t>On May 31 2022, the Company announced the submission of an IND application to the FDA for its Phase I/IIa first-in-human clinical trial evaluating CYB003, a proprietary deuterated psilocybin analog, for the treatment of MDD. The Company intends to initiate the Phase I/IIa trial in mid-2022</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subject to receiving the necessary approvals. There is no assurance that this timeline will be met or that this preclinical drug candidates will advance to clinical trials at all.</w:t>
      </w:r>
    </w:p>
    <w:p>
      <w:pPr>
        <w:spacing w:after="0" w:line="180"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8"/>
          <w:szCs w:val="18"/>
          <w:color w:val="auto"/>
        </w:rPr>
        <w:t>On June 9, 2022, the Company announced that it has received Institutional Review Board (the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approval in the U.S. to begin the first-in-human Phase I/IIa clinical trial evaluating CYB003, its proprietary deuterated psilocybin analog, for the treatment of MDD.</w:t>
      </w:r>
    </w:p>
    <w:p>
      <w:pPr>
        <w:spacing w:after="0" w:line="147" w:lineRule="exact"/>
        <w:rPr>
          <w:sz w:val="20"/>
          <w:szCs w:val="20"/>
          <w:color w:val="auto"/>
        </w:rPr>
      </w:pPr>
    </w:p>
    <w:p>
      <w:pPr>
        <w:jc w:val="both"/>
        <w:ind w:left="2"/>
        <w:spacing w:after="0" w:line="251" w:lineRule="auto"/>
        <w:rPr>
          <w:sz w:val="20"/>
          <w:szCs w:val="20"/>
          <w:color w:val="auto"/>
        </w:rPr>
      </w:pPr>
      <w:r>
        <w:rPr>
          <w:rFonts w:ascii="Times New Roman" w:cs="Times New Roman" w:eastAsia="Times New Roman" w:hAnsi="Times New Roman"/>
          <w:sz w:val="18"/>
          <w:szCs w:val="18"/>
          <w:color w:val="auto"/>
        </w:rPr>
        <w:t>The Company has engaged Clinilabs Drug Development Corporation (“</w:t>
      </w:r>
      <w:r>
        <w:rPr>
          <w:rFonts w:ascii="Times New Roman" w:cs="Times New Roman" w:eastAsia="Times New Roman" w:hAnsi="Times New Roman"/>
          <w:sz w:val="18"/>
          <w:szCs w:val="18"/>
          <w:b w:val="1"/>
          <w:bCs w:val="1"/>
          <w:color w:val="auto"/>
        </w:rPr>
        <w:t>Clinilabs</w:t>
      </w:r>
      <w:r>
        <w:rPr>
          <w:rFonts w:ascii="Times New Roman" w:cs="Times New Roman" w:eastAsia="Times New Roman" w:hAnsi="Times New Roman"/>
          <w:sz w:val="18"/>
          <w:szCs w:val="18"/>
          <w:color w:val="auto"/>
        </w:rPr>
        <w:t>”), a full-service contract research organization with deep expertise in central nervous system drug development, to carry out the Phase I/IIa clinical trial of CYB003.The Phase I/IIa trial is a randomized, double blind, placebo-controlled study evaluating people with moderate to severe MDD.</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As at March 31, 2022, the Company has spent approximately $4,979 on the Deuterated Psilocybin Analog Program</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8"/>
          <w:szCs w:val="18"/>
          <w:color w:val="auto"/>
        </w:rPr>
        <w:t>Due to the new Deuterated Psilocybin Analog Program, the Company no longer anticipates conducting any business activities in Jamaica. The Company intends to complete future clinical trials in the U.S., Canada, UK and Europe.</w:t>
      </w:r>
    </w:p>
    <w:p>
      <w:pPr>
        <w:spacing w:after="0" w:line="18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Deuterated Tryptamines Programs</w:t>
      </w:r>
    </w:p>
    <w:p>
      <w:pPr>
        <w:spacing w:after="0" w:line="204" w:lineRule="exact"/>
        <w:rPr>
          <w:sz w:val="20"/>
          <w:szCs w:val="20"/>
          <w:color w:val="auto"/>
        </w:rPr>
      </w:pPr>
    </w:p>
    <w:p>
      <w:pPr>
        <w:jc w:val="both"/>
        <w:ind w:left="2"/>
        <w:spacing w:after="0" w:line="239" w:lineRule="auto"/>
        <w:rPr>
          <w:sz w:val="20"/>
          <w:szCs w:val="20"/>
          <w:color w:val="auto"/>
        </w:rPr>
      </w:pPr>
      <w:r>
        <w:rPr>
          <w:rFonts w:ascii="Times New Roman" w:cs="Times New Roman" w:eastAsia="Times New Roman" w:hAnsi="Times New Roman"/>
          <w:sz w:val="18"/>
          <w:szCs w:val="18"/>
          <w:color w:val="auto"/>
        </w:rPr>
        <w:t>Pursuant to the acquisition of Adelia Therapeutics Inc. (“</w:t>
      </w:r>
      <w:r>
        <w:rPr>
          <w:rFonts w:ascii="Times New Roman" w:cs="Times New Roman" w:eastAsia="Times New Roman" w:hAnsi="Times New Roman"/>
          <w:sz w:val="18"/>
          <w:szCs w:val="18"/>
          <w:b w:val="1"/>
          <w:bCs w:val="1"/>
          <w:color w:val="auto"/>
        </w:rPr>
        <w:t>Adelia</w:t>
      </w:r>
      <w:r>
        <w:rPr>
          <w:rFonts w:ascii="Times New Roman" w:cs="Times New Roman" w:eastAsia="Times New Roman" w:hAnsi="Times New Roman"/>
          <w:sz w:val="18"/>
          <w:szCs w:val="18"/>
          <w:color w:val="auto"/>
        </w:rPr>
        <w:t>”) completed on December 14, 2020 (the “</w:t>
      </w:r>
      <w:r>
        <w:rPr>
          <w:rFonts w:ascii="Times New Roman" w:cs="Times New Roman" w:eastAsia="Times New Roman" w:hAnsi="Times New Roman"/>
          <w:sz w:val="18"/>
          <w:szCs w:val="18"/>
          <w:b w:val="1"/>
          <w:bCs w:val="1"/>
          <w:color w:val="auto"/>
        </w:rPr>
        <w:t>Adelia Transaction</w:t>
      </w:r>
      <w:r>
        <w:rPr>
          <w:rFonts w:ascii="Times New Roman" w:cs="Times New Roman" w:eastAsia="Times New Roman" w:hAnsi="Times New Roman"/>
          <w:sz w:val="18"/>
          <w:szCs w:val="18"/>
          <w:color w:val="auto"/>
        </w:rPr>
        <w:t>”), the Company acquired preclinical deuterated tryptamines programs. To date, the Company has undertaken sufficient work to enable selection of two deuterated tryptamine candidates and has scaled up production processes to optimize and maximize yields and ensure the drug candidates meet the required quality. In vitro and in vivo proof of principal in models has been completed to ensure selection of molecules with optimal anticipated pharmacokinetics best suited for future clinical trials.</w:t>
      </w:r>
    </w:p>
    <w:p>
      <w:pPr>
        <w:spacing w:after="0" w:line="195" w:lineRule="exact"/>
        <w:rPr>
          <w:sz w:val="20"/>
          <w:szCs w:val="20"/>
          <w:color w:val="auto"/>
        </w:rPr>
      </w:pPr>
    </w:p>
    <w:p>
      <w:pPr>
        <w:jc w:val="both"/>
        <w:ind w:left="2"/>
        <w:spacing w:after="0" w:line="241" w:lineRule="auto"/>
        <w:rPr>
          <w:sz w:val="20"/>
          <w:szCs w:val="20"/>
          <w:color w:val="auto"/>
        </w:rPr>
      </w:pPr>
      <w:r>
        <w:rPr>
          <w:rFonts w:ascii="Times New Roman" w:cs="Times New Roman" w:eastAsia="Times New Roman" w:hAnsi="Times New Roman"/>
          <w:sz w:val="18"/>
          <w:szCs w:val="18"/>
          <w:color w:val="auto"/>
        </w:rPr>
        <w:t>The Company’s Deuterated Tryptamines Program is primarily focused on a lead candidate, CYB004, a deuterated version of DMT. The Company has a newly defined program, the Deuterated Psilocybin Analog Program, which merges the initiatives of the Psilocybin Program and the CYB003 program into one single program (Deuterated Psilocybin Analog Program). The work performed to date related to CYB003 in this program has been instrumental in defining the new program, as described above.</w:t>
      </w:r>
    </w:p>
    <w:p>
      <w:pPr>
        <w:spacing w:after="0" w:line="191" w:lineRule="exact"/>
        <w:rPr>
          <w:sz w:val="20"/>
          <w:szCs w:val="20"/>
          <w:color w:val="auto"/>
        </w:rPr>
      </w:pPr>
    </w:p>
    <w:p>
      <w:pPr>
        <w:jc w:val="both"/>
        <w:ind w:left="2"/>
        <w:spacing w:after="0" w:line="238" w:lineRule="auto"/>
        <w:rPr>
          <w:sz w:val="20"/>
          <w:szCs w:val="20"/>
          <w:color w:val="auto"/>
        </w:rPr>
      </w:pPr>
      <w:r>
        <w:rPr>
          <w:rFonts w:ascii="Times New Roman" w:cs="Times New Roman" w:eastAsia="Times New Roman" w:hAnsi="Times New Roman"/>
          <w:sz w:val="18"/>
          <w:szCs w:val="18"/>
          <w:color w:val="auto"/>
        </w:rPr>
        <w:t>On June 7, 2022, the Company announced it has entered into an agreement to acquire a Phase I DMT study (the “</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from Entheon to accelerate the clinical development path for CYB004, the Company’s proprietary deuterated DMT molecule for the potential treatment of anxiety disorders. The Phase I study, previously identified as EBRX-101 and now named CYB004-E, is being conducted in the Netherlands in 50 healthy volunteers who smoke tobacco. Pending the closing of the Asset Acquisition, the CYB004-E study is expected to yield essential safety and dosing optimization data and will replace the Company’s planned pilot study for CYB004 that was expected to commence in Q3 2022. Entheon will continue to support the CYB004-E study and act as external consultants to the Company. Pending results from the CYB004-E study, the Company plans to evaluate CYB004 delivered via intravenous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and via inhalation to determine the clinical path forward. The Company may enter additional clinical trials thereafter subject to receiving the necessary approvals. The Company intends to continue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55194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160" w:lineRule="exact"/>
        <w:rPr>
          <w:sz w:val="20"/>
          <w:szCs w:val="20"/>
          <w:color w:val="auto"/>
        </w:rPr>
      </w:pPr>
    </w:p>
    <w:p>
      <w:pPr>
        <w:ind w:left="122" w:hanging="122"/>
        <w:spacing w:after="0"/>
        <w:tabs>
          <w:tab w:leader="none" w:pos="122" w:val="left"/>
        </w:tabs>
        <w:numPr>
          <w:ilvl w:val="0"/>
          <w:numId w:val="9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This statement is based on the material assumption that the FDA will approve the IND in Q2 2022.</w:t>
      </w:r>
    </w:p>
    <w:p>
      <w:pPr>
        <w:spacing w:after="0" w:line="5" w:lineRule="exact"/>
        <w:rPr>
          <w:sz w:val="20"/>
          <w:szCs w:val="20"/>
          <w:color w:val="auto"/>
        </w:rPr>
      </w:pPr>
    </w:p>
    <w:p>
      <w:pPr>
        <w:ind w:left="2" w:right="620" w:hanging="2"/>
        <w:spacing w:after="0" w:line="206" w:lineRule="auto"/>
        <w:tabs>
          <w:tab w:leader="none" w:pos="134" w:val="left"/>
        </w:tabs>
        <w:numPr>
          <w:ilvl w:val="0"/>
          <w:numId w:val="9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Dollar amount calculated since June 1, 2021, being the date of the financial data used in the Company’s short form base shelf prospectus, dated July 5, 2021 (the “</w:t>
      </w:r>
      <w:r>
        <w:rPr>
          <w:rFonts w:ascii="Times New Roman" w:cs="Times New Roman" w:eastAsia="Times New Roman" w:hAnsi="Times New Roman"/>
          <w:sz w:val="15"/>
          <w:szCs w:val="15"/>
          <w:b w:val="1"/>
          <w:bCs w:val="1"/>
          <w:color w:val="auto"/>
        </w:rPr>
        <w:t>July Base Shelf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Prospectus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4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2"/>
          </w:cols>
          <w:pgMar w:left="318" w:top="705" w:right="339" w:bottom="1440" w:gutter="0" w:footer="0" w:header="0"/>
        </w:sectPr>
      </w:pPr>
    </w:p>
    <w:bookmarkStart w:id="162" w:name="page163"/>
    <w:bookmarkEnd w:id="162"/>
    <w:p>
      <w:pPr>
        <w:ind w:left="2" w:right="20"/>
        <w:spacing w:after="0" w:line="269" w:lineRule="auto"/>
        <w:rPr>
          <w:sz w:val="20"/>
          <w:szCs w:val="20"/>
          <w:color w:val="auto"/>
        </w:rPr>
      </w:pPr>
      <w:r>
        <w:rPr>
          <w:rFonts w:ascii="Times New Roman" w:cs="Times New Roman" w:eastAsia="Times New Roman" w:hAnsi="Times New Roman"/>
          <w:sz w:val="18"/>
          <w:szCs w:val="18"/>
          <w:color w:val="auto"/>
        </w:rPr>
        <w:t>progression of this program throughout fiscal year 2023. There is no assurance that these timelines will be met or that these preclinical drug candidates will advance to clinical trials at all.</w:t>
      </w:r>
      <w:r>
        <w:rPr>
          <w:rFonts w:ascii="Times New Roman" w:cs="Times New Roman" w:eastAsia="Times New Roman" w:hAnsi="Times New Roman"/>
          <w:sz w:val="23"/>
          <w:szCs w:val="23"/>
          <w:color w:val="auto"/>
          <w:vertAlign w:val="superscript"/>
        </w:rPr>
        <w:t>11</w:t>
      </w:r>
    </w:p>
    <w:p>
      <w:pPr>
        <w:spacing w:after="0" w:line="95" w:lineRule="exact"/>
        <w:rPr>
          <w:sz w:val="20"/>
          <w:szCs w:val="20"/>
          <w:color w:val="auto"/>
        </w:rPr>
      </w:pPr>
    </w:p>
    <w:p>
      <w:pPr>
        <w:ind w:left="2" w:right="20"/>
        <w:spacing w:after="0" w:line="291" w:lineRule="auto"/>
        <w:rPr>
          <w:sz w:val="20"/>
          <w:szCs w:val="20"/>
          <w:color w:val="auto"/>
        </w:rPr>
      </w:pPr>
      <w:r>
        <w:rPr>
          <w:rFonts w:ascii="Times New Roman" w:cs="Times New Roman" w:eastAsia="Times New Roman" w:hAnsi="Times New Roman"/>
          <w:sz w:val="18"/>
          <w:szCs w:val="18"/>
          <w:color w:val="auto"/>
        </w:rPr>
        <w:t>As at March 31, 2022, the Company has spent approximately $3,483 on deuterated tryptamines, of which $1,198 was related to the progression of CYB003</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has continued to advance its Deuterated Tryptamines Program as described herein, including with the following progress:</w:t>
      </w:r>
    </w:p>
    <w:p>
      <w:pPr>
        <w:spacing w:after="0" w:line="208" w:lineRule="exact"/>
        <w:rPr>
          <w:sz w:val="20"/>
          <w:szCs w:val="20"/>
          <w:color w:val="auto"/>
        </w:rPr>
      </w:pPr>
    </w:p>
    <w:p>
      <w:pPr>
        <w:ind w:left="582" w:hanging="289"/>
        <w:spacing w:after="0"/>
        <w:tabs>
          <w:tab w:leader="none" w:pos="58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additional pre-clinical studies on its CYB003 and CYB004 proprietary psychedelic molecules;</w:t>
      </w:r>
    </w:p>
    <w:p>
      <w:pPr>
        <w:spacing w:after="0" w:line="26" w:lineRule="exact"/>
        <w:rPr>
          <w:rFonts w:ascii="Times New Roman" w:cs="Times New Roman" w:eastAsia="Times New Roman" w:hAnsi="Times New Roman"/>
          <w:sz w:val="18"/>
          <w:szCs w:val="18"/>
          <w:color w:val="auto"/>
        </w:rPr>
      </w:pPr>
    </w:p>
    <w:p>
      <w:pPr>
        <w:ind w:left="582" w:hanging="289"/>
        <w:spacing w:after="0"/>
        <w:tabs>
          <w:tab w:leader="none" w:pos="58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Zydis feasibility studies with Catalent, Inc. (“Catalent”) for its fast-dissolve formulation of novel deuterated tryptamine (CYB003);</w:t>
      </w:r>
    </w:p>
    <w:p>
      <w:pPr>
        <w:spacing w:after="0" w:line="7" w:lineRule="exact"/>
        <w:rPr>
          <w:rFonts w:ascii="Times New Roman" w:cs="Times New Roman" w:eastAsia="Times New Roman" w:hAnsi="Times New Roman"/>
          <w:sz w:val="18"/>
          <w:szCs w:val="18"/>
          <w:color w:val="auto"/>
        </w:rPr>
      </w:pPr>
    </w:p>
    <w:p>
      <w:pPr>
        <w:ind w:left="582" w:right="20" w:hanging="289"/>
        <w:spacing w:after="0" w:line="247" w:lineRule="auto"/>
        <w:tabs>
          <w:tab w:leader="none" w:pos="57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transitioned its work on CYB003 into a new program; the Deuterated Psilocybin Analog Program, which has the potential to address both the AUD and MDD indications (refer to Deuterated Psilocybin Analog Program section above for further details);</w:t>
      </w:r>
    </w:p>
    <w:p>
      <w:pPr>
        <w:spacing w:after="0" w:line="1" w:lineRule="exact"/>
        <w:rPr>
          <w:rFonts w:ascii="Times New Roman" w:cs="Times New Roman" w:eastAsia="Times New Roman" w:hAnsi="Times New Roman"/>
          <w:sz w:val="18"/>
          <w:szCs w:val="18"/>
          <w:color w:val="auto"/>
        </w:rPr>
      </w:pPr>
    </w:p>
    <w:p>
      <w:pPr>
        <w:jc w:val="both"/>
        <w:ind w:left="582" w:right="20" w:hanging="289"/>
        <w:spacing w:after="0" w:line="250" w:lineRule="auto"/>
        <w:tabs>
          <w:tab w:leader="none" w:pos="57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awarded a Notice of Allowance from the U.S. Patent and Trademark Office for patent application No. 17/394,038 related to CYB004, the Company’s investigational deuterated psychedelic tryptamine compound for the potential treatment of anxiety disorders. The allowed claims include other forms of deuterated psychedelic tryptamine, notably certain deuterated forms of DMT and 5-MeO-DMT. The patent, which is expected to expire in 2041 before consideration of any patent term extensions, covers composition of matter for the CYB004 drug substance as a putative new chemical entity;</w:t>
      </w:r>
    </w:p>
    <w:p>
      <w:pPr>
        <w:spacing w:after="0" w:line="3" w:lineRule="exact"/>
        <w:rPr>
          <w:rFonts w:ascii="Times New Roman" w:cs="Times New Roman" w:eastAsia="Times New Roman" w:hAnsi="Times New Roman"/>
          <w:sz w:val="18"/>
          <w:szCs w:val="18"/>
          <w:color w:val="auto"/>
        </w:rPr>
      </w:pPr>
    </w:p>
    <w:p>
      <w:pPr>
        <w:ind w:left="582" w:hanging="289"/>
        <w:spacing w:after="0"/>
        <w:tabs>
          <w:tab w:leader="none" w:pos="582" w:val="left"/>
        </w:tabs>
        <w:numPr>
          <w:ilvl w:val="0"/>
          <w:numId w:val="99"/>
        </w:numPr>
        <w:rPr>
          <w:rFonts w:ascii="Calibri" w:cs="Calibri" w:eastAsia="Calibri" w:hAnsi="Calibri"/>
          <w:sz w:val="18"/>
          <w:szCs w:val="18"/>
          <w:color w:val="auto"/>
        </w:rPr>
      </w:pPr>
      <w:r>
        <w:rPr>
          <w:rFonts w:ascii="Times New Roman" w:cs="Times New Roman" w:eastAsia="Times New Roman" w:hAnsi="Times New Roman"/>
          <w:sz w:val="20"/>
          <w:szCs w:val="20"/>
          <w:color w:val="auto"/>
        </w:rPr>
        <w:t xml:space="preserve">granted U.S. patent from </w:t>
      </w:r>
      <w:r>
        <w:rPr>
          <w:rFonts w:ascii="Times New Roman" w:cs="Times New Roman" w:eastAsia="Times New Roman" w:hAnsi="Times New Roman"/>
          <w:sz w:val="17"/>
          <w:szCs w:val="17"/>
          <w:color w:val="auto"/>
        </w:rPr>
        <w:t>the U.S. Patent and Trademark Office related to the Company’s investigational deuterated DMT compound CYB004;</w:t>
      </w:r>
    </w:p>
    <w:p>
      <w:pPr>
        <w:spacing w:after="0" w:line="7" w:lineRule="exact"/>
        <w:rPr>
          <w:rFonts w:ascii="Calibri" w:cs="Calibri" w:eastAsia="Calibri" w:hAnsi="Calibri"/>
          <w:sz w:val="18"/>
          <w:szCs w:val="18"/>
          <w:color w:val="auto"/>
        </w:rPr>
      </w:pPr>
    </w:p>
    <w:p>
      <w:pPr>
        <w:jc w:val="both"/>
        <w:ind w:left="582" w:right="20" w:hanging="289"/>
        <w:spacing w:after="0" w:line="248" w:lineRule="auto"/>
        <w:tabs>
          <w:tab w:leader="none" w:pos="57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announced positive preclinical data from a pharmacokinetic study evaluating CYB004, delivered via inhalation. Specifically, inhaled CYB004 demonstrated significant advantages over both IV DMT and inhaled DMT, including longer duration of action, and improved bioavailability. The study also demonstrated that inhaled CYB004 showed a similar onset of effect and dose profile to IV DMT. These data may support the potential for inhalation as a viable and well-controlled delivery system of therapeutic psychedelics; and</w:t>
      </w:r>
    </w:p>
    <w:p>
      <w:pPr>
        <w:spacing w:after="0" w:line="12" w:lineRule="exact"/>
        <w:rPr>
          <w:rFonts w:ascii="Times New Roman" w:cs="Times New Roman" w:eastAsia="Times New Roman" w:hAnsi="Times New Roman"/>
          <w:sz w:val="20"/>
          <w:szCs w:val="20"/>
          <w:color w:val="auto"/>
        </w:rPr>
      </w:pPr>
    </w:p>
    <w:p>
      <w:pPr>
        <w:ind w:left="582" w:hanging="289"/>
        <w:spacing w:after="0"/>
        <w:tabs>
          <w:tab w:leader="none" w:pos="58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entered into an agreement to acquire a Phase I DMT study from Entheon to accelerate the clinical development path for CYB004.</w:t>
      </w:r>
    </w:p>
    <w:p>
      <w:pPr>
        <w:spacing w:after="0" w:line="19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Phenethylamine Program</w:t>
      </w:r>
    </w:p>
    <w:p>
      <w:pPr>
        <w:spacing w:after="0" w:line="208"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8"/>
          <w:szCs w:val="18"/>
          <w:color w:val="auto"/>
        </w:rPr>
        <w:t>Pursuant to the Adelia Transaction, the Company acquired a preclinical phenethylamine program. Work on the synthesis and optimization of these molecules is underway at a third-party vendor. The Company anticipates that its phenethylamine program may deliver a drug candidate suitable for entry into clinical studies by the end of calendar 2023, updated from the prior estimate of late calendar 2021 to early calendar 2022 due to certain research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155194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24" w:lineRule="exact"/>
        <w:rPr>
          <w:sz w:val="20"/>
          <w:szCs w:val="20"/>
          <w:color w:val="auto"/>
        </w:rPr>
      </w:pPr>
    </w:p>
    <w:p>
      <w:pPr>
        <w:jc w:val="both"/>
        <w:ind w:left="2" w:right="20" w:hanging="2"/>
        <w:spacing w:after="0" w:line="251" w:lineRule="auto"/>
        <w:tabs>
          <w:tab w:leader="none" w:pos="145" w:val="left"/>
        </w:tabs>
        <w:numPr>
          <w:ilvl w:val="0"/>
          <w:numId w:val="10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This statement is based on the following material factors and assumptions: (a) the timely and successful completion of certain preclinical studies including but not limited to: (i) complete the development of stable formulations utilizing these APIs; (ii) the development and validation of analytical methods for such formulations; (iii) the scale up of API production processes beyond laboratory scale will be suitable for entry into animal and human studies; (iv) studies of the stability of such formulations will be suitable for human studies; and (v) the development of Chemistry, Manufacturing and Controls to meet cGMP; (b) the Company assumes it will enter into agreements with certain third party vendors to complete a range of additional preclinical programs before the final selection of drug candidates for entry into human trials; and (c) obtain an IND and/or a CTA to enter into clinical trials.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5" w:lineRule="exact"/>
        <w:rPr>
          <w:rFonts w:ascii="Times New Roman" w:cs="Times New Roman" w:eastAsia="Times New Roman" w:hAnsi="Times New Roman"/>
          <w:sz w:val="20"/>
          <w:szCs w:val="20"/>
          <w:color w:val="auto"/>
          <w:vertAlign w:val="superscript"/>
        </w:rPr>
      </w:pPr>
    </w:p>
    <w:p>
      <w:pPr>
        <w:ind w:left="182" w:hanging="182"/>
        <w:spacing w:after="0" w:line="183" w:lineRule="auto"/>
        <w:tabs>
          <w:tab w:leader="none" w:pos="182" w:val="left"/>
        </w:tabs>
        <w:numPr>
          <w:ilvl w:val="0"/>
          <w:numId w:val="10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Dollar amount calculated since June 1, 2021, being the date of the financial data in the July Base Shelf Prospectus.</w:t>
      </w:r>
    </w:p>
    <w:p>
      <w:pPr>
        <w:spacing w:after="0" w:line="200" w:lineRule="exact"/>
        <w:rPr>
          <w:sz w:val="20"/>
          <w:szCs w:val="20"/>
          <w:color w:val="auto"/>
        </w:rPr>
      </w:pPr>
    </w:p>
    <w:p>
      <w:pPr>
        <w:spacing w:after="0" w:line="34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2"/>
          </w:cols>
          <w:pgMar w:left="318" w:top="705" w:right="319" w:bottom="1440" w:gutter="0" w:footer="0" w:header="0"/>
        </w:sectPr>
      </w:pPr>
    </w:p>
    <w:bookmarkStart w:id="163" w:name="page164"/>
    <w:bookmarkEnd w:id="163"/>
    <w:p>
      <w:pPr>
        <w:ind w:left="2"/>
        <w:spacing w:after="0"/>
        <w:rPr>
          <w:sz w:val="20"/>
          <w:szCs w:val="20"/>
          <w:color w:val="auto"/>
        </w:rPr>
      </w:pPr>
      <w:r>
        <w:rPr>
          <w:rFonts w:ascii="Times New Roman" w:cs="Times New Roman" w:eastAsia="Times New Roman" w:hAnsi="Times New Roman"/>
          <w:sz w:val="18"/>
          <w:szCs w:val="18"/>
          <w:color w:val="auto"/>
        </w:rPr>
        <w:t>development delays, but there is no assurance that these timelines will be met or that a preclinical drug candidate will advance to clinical trials at all.</w:t>
      </w:r>
      <w:r>
        <w:rPr>
          <w:rFonts w:ascii="Times New Roman" w:cs="Times New Roman" w:eastAsia="Times New Roman" w:hAnsi="Times New Roman"/>
          <w:sz w:val="23"/>
          <w:szCs w:val="23"/>
          <w:color w:val="auto"/>
          <w:vertAlign w:val="superscript"/>
        </w:rPr>
        <w:t>13</w:t>
      </w:r>
    </w:p>
    <w:p>
      <w:pPr>
        <w:spacing w:after="0" w:line="17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As at March 31, 2022, the Company has spent approximately $841 on preclinical phenethylamines</w:t>
      </w:r>
      <w:r>
        <w:rPr>
          <w:rFonts w:ascii="Times New Roman" w:cs="Times New Roman" w:eastAsia="Times New Roman" w:hAnsi="Times New Roman"/>
          <w:sz w:val="23"/>
          <w:szCs w:val="23"/>
          <w:color w:val="auto"/>
          <w:vertAlign w:val="superscript"/>
        </w:rPr>
        <w:t>14</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jc w:val="both"/>
        <w:ind w:left="2"/>
        <w:spacing w:after="0" w:line="241" w:lineRule="auto"/>
        <w:rPr>
          <w:sz w:val="20"/>
          <w:szCs w:val="20"/>
          <w:color w:val="auto"/>
        </w:rPr>
      </w:pPr>
      <w:r>
        <w:rPr>
          <w:rFonts w:ascii="Times New Roman" w:cs="Times New Roman" w:eastAsia="Times New Roman" w:hAnsi="Times New Roman"/>
          <w:sz w:val="18"/>
          <w:szCs w:val="18"/>
          <w:color w:val="auto"/>
        </w:rPr>
        <w:t>As at the date of this MD&amp;A, the Company continues its work on its synthesis and optimization of phenethylamines. Multiple phenethylamines have been shown to have psychedelic properties and several, such as MDMA, have shown great promise as therapeutics. Cybin’s proprietary approach to phenethylamines modification with deuterium substitution, proprietary formulations and directed delivery systems has yielded a number of novel leads with significant therapeutic potential. Several compounds are now being further studied both in vitro and in vivo for selection of the best development candidates. Subsequent to the period ended March 31, 2022, the Company has identified a potential candidate from its phenethylamine program that demonstrates 5HT2A receptor agonism (CYB005). The Company plans to report preclinical data for CYB005 in Q3 2022 (assuming the completion of the related preclincal trials) at which time the Company expects to nominate a candidate and complete its assessment of the potential path forward for this candidate, including whether it will be developed internally or by way of potential third party partners; as of the date hereof, there is no assurance that this candidate will advance to clinical trials at all.</w:t>
      </w:r>
    </w:p>
    <w:p>
      <w:pPr>
        <w:spacing w:after="0" w:line="19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Technology Programs</w:t>
      </w:r>
    </w:p>
    <w:p>
      <w:pPr>
        <w:spacing w:after="0" w:line="208"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8"/>
          <w:szCs w:val="18"/>
          <w:color w:val="auto"/>
        </w:rPr>
        <w:t>The Company was previously working on a number of fronts to establish an e-Commerce platform to support the education, sales and marketing of potential consumer and prescription mental wellness products, including but not limited to its line of nutraceutical products. However, due to the fact that the Company has made the decision to no longer pursue the Product Line, this initiative has been cancelled.</w:t>
      </w:r>
    </w:p>
    <w:p>
      <w:pPr>
        <w:spacing w:after="0" w:line="159" w:lineRule="exact"/>
        <w:rPr>
          <w:sz w:val="20"/>
          <w:szCs w:val="20"/>
          <w:color w:val="auto"/>
        </w:rPr>
      </w:pPr>
    </w:p>
    <w:p>
      <w:pPr>
        <w:jc w:val="both"/>
        <w:ind w:left="2"/>
        <w:spacing w:after="0" w:line="262" w:lineRule="auto"/>
        <w:rPr>
          <w:sz w:val="20"/>
          <w:szCs w:val="20"/>
          <w:color w:val="auto"/>
        </w:rPr>
      </w:pPr>
      <w:r>
        <w:rPr>
          <w:rFonts w:ascii="Times New Roman" w:cs="Times New Roman" w:eastAsia="Times New Roman" w:hAnsi="Times New Roman"/>
          <w:sz w:val="18"/>
          <w:szCs w:val="18"/>
          <w:color w:val="auto"/>
        </w:rPr>
        <w:t>The Company has begun work on the creation of a patient digital therapy platform (the “</w:t>
      </w:r>
      <w:r>
        <w:rPr>
          <w:rFonts w:ascii="Times New Roman" w:cs="Times New Roman" w:eastAsia="Times New Roman" w:hAnsi="Times New Roman"/>
          <w:sz w:val="18"/>
          <w:szCs w:val="18"/>
          <w:b w:val="1"/>
          <w:bCs w:val="1"/>
          <w:color w:val="auto"/>
        </w:rPr>
        <w:t>Digital Platform</w:t>
      </w:r>
      <w:r>
        <w:rPr>
          <w:rFonts w:ascii="Times New Roman" w:cs="Times New Roman" w:eastAsia="Times New Roman" w:hAnsi="Times New Roman"/>
          <w:sz w:val="18"/>
          <w:szCs w:val="18"/>
          <w:color w:val="auto"/>
        </w:rPr>
        <w:t>”). The Digital Platform is envisioned to help patients undergoing psychedelic therapies to memorialize the learning from their treatment sessions and to assist with the integration of such learnings into the patient’s psychotherapy program. Activities have been undertaken to establish the design of a proof of concept and to identify the necessary key modules and components.</w:t>
      </w:r>
    </w:p>
    <w:p>
      <w:pPr>
        <w:spacing w:after="0" w:line="147" w:lineRule="exact"/>
        <w:rPr>
          <w:sz w:val="20"/>
          <w:szCs w:val="20"/>
          <w:color w:val="auto"/>
        </w:rPr>
      </w:pPr>
    </w:p>
    <w:p>
      <w:pPr>
        <w:jc w:val="both"/>
        <w:ind w:left="2" w:right="20"/>
        <w:spacing w:after="0" w:line="290" w:lineRule="auto"/>
        <w:rPr>
          <w:sz w:val="20"/>
          <w:szCs w:val="20"/>
          <w:color w:val="auto"/>
        </w:rPr>
      </w:pPr>
      <w:r>
        <w:rPr>
          <w:rFonts w:ascii="Times New Roman" w:cs="Times New Roman" w:eastAsia="Times New Roman" w:hAnsi="Times New Roman"/>
          <w:sz w:val="18"/>
          <w:szCs w:val="18"/>
          <w:color w:val="auto"/>
        </w:rPr>
        <w:t>On January 11, 2021, the Company announced that it has entered into an agreement with HI, LLC dba Kernel (“</w:t>
      </w:r>
      <w:r>
        <w:rPr>
          <w:rFonts w:ascii="Times New Roman" w:cs="Times New Roman" w:eastAsia="Times New Roman" w:hAnsi="Times New Roman"/>
          <w:sz w:val="18"/>
          <w:szCs w:val="18"/>
          <w:b w:val="1"/>
          <w:bCs w:val="1"/>
          <w:color w:val="auto"/>
        </w:rPr>
        <w:t>Kernel</w:t>
      </w:r>
      <w:r>
        <w:rPr>
          <w:rFonts w:ascii="Times New Roman" w:cs="Times New Roman" w:eastAsia="Times New Roman" w:hAnsi="Times New Roman"/>
          <w:sz w:val="18"/>
          <w:szCs w:val="18"/>
          <w:color w:val="auto"/>
        </w:rPr>
        <w:t>”) that will enable the Company to use Kernel Flow devices to potentially measure neural activity during psychedelic therapy.</w:t>
      </w:r>
    </w:p>
    <w:p>
      <w:pPr>
        <w:spacing w:after="0" w:line="127" w:lineRule="exact"/>
        <w:rPr>
          <w:sz w:val="20"/>
          <w:szCs w:val="20"/>
          <w:color w:val="auto"/>
        </w:rPr>
      </w:pPr>
    </w:p>
    <w:p>
      <w:pPr>
        <w:jc w:val="both"/>
        <w:ind w:left="2" w:right="20"/>
        <w:spacing w:after="0" w:line="291" w:lineRule="auto"/>
        <w:rPr>
          <w:sz w:val="20"/>
          <w:szCs w:val="20"/>
          <w:color w:val="auto"/>
        </w:rPr>
      </w:pPr>
      <w:r>
        <w:rPr>
          <w:rFonts w:ascii="Times New Roman" w:cs="Times New Roman" w:eastAsia="Times New Roman" w:hAnsi="Times New Roman"/>
          <w:sz w:val="18"/>
          <w:szCs w:val="18"/>
          <w:color w:val="auto"/>
        </w:rPr>
        <w:t>On June 1, 2021, the Company announced its sponsorship of Kernel’s feasibility study of its Kernel Flow technology to measure ketamine’s psychedelic effect on cerebral cortex hemodynamics.</w:t>
      </w:r>
      <w:r>
        <w:rPr>
          <w:rFonts w:ascii="Times New Roman" w:cs="Times New Roman" w:eastAsia="Times New Roman" w:hAnsi="Times New Roman"/>
          <w:sz w:val="23"/>
          <w:szCs w:val="23"/>
          <w:color w:val="auto"/>
          <w:vertAlign w:val="superscript"/>
        </w:rPr>
        <w:t>15</w:t>
      </w:r>
    </w:p>
    <w:p>
      <w:pPr>
        <w:spacing w:after="0" w:line="64"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8"/>
          <w:szCs w:val="18"/>
          <w:color w:val="auto"/>
        </w:rPr>
        <w:t>On July 13, 2021, the Company announced that it has commenced the next phase of the Company’s digital therapeutics platform which will better enable the evaluation of patient outcomes through a highly secure,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55194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54" w:lineRule="exact"/>
        <w:rPr>
          <w:sz w:val="20"/>
          <w:szCs w:val="20"/>
          <w:color w:val="auto"/>
        </w:rPr>
      </w:pPr>
    </w:p>
    <w:p>
      <w:pPr>
        <w:jc w:val="both"/>
        <w:ind w:left="2" w:hanging="2"/>
        <w:spacing w:after="0" w:line="235" w:lineRule="auto"/>
        <w:tabs>
          <w:tab w:leader="none" w:pos="149" w:val="left"/>
        </w:tabs>
        <w:numPr>
          <w:ilvl w:val="0"/>
          <w:numId w:val="10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Absorption, Distribution, Metabolism, and Excretion (“</w:t>
      </w:r>
      <w:r>
        <w:rPr>
          <w:rFonts w:ascii="Times New Roman" w:cs="Times New Roman" w:eastAsia="Times New Roman" w:hAnsi="Times New Roman"/>
          <w:sz w:val="15"/>
          <w:szCs w:val="15"/>
          <w:b w:val="1"/>
          <w:bCs w:val="1"/>
          <w:color w:val="auto"/>
        </w:rPr>
        <w:t>ADME</w:t>
      </w:r>
      <w:r>
        <w:rPr>
          <w:rFonts w:ascii="Times New Roman" w:cs="Times New Roman" w:eastAsia="Times New Roman" w:hAnsi="Times New Roman"/>
          <w:sz w:val="15"/>
          <w:szCs w:val="15"/>
          <w:color w:val="auto"/>
        </w:rPr>
        <w:t>”)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5" w:lineRule="exact"/>
        <w:rPr>
          <w:rFonts w:ascii="Times New Roman" w:cs="Times New Roman" w:eastAsia="Times New Roman" w:hAnsi="Times New Roman"/>
          <w:sz w:val="21"/>
          <w:szCs w:val="21"/>
          <w:color w:val="auto"/>
          <w:vertAlign w:val="superscript"/>
        </w:rPr>
      </w:pPr>
    </w:p>
    <w:p>
      <w:pPr>
        <w:ind w:left="182" w:hanging="182"/>
        <w:spacing w:after="0" w:line="180" w:lineRule="auto"/>
        <w:tabs>
          <w:tab w:leader="none" w:pos="182" w:val="left"/>
        </w:tabs>
        <w:numPr>
          <w:ilvl w:val="0"/>
          <w:numId w:val="10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Dollar amount calculated since June 1, 2021, being the date of the financial data in the July Base Shelf Prospectus.</w:t>
      </w:r>
    </w:p>
    <w:p>
      <w:pPr>
        <w:spacing w:after="0" w:line="21" w:lineRule="exact"/>
        <w:rPr>
          <w:rFonts w:ascii="Times New Roman" w:cs="Times New Roman" w:eastAsia="Times New Roman" w:hAnsi="Times New Roman"/>
          <w:sz w:val="24"/>
          <w:szCs w:val="24"/>
          <w:color w:val="auto"/>
          <w:vertAlign w:val="superscript"/>
        </w:rPr>
      </w:pPr>
    </w:p>
    <w:p>
      <w:pPr>
        <w:jc w:val="both"/>
        <w:ind w:left="2" w:right="20" w:hanging="2"/>
        <w:spacing w:after="0" w:line="230" w:lineRule="auto"/>
        <w:tabs>
          <w:tab w:leader="none" w:pos="149" w:val="left"/>
        </w:tabs>
        <w:numPr>
          <w:ilvl w:val="0"/>
          <w:numId w:val="10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Company assumes timely delivery of these devices, entering into contracts with selected academic research institutions and the approval of the final research study protocols. As of the date hereof, it has not yet completed the aforementioned items. Drug development involves long lead times, is very expensive and involves many variables of uncertainty.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2"/>
          </w:cols>
          <w:pgMar w:left="318" w:top="705" w:right="319" w:bottom="1440" w:gutter="0" w:footer="0" w:header="0"/>
        </w:sectPr>
      </w:pPr>
    </w:p>
    <w:bookmarkStart w:id="164" w:name="page165"/>
    <w:bookmarkEnd w:id="164"/>
    <w:p>
      <w:pPr>
        <w:jc w:val="both"/>
        <w:ind w:left="2"/>
        <w:spacing w:after="0" w:line="239" w:lineRule="auto"/>
        <w:rPr>
          <w:sz w:val="20"/>
          <w:szCs w:val="20"/>
          <w:color w:val="auto"/>
        </w:rPr>
      </w:pPr>
      <w:r>
        <w:rPr>
          <w:rFonts w:ascii="Times New Roman" w:cs="Times New Roman" w:eastAsia="Times New Roman" w:hAnsi="Times New Roman"/>
          <w:sz w:val="18"/>
          <w:szCs w:val="18"/>
          <w:color w:val="auto"/>
        </w:rPr>
        <w:t>centered data analytics platform for better pre- and post-psychedelic treatments</w:t>
      </w:r>
      <w:r>
        <w:rPr>
          <w:rFonts w:ascii="Times New Roman" w:cs="Times New Roman" w:eastAsia="Times New Roman" w:hAnsi="Times New Roman"/>
          <w:sz w:val="23"/>
          <w:szCs w:val="23"/>
          <w:color w:val="auto"/>
          <w:vertAlign w:val="superscript"/>
        </w:rPr>
        <w:t>16</w:t>
      </w:r>
      <w:r>
        <w:rPr>
          <w:rFonts w:ascii="Times New Roman" w:cs="Times New Roman" w:eastAsia="Times New Roman" w:hAnsi="Times New Roman"/>
          <w:sz w:val="18"/>
          <w:szCs w:val="18"/>
          <w:color w:val="auto"/>
        </w:rPr>
        <w:t>. The digital therapeutics platform, which is proprietary to Cybin and the subject of one of the Company’s patent applications, adds another dimension to the Company’s development programs</w:t>
      </w:r>
      <w:r>
        <w:rPr>
          <w:rFonts w:ascii="Times New Roman" w:cs="Times New Roman" w:eastAsia="Times New Roman" w:hAnsi="Times New Roman"/>
          <w:sz w:val="23"/>
          <w:szCs w:val="23"/>
          <w:color w:val="auto"/>
          <w:vertAlign w:val="superscript"/>
        </w:rPr>
        <w:t>17</w:t>
      </w:r>
      <w:r>
        <w:rPr>
          <w:rFonts w:ascii="Times New Roman" w:cs="Times New Roman" w:eastAsia="Times New Roman" w:hAnsi="Times New Roman"/>
          <w:sz w:val="18"/>
          <w:szCs w:val="18"/>
          <w:color w:val="auto"/>
        </w:rPr>
        <w:t>.</w:t>
      </w:r>
    </w:p>
    <w:p>
      <w:pPr>
        <w:spacing w:after="0" w:line="96" w:lineRule="exact"/>
        <w:rPr>
          <w:sz w:val="20"/>
          <w:szCs w:val="20"/>
          <w:color w:val="auto"/>
        </w:rPr>
      </w:pPr>
    </w:p>
    <w:p>
      <w:pPr>
        <w:jc w:val="both"/>
        <w:ind w:left="2" w:right="20"/>
        <w:spacing w:after="0" w:line="249" w:lineRule="auto"/>
        <w:rPr>
          <w:sz w:val="20"/>
          <w:szCs w:val="20"/>
          <w:color w:val="auto"/>
        </w:rPr>
      </w:pPr>
      <w:r>
        <w:rPr>
          <w:rFonts w:ascii="Times New Roman" w:cs="Times New Roman" w:eastAsia="Times New Roman" w:hAnsi="Times New Roman"/>
          <w:sz w:val="18"/>
          <w:szCs w:val="18"/>
          <w:color w:val="auto"/>
        </w:rPr>
        <w:t>On October 26, 2021, the Company announced that the FDA has authorized an IND application to proceed with the Company’s sponsored feasibility study using Kernel’s Flow technology to measure ketamine’s psychedelic effect on cerebral cortex hemodynamics. On January 11, 2022, the Company announced that the IRB has approved the Company’s sponsored feasibility study.</w:t>
      </w:r>
    </w:p>
    <w:p>
      <w:pPr>
        <w:spacing w:after="0" w:line="187" w:lineRule="exact"/>
        <w:rPr>
          <w:sz w:val="20"/>
          <w:szCs w:val="20"/>
          <w:color w:val="auto"/>
        </w:rPr>
      </w:pPr>
    </w:p>
    <w:p>
      <w:pPr>
        <w:jc w:val="both"/>
        <w:ind w:left="2" w:right="20"/>
        <w:spacing w:after="0" w:line="269" w:lineRule="auto"/>
        <w:rPr>
          <w:sz w:val="20"/>
          <w:szCs w:val="20"/>
          <w:color w:val="auto"/>
        </w:rPr>
      </w:pPr>
      <w:r>
        <w:rPr>
          <w:rFonts w:ascii="Times New Roman" w:cs="Times New Roman" w:eastAsia="Times New Roman" w:hAnsi="Times New Roman"/>
          <w:sz w:val="18"/>
          <w:szCs w:val="18"/>
          <w:color w:val="auto"/>
        </w:rPr>
        <w:t>On March 31, 2022, the Company announced that the first study visit has been conducted in a Cybin-sponsored feasibility study evaluating Kernel’s quantitative neuroimaging technology, Flow, to measure ketamine’s psychedelic effects on cerebral cortex hemodynamics. On May 9, 2022 the Company announced that preliminary data confirmed Flow’s ability to successfully measure neuro-effect of ketamine over 10 days.</w:t>
      </w:r>
      <w:r>
        <w:rPr>
          <w:rFonts w:ascii="Times New Roman" w:cs="Times New Roman" w:eastAsia="Times New Roman" w:hAnsi="Times New Roman"/>
          <w:sz w:val="23"/>
          <w:szCs w:val="23"/>
          <w:color w:val="auto"/>
          <w:vertAlign w:val="superscript"/>
        </w:rPr>
        <w:t>18</w:t>
      </w:r>
    </w:p>
    <w:p>
      <w:pPr>
        <w:spacing w:after="0" w:line="107"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8"/>
          <w:szCs w:val="18"/>
          <w:color w:val="auto"/>
        </w:rPr>
        <w:t>Timelines for progression of the above technology programs, along with anticipated future spending are detailed in “Use of Proceeds” but there is no assurance that these timelines will be met or that these programs will become commercially viable.</w:t>
      </w:r>
    </w:p>
    <w:p>
      <w:pPr>
        <w:spacing w:after="0" w:line="18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As at March 31, 2022, the Company has spent approximately $1,130 on its technology programs</w:t>
      </w:r>
      <w:r>
        <w:rPr>
          <w:rFonts w:ascii="Times New Roman" w:cs="Times New Roman" w:eastAsia="Times New Roman" w:hAnsi="Times New Roman"/>
          <w:sz w:val="23"/>
          <w:szCs w:val="23"/>
          <w:color w:val="auto"/>
          <w:vertAlign w:val="superscript"/>
        </w:rPr>
        <w:t>19</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Nutraceutical Products</w:t>
      </w:r>
    </w:p>
    <w:p>
      <w:pPr>
        <w:spacing w:after="0" w:line="196" w:lineRule="exact"/>
        <w:rPr>
          <w:sz w:val="20"/>
          <w:szCs w:val="20"/>
          <w:color w:val="auto"/>
        </w:rPr>
      </w:pPr>
    </w:p>
    <w:p>
      <w:pPr>
        <w:jc w:val="both"/>
        <w:ind w:left="2" w:right="20"/>
        <w:spacing w:after="0" w:line="246" w:lineRule="auto"/>
        <w:rPr>
          <w:sz w:val="20"/>
          <w:szCs w:val="20"/>
          <w:color w:val="auto"/>
        </w:rPr>
      </w:pPr>
      <w:r>
        <w:rPr>
          <w:rFonts w:ascii="Times New Roman" w:cs="Times New Roman" w:eastAsia="Times New Roman" w:hAnsi="Times New Roman"/>
          <w:sz w:val="18"/>
          <w:szCs w:val="18"/>
          <w:color w:val="auto"/>
        </w:rPr>
        <w:t>In November 2021, the Company determined that it would not proceed with the Product Line in order to focus its efforts on the research and development progression of psychedelic molecules. The Company had previously indicated that it the timeline for the Product Line was updated from Q4 2021 to Q1 2022, however this business segment will not be pursued. The Company has spent approximately $nil on the Product Line since the Company’s listing statement dated November 9, 2020 (the “</w:t>
      </w:r>
      <w:r>
        <w:rPr>
          <w:rFonts w:ascii="Times New Roman" w:cs="Times New Roman" w:eastAsia="Times New Roman" w:hAnsi="Times New Roman"/>
          <w:sz w:val="18"/>
          <w:szCs w:val="18"/>
          <w:b w:val="1"/>
          <w:bCs w:val="1"/>
          <w:color w:val="auto"/>
        </w:rPr>
        <w:t>Listing Statement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Relationships with Third Parties</w:t>
      </w:r>
    </w:p>
    <w:p>
      <w:pPr>
        <w:spacing w:after="0" w:line="223" w:lineRule="exact"/>
        <w:rPr>
          <w:sz w:val="20"/>
          <w:szCs w:val="20"/>
          <w:color w:val="auto"/>
        </w:rPr>
      </w:pPr>
    </w:p>
    <w:p>
      <w:pPr>
        <w:jc w:val="both"/>
        <w:ind w:left="2" w:right="20"/>
        <w:spacing w:after="0" w:line="241" w:lineRule="auto"/>
        <w:rPr>
          <w:sz w:val="20"/>
          <w:szCs w:val="20"/>
          <w:color w:val="auto"/>
        </w:rPr>
      </w:pPr>
      <w:r>
        <w:rPr>
          <w:rFonts w:ascii="Times New Roman" w:cs="Times New Roman" w:eastAsia="Times New Roman" w:hAnsi="Times New Roman"/>
          <w:sz w:val="18"/>
          <w:szCs w:val="18"/>
          <w:color w:val="auto"/>
        </w:rPr>
        <w:t>The Company’s research and development on its psychedelic pharmaceutical products is conducted by way of licensed partners. The Company also intends to sponsor clinical and other studies at various clinical trial sites. As of the date of this MD&amp;A, the Company and the University of Washington are co-sponsoring a randomized, placebo-controlled clinical trial of psychedelic-assisted psychotherapy with psilocybin for frontline clinicians experiencing COVID-19 related distress.</w:t>
      </w:r>
    </w:p>
    <w:p>
      <w:pPr>
        <w:spacing w:after="0" w:line="195"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8"/>
          <w:szCs w:val="18"/>
          <w:color w:val="auto"/>
        </w:rPr>
        <w:t>On July 6, 2021, the Company entered into a collaboration agreement with Greenbrook TMS to establish mental health centers of excellence for the purpose of facilitating research and development of innovative psychedelic compound-based therapeutics for patients suffering from depression.</w:t>
      </w:r>
    </w:p>
    <w:p>
      <w:pPr>
        <w:spacing w:after="0" w:line="156" w:lineRule="exact"/>
        <w:rPr>
          <w:sz w:val="20"/>
          <w:szCs w:val="20"/>
          <w:color w:val="auto"/>
        </w:rPr>
      </w:pPr>
    </w:p>
    <w:p>
      <w:pPr>
        <w:jc w:val="both"/>
        <w:ind w:left="2" w:right="20"/>
        <w:spacing w:after="0" w:line="249" w:lineRule="auto"/>
        <w:rPr>
          <w:sz w:val="20"/>
          <w:szCs w:val="20"/>
          <w:color w:val="auto"/>
        </w:rPr>
      </w:pPr>
      <w:r>
        <w:rPr>
          <w:rFonts w:ascii="Times New Roman" w:cs="Times New Roman" w:eastAsia="Times New Roman" w:hAnsi="Times New Roman"/>
          <w:sz w:val="18"/>
          <w:szCs w:val="18"/>
          <w:color w:val="auto"/>
        </w:rPr>
        <w:t>On April 21, 2022, the Company announced that it has partnered with Clinilabs, a global, full-service contract research organization with deep expertise in central nervous system drug development, to carry out the Company’s Phase I/IIa clinical trial of CYB003, its proprietary deuterated psilocybin analog. CYB003 will be the first psilocybin analog to be evaluated in Phase I/IIa development for the treatment of 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155194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00" w:lineRule="exact"/>
        <w:rPr>
          <w:sz w:val="20"/>
          <w:szCs w:val="20"/>
          <w:color w:val="auto"/>
        </w:rPr>
      </w:pPr>
    </w:p>
    <w:p>
      <w:pPr>
        <w:jc w:val="both"/>
        <w:ind w:left="2" w:right="20" w:hanging="2"/>
        <w:spacing w:after="0" w:line="227" w:lineRule="auto"/>
        <w:tabs>
          <w:tab w:leader="none" w:pos="147" w:val="left"/>
        </w:tabs>
        <w:numPr>
          <w:ilvl w:val="0"/>
          <w:numId w:val="10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material factors or assumptions include, but are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spacing w:after="0" w:line="1" w:lineRule="exact"/>
        <w:rPr>
          <w:rFonts w:ascii="Times New Roman" w:cs="Times New Roman" w:eastAsia="Times New Roman" w:hAnsi="Times New Roman"/>
          <w:sz w:val="22"/>
          <w:szCs w:val="22"/>
          <w:color w:val="auto"/>
          <w:vertAlign w:val="superscript"/>
        </w:rPr>
      </w:pPr>
    </w:p>
    <w:p>
      <w:pPr>
        <w:jc w:val="both"/>
        <w:ind w:left="2" w:right="20" w:hanging="2"/>
        <w:spacing w:after="0" w:line="221" w:lineRule="auto"/>
        <w:tabs>
          <w:tab w:leader="none" w:pos="160" w:val="left"/>
        </w:tabs>
        <w:numPr>
          <w:ilvl w:val="0"/>
          <w:numId w:val="10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Significant events that must occur to move forward with the proposed business objective include identifying the intended consumer, entering into third party agreements to develop the platform, and identifying and retaining qualified individuals to support the ongoing development and operation of the digital therapy platform. The material factors and assumptions include, but are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jc w:val="both"/>
        <w:ind w:left="2" w:right="20" w:hanging="2"/>
        <w:spacing w:after="0" w:line="225" w:lineRule="auto"/>
        <w:tabs>
          <w:tab w:leader="none" w:pos="135" w:val="left"/>
        </w:tabs>
        <w:numPr>
          <w:ilvl w:val="0"/>
          <w:numId w:val="10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Preliminary data from the piloting suggested that ketamine-induced changes in functional connectivity persisted for several days after administration. Kernel Flow successfully measured the neuro-effect of ketamine over 11 days (baseline at Days 1-5, dosing at Day 6, follow-up at Days 7-11), and confirmed changes in functional connectivity that are consistent with current scientific research (</w:t>
      </w:r>
      <w:r>
        <w:rPr>
          <w:rFonts w:ascii="Times New Roman" w:cs="Times New Roman" w:eastAsia="Times New Roman" w:hAnsi="Times New Roman"/>
          <w:sz w:val="15"/>
          <w:szCs w:val="15"/>
          <w:i w:val="1"/>
          <w:iCs w:val="1"/>
          <w:color w:val="auto"/>
        </w:rPr>
        <w:t>Scheidegger et al 2012; Zacharias et al 2019; Li et al 2022</w:t>
      </w:r>
      <w:r>
        <w:rPr>
          <w:rFonts w:ascii="Times New Roman" w:cs="Times New Roman" w:eastAsia="Times New Roman" w:hAnsi="Times New Roman"/>
          <w:sz w:val="15"/>
          <w:szCs w:val="15"/>
          <w:color w:val="auto"/>
        </w:rPr>
        <w:t>). The piloting was conducted to ensure the efficiency of the feasibility study design. Participants in the pilot received either a low dose of ketamine and/or a placebo while wearing the Flow headset.</w:t>
      </w:r>
    </w:p>
    <w:p>
      <w:pPr>
        <w:spacing w:after="0" w:line="2" w:lineRule="exact"/>
        <w:rPr>
          <w:rFonts w:ascii="Times New Roman" w:cs="Times New Roman" w:eastAsia="Times New Roman" w:hAnsi="Times New Roman"/>
          <w:sz w:val="19"/>
          <w:szCs w:val="19"/>
          <w:color w:val="auto"/>
          <w:vertAlign w:val="superscript"/>
        </w:rPr>
      </w:pPr>
    </w:p>
    <w:p>
      <w:pPr>
        <w:ind w:left="122" w:hanging="122"/>
        <w:spacing w:after="0" w:line="202" w:lineRule="auto"/>
        <w:tabs>
          <w:tab w:leader="none" w:pos="122" w:val="left"/>
        </w:tabs>
        <w:numPr>
          <w:ilvl w:val="0"/>
          <w:numId w:val="10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Dollar amount calculated since June 1, 2021, being the date of the financial data in the July Base Shelf Prospectus.</w:t>
      </w:r>
    </w:p>
    <w:p>
      <w:pPr>
        <w:spacing w:after="0" w:line="200" w:lineRule="exact"/>
        <w:rPr>
          <w:sz w:val="20"/>
          <w:szCs w:val="20"/>
          <w:color w:val="auto"/>
        </w:rPr>
      </w:pPr>
    </w:p>
    <w:p>
      <w:pPr>
        <w:spacing w:after="0" w:line="34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2"/>
          </w:cols>
          <w:pgMar w:left="318" w:top="705" w:right="319" w:bottom="1440" w:gutter="0" w:footer="0" w:header="0"/>
        </w:sectPr>
      </w:pPr>
    </w:p>
    <w:bookmarkStart w:id="165" w:name="page166"/>
    <w:bookmarkEnd w:id="165"/>
    <w:p>
      <w:pPr>
        <w:jc w:val="both"/>
        <w:ind w:left="2"/>
        <w:spacing w:after="0" w:line="242" w:lineRule="auto"/>
        <w:rPr>
          <w:sz w:val="20"/>
          <w:szCs w:val="20"/>
          <w:color w:val="auto"/>
        </w:rPr>
      </w:pPr>
      <w:r>
        <w:rPr>
          <w:rFonts w:ascii="Times New Roman" w:cs="Times New Roman" w:eastAsia="Times New Roman" w:hAnsi="Times New Roman"/>
          <w:sz w:val="18"/>
          <w:szCs w:val="18"/>
          <w:color w:val="auto"/>
        </w:rPr>
        <w:t>The Company has established contractual sources of synthetic GMP (as defined below) and non-GMP raw materials to support its development operations through licensed third-party suppliers located in Canada, the United States and the United Kingdom. Such raw materials are expected to be, in general, readily available and in adequate supply to meet the Company’s need for development quantities, or custom manufactured on the Company’s behalf.</w:t>
      </w:r>
      <w:r>
        <w:rPr>
          <w:rFonts w:ascii="Times New Roman" w:cs="Times New Roman" w:eastAsia="Times New Roman" w:hAnsi="Times New Roman"/>
          <w:sz w:val="23"/>
          <w:szCs w:val="23"/>
          <w:color w:val="auto"/>
          <w:vertAlign w:val="superscript"/>
        </w:rPr>
        <w:t>20</w:t>
      </w:r>
      <w:r>
        <w:rPr>
          <w:rFonts w:ascii="Times New Roman" w:cs="Times New Roman" w:eastAsia="Times New Roman" w:hAnsi="Times New Roman"/>
          <w:sz w:val="18"/>
          <w:szCs w:val="18"/>
          <w:color w:val="auto"/>
        </w:rPr>
        <w:t xml:space="preserve">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180"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8"/>
          <w:szCs w:val="18"/>
          <w:color w:val="auto"/>
        </w:rPr>
        <w:t>The Company has conducted due diligence on each such third party, including but not limited to the review of necessary licences and the regulatory framework enacted in the jurisdiction of operation.</w:t>
      </w:r>
    </w:p>
    <w:p>
      <w:pPr>
        <w:spacing w:after="0" w:line="3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Update on Use of Proceeds</w:t>
      </w:r>
    </w:p>
    <w:p>
      <w:pPr>
        <w:spacing w:after="0" w:line="212"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8"/>
          <w:szCs w:val="18"/>
          <w:color w:val="auto"/>
        </w:rPr>
        <w:t>The Company has committed the following capital expenditures to meet its planned growth and fund development activities and, as of March 31, 2022, there have not been, and the Company does not anticipate, any changes to its previously made disclosure about the Company’s intended use of proceeds except as described below.</w:t>
      </w:r>
    </w:p>
    <w:p>
      <w:pPr>
        <w:spacing w:after="0" w:line="150" w:lineRule="exact"/>
        <w:rPr>
          <w:sz w:val="20"/>
          <w:szCs w:val="20"/>
          <w:color w:val="auto"/>
        </w:rPr>
      </w:pPr>
    </w:p>
    <w:p>
      <w:pPr>
        <w:jc w:val="both"/>
        <w:ind w:left="2" w:right="20"/>
        <w:spacing w:after="0" w:line="285" w:lineRule="auto"/>
        <w:rPr>
          <w:sz w:val="20"/>
          <w:szCs w:val="20"/>
          <w:color w:val="auto"/>
        </w:rPr>
      </w:pPr>
      <w:r>
        <w:rPr>
          <w:rFonts w:ascii="Times New Roman" w:cs="Times New Roman" w:eastAsia="Times New Roman" w:hAnsi="Times New Roman"/>
          <w:sz w:val="18"/>
          <w:szCs w:val="18"/>
          <w:color w:val="auto"/>
        </w:rPr>
        <w:t>The below table describes the differences between the Company’s anticipated use of proceeds as described in the July Base Shelf Prospectus, and the Company’s actual use of proceeds as at March 31, 2022.</w:t>
      </w:r>
    </w:p>
    <w:p>
      <w:pPr>
        <w:spacing w:after="0" w:line="181" w:lineRule="exact"/>
        <w:rPr>
          <w:sz w:val="20"/>
          <w:szCs w:val="20"/>
          <w:color w:val="auto"/>
        </w:rPr>
      </w:pPr>
    </w:p>
    <w:tbl>
      <w:tblPr>
        <w:tblLayout w:type="fixed"/>
        <w:tblInd w:w="32" w:type="dxa"/>
        <w:tblCellMar>
          <w:top w:w="0" w:type="dxa"/>
          <w:left w:w="0" w:type="dxa"/>
          <w:bottom w:w="0" w:type="dxa"/>
          <w:right w:w="0" w:type="dxa"/>
        </w:tblCellMar>
      </w:tblPr>
      <w:tr>
        <w:trPr>
          <w:trHeight w:val="351"/>
        </w:trPr>
        <w:tc>
          <w:tcPr>
            <w:tcW w:w="100" w:type="dxa"/>
            <w:vAlign w:val="bottom"/>
            <w:tcBorders>
              <w:top w:val="single" w:sz="8" w:color="auto"/>
              <w:left w:val="single" w:sz="8" w:color="auto"/>
              <w:right w:val="single" w:sz="8" w:color="D9D9D9"/>
            </w:tcBorders>
            <w:shd w:val="clear" w:color="auto" w:fill="D9D9D9"/>
          </w:tcPr>
          <w:p>
            <w:pPr>
              <w:spacing w:after="0"/>
              <w:rPr>
                <w:sz w:val="24"/>
                <w:szCs w:val="24"/>
                <w:color w:val="auto"/>
              </w:rPr>
            </w:pPr>
          </w:p>
        </w:tc>
        <w:tc>
          <w:tcPr>
            <w:tcW w:w="4480" w:type="dxa"/>
            <w:vAlign w:val="bottom"/>
            <w:tcBorders>
              <w:top w:val="single" w:sz="8" w:color="auto"/>
              <w:right w:val="single" w:sz="8" w:color="auto"/>
            </w:tcBorders>
            <w:gridSpan w:val="2"/>
            <w:shd w:val="clear" w:color="auto" w:fill="D9D9D9"/>
          </w:tcPr>
          <w:p>
            <w:pPr>
              <w:ind w:left="1140"/>
              <w:spacing w:after="0"/>
              <w:rPr>
                <w:sz w:val="20"/>
                <w:szCs w:val="20"/>
                <w:color w:val="auto"/>
              </w:rPr>
            </w:pPr>
            <w:r>
              <w:rPr>
                <w:rFonts w:ascii="Times New Roman" w:cs="Times New Roman" w:eastAsia="Times New Roman" w:hAnsi="Times New Roman"/>
                <w:sz w:val="15"/>
                <w:szCs w:val="15"/>
                <w:b w:val="1"/>
                <w:bCs w:val="1"/>
                <w:color w:val="auto"/>
              </w:rPr>
              <w:t>Use of Available Funds ($000’s)</w:t>
            </w:r>
            <w:r>
              <w:rPr>
                <w:rFonts w:ascii="Times New Roman" w:cs="Times New Roman" w:eastAsia="Times New Roman" w:hAnsi="Times New Roman"/>
                <w:sz w:val="19"/>
                <w:szCs w:val="19"/>
                <w:b w:val="1"/>
                <w:bCs w:val="1"/>
                <w:color w:val="auto"/>
                <w:vertAlign w:val="superscript"/>
              </w:rPr>
              <w:t>(1)</w:t>
            </w:r>
          </w:p>
        </w:tc>
        <w:tc>
          <w:tcPr>
            <w:tcW w:w="15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Previous Disclosure</w:t>
            </w:r>
          </w:p>
        </w:tc>
        <w:tc>
          <w:tcPr>
            <w:tcW w:w="15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Actual Use of Proceeds</w:t>
            </w:r>
          </w:p>
        </w:tc>
        <w:tc>
          <w:tcPr>
            <w:tcW w:w="1700" w:type="dxa"/>
            <w:vAlign w:val="bottom"/>
            <w:tcBorders>
              <w:top w:val="single" w:sz="8" w:color="auto"/>
              <w:right w:val="single" w:sz="8" w:color="auto"/>
            </w:tcBorders>
            <w:shd w:val="clear" w:color="auto" w:fill="D9D9D9"/>
          </w:tcPr>
          <w:p>
            <w:pPr>
              <w:spacing w:after="0"/>
              <w:rPr>
                <w:sz w:val="24"/>
                <w:szCs w:val="24"/>
                <w:color w:val="auto"/>
              </w:rPr>
            </w:pPr>
          </w:p>
        </w:tc>
        <w:tc>
          <w:tcPr>
            <w:tcW w:w="1820" w:type="dxa"/>
            <w:vAlign w:val="bottom"/>
            <w:tcBorders>
              <w:top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1460" w:type="dxa"/>
            <w:vAlign w:val="bottom"/>
            <w:shd w:val="clear" w:color="auto" w:fill="D9D9D9"/>
          </w:tcPr>
          <w:p>
            <w:pPr>
              <w:spacing w:after="0"/>
              <w:rPr>
                <w:sz w:val="7"/>
                <w:szCs w:val="7"/>
                <w:color w:val="auto"/>
              </w:rPr>
            </w:pPr>
          </w:p>
        </w:tc>
        <w:tc>
          <w:tcPr>
            <w:tcW w:w="3020" w:type="dxa"/>
            <w:vAlign w:val="bottom"/>
            <w:tcBorders>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shd w:val="clear" w:color="auto" w:fill="D9D9D9"/>
          </w:tcPr>
          <w:p>
            <w:pPr>
              <w:spacing w:after="0"/>
              <w:rPr>
                <w:sz w:val="7"/>
                <w:szCs w:val="7"/>
                <w:color w:val="auto"/>
              </w:rPr>
            </w:pPr>
          </w:p>
        </w:tc>
        <w:tc>
          <w:tcPr>
            <w:tcW w:w="1540" w:type="dxa"/>
            <w:vAlign w:val="bottom"/>
            <w:tcBorders>
              <w:right w:val="single" w:sz="8" w:color="auto"/>
            </w:tcBorders>
            <w:vMerge w:val="continue"/>
            <w:shd w:val="clear" w:color="auto" w:fill="D9D9D9"/>
          </w:tcPr>
          <w:p>
            <w:pPr>
              <w:spacing w:after="0"/>
              <w:rPr>
                <w:sz w:val="7"/>
                <w:szCs w:val="7"/>
                <w:color w:val="auto"/>
              </w:rPr>
            </w:pPr>
          </w:p>
        </w:tc>
        <w:tc>
          <w:tcPr>
            <w:tcW w:w="17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Additional Amounts</w:t>
            </w:r>
          </w:p>
        </w:tc>
        <w:tc>
          <w:tcPr>
            <w:tcW w:w="18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Current Use of Proceeds</w:t>
            </w: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1460" w:type="dxa"/>
            <w:vAlign w:val="bottom"/>
            <w:shd w:val="clear" w:color="auto" w:fill="D9D9D9"/>
          </w:tcPr>
          <w:p>
            <w:pPr>
              <w:spacing w:after="0"/>
              <w:rPr>
                <w:sz w:val="8"/>
                <w:szCs w:val="8"/>
                <w:color w:val="auto"/>
              </w:rPr>
            </w:pPr>
          </w:p>
        </w:tc>
        <w:tc>
          <w:tcPr>
            <w:tcW w:w="3020" w:type="dxa"/>
            <w:vAlign w:val="bottom"/>
            <w:tcBorders>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Regarding Use</w:t>
            </w:r>
          </w:p>
        </w:tc>
        <w:tc>
          <w:tcPr>
            <w:tcW w:w="15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as at March 31, 2022</w:t>
            </w:r>
          </w:p>
        </w:tc>
        <w:tc>
          <w:tcPr>
            <w:tcW w:w="1700" w:type="dxa"/>
            <w:vAlign w:val="bottom"/>
            <w:tcBorders>
              <w:right w:val="single" w:sz="8" w:color="auto"/>
            </w:tcBorders>
            <w:vMerge w:val="continue"/>
            <w:shd w:val="clear" w:color="auto" w:fill="D9D9D9"/>
          </w:tcPr>
          <w:p>
            <w:pPr>
              <w:spacing w:after="0"/>
              <w:rPr>
                <w:sz w:val="8"/>
                <w:szCs w:val="8"/>
                <w:color w:val="auto"/>
              </w:rPr>
            </w:pPr>
          </w:p>
        </w:tc>
        <w:tc>
          <w:tcPr>
            <w:tcW w:w="182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1460" w:type="dxa"/>
            <w:vAlign w:val="bottom"/>
            <w:shd w:val="clear" w:color="auto" w:fill="D9D9D9"/>
          </w:tcPr>
          <w:p>
            <w:pPr>
              <w:spacing w:after="0"/>
              <w:rPr>
                <w:sz w:val="7"/>
                <w:szCs w:val="7"/>
                <w:color w:val="auto"/>
              </w:rPr>
            </w:pPr>
          </w:p>
        </w:tc>
        <w:tc>
          <w:tcPr>
            <w:tcW w:w="3020" w:type="dxa"/>
            <w:vAlign w:val="bottom"/>
            <w:tcBorders>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shd w:val="clear" w:color="auto" w:fill="D9D9D9"/>
          </w:tcPr>
          <w:p>
            <w:pPr>
              <w:spacing w:after="0"/>
              <w:rPr>
                <w:sz w:val="7"/>
                <w:szCs w:val="7"/>
                <w:color w:val="auto"/>
              </w:rPr>
            </w:pPr>
          </w:p>
        </w:tc>
        <w:tc>
          <w:tcPr>
            <w:tcW w:w="1540" w:type="dxa"/>
            <w:vAlign w:val="bottom"/>
            <w:tcBorders>
              <w:right w:val="single" w:sz="8" w:color="auto"/>
            </w:tcBorders>
            <w:vMerge w:val="continue"/>
            <w:shd w:val="clear" w:color="auto" w:fill="D9D9D9"/>
          </w:tcPr>
          <w:p>
            <w:pPr>
              <w:spacing w:after="0"/>
              <w:rPr>
                <w:sz w:val="7"/>
                <w:szCs w:val="7"/>
                <w:color w:val="auto"/>
              </w:rPr>
            </w:pPr>
          </w:p>
        </w:tc>
        <w:tc>
          <w:tcPr>
            <w:tcW w:w="17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Allocated at March 31,</w:t>
            </w:r>
          </w:p>
        </w:tc>
        <w:tc>
          <w:tcPr>
            <w:tcW w:w="18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(April 1, 2022 to March 31,</w:t>
            </w: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1460" w:type="dxa"/>
            <w:vAlign w:val="bottom"/>
            <w:shd w:val="clear" w:color="auto" w:fill="D9D9D9"/>
          </w:tcPr>
          <w:p>
            <w:pPr>
              <w:spacing w:after="0"/>
              <w:rPr>
                <w:sz w:val="8"/>
                <w:szCs w:val="8"/>
                <w:color w:val="auto"/>
              </w:rPr>
            </w:pPr>
          </w:p>
        </w:tc>
        <w:tc>
          <w:tcPr>
            <w:tcW w:w="3020" w:type="dxa"/>
            <w:vAlign w:val="bottom"/>
            <w:tcBorders>
              <w:right w:val="single" w:sz="8" w:color="auto"/>
            </w:tcBorders>
            <w:shd w:val="clear" w:color="auto" w:fill="D9D9D9"/>
          </w:tcPr>
          <w:p>
            <w:pPr>
              <w:spacing w:after="0"/>
              <w:rPr>
                <w:sz w:val="8"/>
                <w:szCs w:val="8"/>
                <w:color w:val="auto"/>
              </w:rPr>
            </w:pPr>
          </w:p>
        </w:tc>
        <w:tc>
          <w:tcPr>
            <w:tcW w:w="15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of Proceeds in the July</w:t>
            </w:r>
          </w:p>
        </w:tc>
        <w:tc>
          <w:tcPr>
            <w:tcW w:w="15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(June 1, 2021 to March</w:t>
            </w:r>
          </w:p>
        </w:tc>
        <w:tc>
          <w:tcPr>
            <w:tcW w:w="1700" w:type="dxa"/>
            <w:vAlign w:val="bottom"/>
            <w:tcBorders>
              <w:right w:val="single" w:sz="8" w:color="auto"/>
            </w:tcBorders>
            <w:vMerge w:val="continue"/>
            <w:shd w:val="clear" w:color="auto" w:fill="D9D9D9"/>
          </w:tcPr>
          <w:p>
            <w:pPr>
              <w:spacing w:after="0"/>
              <w:rPr>
                <w:sz w:val="8"/>
                <w:szCs w:val="8"/>
                <w:color w:val="auto"/>
              </w:rPr>
            </w:pPr>
          </w:p>
        </w:tc>
        <w:tc>
          <w:tcPr>
            <w:tcW w:w="182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1460" w:type="dxa"/>
            <w:vAlign w:val="bottom"/>
            <w:shd w:val="clear" w:color="auto" w:fill="D9D9D9"/>
          </w:tcPr>
          <w:p>
            <w:pPr>
              <w:spacing w:after="0"/>
              <w:rPr>
                <w:sz w:val="7"/>
                <w:szCs w:val="7"/>
                <w:color w:val="auto"/>
              </w:rPr>
            </w:pPr>
          </w:p>
        </w:tc>
        <w:tc>
          <w:tcPr>
            <w:tcW w:w="3020" w:type="dxa"/>
            <w:vAlign w:val="bottom"/>
            <w:tcBorders>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shd w:val="clear" w:color="auto" w:fill="D9D9D9"/>
          </w:tcPr>
          <w:p>
            <w:pPr>
              <w:spacing w:after="0"/>
              <w:rPr>
                <w:sz w:val="7"/>
                <w:szCs w:val="7"/>
                <w:color w:val="auto"/>
              </w:rPr>
            </w:pPr>
          </w:p>
        </w:tc>
        <w:tc>
          <w:tcPr>
            <w:tcW w:w="1540" w:type="dxa"/>
            <w:vAlign w:val="bottom"/>
            <w:tcBorders>
              <w:right w:val="single" w:sz="8" w:color="auto"/>
            </w:tcBorders>
            <w:vMerge w:val="continue"/>
            <w:shd w:val="clear" w:color="auto" w:fill="D9D9D9"/>
          </w:tcPr>
          <w:p>
            <w:pPr>
              <w:spacing w:after="0"/>
              <w:rPr>
                <w:sz w:val="7"/>
                <w:szCs w:val="7"/>
                <w:color w:val="auto"/>
              </w:rPr>
            </w:pPr>
          </w:p>
        </w:tc>
        <w:tc>
          <w:tcPr>
            <w:tcW w:w="17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2022</w:t>
            </w:r>
          </w:p>
        </w:tc>
        <w:tc>
          <w:tcPr>
            <w:tcW w:w="18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2023)</w:t>
            </w:r>
          </w:p>
        </w:tc>
        <w:tc>
          <w:tcPr>
            <w:tcW w:w="0" w:type="dxa"/>
            <w:vAlign w:val="bottom"/>
          </w:tcPr>
          <w:p>
            <w:pPr>
              <w:spacing w:after="0"/>
              <w:rPr>
                <w:sz w:val="1"/>
                <w:szCs w:val="1"/>
                <w:color w:val="auto"/>
              </w:rPr>
            </w:pPr>
          </w:p>
        </w:tc>
      </w:tr>
      <w:tr>
        <w:trPr>
          <w:trHeight w:val="107"/>
        </w:trPr>
        <w:tc>
          <w:tcPr>
            <w:tcW w:w="100" w:type="dxa"/>
            <w:vAlign w:val="bottom"/>
            <w:tcBorders>
              <w:left w:val="single" w:sz="8" w:color="auto"/>
              <w:right w:val="single" w:sz="8" w:color="D9D9D9"/>
            </w:tcBorders>
            <w:shd w:val="clear" w:color="auto" w:fill="D9D9D9"/>
          </w:tcPr>
          <w:p>
            <w:pPr>
              <w:spacing w:after="0"/>
              <w:rPr>
                <w:sz w:val="9"/>
                <w:szCs w:val="9"/>
                <w:color w:val="auto"/>
              </w:rPr>
            </w:pPr>
          </w:p>
        </w:tc>
        <w:tc>
          <w:tcPr>
            <w:tcW w:w="1460" w:type="dxa"/>
            <w:vAlign w:val="bottom"/>
            <w:shd w:val="clear" w:color="auto" w:fill="D9D9D9"/>
          </w:tcPr>
          <w:p>
            <w:pPr>
              <w:spacing w:after="0"/>
              <w:rPr>
                <w:sz w:val="9"/>
                <w:szCs w:val="9"/>
                <w:color w:val="auto"/>
              </w:rPr>
            </w:pPr>
          </w:p>
        </w:tc>
        <w:tc>
          <w:tcPr>
            <w:tcW w:w="3020" w:type="dxa"/>
            <w:vAlign w:val="bottom"/>
            <w:tcBorders>
              <w:right w:val="single" w:sz="8" w:color="auto"/>
            </w:tcBorders>
            <w:shd w:val="clear" w:color="auto" w:fill="D9D9D9"/>
          </w:tcPr>
          <w:p>
            <w:pPr>
              <w:spacing w:after="0"/>
              <w:rPr>
                <w:sz w:val="9"/>
                <w:szCs w:val="9"/>
                <w:color w:val="auto"/>
              </w:rPr>
            </w:pPr>
          </w:p>
        </w:tc>
        <w:tc>
          <w:tcPr>
            <w:tcW w:w="15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Base Shelf Prospectus</w:t>
            </w:r>
          </w:p>
        </w:tc>
        <w:tc>
          <w:tcPr>
            <w:tcW w:w="15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31, 2022)</w:t>
            </w:r>
          </w:p>
        </w:tc>
        <w:tc>
          <w:tcPr>
            <w:tcW w:w="1700" w:type="dxa"/>
            <w:vAlign w:val="bottom"/>
            <w:tcBorders>
              <w:right w:val="single" w:sz="8" w:color="auto"/>
            </w:tcBorders>
            <w:vMerge w:val="continue"/>
            <w:shd w:val="clear" w:color="auto" w:fill="D9D9D9"/>
          </w:tcPr>
          <w:p>
            <w:pPr>
              <w:spacing w:after="0"/>
              <w:rPr>
                <w:sz w:val="9"/>
                <w:szCs w:val="9"/>
                <w:color w:val="auto"/>
              </w:rPr>
            </w:pPr>
          </w:p>
        </w:tc>
        <w:tc>
          <w:tcPr>
            <w:tcW w:w="182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1460" w:type="dxa"/>
            <w:vAlign w:val="bottom"/>
            <w:shd w:val="clear" w:color="auto" w:fill="D9D9D9"/>
          </w:tcPr>
          <w:p>
            <w:pPr>
              <w:spacing w:after="0"/>
              <w:rPr>
                <w:sz w:val="7"/>
                <w:szCs w:val="7"/>
                <w:color w:val="auto"/>
              </w:rPr>
            </w:pPr>
          </w:p>
        </w:tc>
        <w:tc>
          <w:tcPr>
            <w:tcW w:w="3020" w:type="dxa"/>
            <w:vAlign w:val="bottom"/>
            <w:tcBorders>
              <w:right w:val="single" w:sz="8" w:color="auto"/>
            </w:tcBorders>
            <w:shd w:val="clear" w:color="auto" w:fill="D9D9D9"/>
          </w:tcPr>
          <w:p>
            <w:pPr>
              <w:spacing w:after="0"/>
              <w:rPr>
                <w:sz w:val="7"/>
                <w:szCs w:val="7"/>
                <w:color w:val="auto"/>
              </w:rPr>
            </w:pPr>
          </w:p>
        </w:tc>
        <w:tc>
          <w:tcPr>
            <w:tcW w:w="1580" w:type="dxa"/>
            <w:vAlign w:val="bottom"/>
            <w:tcBorders>
              <w:right w:val="single" w:sz="8" w:color="auto"/>
            </w:tcBorders>
            <w:vMerge w:val="continue"/>
            <w:shd w:val="clear" w:color="auto" w:fill="D9D9D9"/>
          </w:tcPr>
          <w:p>
            <w:pPr>
              <w:spacing w:after="0"/>
              <w:rPr>
                <w:sz w:val="7"/>
                <w:szCs w:val="7"/>
                <w:color w:val="auto"/>
              </w:rPr>
            </w:pPr>
          </w:p>
        </w:tc>
        <w:tc>
          <w:tcPr>
            <w:tcW w:w="1540" w:type="dxa"/>
            <w:vAlign w:val="bottom"/>
            <w:tcBorders>
              <w:right w:val="single" w:sz="8" w:color="auto"/>
            </w:tcBorders>
            <w:vMerge w:val="continue"/>
            <w:shd w:val="clear" w:color="auto" w:fill="D9D9D9"/>
          </w:tcPr>
          <w:p>
            <w:pPr>
              <w:spacing w:after="0"/>
              <w:rPr>
                <w:sz w:val="7"/>
                <w:szCs w:val="7"/>
                <w:color w:val="auto"/>
              </w:rPr>
            </w:pPr>
          </w:p>
        </w:tc>
        <w:tc>
          <w:tcPr>
            <w:tcW w:w="1700" w:type="dxa"/>
            <w:vAlign w:val="bottom"/>
            <w:tcBorders>
              <w:right w:val="single" w:sz="8" w:color="auto"/>
            </w:tcBorders>
            <w:shd w:val="clear" w:color="auto" w:fill="D9D9D9"/>
          </w:tcPr>
          <w:p>
            <w:pPr>
              <w:spacing w:after="0"/>
              <w:rPr>
                <w:sz w:val="7"/>
                <w:szCs w:val="7"/>
                <w:color w:val="auto"/>
              </w:rPr>
            </w:pPr>
          </w:p>
        </w:tc>
        <w:tc>
          <w:tcPr>
            <w:tcW w:w="182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0" w:type="dxa"/>
            <w:vAlign w:val="bottom"/>
            <w:tcBorders>
              <w:left w:val="single" w:sz="8" w:color="auto"/>
              <w:bottom w:val="single" w:sz="8" w:color="auto"/>
              <w:right w:val="single" w:sz="8" w:color="D9D9D9"/>
            </w:tcBorders>
            <w:shd w:val="clear" w:color="auto" w:fill="D9D9D9"/>
          </w:tcPr>
          <w:p>
            <w:pPr>
              <w:spacing w:after="0"/>
              <w:rPr>
                <w:sz w:val="23"/>
                <w:szCs w:val="23"/>
                <w:color w:val="auto"/>
              </w:rPr>
            </w:pPr>
          </w:p>
        </w:tc>
        <w:tc>
          <w:tcPr>
            <w:tcW w:w="1460" w:type="dxa"/>
            <w:vAlign w:val="bottom"/>
            <w:tcBorders>
              <w:bottom w:val="single" w:sz="8" w:color="auto"/>
            </w:tcBorders>
            <w:shd w:val="clear" w:color="auto" w:fill="D9D9D9"/>
          </w:tcPr>
          <w:p>
            <w:pPr>
              <w:spacing w:after="0"/>
              <w:rPr>
                <w:sz w:val="23"/>
                <w:szCs w:val="23"/>
                <w:color w:val="auto"/>
              </w:rPr>
            </w:pPr>
          </w:p>
        </w:tc>
        <w:tc>
          <w:tcPr>
            <w:tcW w:w="3020" w:type="dxa"/>
            <w:vAlign w:val="bottom"/>
            <w:tcBorders>
              <w:bottom w:val="single" w:sz="8" w:color="auto"/>
              <w:right w:val="single" w:sz="8" w:color="auto"/>
            </w:tcBorders>
            <w:shd w:val="clear" w:color="auto" w:fill="D9D9D9"/>
          </w:tcPr>
          <w:p>
            <w:pPr>
              <w:spacing w:after="0"/>
              <w:rPr>
                <w:sz w:val="23"/>
                <w:szCs w:val="23"/>
                <w:color w:val="auto"/>
              </w:rPr>
            </w:pPr>
          </w:p>
        </w:tc>
        <w:tc>
          <w:tcPr>
            <w:tcW w:w="1580" w:type="dxa"/>
            <w:vAlign w:val="bottom"/>
            <w:tcBorders>
              <w:bottom w:val="single" w:sz="8" w:color="auto"/>
              <w:right w:val="single" w:sz="8" w:color="auto"/>
            </w:tcBorders>
            <w:shd w:val="clear" w:color="auto" w:fill="D9D9D9"/>
          </w:tcPr>
          <w:p>
            <w:pPr>
              <w:spacing w:after="0"/>
              <w:rPr>
                <w:sz w:val="23"/>
                <w:szCs w:val="23"/>
                <w:color w:val="auto"/>
              </w:rPr>
            </w:pPr>
          </w:p>
        </w:tc>
        <w:tc>
          <w:tcPr>
            <w:tcW w:w="1540" w:type="dxa"/>
            <w:vAlign w:val="bottom"/>
            <w:tcBorders>
              <w:bottom w:val="single" w:sz="8" w:color="auto"/>
              <w:right w:val="single" w:sz="8" w:color="auto"/>
            </w:tcBorders>
            <w:shd w:val="clear" w:color="auto" w:fill="D9D9D9"/>
          </w:tcPr>
          <w:p>
            <w:pPr>
              <w:spacing w:after="0"/>
              <w:rPr>
                <w:sz w:val="23"/>
                <w:szCs w:val="23"/>
                <w:color w:val="auto"/>
              </w:rPr>
            </w:pPr>
          </w:p>
        </w:tc>
        <w:tc>
          <w:tcPr>
            <w:tcW w:w="1700" w:type="dxa"/>
            <w:vAlign w:val="bottom"/>
            <w:tcBorders>
              <w:bottom w:val="single" w:sz="8" w:color="auto"/>
              <w:right w:val="single" w:sz="8" w:color="auto"/>
            </w:tcBorders>
            <w:shd w:val="clear" w:color="auto" w:fill="D9D9D9"/>
          </w:tcPr>
          <w:p>
            <w:pPr>
              <w:spacing w:after="0"/>
              <w:rPr>
                <w:sz w:val="23"/>
                <w:szCs w:val="23"/>
                <w:color w:val="auto"/>
              </w:rPr>
            </w:pPr>
          </w:p>
        </w:tc>
        <w:tc>
          <w:tcPr>
            <w:tcW w:w="1820" w:type="dxa"/>
            <w:vAlign w:val="bottom"/>
            <w:tcBorders>
              <w:bottom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10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6060" w:type="dxa"/>
            <w:vAlign w:val="bottom"/>
            <w:tcBorders>
              <w:bottom w:val="single" w:sz="8" w:color="auto"/>
              <w:right w:val="single" w:sz="8" w:color="D9D9D9"/>
            </w:tcBorders>
            <w:gridSpan w:val="3"/>
            <w:shd w:val="clear" w:color="auto" w:fill="D9D9D9"/>
          </w:tcPr>
          <w:p>
            <w:pPr>
              <w:spacing w:after="0"/>
              <w:rPr>
                <w:sz w:val="20"/>
                <w:szCs w:val="20"/>
                <w:color w:val="auto"/>
              </w:rPr>
            </w:pPr>
            <w:r>
              <w:rPr>
                <w:rFonts w:ascii="Times New Roman" w:cs="Times New Roman" w:eastAsia="Times New Roman" w:hAnsi="Times New Roman"/>
                <w:sz w:val="15"/>
                <w:szCs w:val="15"/>
                <w:b w:val="1"/>
                <w:bCs w:val="1"/>
                <w:color w:val="auto"/>
              </w:rPr>
              <w:t>Deuterated Psilocybin Analog Program (formerly the Psilocybin Program)</w:t>
            </w:r>
            <w:r>
              <w:rPr>
                <w:rFonts w:ascii="Times New Roman" w:cs="Times New Roman" w:eastAsia="Times New Roman" w:hAnsi="Times New Roman"/>
                <w:sz w:val="19"/>
                <w:szCs w:val="19"/>
                <w:b w:val="1"/>
                <w:bCs w:val="1"/>
                <w:color w:val="auto"/>
                <w:vertAlign w:val="superscript"/>
              </w:rPr>
              <w:t>(2)</w:t>
            </w:r>
          </w:p>
        </w:tc>
        <w:tc>
          <w:tcPr>
            <w:tcW w:w="1540" w:type="dxa"/>
            <w:vAlign w:val="bottom"/>
            <w:tcBorders>
              <w:bottom w:val="single" w:sz="8" w:color="auto"/>
              <w:right w:val="single" w:sz="8" w:color="D9D9D9"/>
            </w:tcBorders>
            <w:shd w:val="clear" w:color="auto" w:fill="D9D9D9"/>
          </w:tcPr>
          <w:p>
            <w:pPr>
              <w:spacing w:after="0"/>
              <w:rPr>
                <w:sz w:val="19"/>
                <w:szCs w:val="19"/>
                <w:color w:val="auto"/>
              </w:rPr>
            </w:pPr>
          </w:p>
        </w:tc>
        <w:tc>
          <w:tcPr>
            <w:tcW w:w="1700" w:type="dxa"/>
            <w:vAlign w:val="bottom"/>
            <w:tcBorders>
              <w:bottom w:val="single" w:sz="8" w:color="auto"/>
              <w:right w:val="single" w:sz="8" w:color="D9D9D9"/>
            </w:tcBorders>
            <w:shd w:val="clear" w:color="auto" w:fill="D9D9D9"/>
          </w:tcPr>
          <w:p>
            <w:pPr>
              <w:spacing w:after="0"/>
              <w:rPr>
                <w:sz w:val="19"/>
                <w:szCs w:val="19"/>
                <w:color w:val="auto"/>
              </w:rPr>
            </w:pPr>
          </w:p>
        </w:tc>
        <w:tc>
          <w:tcPr>
            <w:tcW w:w="182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Development of psilocybin Sublingual Film</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$210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$(210)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Phase IIa MDD study completed with data</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$772</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$339</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$(433)</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Phase IIb MDD study completed with data</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$1,000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$(1,000)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Support of additional phase IIb study sites in Canada and the United States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$1,810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$379</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$(1,431)</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Completion of IND enabling pre-clinical studies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$1,991</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$2,527</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$536</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Progression of post IND enabling pre-clinical studies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$323</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$323</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5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Completion of chemistry, manufacturing and control development for pre-</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$1,860</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$2,000</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$140</w:t>
            </w:r>
          </w:p>
        </w:tc>
        <w:tc>
          <w:tcPr>
            <w:tcW w:w="0" w:type="dxa"/>
            <w:vAlign w:val="bottom"/>
          </w:tcPr>
          <w:p>
            <w:pPr>
              <w:spacing w:after="0"/>
              <w:rPr>
                <w:sz w:val="1"/>
                <w:szCs w:val="1"/>
                <w:color w:val="auto"/>
              </w:rPr>
            </w:pPr>
          </w:p>
        </w:tc>
      </w:tr>
      <w:tr>
        <w:trPr>
          <w:trHeight w:val="93"/>
        </w:trPr>
        <w:tc>
          <w:tcPr>
            <w:tcW w:w="458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5"/>
                <w:szCs w:val="15"/>
                <w:color w:val="auto"/>
              </w:rPr>
              <w:t>clinical and clinical studies</w:t>
            </w:r>
          </w:p>
        </w:tc>
        <w:tc>
          <w:tcPr>
            <w:tcW w:w="158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580" w:type="dxa"/>
            <w:vAlign w:val="bottom"/>
            <w:tcBorders>
              <w:left w:val="single" w:sz="8" w:color="auto"/>
              <w:right w:val="single" w:sz="8" w:color="auto"/>
            </w:tcBorders>
            <w:gridSpan w:val="3"/>
            <w:vMerge w:val="continue"/>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Chemistry, manufacturing and control development progression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$1,701</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$1,701</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Clinical trial filings and first in human study initiation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$410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$2,591</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$2,181</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Initial pharmacokinetic and safety readout</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$1,762</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$1,762</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Clinical trial first in human full study report</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$1,319</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$1,319</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0" w:type="dxa"/>
            <w:vAlign w:val="bottom"/>
            <w:tcBorders>
              <w:left w:val="single" w:sz="8" w:color="auto"/>
              <w:bottom w:val="single" w:sz="8" w:color="DBDBDB"/>
              <w:right w:val="single" w:sz="8" w:color="auto"/>
            </w:tcBorders>
            <w:shd w:val="clear" w:color="auto" w:fill="DBDBDB"/>
          </w:tcPr>
          <w:p>
            <w:pPr>
              <w:spacing w:after="0"/>
              <w:rPr>
                <w:sz w:val="19"/>
                <w:szCs w:val="19"/>
                <w:color w:val="auto"/>
              </w:rPr>
            </w:pPr>
          </w:p>
        </w:tc>
        <w:tc>
          <w:tcPr>
            <w:tcW w:w="4480" w:type="dxa"/>
            <w:vAlign w:val="bottom"/>
            <w:tcBorders>
              <w:bottom w:val="single" w:sz="8" w:color="DBDBDB"/>
              <w:right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Deuterated Tryptamines Programs</w:t>
            </w:r>
          </w:p>
        </w:tc>
        <w:tc>
          <w:tcPr>
            <w:tcW w:w="1580" w:type="dxa"/>
            <w:vAlign w:val="bottom"/>
            <w:tcBorders>
              <w:bottom w:val="single" w:sz="8" w:color="DBDBDB"/>
              <w:right w:val="single" w:sz="8" w:color="DBDBDB"/>
            </w:tcBorders>
            <w:shd w:val="clear" w:color="auto" w:fill="DBDBDB"/>
          </w:tcPr>
          <w:p>
            <w:pPr>
              <w:spacing w:after="0"/>
              <w:rPr>
                <w:sz w:val="19"/>
                <w:szCs w:val="19"/>
                <w:color w:val="auto"/>
              </w:rPr>
            </w:pPr>
          </w:p>
        </w:tc>
        <w:tc>
          <w:tcPr>
            <w:tcW w:w="1540" w:type="dxa"/>
            <w:vAlign w:val="bottom"/>
            <w:tcBorders>
              <w:bottom w:val="single" w:sz="8" w:color="DBDBDB"/>
              <w:right w:val="single" w:sz="8" w:color="DBDBDB"/>
            </w:tcBorders>
            <w:shd w:val="clear" w:color="auto" w:fill="DBDBDB"/>
          </w:tcPr>
          <w:p>
            <w:pPr>
              <w:spacing w:after="0"/>
              <w:rPr>
                <w:sz w:val="19"/>
                <w:szCs w:val="19"/>
                <w:color w:val="auto"/>
              </w:rPr>
            </w:pPr>
          </w:p>
        </w:tc>
        <w:tc>
          <w:tcPr>
            <w:tcW w:w="1700" w:type="dxa"/>
            <w:vAlign w:val="bottom"/>
            <w:tcBorders>
              <w:bottom w:val="single" w:sz="8" w:color="DBDBDB"/>
              <w:right w:val="single" w:sz="8" w:color="DBDBDB"/>
            </w:tcBorders>
            <w:shd w:val="clear" w:color="auto" w:fill="DBDBDB"/>
          </w:tcPr>
          <w:p>
            <w:pPr>
              <w:spacing w:after="0"/>
              <w:rPr>
                <w:sz w:val="19"/>
                <w:szCs w:val="19"/>
                <w:color w:val="auto"/>
              </w:rPr>
            </w:pPr>
          </w:p>
        </w:tc>
        <w:tc>
          <w:tcPr>
            <w:tcW w:w="1820" w:type="dxa"/>
            <w:vAlign w:val="bottom"/>
            <w:tcBorders>
              <w:bottom w:val="single" w:sz="8" w:color="DBDBDB"/>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58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Progression of CYB003 for phase I studies readiness and utilization of the</w:t>
            </w:r>
          </w:p>
        </w:tc>
        <w:tc>
          <w:tcPr>
            <w:tcW w:w="15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$2,886</w:t>
            </w: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$1,198</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$(1,688)</w:t>
            </w:r>
          </w:p>
        </w:tc>
        <w:tc>
          <w:tcPr>
            <w:tcW w:w="18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0" w:type="dxa"/>
            <w:vAlign w:val="bottom"/>
          </w:tcPr>
          <w:p>
            <w:pPr>
              <w:spacing w:after="0"/>
              <w:rPr>
                <w:sz w:val="1"/>
                <w:szCs w:val="1"/>
                <w:color w:val="auto"/>
              </w:rPr>
            </w:pPr>
          </w:p>
        </w:tc>
      </w:tr>
      <w:tr>
        <w:trPr>
          <w:trHeight w:val="93"/>
        </w:trPr>
        <w:tc>
          <w:tcPr>
            <w:tcW w:w="458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5"/>
                <w:szCs w:val="15"/>
                <w:color w:val="auto"/>
              </w:rPr>
              <w:t>associated delivery platform</w:t>
            </w:r>
            <w:r>
              <w:rPr>
                <w:rFonts w:ascii="Times New Roman" w:cs="Times New Roman" w:eastAsia="Times New Roman" w:hAnsi="Times New Roman"/>
                <w:sz w:val="19"/>
                <w:szCs w:val="19"/>
                <w:color w:val="auto"/>
                <w:vertAlign w:val="superscript"/>
              </w:rPr>
              <w:t>(2)</w:t>
            </w:r>
          </w:p>
        </w:tc>
        <w:tc>
          <w:tcPr>
            <w:tcW w:w="158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580" w:type="dxa"/>
            <w:vAlign w:val="bottom"/>
            <w:tcBorders>
              <w:left w:val="single" w:sz="8" w:color="auto"/>
              <w:bottom w:val="single" w:sz="8" w:color="auto"/>
              <w:right w:val="single" w:sz="8" w:color="auto"/>
            </w:tcBorders>
            <w:gridSpan w:val="3"/>
            <w:vMerge w:val="continue"/>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5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Progression of CYB004 for phase I studies readiness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$2,777</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$2,285</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$8,052</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$8,544</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CYB004-E Phase 1 DMT study</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$1,250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$1,250</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0" w:type="dxa"/>
            <w:vAlign w:val="bottom"/>
            <w:tcBorders>
              <w:left w:val="single" w:sz="8" w:color="auto"/>
              <w:bottom w:val="single" w:sz="8" w:color="DBDBDB"/>
              <w:right w:val="single" w:sz="8" w:color="auto"/>
            </w:tcBorders>
            <w:shd w:val="clear" w:color="auto" w:fill="DBDBDB"/>
          </w:tcPr>
          <w:p>
            <w:pPr>
              <w:spacing w:after="0"/>
              <w:rPr>
                <w:sz w:val="19"/>
                <w:szCs w:val="19"/>
                <w:color w:val="auto"/>
              </w:rPr>
            </w:pPr>
          </w:p>
        </w:tc>
        <w:tc>
          <w:tcPr>
            <w:tcW w:w="4480" w:type="dxa"/>
            <w:vAlign w:val="bottom"/>
            <w:tcBorders>
              <w:bottom w:val="single" w:sz="8" w:color="DBDBDB"/>
              <w:right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Phenethylamine Development Program</w:t>
            </w:r>
          </w:p>
        </w:tc>
        <w:tc>
          <w:tcPr>
            <w:tcW w:w="1580" w:type="dxa"/>
            <w:vAlign w:val="bottom"/>
            <w:tcBorders>
              <w:bottom w:val="single" w:sz="8" w:color="DBDBDB"/>
              <w:right w:val="single" w:sz="8" w:color="DBDBDB"/>
            </w:tcBorders>
            <w:shd w:val="clear" w:color="auto" w:fill="DBDBDB"/>
          </w:tcPr>
          <w:p>
            <w:pPr>
              <w:spacing w:after="0"/>
              <w:rPr>
                <w:sz w:val="19"/>
                <w:szCs w:val="19"/>
                <w:color w:val="auto"/>
              </w:rPr>
            </w:pPr>
          </w:p>
        </w:tc>
        <w:tc>
          <w:tcPr>
            <w:tcW w:w="1540" w:type="dxa"/>
            <w:vAlign w:val="bottom"/>
            <w:tcBorders>
              <w:bottom w:val="single" w:sz="8" w:color="DBDBDB"/>
              <w:right w:val="single" w:sz="8" w:color="DBDBDB"/>
            </w:tcBorders>
            <w:shd w:val="clear" w:color="auto" w:fill="DBDBDB"/>
          </w:tcPr>
          <w:p>
            <w:pPr>
              <w:spacing w:after="0"/>
              <w:rPr>
                <w:sz w:val="19"/>
                <w:szCs w:val="19"/>
                <w:color w:val="auto"/>
              </w:rPr>
            </w:pPr>
          </w:p>
        </w:tc>
        <w:tc>
          <w:tcPr>
            <w:tcW w:w="1700" w:type="dxa"/>
            <w:vAlign w:val="bottom"/>
            <w:tcBorders>
              <w:bottom w:val="single" w:sz="8" w:color="DBDBDB"/>
              <w:right w:val="single" w:sz="8" w:color="DBDBDB"/>
            </w:tcBorders>
            <w:shd w:val="clear" w:color="auto" w:fill="DBDBDB"/>
          </w:tcPr>
          <w:p>
            <w:pPr>
              <w:spacing w:after="0"/>
              <w:rPr>
                <w:sz w:val="19"/>
                <w:szCs w:val="19"/>
                <w:color w:val="auto"/>
              </w:rPr>
            </w:pPr>
          </w:p>
        </w:tc>
        <w:tc>
          <w:tcPr>
            <w:tcW w:w="1820" w:type="dxa"/>
            <w:vAlign w:val="bottom"/>
            <w:tcBorders>
              <w:bottom w:val="single" w:sz="8" w:color="DBDBDB"/>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8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Progression of phenethylamine candidate to clinical studies</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$2,375</w:t>
            </w: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$841</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$238</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$1,773</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shd w:val="clear" w:color="auto" w:fill="DBDBDB"/>
          </w:tcPr>
          <w:p>
            <w:pPr>
              <w:spacing w:after="0"/>
              <w:rPr>
                <w:sz w:val="18"/>
                <w:szCs w:val="18"/>
                <w:color w:val="auto"/>
              </w:rPr>
            </w:pPr>
          </w:p>
        </w:tc>
        <w:tc>
          <w:tcPr>
            <w:tcW w:w="1460" w:type="dxa"/>
            <w:vAlign w:val="bottom"/>
            <w:vMerge w:val="restart"/>
            <w:shd w:val="clear" w:color="auto" w:fill="DBDBDB"/>
          </w:tcPr>
          <w:p>
            <w:pPr>
              <w:ind w:left="20"/>
              <w:spacing w:after="0"/>
              <w:rPr>
                <w:sz w:val="20"/>
                <w:szCs w:val="20"/>
                <w:color w:val="auto"/>
              </w:rPr>
            </w:pPr>
            <w:r>
              <w:rPr>
                <w:rFonts w:ascii="Times New Roman" w:cs="Times New Roman" w:eastAsia="Times New Roman" w:hAnsi="Times New Roman"/>
                <w:sz w:val="15"/>
                <w:szCs w:val="15"/>
                <w:b w:val="1"/>
                <w:bCs w:val="1"/>
                <w:color w:val="auto"/>
                <w:highlight w:val="lightGray"/>
                <w:w w:val="95"/>
              </w:rPr>
              <w:t>Nutraceutical Products</w:t>
            </w:r>
          </w:p>
        </w:tc>
        <w:tc>
          <w:tcPr>
            <w:tcW w:w="3020" w:type="dxa"/>
            <w:vAlign w:val="bottom"/>
            <w:tcBorders>
              <w:right w:val="single" w:sz="8" w:color="DBDBDB"/>
            </w:tcBorders>
            <w:shd w:val="clear" w:color="auto" w:fill="DBDBDB"/>
          </w:tcPr>
          <w:p>
            <w:pPr>
              <w:jc w:val="right"/>
              <w:ind w:right="2852"/>
              <w:spacing w:after="0"/>
              <w:rPr>
                <w:sz w:val="20"/>
                <w:szCs w:val="20"/>
                <w:color w:val="auto"/>
              </w:rPr>
            </w:pPr>
            <w:r>
              <w:rPr>
                <w:rFonts w:ascii="Times New Roman" w:cs="Times New Roman" w:eastAsia="Times New Roman" w:hAnsi="Times New Roman"/>
                <w:sz w:val="10"/>
                <w:szCs w:val="10"/>
                <w:b w:val="1"/>
                <w:bCs w:val="1"/>
                <w:color w:val="auto"/>
                <w:highlight w:val="lightGray"/>
                <w:w w:val="85"/>
              </w:rPr>
              <w:t>(4)</w:t>
            </w:r>
          </w:p>
        </w:tc>
        <w:tc>
          <w:tcPr>
            <w:tcW w:w="1580" w:type="dxa"/>
            <w:vAlign w:val="bottom"/>
            <w:tcBorders>
              <w:right w:val="single" w:sz="8" w:color="DBDBDB"/>
            </w:tcBorders>
            <w:shd w:val="clear" w:color="auto" w:fill="DBDBDB"/>
          </w:tcPr>
          <w:p>
            <w:pPr>
              <w:spacing w:after="0"/>
              <w:rPr>
                <w:sz w:val="18"/>
                <w:szCs w:val="18"/>
                <w:color w:val="auto"/>
              </w:rPr>
            </w:pPr>
          </w:p>
        </w:tc>
        <w:tc>
          <w:tcPr>
            <w:tcW w:w="1540" w:type="dxa"/>
            <w:vAlign w:val="bottom"/>
            <w:tcBorders>
              <w:right w:val="single" w:sz="8" w:color="DBDBDB"/>
            </w:tcBorders>
            <w:shd w:val="clear" w:color="auto" w:fill="DBDBDB"/>
          </w:tcPr>
          <w:p>
            <w:pPr>
              <w:spacing w:after="0"/>
              <w:rPr>
                <w:sz w:val="18"/>
                <w:szCs w:val="18"/>
                <w:color w:val="auto"/>
              </w:rPr>
            </w:pPr>
          </w:p>
        </w:tc>
        <w:tc>
          <w:tcPr>
            <w:tcW w:w="1700" w:type="dxa"/>
            <w:vAlign w:val="bottom"/>
            <w:tcBorders>
              <w:right w:val="single" w:sz="8" w:color="DBDBDB"/>
            </w:tcBorders>
            <w:shd w:val="clear" w:color="auto" w:fill="DBDBDB"/>
          </w:tcPr>
          <w:p>
            <w:pPr>
              <w:spacing w:after="0"/>
              <w:rPr>
                <w:sz w:val="18"/>
                <w:szCs w:val="18"/>
                <w:color w:val="auto"/>
              </w:rPr>
            </w:pPr>
          </w:p>
        </w:tc>
        <w:tc>
          <w:tcPr>
            <w:tcW w:w="1820" w:type="dxa"/>
            <w:vAlign w:val="bottom"/>
            <w:tcBorders>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00" w:type="dxa"/>
            <w:vAlign w:val="bottom"/>
            <w:tcBorders>
              <w:left w:val="single" w:sz="8" w:color="auto"/>
              <w:right w:val="single" w:sz="8" w:color="auto"/>
            </w:tcBorders>
            <w:shd w:val="clear" w:color="auto" w:fill="DBDBDB"/>
          </w:tcPr>
          <w:p>
            <w:pPr>
              <w:spacing w:after="0"/>
              <w:rPr>
                <w:sz w:val="6"/>
                <w:szCs w:val="6"/>
                <w:color w:val="auto"/>
              </w:rPr>
            </w:pPr>
          </w:p>
        </w:tc>
        <w:tc>
          <w:tcPr>
            <w:tcW w:w="1460" w:type="dxa"/>
            <w:vAlign w:val="bottom"/>
            <w:vMerge w:val="continue"/>
            <w:shd w:val="clear" w:color="auto" w:fill="DBDBDB"/>
          </w:tcPr>
          <w:p>
            <w:pPr>
              <w:spacing w:after="0"/>
              <w:rPr>
                <w:sz w:val="6"/>
                <w:szCs w:val="6"/>
                <w:color w:val="auto"/>
              </w:rPr>
            </w:pPr>
          </w:p>
        </w:tc>
        <w:tc>
          <w:tcPr>
            <w:tcW w:w="3020" w:type="dxa"/>
            <w:vAlign w:val="bottom"/>
            <w:tcBorders>
              <w:right w:val="single" w:sz="8" w:color="DBDBDB"/>
            </w:tcBorders>
            <w:shd w:val="clear" w:color="auto" w:fill="DBDBDB"/>
          </w:tcPr>
          <w:p>
            <w:pPr>
              <w:spacing w:after="0"/>
              <w:rPr>
                <w:sz w:val="6"/>
                <w:szCs w:val="6"/>
                <w:color w:val="auto"/>
              </w:rPr>
            </w:pPr>
          </w:p>
        </w:tc>
        <w:tc>
          <w:tcPr>
            <w:tcW w:w="1580" w:type="dxa"/>
            <w:vAlign w:val="bottom"/>
            <w:tcBorders>
              <w:right w:val="single" w:sz="8" w:color="DBDBDB"/>
            </w:tcBorders>
            <w:shd w:val="clear" w:color="auto" w:fill="DBDBDB"/>
          </w:tcPr>
          <w:p>
            <w:pPr>
              <w:spacing w:after="0"/>
              <w:rPr>
                <w:sz w:val="6"/>
                <w:szCs w:val="6"/>
                <w:color w:val="auto"/>
              </w:rPr>
            </w:pPr>
          </w:p>
        </w:tc>
        <w:tc>
          <w:tcPr>
            <w:tcW w:w="1540" w:type="dxa"/>
            <w:vAlign w:val="bottom"/>
            <w:tcBorders>
              <w:right w:val="single" w:sz="8" w:color="DBDBDB"/>
            </w:tcBorders>
            <w:shd w:val="clear" w:color="auto" w:fill="DBDBDB"/>
          </w:tcPr>
          <w:p>
            <w:pPr>
              <w:spacing w:after="0"/>
              <w:rPr>
                <w:sz w:val="6"/>
                <w:szCs w:val="6"/>
                <w:color w:val="auto"/>
              </w:rPr>
            </w:pPr>
          </w:p>
        </w:tc>
        <w:tc>
          <w:tcPr>
            <w:tcW w:w="1700" w:type="dxa"/>
            <w:vAlign w:val="bottom"/>
            <w:tcBorders>
              <w:right w:val="single" w:sz="8" w:color="DBDBDB"/>
            </w:tcBorders>
            <w:shd w:val="clear" w:color="auto" w:fill="DBDBDB"/>
          </w:tcPr>
          <w:p>
            <w:pPr>
              <w:spacing w:after="0"/>
              <w:rPr>
                <w:sz w:val="6"/>
                <w:szCs w:val="6"/>
                <w:color w:val="auto"/>
              </w:rPr>
            </w:pPr>
          </w:p>
        </w:tc>
        <w:tc>
          <w:tcPr>
            <w:tcW w:w="1820" w:type="dxa"/>
            <w:vAlign w:val="bottom"/>
            <w:tcBorders>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100" w:type="dxa"/>
            <w:vAlign w:val="bottom"/>
            <w:tcBorders>
              <w:left w:val="single" w:sz="8" w:color="auto"/>
              <w:bottom w:val="single" w:sz="8" w:color="auto"/>
              <w:right w:val="single" w:sz="8" w:color="auto"/>
            </w:tcBorders>
            <w:shd w:val="clear" w:color="auto" w:fill="DBDBDB"/>
          </w:tcPr>
          <w:p>
            <w:pPr>
              <w:spacing w:after="0"/>
              <w:rPr>
                <w:sz w:val="8"/>
                <w:szCs w:val="8"/>
                <w:color w:val="auto"/>
              </w:rPr>
            </w:pPr>
          </w:p>
        </w:tc>
        <w:tc>
          <w:tcPr>
            <w:tcW w:w="1460" w:type="dxa"/>
            <w:vAlign w:val="bottom"/>
            <w:tcBorders>
              <w:bottom w:val="single" w:sz="8" w:color="auto"/>
            </w:tcBorders>
            <w:shd w:val="clear" w:color="auto" w:fill="DBDBDB"/>
          </w:tcPr>
          <w:p>
            <w:pPr>
              <w:spacing w:after="0"/>
              <w:rPr>
                <w:sz w:val="8"/>
                <w:szCs w:val="8"/>
                <w:color w:val="auto"/>
              </w:rPr>
            </w:pPr>
          </w:p>
        </w:tc>
        <w:tc>
          <w:tcPr>
            <w:tcW w:w="3020" w:type="dxa"/>
            <w:vAlign w:val="bottom"/>
            <w:tcBorders>
              <w:bottom w:val="single" w:sz="8" w:color="auto"/>
              <w:right w:val="single" w:sz="8" w:color="DBDBDB"/>
            </w:tcBorders>
            <w:shd w:val="clear" w:color="auto" w:fill="DBDBDB"/>
          </w:tcPr>
          <w:p>
            <w:pPr>
              <w:spacing w:after="0"/>
              <w:rPr>
                <w:sz w:val="8"/>
                <w:szCs w:val="8"/>
                <w:color w:val="auto"/>
              </w:rPr>
            </w:pPr>
          </w:p>
        </w:tc>
        <w:tc>
          <w:tcPr>
            <w:tcW w:w="1580" w:type="dxa"/>
            <w:vAlign w:val="bottom"/>
            <w:tcBorders>
              <w:bottom w:val="single" w:sz="8" w:color="auto"/>
              <w:right w:val="single" w:sz="8" w:color="DBDBDB"/>
            </w:tcBorders>
            <w:shd w:val="clear" w:color="auto" w:fill="DBDBDB"/>
          </w:tcPr>
          <w:p>
            <w:pPr>
              <w:spacing w:after="0"/>
              <w:rPr>
                <w:sz w:val="8"/>
                <w:szCs w:val="8"/>
                <w:color w:val="auto"/>
              </w:rPr>
            </w:pPr>
          </w:p>
        </w:tc>
        <w:tc>
          <w:tcPr>
            <w:tcW w:w="1540" w:type="dxa"/>
            <w:vAlign w:val="bottom"/>
            <w:tcBorders>
              <w:bottom w:val="single" w:sz="8" w:color="auto"/>
              <w:right w:val="single" w:sz="8" w:color="DBDBDB"/>
            </w:tcBorders>
            <w:shd w:val="clear" w:color="auto" w:fill="DBDBDB"/>
          </w:tcPr>
          <w:p>
            <w:pPr>
              <w:spacing w:after="0"/>
              <w:rPr>
                <w:sz w:val="8"/>
                <w:szCs w:val="8"/>
                <w:color w:val="auto"/>
              </w:rPr>
            </w:pPr>
          </w:p>
        </w:tc>
        <w:tc>
          <w:tcPr>
            <w:tcW w:w="1700" w:type="dxa"/>
            <w:vAlign w:val="bottom"/>
            <w:tcBorders>
              <w:bottom w:val="single" w:sz="8" w:color="auto"/>
              <w:right w:val="single" w:sz="8" w:color="DBDBDB"/>
            </w:tcBorders>
            <w:shd w:val="clear" w:color="auto" w:fill="DBDBDB"/>
          </w:tcPr>
          <w:p>
            <w:pPr>
              <w:spacing w:after="0"/>
              <w:rPr>
                <w:sz w:val="8"/>
                <w:szCs w:val="8"/>
                <w:color w:val="auto"/>
              </w:rPr>
            </w:pPr>
          </w:p>
        </w:tc>
        <w:tc>
          <w:tcPr>
            <w:tcW w:w="1820" w:type="dxa"/>
            <w:vAlign w:val="bottom"/>
            <w:tcBorders>
              <w:bottom w:val="single" w:sz="8" w:color="auto"/>
              <w:right w:val="single" w:sz="8" w:color="auto"/>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5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Inventory fulfilment</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$200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$(200)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Product deployment</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$200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$(200)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Nutraceutical marketing</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$100</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$(100)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155194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359" w:lineRule="exact"/>
        <w:rPr>
          <w:sz w:val="20"/>
          <w:szCs w:val="20"/>
          <w:color w:val="auto"/>
        </w:rPr>
      </w:pPr>
    </w:p>
    <w:p>
      <w:pPr>
        <w:ind w:left="2" w:hanging="2"/>
        <w:spacing w:after="0" w:line="212" w:lineRule="auto"/>
        <w:tabs>
          <w:tab w:leader="none" w:pos="179" w:val="left"/>
        </w:tabs>
        <w:numPr>
          <w:ilvl w:val="0"/>
          <w:numId w:val="10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ectPr>
          <w:pgSz w:w="11900" w:h="16838" w:orient="portrait"/>
          <w:cols w:equalWidth="0" w:num="1">
            <w:col w:w="11262"/>
          </w:cols>
          <w:pgMar w:left="318" w:top="925" w:right="31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62"/>
          </w:cols>
          <w:pgMar w:left="318" w:top="925" w:right="319" w:bottom="1440" w:gutter="0" w:footer="0" w:header="0"/>
          <w:type w:val="continuous"/>
        </w:sectPr>
      </w:pPr>
    </w:p>
    <w:bookmarkStart w:id="166" w:name="page167"/>
    <w:bookmarkEnd w:id="166"/>
    <w:tbl>
      <w:tblPr>
        <w:tblLayout w:type="fixed"/>
        <w:tblInd w:w="32" w:type="dxa"/>
        <w:tblCellMar>
          <w:top w:w="0" w:type="dxa"/>
          <w:left w:w="0" w:type="dxa"/>
          <w:bottom w:w="0" w:type="dxa"/>
          <w:right w:w="0" w:type="dxa"/>
        </w:tblCellMar>
      </w:tblPr>
      <w:tr>
        <w:trPr>
          <w:trHeight w:val="351"/>
        </w:trPr>
        <w:tc>
          <w:tcPr>
            <w:tcW w:w="100" w:type="dxa"/>
            <w:vAlign w:val="bottom"/>
            <w:tcBorders>
              <w:top w:val="single" w:sz="8" w:color="auto"/>
              <w:left w:val="single" w:sz="8" w:color="auto"/>
              <w:right w:val="single" w:sz="8" w:color="D9D9D9"/>
            </w:tcBorders>
            <w:shd w:val="clear" w:color="auto" w:fill="D9D9D9"/>
          </w:tcPr>
          <w:p>
            <w:pPr>
              <w:spacing w:after="0"/>
              <w:rPr>
                <w:sz w:val="24"/>
                <w:szCs w:val="24"/>
                <w:color w:val="auto"/>
              </w:rPr>
            </w:pPr>
          </w:p>
        </w:tc>
        <w:tc>
          <w:tcPr>
            <w:tcW w:w="4460" w:type="dxa"/>
            <w:vAlign w:val="bottom"/>
            <w:tcBorders>
              <w:top w:val="single" w:sz="8" w:color="auto"/>
              <w:right w:val="single" w:sz="8" w:color="auto"/>
            </w:tcBorders>
            <w:shd w:val="clear" w:color="auto" w:fill="D9D9D9"/>
          </w:tcPr>
          <w:p>
            <w:pPr>
              <w:ind w:left="1140"/>
              <w:spacing w:after="0"/>
              <w:rPr>
                <w:sz w:val="20"/>
                <w:szCs w:val="20"/>
                <w:color w:val="auto"/>
              </w:rPr>
            </w:pPr>
            <w:r>
              <w:rPr>
                <w:rFonts w:ascii="Times New Roman" w:cs="Times New Roman" w:eastAsia="Times New Roman" w:hAnsi="Times New Roman"/>
                <w:sz w:val="15"/>
                <w:szCs w:val="15"/>
                <w:b w:val="1"/>
                <w:bCs w:val="1"/>
                <w:color w:val="auto"/>
              </w:rPr>
              <w:t>Use of Available Funds ($000’s)</w:t>
            </w:r>
            <w:r>
              <w:rPr>
                <w:rFonts w:ascii="Times New Roman" w:cs="Times New Roman" w:eastAsia="Times New Roman" w:hAnsi="Times New Roman"/>
                <w:sz w:val="19"/>
                <w:szCs w:val="19"/>
                <w:b w:val="1"/>
                <w:bCs w:val="1"/>
                <w:color w:val="auto"/>
                <w:vertAlign w:val="superscript"/>
              </w:rPr>
              <w:t>(1)</w:t>
            </w:r>
          </w:p>
        </w:tc>
        <w:tc>
          <w:tcPr>
            <w:tcW w:w="160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Previous Disclosure</w:t>
            </w:r>
          </w:p>
        </w:tc>
        <w:tc>
          <w:tcPr>
            <w:tcW w:w="15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Actual Use of Proceeds</w:t>
            </w:r>
          </w:p>
        </w:tc>
        <w:tc>
          <w:tcPr>
            <w:tcW w:w="1720" w:type="dxa"/>
            <w:vAlign w:val="bottom"/>
            <w:tcBorders>
              <w:top w:val="single" w:sz="8" w:color="auto"/>
              <w:right w:val="single" w:sz="8" w:color="auto"/>
            </w:tcBorders>
            <w:shd w:val="clear" w:color="auto" w:fill="D9D9D9"/>
          </w:tcPr>
          <w:p>
            <w:pPr>
              <w:spacing w:after="0"/>
              <w:rPr>
                <w:sz w:val="24"/>
                <w:szCs w:val="24"/>
                <w:color w:val="auto"/>
              </w:rPr>
            </w:pPr>
          </w:p>
        </w:tc>
        <w:tc>
          <w:tcPr>
            <w:tcW w:w="1800" w:type="dxa"/>
            <w:vAlign w:val="bottom"/>
            <w:tcBorders>
              <w:top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4460" w:type="dxa"/>
            <w:vAlign w:val="bottom"/>
            <w:tcBorders>
              <w:right w:val="single" w:sz="8" w:color="auto"/>
            </w:tcBorders>
            <w:shd w:val="clear" w:color="auto" w:fill="D9D9D9"/>
          </w:tcPr>
          <w:p>
            <w:pPr>
              <w:spacing w:after="0"/>
              <w:rPr>
                <w:sz w:val="7"/>
                <w:szCs w:val="7"/>
                <w:color w:val="auto"/>
              </w:rPr>
            </w:pPr>
          </w:p>
        </w:tc>
        <w:tc>
          <w:tcPr>
            <w:tcW w:w="1600" w:type="dxa"/>
            <w:vAlign w:val="bottom"/>
            <w:tcBorders>
              <w:right w:val="single" w:sz="8" w:color="auto"/>
            </w:tcBorders>
            <w:vMerge w:val="continue"/>
            <w:shd w:val="clear" w:color="auto" w:fill="D9D9D9"/>
          </w:tcPr>
          <w:p>
            <w:pPr>
              <w:spacing w:after="0"/>
              <w:rPr>
                <w:sz w:val="7"/>
                <w:szCs w:val="7"/>
                <w:color w:val="auto"/>
              </w:rPr>
            </w:pPr>
          </w:p>
        </w:tc>
        <w:tc>
          <w:tcPr>
            <w:tcW w:w="1540" w:type="dxa"/>
            <w:vAlign w:val="bottom"/>
            <w:tcBorders>
              <w:right w:val="single" w:sz="8" w:color="auto"/>
            </w:tcBorders>
            <w:vMerge w:val="continue"/>
            <w:shd w:val="clear" w:color="auto" w:fill="D9D9D9"/>
          </w:tcPr>
          <w:p>
            <w:pPr>
              <w:spacing w:after="0"/>
              <w:rPr>
                <w:sz w:val="7"/>
                <w:szCs w:val="7"/>
                <w:color w:val="auto"/>
              </w:rPr>
            </w:pPr>
          </w:p>
        </w:tc>
        <w:tc>
          <w:tcPr>
            <w:tcW w:w="17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Additional Amounts</w:t>
            </w:r>
          </w:p>
        </w:tc>
        <w:tc>
          <w:tcPr>
            <w:tcW w:w="18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Current Use of Proceeds</w:t>
            </w: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4460" w:type="dxa"/>
            <w:vAlign w:val="bottom"/>
            <w:tcBorders>
              <w:right w:val="single" w:sz="8" w:color="auto"/>
            </w:tcBorders>
            <w:shd w:val="clear" w:color="auto" w:fill="D9D9D9"/>
          </w:tcPr>
          <w:p>
            <w:pPr>
              <w:spacing w:after="0"/>
              <w:rPr>
                <w:sz w:val="8"/>
                <w:szCs w:val="8"/>
                <w:color w:val="auto"/>
              </w:rPr>
            </w:pPr>
          </w:p>
        </w:tc>
        <w:tc>
          <w:tcPr>
            <w:tcW w:w="16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Regarding Use</w:t>
            </w:r>
          </w:p>
        </w:tc>
        <w:tc>
          <w:tcPr>
            <w:tcW w:w="15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as at March 31, 2022</w:t>
            </w:r>
          </w:p>
        </w:tc>
        <w:tc>
          <w:tcPr>
            <w:tcW w:w="1720" w:type="dxa"/>
            <w:vAlign w:val="bottom"/>
            <w:tcBorders>
              <w:right w:val="single" w:sz="8" w:color="auto"/>
            </w:tcBorders>
            <w:vMerge w:val="continue"/>
            <w:shd w:val="clear" w:color="auto" w:fill="D9D9D9"/>
          </w:tcPr>
          <w:p>
            <w:pPr>
              <w:spacing w:after="0"/>
              <w:rPr>
                <w:sz w:val="8"/>
                <w:szCs w:val="8"/>
                <w:color w:val="auto"/>
              </w:rPr>
            </w:pPr>
          </w:p>
        </w:tc>
        <w:tc>
          <w:tcPr>
            <w:tcW w:w="180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4460" w:type="dxa"/>
            <w:vAlign w:val="bottom"/>
            <w:tcBorders>
              <w:right w:val="single" w:sz="8" w:color="auto"/>
            </w:tcBorders>
            <w:shd w:val="clear" w:color="auto" w:fill="D9D9D9"/>
          </w:tcPr>
          <w:p>
            <w:pPr>
              <w:spacing w:after="0"/>
              <w:rPr>
                <w:sz w:val="7"/>
                <w:szCs w:val="7"/>
                <w:color w:val="auto"/>
              </w:rPr>
            </w:pPr>
          </w:p>
        </w:tc>
        <w:tc>
          <w:tcPr>
            <w:tcW w:w="1600" w:type="dxa"/>
            <w:vAlign w:val="bottom"/>
            <w:tcBorders>
              <w:right w:val="single" w:sz="8" w:color="auto"/>
            </w:tcBorders>
            <w:vMerge w:val="continue"/>
            <w:shd w:val="clear" w:color="auto" w:fill="D9D9D9"/>
          </w:tcPr>
          <w:p>
            <w:pPr>
              <w:spacing w:after="0"/>
              <w:rPr>
                <w:sz w:val="7"/>
                <w:szCs w:val="7"/>
                <w:color w:val="auto"/>
              </w:rPr>
            </w:pPr>
          </w:p>
        </w:tc>
        <w:tc>
          <w:tcPr>
            <w:tcW w:w="1540" w:type="dxa"/>
            <w:vAlign w:val="bottom"/>
            <w:tcBorders>
              <w:right w:val="single" w:sz="8" w:color="auto"/>
            </w:tcBorders>
            <w:vMerge w:val="continue"/>
            <w:shd w:val="clear" w:color="auto" w:fill="D9D9D9"/>
          </w:tcPr>
          <w:p>
            <w:pPr>
              <w:spacing w:after="0"/>
              <w:rPr>
                <w:sz w:val="7"/>
                <w:szCs w:val="7"/>
                <w:color w:val="auto"/>
              </w:rPr>
            </w:pPr>
          </w:p>
        </w:tc>
        <w:tc>
          <w:tcPr>
            <w:tcW w:w="17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Allocated at March 31,</w:t>
            </w:r>
          </w:p>
        </w:tc>
        <w:tc>
          <w:tcPr>
            <w:tcW w:w="18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(April 1, 2022 to March 31,</w:t>
            </w:r>
          </w:p>
        </w:tc>
        <w:tc>
          <w:tcPr>
            <w:tcW w:w="0" w:type="dxa"/>
            <w:vAlign w:val="bottom"/>
          </w:tcPr>
          <w:p>
            <w:pPr>
              <w:spacing w:after="0"/>
              <w:rPr>
                <w:sz w:val="1"/>
                <w:szCs w:val="1"/>
                <w:color w:val="auto"/>
              </w:rPr>
            </w:pPr>
          </w:p>
        </w:tc>
      </w:tr>
      <w:tr>
        <w:trPr>
          <w:trHeight w:val="98"/>
        </w:trPr>
        <w:tc>
          <w:tcPr>
            <w:tcW w:w="100" w:type="dxa"/>
            <w:vAlign w:val="bottom"/>
            <w:tcBorders>
              <w:left w:val="single" w:sz="8" w:color="auto"/>
              <w:right w:val="single" w:sz="8" w:color="D9D9D9"/>
            </w:tcBorders>
            <w:shd w:val="clear" w:color="auto" w:fill="D9D9D9"/>
          </w:tcPr>
          <w:p>
            <w:pPr>
              <w:spacing w:after="0"/>
              <w:rPr>
                <w:sz w:val="8"/>
                <w:szCs w:val="8"/>
                <w:color w:val="auto"/>
              </w:rPr>
            </w:pPr>
          </w:p>
        </w:tc>
        <w:tc>
          <w:tcPr>
            <w:tcW w:w="4460" w:type="dxa"/>
            <w:vAlign w:val="bottom"/>
            <w:tcBorders>
              <w:right w:val="single" w:sz="8" w:color="auto"/>
            </w:tcBorders>
            <w:shd w:val="clear" w:color="auto" w:fill="D9D9D9"/>
          </w:tcPr>
          <w:p>
            <w:pPr>
              <w:spacing w:after="0"/>
              <w:rPr>
                <w:sz w:val="8"/>
                <w:szCs w:val="8"/>
                <w:color w:val="auto"/>
              </w:rPr>
            </w:pPr>
          </w:p>
        </w:tc>
        <w:tc>
          <w:tcPr>
            <w:tcW w:w="16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of Proceeds in the July</w:t>
            </w:r>
          </w:p>
        </w:tc>
        <w:tc>
          <w:tcPr>
            <w:tcW w:w="15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(June 1, 2021 to March</w:t>
            </w:r>
          </w:p>
        </w:tc>
        <w:tc>
          <w:tcPr>
            <w:tcW w:w="1720" w:type="dxa"/>
            <w:vAlign w:val="bottom"/>
            <w:tcBorders>
              <w:right w:val="single" w:sz="8" w:color="auto"/>
            </w:tcBorders>
            <w:vMerge w:val="continue"/>
            <w:shd w:val="clear" w:color="auto" w:fill="D9D9D9"/>
          </w:tcPr>
          <w:p>
            <w:pPr>
              <w:spacing w:after="0"/>
              <w:rPr>
                <w:sz w:val="8"/>
                <w:szCs w:val="8"/>
                <w:color w:val="auto"/>
              </w:rPr>
            </w:pPr>
          </w:p>
        </w:tc>
        <w:tc>
          <w:tcPr>
            <w:tcW w:w="180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4460" w:type="dxa"/>
            <w:vAlign w:val="bottom"/>
            <w:tcBorders>
              <w:right w:val="single" w:sz="8" w:color="auto"/>
            </w:tcBorders>
            <w:shd w:val="clear" w:color="auto" w:fill="D9D9D9"/>
          </w:tcPr>
          <w:p>
            <w:pPr>
              <w:spacing w:after="0"/>
              <w:rPr>
                <w:sz w:val="7"/>
                <w:szCs w:val="7"/>
                <w:color w:val="auto"/>
              </w:rPr>
            </w:pPr>
          </w:p>
        </w:tc>
        <w:tc>
          <w:tcPr>
            <w:tcW w:w="1600" w:type="dxa"/>
            <w:vAlign w:val="bottom"/>
            <w:tcBorders>
              <w:right w:val="single" w:sz="8" w:color="auto"/>
            </w:tcBorders>
            <w:vMerge w:val="continue"/>
            <w:shd w:val="clear" w:color="auto" w:fill="D9D9D9"/>
          </w:tcPr>
          <w:p>
            <w:pPr>
              <w:spacing w:after="0"/>
              <w:rPr>
                <w:sz w:val="7"/>
                <w:szCs w:val="7"/>
                <w:color w:val="auto"/>
              </w:rPr>
            </w:pPr>
          </w:p>
        </w:tc>
        <w:tc>
          <w:tcPr>
            <w:tcW w:w="1540" w:type="dxa"/>
            <w:vAlign w:val="bottom"/>
            <w:tcBorders>
              <w:right w:val="single" w:sz="8" w:color="auto"/>
            </w:tcBorders>
            <w:vMerge w:val="continue"/>
            <w:shd w:val="clear" w:color="auto" w:fill="D9D9D9"/>
          </w:tcPr>
          <w:p>
            <w:pPr>
              <w:spacing w:after="0"/>
              <w:rPr>
                <w:sz w:val="7"/>
                <w:szCs w:val="7"/>
                <w:color w:val="auto"/>
              </w:rPr>
            </w:pPr>
          </w:p>
        </w:tc>
        <w:tc>
          <w:tcPr>
            <w:tcW w:w="17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2022</w:t>
            </w:r>
          </w:p>
        </w:tc>
        <w:tc>
          <w:tcPr>
            <w:tcW w:w="18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2023)</w:t>
            </w:r>
          </w:p>
        </w:tc>
        <w:tc>
          <w:tcPr>
            <w:tcW w:w="0" w:type="dxa"/>
            <w:vAlign w:val="bottom"/>
          </w:tcPr>
          <w:p>
            <w:pPr>
              <w:spacing w:after="0"/>
              <w:rPr>
                <w:sz w:val="1"/>
                <w:szCs w:val="1"/>
                <w:color w:val="auto"/>
              </w:rPr>
            </w:pPr>
          </w:p>
        </w:tc>
      </w:tr>
      <w:tr>
        <w:trPr>
          <w:trHeight w:val="107"/>
        </w:trPr>
        <w:tc>
          <w:tcPr>
            <w:tcW w:w="100" w:type="dxa"/>
            <w:vAlign w:val="bottom"/>
            <w:tcBorders>
              <w:left w:val="single" w:sz="8" w:color="auto"/>
              <w:right w:val="single" w:sz="8" w:color="D9D9D9"/>
            </w:tcBorders>
            <w:shd w:val="clear" w:color="auto" w:fill="D9D9D9"/>
          </w:tcPr>
          <w:p>
            <w:pPr>
              <w:spacing w:after="0"/>
              <w:rPr>
                <w:sz w:val="9"/>
                <w:szCs w:val="9"/>
                <w:color w:val="auto"/>
              </w:rPr>
            </w:pPr>
          </w:p>
        </w:tc>
        <w:tc>
          <w:tcPr>
            <w:tcW w:w="4460" w:type="dxa"/>
            <w:vAlign w:val="bottom"/>
            <w:tcBorders>
              <w:right w:val="single" w:sz="8" w:color="auto"/>
            </w:tcBorders>
            <w:shd w:val="clear" w:color="auto" w:fill="D9D9D9"/>
          </w:tcPr>
          <w:p>
            <w:pPr>
              <w:spacing w:after="0"/>
              <w:rPr>
                <w:sz w:val="9"/>
                <w:szCs w:val="9"/>
                <w:color w:val="auto"/>
              </w:rPr>
            </w:pPr>
          </w:p>
        </w:tc>
        <w:tc>
          <w:tcPr>
            <w:tcW w:w="16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Base Shelf Prospectus</w:t>
            </w:r>
          </w:p>
        </w:tc>
        <w:tc>
          <w:tcPr>
            <w:tcW w:w="15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31, 2022)</w:t>
            </w:r>
          </w:p>
        </w:tc>
        <w:tc>
          <w:tcPr>
            <w:tcW w:w="1720" w:type="dxa"/>
            <w:vAlign w:val="bottom"/>
            <w:tcBorders>
              <w:right w:val="single" w:sz="8" w:color="auto"/>
            </w:tcBorders>
            <w:vMerge w:val="continue"/>
            <w:shd w:val="clear" w:color="auto" w:fill="D9D9D9"/>
          </w:tcPr>
          <w:p>
            <w:pPr>
              <w:spacing w:after="0"/>
              <w:rPr>
                <w:sz w:val="9"/>
                <w:szCs w:val="9"/>
                <w:color w:val="auto"/>
              </w:rPr>
            </w:pPr>
          </w:p>
        </w:tc>
        <w:tc>
          <w:tcPr>
            <w:tcW w:w="180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right w:val="single" w:sz="8" w:color="D9D9D9"/>
            </w:tcBorders>
            <w:shd w:val="clear" w:color="auto" w:fill="D9D9D9"/>
          </w:tcPr>
          <w:p>
            <w:pPr>
              <w:spacing w:after="0"/>
              <w:rPr>
                <w:sz w:val="7"/>
                <w:szCs w:val="7"/>
                <w:color w:val="auto"/>
              </w:rPr>
            </w:pPr>
          </w:p>
        </w:tc>
        <w:tc>
          <w:tcPr>
            <w:tcW w:w="4460" w:type="dxa"/>
            <w:vAlign w:val="bottom"/>
            <w:tcBorders>
              <w:right w:val="single" w:sz="8" w:color="auto"/>
            </w:tcBorders>
            <w:shd w:val="clear" w:color="auto" w:fill="D9D9D9"/>
          </w:tcPr>
          <w:p>
            <w:pPr>
              <w:spacing w:after="0"/>
              <w:rPr>
                <w:sz w:val="7"/>
                <w:szCs w:val="7"/>
                <w:color w:val="auto"/>
              </w:rPr>
            </w:pPr>
          </w:p>
        </w:tc>
        <w:tc>
          <w:tcPr>
            <w:tcW w:w="1600" w:type="dxa"/>
            <w:vAlign w:val="bottom"/>
            <w:tcBorders>
              <w:right w:val="single" w:sz="8" w:color="auto"/>
            </w:tcBorders>
            <w:vMerge w:val="continue"/>
            <w:shd w:val="clear" w:color="auto" w:fill="D9D9D9"/>
          </w:tcPr>
          <w:p>
            <w:pPr>
              <w:spacing w:after="0"/>
              <w:rPr>
                <w:sz w:val="7"/>
                <w:szCs w:val="7"/>
                <w:color w:val="auto"/>
              </w:rPr>
            </w:pPr>
          </w:p>
        </w:tc>
        <w:tc>
          <w:tcPr>
            <w:tcW w:w="1540" w:type="dxa"/>
            <w:vAlign w:val="bottom"/>
            <w:tcBorders>
              <w:right w:val="single" w:sz="8" w:color="auto"/>
            </w:tcBorders>
            <w:vMerge w:val="continue"/>
            <w:shd w:val="clear" w:color="auto" w:fill="D9D9D9"/>
          </w:tcPr>
          <w:p>
            <w:pPr>
              <w:spacing w:after="0"/>
              <w:rPr>
                <w:sz w:val="7"/>
                <w:szCs w:val="7"/>
                <w:color w:val="auto"/>
              </w:rPr>
            </w:pPr>
          </w:p>
        </w:tc>
        <w:tc>
          <w:tcPr>
            <w:tcW w:w="1720" w:type="dxa"/>
            <w:vAlign w:val="bottom"/>
            <w:tcBorders>
              <w:right w:val="single" w:sz="8" w:color="auto"/>
            </w:tcBorders>
            <w:shd w:val="clear" w:color="auto" w:fill="D9D9D9"/>
          </w:tcPr>
          <w:p>
            <w:pPr>
              <w:spacing w:after="0"/>
              <w:rPr>
                <w:sz w:val="7"/>
                <w:szCs w:val="7"/>
                <w:color w:val="auto"/>
              </w:rPr>
            </w:pPr>
          </w:p>
        </w:tc>
        <w:tc>
          <w:tcPr>
            <w:tcW w:w="180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0" w:type="dxa"/>
            <w:vAlign w:val="bottom"/>
            <w:tcBorders>
              <w:left w:val="single" w:sz="8" w:color="auto"/>
              <w:bottom w:val="single" w:sz="8" w:color="auto"/>
              <w:right w:val="single" w:sz="8" w:color="D9D9D9"/>
            </w:tcBorders>
            <w:shd w:val="clear" w:color="auto" w:fill="D9D9D9"/>
          </w:tcPr>
          <w:p>
            <w:pPr>
              <w:spacing w:after="0"/>
              <w:rPr>
                <w:sz w:val="23"/>
                <w:szCs w:val="23"/>
                <w:color w:val="auto"/>
              </w:rPr>
            </w:pPr>
          </w:p>
        </w:tc>
        <w:tc>
          <w:tcPr>
            <w:tcW w:w="4460" w:type="dxa"/>
            <w:vAlign w:val="bottom"/>
            <w:tcBorders>
              <w:bottom w:val="single" w:sz="8" w:color="auto"/>
              <w:right w:val="single" w:sz="8" w:color="auto"/>
            </w:tcBorders>
            <w:shd w:val="clear" w:color="auto" w:fill="D9D9D9"/>
          </w:tcPr>
          <w:p>
            <w:pPr>
              <w:spacing w:after="0"/>
              <w:rPr>
                <w:sz w:val="23"/>
                <w:szCs w:val="23"/>
                <w:color w:val="auto"/>
              </w:rPr>
            </w:pPr>
          </w:p>
        </w:tc>
        <w:tc>
          <w:tcPr>
            <w:tcW w:w="1600" w:type="dxa"/>
            <w:vAlign w:val="bottom"/>
            <w:tcBorders>
              <w:bottom w:val="single" w:sz="8" w:color="auto"/>
              <w:right w:val="single" w:sz="8" w:color="auto"/>
            </w:tcBorders>
            <w:shd w:val="clear" w:color="auto" w:fill="D9D9D9"/>
          </w:tcPr>
          <w:p>
            <w:pPr>
              <w:spacing w:after="0"/>
              <w:rPr>
                <w:sz w:val="23"/>
                <w:szCs w:val="23"/>
                <w:color w:val="auto"/>
              </w:rPr>
            </w:pPr>
          </w:p>
        </w:tc>
        <w:tc>
          <w:tcPr>
            <w:tcW w:w="1540" w:type="dxa"/>
            <w:vAlign w:val="bottom"/>
            <w:tcBorders>
              <w:bottom w:val="single" w:sz="8" w:color="auto"/>
              <w:right w:val="single" w:sz="8" w:color="auto"/>
            </w:tcBorders>
            <w:shd w:val="clear" w:color="auto" w:fill="D9D9D9"/>
          </w:tcPr>
          <w:p>
            <w:pPr>
              <w:spacing w:after="0"/>
              <w:rPr>
                <w:sz w:val="23"/>
                <w:szCs w:val="23"/>
                <w:color w:val="auto"/>
              </w:rPr>
            </w:pPr>
          </w:p>
        </w:tc>
        <w:tc>
          <w:tcPr>
            <w:tcW w:w="1720" w:type="dxa"/>
            <w:vAlign w:val="bottom"/>
            <w:tcBorders>
              <w:bottom w:val="single" w:sz="8" w:color="auto"/>
              <w:right w:val="single" w:sz="8" w:color="auto"/>
            </w:tcBorders>
            <w:shd w:val="clear" w:color="auto" w:fill="D9D9D9"/>
          </w:tcPr>
          <w:p>
            <w:pPr>
              <w:spacing w:after="0"/>
              <w:rPr>
                <w:sz w:val="23"/>
                <w:szCs w:val="23"/>
                <w:color w:val="auto"/>
              </w:rPr>
            </w:pPr>
          </w:p>
        </w:tc>
        <w:tc>
          <w:tcPr>
            <w:tcW w:w="1800" w:type="dxa"/>
            <w:vAlign w:val="bottom"/>
            <w:tcBorders>
              <w:bottom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00" w:type="dxa"/>
            <w:vAlign w:val="bottom"/>
            <w:tcBorders>
              <w:left w:val="single" w:sz="8" w:color="auto"/>
              <w:bottom w:val="single" w:sz="8" w:color="DBDBDB"/>
              <w:right w:val="single" w:sz="8" w:color="auto"/>
            </w:tcBorders>
            <w:shd w:val="clear" w:color="auto" w:fill="DBDBDB"/>
          </w:tcPr>
          <w:p>
            <w:pPr>
              <w:spacing w:after="0"/>
              <w:rPr>
                <w:sz w:val="19"/>
                <w:szCs w:val="19"/>
                <w:color w:val="auto"/>
              </w:rPr>
            </w:pPr>
          </w:p>
        </w:tc>
        <w:tc>
          <w:tcPr>
            <w:tcW w:w="4460" w:type="dxa"/>
            <w:vAlign w:val="bottom"/>
            <w:tcBorders>
              <w:bottom w:val="single" w:sz="8" w:color="DBDBDB"/>
              <w:right w:val="single" w:sz="8" w:color="DBDBDB"/>
            </w:tcBorders>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Technology</w:t>
            </w:r>
          </w:p>
        </w:tc>
        <w:tc>
          <w:tcPr>
            <w:tcW w:w="1600" w:type="dxa"/>
            <w:vAlign w:val="bottom"/>
            <w:tcBorders>
              <w:bottom w:val="single" w:sz="8" w:color="DBDBDB"/>
              <w:right w:val="single" w:sz="8" w:color="DBDBDB"/>
            </w:tcBorders>
            <w:shd w:val="clear" w:color="auto" w:fill="DBDBDB"/>
          </w:tcPr>
          <w:p>
            <w:pPr>
              <w:spacing w:after="0"/>
              <w:rPr>
                <w:sz w:val="19"/>
                <w:szCs w:val="19"/>
                <w:color w:val="auto"/>
              </w:rPr>
            </w:pPr>
          </w:p>
        </w:tc>
        <w:tc>
          <w:tcPr>
            <w:tcW w:w="1540" w:type="dxa"/>
            <w:vAlign w:val="bottom"/>
            <w:tcBorders>
              <w:bottom w:val="single" w:sz="8" w:color="DBDBDB"/>
              <w:right w:val="single" w:sz="8" w:color="DBDBDB"/>
            </w:tcBorders>
            <w:shd w:val="clear" w:color="auto" w:fill="DBDBDB"/>
          </w:tcPr>
          <w:p>
            <w:pPr>
              <w:spacing w:after="0"/>
              <w:rPr>
                <w:sz w:val="19"/>
                <w:szCs w:val="19"/>
                <w:color w:val="auto"/>
              </w:rPr>
            </w:pPr>
          </w:p>
        </w:tc>
        <w:tc>
          <w:tcPr>
            <w:tcW w:w="1720" w:type="dxa"/>
            <w:vAlign w:val="bottom"/>
            <w:tcBorders>
              <w:bottom w:val="single" w:sz="8" w:color="DBDBDB"/>
              <w:right w:val="single" w:sz="8" w:color="DBDBDB"/>
            </w:tcBorders>
            <w:shd w:val="clear" w:color="auto" w:fill="DBDBDB"/>
          </w:tcPr>
          <w:p>
            <w:pPr>
              <w:spacing w:after="0"/>
              <w:rPr>
                <w:sz w:val="19"/>
                <w:szCs w:val="19"/>
                <w:color w:val="auto"/>
              </w:rPr>
            </w:pPr>
          </w:p>
        </w:tc>
        <w:tc>
          <w:tcPr>
            <w:tcW w:w="1800" w:type="dxa"/>
            <w:vAlign w:val="bottom"/>
            <w:tcBorders>
              <w:bottom w:val="single" w:sz="8" w:color="DBDBDB"/>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6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Marketing</w:t>
            </w:r>
            <w:r>
              <w:rPr>
                <w:rFonts w:ascii="Times New Roman" w:cs="Times New Roman" w:eastAsia="Times New Roman" w:hAnsi="Times New Roman"/>
                <w:sz w:val="19"/>
                <w:szCs w:val="19"/>
                <w:color w:val="auto"/>
                <w:vertAlign w:val="superscript"/>
              </w:rPr>
              <w:t>(3)</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Nil</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Development of patient digital therapy platform</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$2,363</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$879</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$(770)</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$714</w:t>
            </w:r>
          </w:p>
        </w:tc>
        <w:tc>
          <w:tcPr>
            <w:tcW w:w="0" w:type="dxa"/>
            <w:vAlign w:val="bottom"/>
          </w:tcPr>
          <w:p>
            <w:pPr>
              <w:spacing w:after="0"/>
              <w:rPr>
                <w:sz w:val="1"/>
                <w:szCs w:val="1"/>
                <w:color w:val="auto"/>
              </w:rPr>
            </w:pPr>
          </w:p>
        </w:tc>
      </w:tr>
      <w:tr>
        <w:trPr>
          <w:trHeight w:val="29"/>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Commence study utilizing Kernel Flow technology</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$1,825</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$251</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$(1,574)</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0" w:type="dxa"/>
            <w:vAlign w:val="bottom"/>
            <w:tcBorders>
              <w:left w:val="single" w:sz="8" w:color="auto"/>
              <w:bottom w:val="single" w:sz="8" w:color="DBDBDB"/>
              <w:right w:val="single" w:sz="8" w:color="auto"/>
            </w:tcBorders>
            <w:shd w:val="clear" w:color="auto" w:fill="DBDBDB"/>
          </w:tcPr>
          <w:p>
            <w:pPr>
              <w:spacing w:after="0"/>
              <w:rPr>
                <w:sz w:val="19"/>
                <w:szCs w:val="19"/>
                <w:color w:val="auto"/>
              </w:rPr>
            </w:pPr>
          </w:p>
        </w:tc>
        <w:tc>
          <w:tcPr>
            <w:tcW w:w="4460" w:type="dxa"/>
            <w:vAlign w:val="bottom"/>
            <w:tcBorders>
              <w:bottom w:val="single" w:sz="8" w:color="DBDBDB"/>
              <w:right w:val="single" w:sz="8" w:color="DBDBDB"/>
            </w:tcBorders>
            <w:shd w:val="clear" w:color="auto" w:fill="DBDBDB"/>
          </w:tcPr>
          <w:p>
            <w:pPr>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600" w:type="dxa"/>
            <w:vAlign w:val="bottom"/>
            <w:tcBorders>
              <w:bottom w:val="single" w:sz="8" w:color="DBDBDB"/>
              <w:right w:val="single" w:sz="8" w:color="DBDBDB"/>
            </w:tcBorders>
            <w:shd w:val="clear" w:color="auto" w:fill="DBDBDB"/>
          </w:tcPr>
          <w:p>
            <w:pPr>
              <w:spacing w:after="0"/>
              <w:rPr>
                <w:sz w:val="19"/>
                <w:szCs w:val="19"/>
                <w:color w:val="auto"/>
              </w:rPr>
            </w:pPr>
          </w:p>
        </w:tc>
        <w:tc>
          <w:tcPr>
            <w:tcW w:w="1540" w:type="dxa"/>
            <w:vAlign w:val="bottom"/>
            <w:tcBorders>
              <w:bottom w:val="single" w:sz="8" w:color="DBDBDB"/>
              <w:right w:val="single" w:sz="8" w:color="DBDBDB"/>
            </w:tcBorders>
            <w:shd w:val="clear" w:color="auto" w:fill="DBDBDB"/>
          </w:tcPr>
          <w:p>
            <w:pPr>
              <w:spacing w:after="0"/>
              <w:rPr>
                <w:sz w:val="19"/>
                <w:szCs w:val="19"/>
                <w:color w:val="auto"/>
              </w:rPr>
            </w:pPr>
          </w:p>
        </w:tc>
        <w:tc>
          <w:tcPr>
            <w:tcW w:w="1720" w:type="dxa"/>
            <w:vAlign w:val="bottom"/>
            <w:tcBorders>
              <w:bottom w:val="single" w:sz="8" w:color="DBDBDB"/>
              <w:right w:val="single" w:sz="8" w:color="DBDBDB"/>
            </w:tcBorders>
            <w:shd w:val="clear" w:color="auto" w:fill="DBDBDB"/>
          </w:tcPr>
          <w:p>
            <w:pPr>
              <w:spacing w:after="0"/>
              <w:rPr>
                <w:sz w:val="19"/>
                <w:szCs w:val="19"/>
                <w:color w:val="auto"/>
              </w:rPr>
            </w:pPr>
          </w:p>
        </w:tc>
        <w:tc>
          <w:tcPr>
            <w:tcW w:w="1800" w:type="dxa"/>
            <w:vAlign w:val="bottom"/>
            <w:tcBorders>
              <w:bottom w:val="single" w:sz="8" w:color="DBDBDB"/>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56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Transaction costs (legal fees, audit fees, transfer agent fees and other</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$4,502</w:t>
            </w: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$4,001</w:t>
            </w:r>
          </w:p>
        </w:tc>
        <w:tc>
          <w:tcPr>
            <w:tcW w:w="1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$891</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$1,392</w:t>
            </w:r>
          </w:p>
        </w:tc>
        <w:tc>
          <w:tcPr>
            <w:tcW w:w="0" w:type="dxa"/>
            <w:vAlign w:val="bottom"/>
          </w:tcPr>
          <w:p>
            <w:pPr>
              <w:spacing w:after="0"/>
              <w:rPr>
                <w:sz w:val="1"/>
                <w:szCs w:val="1"/>
                <w:color w:val="auto"/>
              </w:rPr>
            </w:pPr>
          </w:p>
        </w:tc>
      </w:tr>
      <w:tr>
        <w:trPr>
          <w:trHeight w:val="93"/>
        </w:trPr>
        <w:tc>
          <w:tcPr>
            <w:tcW w:w="4560" w:type="dxa"/>
            <w:vAlign w:val="bottom"/>
            <w:tcBorders>
              <w:left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expenses)</w:t>
            </w:r>
          </w:p>
        </w:tc>
        <w:tc>
          <w:tcPr>
            <w:tcW w:w="160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560" w:type="dxa"/>
            <w:vAlign w:val="bottom"/>
            <w:tcBorders>
              <w:left w:val="single" w:sz="8" w:color="auto"/>
              <w:right w:val="single" w:sz="8" w:color="auto"/>
            </w:tcBorders>
            <w:gridSpan w:val="2"/>
            <w:vMerge w:val="continue"/>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General and administrative</w:t>
            </w:r>
            <w:r>
              <w:rPr>
                <w:rFonts w:ascii="Times New Roman" w:cs="Times New Roman" w:eastAsia="Times New Roman" w:hAnsi="Times New Roman"/>
                <w:sz w:val="19"/>
                <w:szCs w:val="19"/>
                <w:color w:val="auto"/>
                <w:vertAlign w:val="superscript"/>
              </w:rPr>
              <w:t>(4)</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$18,398</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$25,717</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$33,953</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$26,634</w:t>
            </w: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Total use of funds</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$39,418</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$40,151</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$49,001</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$48,269</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45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Unallocated working capital</w:t>
            </w:r>
            <w:r>
              <w:rPr>
                <w:rFonts w:ascii="Times New Roman" w:cs="Times New Roman" w:eastAsia="Times New Roman" w:hAnsi="Times New Roman"/>
                <w:sz w:val="19"/>
                <w:szCs w:val="19"/>
                <w:b w:val="1"/>
                <w:bCs w:val="1"/>
                <w:color w:val="auto"/>
                <w:vertAlign w:val="superscript"/>
              </w:rPr>
              <w:t>(5)</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$29,550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$28,817</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N/A</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$20,699</w:t>
            </w:r>
          </w:p>
        </w:tc>
        <w:tc>
          <w:tcPr>
            <w:tcW w:w="0" w:type="dxa"/>
            <w:vAlign w:val="bottom"/>
          </w:tcPr>
          <w:p>
            <w:pPr>
              <w:spacing w:after="0"/>
              <w:rPr>
                <w:sz w:val="1"/>
                <w:szCs w:val="1"/>
                <w:color w:val="auto"/>
              </w:rPr>
            </w:pPr>
          </w:p>
        </w:tc>
      </w:tr>
      <w:tr>
        <w:trPr>
          <w:trHeight w:val="195"/>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$68,968</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$68,968</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N/A</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$68,968</w:t>
            </w:r>
          </w:p>
        </w:tc>
        <w:tc>
          <w:tcPr>
            <w:tcW w:w="0" w:type="dxa"/>
            <w:vAlign w:val="bottom"/>
          </w:tcPr>
          <w:p>
            <w:pPr>
              <w:spacing w:after="0"/>
              <w:rPr>
                <w:sz w:val="1"/>
                <w:szCs w:val="1"/>
                <w:color w:val="auto"/>
              </w:rPr>
            </w:pPr>
          </w:p>
        </w:tc>
      </w:tr>
      <w:tr>
        <w:trPr>
          <w:trHeight w:val="29"/>
        </w:trPr>
        <w:tc>
          <w:tcPr>
            <w:tcW w:w="100" w:type="dxa"/>
            <w:vAlign w:val="bottom"/>
            <w:tcBorders>
              <w:left w:val="single" w:sz="8" w:color="auto"/>
              <w:bottom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5"/>
          <w:szCs w:val="15"/>
          <w:b w:val="1"/>
          <w:bCs w:val="1"/>
          <w:u w:val="single" w:color="auto"/>
          <w:color w:val="auto"/>
        </w:rPr>
        <w:t>Notes:</w:t>
      </w:r>
    </w:p>
    <w:p>
      <w:pPr>
        <w:spacing w:after="0" w:line="52" w:lineRule="exact"/>
        <w:rPr>
          <w:sz w:val="20"/>
          <w:szCs w:val="20"/>
          <w:color w:val="auto"/>
        </w:rPr>
      </w:pPr>
    </w:p>
    <w:p>
      <w:pPr>
        <w:ind w:left="402" w:hanging="402"/>
        <w:spacing w:after="0"/>
        <w:tabs>
          <w:tab w:leader="none" w:pos="402"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amounts have been converted from USD to CAD at an exchange rate of 1.28:1.</w:t>
      </w:r>
    </w:p>
    <w:p>
      <w:pPr>
        <w:jc w:val="both"/>
        <w:ind w:left="402" w:hanging="402"/>
        <w:spacing w:after="0" w:line="195" w:lineRule="auto"/>
        <w:tabs>
          <w:tab w:leader="none" w:pos="395"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light of compelling data related to CYB003, the Company has merged its Psilocybin Program with its deuterated tryptamine CYB003 preclinical program. The Company was previously running the programs in parallel in order to determine the molecules and methods of actions with the most benefits and least amount of drawbacks. This has now evolved into a single program, including both the MDD and AUD indication in the U.S. and UK, to prioritize the advancement of the potentially superior molecule in the most cost effective manner.</w:t>
      </w:r>
    </w:p>
    <w:p>
      <w:pPr>
        <w:spacing w:after="0" w:line="1" w:lineRule="exact"/>
        <w:rPr>
          <w:rFonts w:ascii="Times New Roman" w:cs="Times New Roman" w:eastAsia="Times New Roman" w:hAnsi="Times New Roman"/>
          <w:sz w:val="15"/>
          <w:szCs w:val="15"/>
          <w:color w:val="auto"/>
        </w:rPr>
      </w:pPr>
    </w:p>
    <w:p>
      <w:pPr>
        <w:ind w:left="402" w:hanging="402"/>
        <w:spacing w:after="0" w:line="195" w:lineRule="auto"/>
        <w:tabs>
          <w:tab w:leader="none" w:pos="395"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completed its evaluation of the Product Line and its marketing platform and concluded that it would not proceed with this program in order to prioritize the research and development progression of psychedelic molecules.</w:t>
      </w:r>
    </w:p>
    <w:p>
      <w:pPr>
        <w:ind w:left="402" w:hanging="402"/>
        <w:spacing w:after="0" w:line="195" w:lineRule="auto"/>
        <w:tabs>
          <w:tab w:leader="none" w:pos="395"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and administrative expenses are comprised of payroll consulting and benefits $6,707, office and administrative $8,033, capital market $5,776, business development $1,980, investor relations $1,744 and marketing media $1,246.</w:t>
      </w:r>
    </w:p>
    <w:p>
      <w:pPr>
        <w:ind w:left="402" w:hanging="402"/>
        <w:spacing w:after="0"/>
        <w:tabs>
          <w:tab w:leader="none" w:pos="402"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unallocated working balance will be held in short-term, investment grade, interest-bearing securities, in government securities or in bank accounts at the discretion of management.</w:t>
      </w:r>
    </w:p>
    <w:p>
      <w:pPr>
        <w:spacing w:after="0" w:line="205"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71"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The expected use of net proceeds from the Company’s financing activities represents the Company’s current intentions based upon its present plans and business condition, which could change in the future as its plans and business conditions evolve. The amounts and timing of the actual use of the net proceeds will depend on multiple factors and there may be circumstances where, for sound business reasons, a reallocation of funds may be necessary in order for the Company to achieve its stated business objectives. The Company may also require additional funds in order to fulfill its expenditure requirements to meet existing and any new business objectives, and the Company expects to either issue additional securities or incur debt to do so.</w:t>
      </w:r>
    </w:p>
    <w:p>
      <w:pPr>
        <w:spacing w:after="0" w:line="171"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8"/>
          <w:szCs w:val="18"/>
          <w:color w:val="auto"/>
        </w:rPr>
        <w:t>Certain COVID-19 related risks could delay or slow the implementation of the planned objectives resulting in additional costs for the Company to achieve its business objectives. The extent to which COVID-19 may impact the Company business activities will depend on future developments, such as the ultimate geographic spread of the disease, the duration of the outbreak, travel restrictions, business disruptions, and the effectiveness of actions taken in Canada, the United States, and other countries to contain and treat the disease. As these events are highly uncertain and the Company cannot determine their potential impact on operations at this time. The COVID-19 pandemic may negatively impact the Company’s business through disruption of supply and manufacturing, which would influence the amount and timing of planned expenditure. For example, prolonged disruptions in the supply of goods and services relied on by the Company to develop its products or restrictions resulting from government regulations that impact the Company ability to conduct its studies and clinic trials, may adversely impact the Company’s business.</w:t>
      </w:r>
    </w:p>
    <w:p>
      <w:pPr>
        <w:spacing w:after="0" w:line="16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Update on Stated Milestones and Business Objectives</w:t>
      </w:r>
    </w:p>
    <w:p>
      <w:pPr>
        <w:spacing w:after="0" w:line="200" w:lineRule="exact"/>
        <w:rPr>
          <w:sz w:val="20"/>
          <w:szCs w:val="20"/>
          <w:color w:val="auto"/>
        </w:rPr>
      </w:pPr>
    </w:p>
    <w:p>
      <w:pPr>
        <w:jc w:val="both"/>
        <w:ind w:left="2"/>
        <w:spacing w:after="0" w:line="285" w:lineRule="auto"/>
        <w:rPr>
          <w:sz w:val="20"/>
          <w:szCs w:val="20"/>
          <w:color w:val="auto"/>
        </w:rPr>
      </w:pPr>
      <w:r>
        <w:rPr>
          <w:rFonts w:ascii="Times New Roman" w:cs="Times New Roman" w:eastAsia="Times New Roman" w:hAnsi="Times New Roman"/>
          <w:sz w:val="18"/>
          <w:szCs w:val="18"/>
          <w:color w:val="auto"/>
        </w:rPr>
        <w:t>The below table is intended to provide an update, as at March 31, 2022, on the Company’s business objectives and milestones, as disclosed in the July Base Shelf Prospectus. The July Base Shelf Prospectus, which is available on</w:t>
      </w:r>
    </w:p>
    <w:p>
      <w:pPr>
        <w:spacing w:after="0" w:line="200" w:lineRule="exact"/>
        <w:rPr>
          <w:sz w:val="20"/>
          <w:szCs w:val="20"/>
          <w:color w:val="auto"/>
        </w:rPr>
      </w:pPr>
    </w:p>
    <w:p>
      <w:pPr>
        <w:spacing w:after="0" w:line="3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2"/>
          </w:cols>
          <w:pgMar w:left="318" w:top="731" w:right="339" w:bottom="1440" w:gutter="0" w:footer="0" w:header="0"/>
        </w:sectPr>
      </w:pPr>
    </w:p>
    <w:bookmarkStart w:id="167" w:name="page168"/>
    <w:bookmarkEnd w:id="167"/>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SEDAR at </w:t>
      </w:r>
      <w:r>
        <w:rPr>
          <w:rFonts w:ascii="Times New Roman" w:cs="Times New Roman" w:eastAsia="Times New Roman" w:hAnsi="Times New Roman"/>
          <w:sz w:val="18"/>
          <w:szCs w:val="18"/>
          <w:i w:val="1"/>
          <w:iCs w:val="1"/>
          <w:u w:val="single" w:color="auto"/>
          <w:color w:val="0000FF"/>
        </w:rPr>
        <w:t>www.sedar.com</w:t>
      </w:r>
      <w:r>
        <w:rPr>
          <w:rFonts w:ascii="Times New Roman" w:cs="Times New Roman" w:eastAsia="Times New Roman" w:hAnsi="Times New Roman"/>
          <w:sz w:val="18"/>
          <w:szCs w:val="18"/>
          <w:color w:val="auto"/>
        </w:rPr>
        <w:t>, identified certain business milestones of the Company, which are reproduced below. As of March 31, 2022, the Company provided the status of these milestones, the actual or revised estimated costs and the revised date of expected completion thereof, if applicable. Further, the Company has included additional objectives and milestones that have been identified since the date of the July Base Shelf Prospectus.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are “forward-looking statements” and as such, there is no guarantee that such milestones will be achieved on the timelines indicated or at all. Forward-looking statements are based on management’s current expectations and are subject to a number of risks, uncertainties, and assumptions. See “Forward-Looking Statements” and “Risk Factors”.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000" w:type="dxa"/>
            <w:vAlign w:val="bottom"/>
            <w:tcBorders>
              <w:top w:val="single" w:sz="8" w:color="auto"/>
              <w:left w:val="single" w:sz="8" w:color="auto"/>
              <w:right w:val="single" w:sz="8" w:color="auto"/>
            </w:tcBorders>
            <w:shd w:val="clear" w:color="auto" w:fill="D9D9D9"/>
          </w:tcPr>
          <w:p>
            <w:pPr>
              <w:spacing w:after="0"/>
              <w:rPr>
                <w:sz w:val="20"/>
                <w:szCs w:val="20"/>
                <w:color w:val="auto"/>
              </w:rPr>
            </w:pPr>
          </w:p>
        </w:tc>
        <w:tc>
          <w:tcPr>
            <w:tcW w:w="2700" w:type="dxa"/>
            <w:vAlign w:val="bottom"/>
            <w:tcBorders>
              <w:top w:val="single" w:sz="8" w:color="auto"/>
              <w:right w:val="single" w:sz="8" w:color="auto"/>
            </w:tcBorders>
            <w:shd w:val="clear" w:color="auto" w:fill="D9D9D9"/>
          </w:tcPr>
          <w:p>
            <w:pPr>
              <w:spacing w:after="0"/>
              <w:rPr>
                <w:sz w:val="20"/>
                <w:szCs w:val="20"/>
                <w:color w:val="auto"/>
              </w:rPr>
            </w:pPr>
          </w:p>
        </w:tc>
        <w:tc>
          <w:tcPr>
            <w:tcW w:w="1580" w:type="dxa"/>
            <w:vAlign w:val="bottom"/>
            <w:tcBorders>
              <w:top w:val="single" w:sz="8" w:color="auto"/>
              <w:right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Prior Estimated Cost in</w:t>
            </w:r>
          </w:p>
        </w:tc>
        <w:tc>
          <w:tcPr>
            <w:tcW w:w="660" w:type="dxa"/>
            <w:vAlign w:val="bottom"/>
            <w:tcBorders>
              <w:top w:val="single" w:sz="8" w:color="auto"/>
            </w:tcBorders>
            <w:shd w:val="clear" w:color="auto" w:fill="D9D9D9"/>
          </w:tcPr>
          <w:p>
            <w:pPr>
              <w:spacing w:after="0"/>
              <w:rPr>
                <w:sz w:val="20"/>
                <w:szCs w:val="20"/>
                <w:color w:val="auto"/>
              </w:rPr>
            </w:pPr>
            <w:r>
              <w:rPr>
                <w:rFonts w:ascii="Times New Roman" w:cs="Times New Roman" w:eastAsia="Times New Roman" w:hAnsi="Times New Roman"/>
                <w:sz w:val="15"/>
                <w:szCs w:val="15"/>
                <w:b w:val="1"/>
                <w:bCs w:val="1"/>
                <w:color w:val="auto"/>
              </w:rPr>
              <w:t>Actual</w:t>
            </w:r>
          </w:p>
        </w:tc>
        <w:tc>
          <w:tcPr>
            <w:tcW w:w="420" w:type="dxa"/>
            <w:vAlign w:val="bottom"/>
            <w:tcBorders>
              <w:top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5"/>
                <w:szCs w:val="15"/>
                <w:b w:val="1"/>
                <w:bCs w:val="1"/>
                <w:color w:val="auto"/>
              </w:rPr>
              <w:t>or</w:t>
            </w:r>
          </w:p>
        </w:tc>
        <w:tc>
          <w:tcPr>
            <w:tcW w:w="600" w:type="dxa"/>
            <w:vAlign w:val="bottom"/>
            <w:tcBorders>
              <w:top w:val="single" w:sz="8" w:color="auto"/>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5"/>
                <w:szCs w:val="15"/>
                <w:b w:val="1"/>
                <w:bCs w:val="1"/>
                <w:color w:val="auto"/>
              </w:rPr>
              <w:t>Revised</w:t>
            </w:r>
          </w:p>
        </w:tc>
        <w:tc>
          <w:tcPr>
            <w:tcW w:w="1620" w:type="dxa"/>
            <w:vAlign w:val="bottom"/>
            <w:tcBorders>
              <w:top w:val="single" w:sz="8" w:color="auto"/>
              <w:right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Actual/Estimated</w:t>
            </w:r>
          </w:p>
        </w:tc>
        <w:tc>
          <w:tcPr>
            <w:tcW w:w="1660" w:type="dxa"/>
            <w:vAlign w:val="bottom"/>
            <w:tcBorders>
              <w:top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00" w:type="dxa"/>
            <w:vAlign w:val="bottom"/>
            <w:tcBorders>
              <w:left w:val="single" w:sz="8" w:color="auto"/>
              <w:right w:val="single" w:sz="8" w:color="auto"/>
            </w:tcBorders>
            <w:vMerge w:val="restart"/>
            <w:shd w:val="clear" w:color="auto" w:fill="D9D9D9"/>
          </w:tcPr>
          <w:p>
            <w:pPr>
              <w:ind w:left="700"/>
              <w:spacing w:after="0"/>
              <w:rPr>
                <w:sz w:val="20"/>
                <w:szCs w:val="20"/>
                <w:color w:val="auto"/>
              </w:rPr>
            </w:pPr>
            <w:r>
              <w:rPr>
                <w:rFonts w:ascii="Times New Roman" w:cs="Times New Roman" w:eastAsia="Times New Roman" w:hAnsi="Times New Roman"/>
                <w:sz w:val="15"/>
                <w:szCs w:val="15"/>
                <w:b w:val="1"/>
                <w:bCs w:val="1"/>
                <w:color w:val="auto"/>
              </w:rPr>
              <w:t>Objective</w:t>
            </w:r>
          </w:p>
        </w:tc>
        <w:tc>
          <w:tcPr>
            <w:tcW w:w="2700" w:type="dxa"/>
            <w:vAlign w:val="bottom"/>
            <w:tcBorders>
              <w:right w:val="single" w:sz="8" w:color="auto"/>
            </w:tcBorders>
            <w:shd w:val="clear" w:color="auto" w:fill="D9D9D9"/>
          </w:tcPr>
          <w:p>
            <w:pPr>
              <w:ind w:left="1540"/>
              <w:spacing w:after="0"/>
              <w:rPr>
                <w:sz w:val="20"/>
                <w:szCs w:val="20"/>
                <w:color w:val="auto"/>
              </w:rPr>
            </w:pPr>
            <w:r>
              <w:rPr>
                <w:rFonts w:ascii="Times New Roman" w:cs="Times New Roman" w:eastAsia="Times New Roman" w:hAnsi="Times New Roman"/>
                <w:sz w:val="10"/>
                <w:szCs w:val="10"/>
                <w:b w:val="1"/>
                <w:bCs w:val="1"/>
                <w:color w:val="auto"/>
              </w:rPr>
              <w:t>(1)(2)</w:t>
            </w:r>
          </w:p>
        </w:tc>
        <w:tc>
          <w:tcPr>
            <w:tcW w:w="1580" w:type="dxa"/>
            <w:vAlign w:val="bottom"/>
            <w:tcBorders>
              <w:right w:val="single" w:sz="8" w:color="auto"/>
            </w:tcBorders>
            <w:gridSpan w:val="2"/>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July Base Shelf</w:t>
            </w:r>
          </w:p>
        </w:tc>
        <w:tc>
          <w:tcPr>
            <w:tcW w:w="660" w:type="dxa"/>
            <w:vAlign w:val="bottom"/>
            <w:shd w:val="clear" w:color="auto" w:fill="D9D9D9"/>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420" w:type="dxa"/>
            <w:vAlign w:val="bottom"/>
            <w:shd w:val="clear" w:color="auto" w:fill="D9D9D9"/>
          </w:tcPr>
          <w:p>
            <w:pPr>
              <w:ind w:left="60"/>
              <w:spacing w:after="0" w:line="123" w:lineRule="exact"/>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Borders>
              <w:right w:val="single" w:sz="8" w:color="auto"/>
            </w:tcBorders>
            <w:shd w:val="clear" w:color="auto" w:fill="D9D9D9"/>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(June 1,</w:t>
            </w:r>
          </w:p>
        </w:tc>
        <w:tc>
          <w:tcPr>
            <w:tcW w:w="1620" w:type="dxa"/>
            <w:vAlign w:val="bottom"/>
            <w:tcBorders>
              <w:right w:val="single" w:sz="8" w:color="auto"/>
            </w:tcBorders>
            <w:gridSpan w:val="2"/>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Timeframe for</w:t>
            </w:r>
          </w:p>
        </w:tc>
        <w:tc>
          <w:tcPr>
            <w:tcW w:w="16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Status</w:t>
            </w:r>
          </w:p>
        </w:tc>
        <w:tc>
          <w:tcPr>
            <w:tcW w:w="0" w:type="dxa"/>
            <w:vAlign w:val="bottom"/>
          </w:tcPr>
          <w:p>
            <w:pPr>
              <w:spacing w:after="0"/>
              <w:rPr>
                <w:sz w:val="1"/>
                <w:szCs w:val="1"/>
                <w:color w:val="auto"/>
              </w:rPr>
            </w:pPr>
          </w:p>
        </w:tc>
      </w:tr>
      <w:tr>
        <w:trPr>
          <w:trHeight w:val="74"/>
        </w:trPr>
        <w:tc>
          <w:tcPr>
            <w:tcW w:w="2000" w:type="dxa"/>
            <w:vAlign w:val="bottom"/>
            <w:tcBorders>
              <w:left w:val="single" w:sz="8" w:color="auto"/>
              <w:right w:val="single" w:sz="8" w:color="auto"/>
            </w:tcBorders>
            <w:vMerge w:val="continue"/>
            <w:shd w:val="clear" w:color="auto" w:fill="D9D9D9"/>
          </w:tcPr>
          <w:p>
            <w:pPr>
              <w:spacing w:after="0"/>
              <w:rPr>
                <w:sz w:val="6"/>
                <w:szCs w:val="6"/>
                <w:color w:val="auto"/>
              </w:rPr>
            </w:pPr>
          </w:p>
        </w:tc>
        <w:tc>
          <w:tcPr>
            <w:tcW w:w="2700" w:type="dxa"/>
            <w:vAlign w:val="bottom"/>
            <w:tcBorders>
              <w:right w:val="single" w:sz="8" w:color="auto"/>
            </w:tcBorders>
            <w:shd w:val="clear" w:color="auto" w:fill="D9D9D9"/>
          </w:tcPr>
          <w:p>
            <w:pPr>
              <w:ind w:left="920"/>
              <w:spacing w:after="0" w:line="74" w:lineRule="exact"/>
              <w:rPr>
                <w:sz w:val="20"/>
                <w:szCs w:val="20"/>
                <w:color w:val="auto"/>
              </w:rPr>
            </w:pPr>
            <w:r>
              <w:rPr>
                <w:rFonts w:ascii="Times New Roman" w:cs="Times New Roman" w:eastAsia="Times New Roman" w:hAnsi="Times New Roman"/>
                <w:sz w:val="8"/>
                <w:szCs w:val="8"/>
                <w:b w:val="1"/>
                <w:bCs w:val="1"/>
                <w:color w:val="auto"/>
              </w:rPr>
              <w:t>Milestone</w:t>
            </w:r>
          </w:p>
        </w:tc>
        <w:tc>
          <w:tcPr>
            <w:tcW w:w="1580" w:type="dxa"/>
            <w:vAlign w:val="bottom"/>
            <w:tcBorders>
              <w:right w:val="single" w:sz="8" w:color="auto"/>
            </w:tcBorders>
            <w:gridSpan w:val="2"/>
            <w:vMerge w:val="continue"/>
            <w:shd w:val="clear" w:color="auto" w:fill="D9D9D9"/>
          </w:tcPr>
          <w:p>
            <w:pPr>
              <w:spacing w:after="0"/>
              <w:rPr>
                <w:sz w:val="6"/>
                <w:szCs w:val="6"/>
                <w:color w:val="auto"/>
              </w:rPr>
            </w:pPr>
          </w:p>
        </w:tc>
        <w:tc>
          <w:tcPr>
            <w:tcW w:w="1680" w:type="dxa"/>
            <w:vAlign w:val="bottom"/>
            <w:tcBorders>
              <w:right w:val="single" w:sz="8" w:color="auto"/>
            </w:tcBorders>
            <w:gridSpan w:val="3"/>
            <w:vMerge w:val="restart"/>
            <w:shd w:val="clear" w:color="auto" w:fill="D9D9D9"/>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2021 to March 31, 2023)</w:t>
            </w:r>
          </w:p>
        </w:tc>
        <w:tc>
          <w:tcPr>
            <w:tcW w:w="1620" w:type="dxa"/>
            <w:vAlign w:val="bottom"/>
            <w:tcBorders>
              <w:right w:val="single" w:sz="8" w:color="auto"/>
            </w:tcBorders>
            <w:gridSpan w:val="2"/>
            <w:vMerge w:val="continue"/>
            <w:shd w:val="clear" w:color="auto" w:fill="D9D9D9"/>
          </w:tcPr>
          <w:p>
            <w:pPr>
              <w:spacing w:after="0"/>
              <w:rPr>
                <w:sz w:val="6"/>
                <w:szCs w:val="6"/>
                <w:color w:val="auto"/>
              </w:rPr>
            </w:pPr>
          </w:p>
        </w:tc>
        <w:tc>
          <w:tcPr>
            <w:tcW w:w="1660" w:type="dxa"/>
            <w:vAlign w:val="bottom"/>
            <w:tcBorders>
              <w:right w:val="single" w:sz="8" w:color="auto"/>
            </w:tcBorders>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2000" w:type="dxa"/>
            <w:vAlign w:val="bottom"/>
            <w:tcBorders>
              <w:left w:val="single" w:sz="8" w:color="auto"/>
              <w:right w:val="single" w:sz="8" w:color="auto"/>
            </w:tcBorders>
            <w:shd w:val="clear" w:color="auto" w:fill="D9D9D9"/>
          </w:tcPr>
          <w:p>
            <w:pPr>
              <w:spacing w:after="0"/>
              <w:rPr>
                <w:sz w:val="8"/>
                <w:szCs w:val="8"/>
                <w:color w:val="auto"/>
              </w:rPr>
            </w:pPr>
          </w:p>
        </w:tc>
        <w:tc>
          <w:tcPr>
            <w:tcW w:w="2700" w:type="dxa"/>
            <w:vAlign w:val="bottom"/>
            <w:tcBorders>
              <w:right w:val="single" w:sz="8" w:color="auto"/>
            </w:tcBorders>
            <w:shd w:val="clear" w:color="auto" w:fill="D9D9D9"/>
          </w:tcPr>
          <w:p>
            <w:pPr>
              <w:spacing w:after="0"/>
              <w:rPr>
                <w:sz w:val="8"/>
                <w:szCs w:val="8"/>
                <w:color w:val="auto"/>
              </w:rPr>
            </w:pPr>
          </w:p>
        </w:tc>
        <w:tc>
          <w:tcPr>
            <w:tcW w:w="1060" w:type="dxa"/>
            <w:vAlign w:val="bottom"/>
            <w:vMerge w:val="restart"/>
            <w:shd w:val="clear" w:color="auto" w:fill="D9D9D9"/>
          </w:tcPr>
          <w:p>
            <w:pPr>
              <w:ind w:left="380"/>
              <w:spacing w:after="0"/>
              <w:rPr>
                <w:sz w:val="20"/>
                <w:szCs w:val="20"/>
                <w:color w:val="auto"/>
              </w:rPr>
            </w:pPr>
            <w:r>
              <w:rPr>
                <w:rFonts w:ascii="Times New Roman" w:cs="Times New Roman" w:eastAsia="Times New Roman" w:hAnsi="Times New Roman"/>
                <w:sz w:val="15"/>
                <w:szCs w:val="15"/>
                <w:b w:val="1"/>
                <w:bCs w:val="1"/>
                <w:color w:val="auto"/>
                <w:w w:val="94"/>
              </w:rPr>
              <w:t>Prospectus</w:t>
            </w:r>
          </w:p>
        </w:tc>
        <w:tc>
          <w:tcPr>
            <w:tcW w:w="520" w:type="dxa"/>
            <w:vAlign w:val="bottom"/>
            <w:tcBorders>
              <w:right w:val="single" w:sz="8" w:color="auto"/>
            </w:tcBorders>
            <w:shd w:val="clear" w:color="auto" w:fill="D9D9D9"/>
          </w:tcPr>
          <w:p>
            <w:pPr>
              <w:jc w:val="right"/>
              <w:ind w:right="352"/>
              <w:spacing w:after="0" w:line="97" w:lineRule="exact"/>
              <w:rPr>
                <w:sz w:val="20"/>
                <w:szCs w:val="20"/>
                <w:color w:val="auto"/>
              </w:rPr>
            </w:pPr>
            <w:r>
              <w:rPr>
                <w:rFonts w:ascii="Times New Roman" w:cs="Times New Roman" w:eastAsia="Times New Roman" w:hAnsi="Times New Roman"/>
                <w:sz w:val="10"/>
                <w:szCs w:val="10"/>
                <w:b w:val="1"/>
                <w:bCs w:val="1"/>
                <w:color w:val="auto"/>
                <w:w w:val="85"/>
              </w:rPr>
              <w:t>(3)</w:t>
            </w:r>
          </w:p>
        </w:tc>
        <w:tc>
          <w:tcPr>
            <w:tcW w:w="1680" w:type="dxa"/>
            <w:vAlign w:val="bottom"/>
            <w:tcBorders>
              <w:right w:val="single" w:sz="8" w:color="auto"/>
            </w:tcBorders>
            <w:gridSpan w:val="3"/>
            <w:vMerge w:val="continue"/>
            <w:shd w:val="clear" w:color="auto" w:fill="D9D9D9"/>
          </w:tcPr>
          <w:p>
            <w:pPr>
              <w:spacing w:after="0"/>
              <w:rPr>
                <w:sz w:val="8"/>
                <w:szCs w:val="8"/>
                <w:color w:val="auto"/>
              </w:rPr>
            </w:pPr>
          </w:p>
        </w:tc>
        <w:tc>
          <w:tcPr>
            <w:tcW w:w="1040" w:type="dxa"/>
            <w:vAlign w:val="bottom"/>
            <w:vMerge w:val="restart"/>
            <w:shd w:val="clear" w:color="auto" w:fill="D9D9D9"/>
          </w:tcPr>
          <w:p>
            <w:pPr>
              <w:ind w:left="320"/>
              <w:spacing w:after="0"/>
              <w:rPr>
                <w:sz w:val="20"/>
                <w:szCs w:val="20"/>
                <w:color w:val="auto"/>
              </w:rPr>
            </w:pPr>
            <w:r>
              <w:rPr>
                <w:rFonts w:ascii="Times New Roman" w:cs="Times New Roman" w:eastAsia="Times New Roman" w:hAnsi="Times New Roman"/>
                <w:sz w:val="15"/>
                <w:szCs w:val="15"/>
                <w:b w:val="1"/>
                <w:bCs w:val="1"/>
                <w:color w:val="auto"/>
                <w:w w:val="93"/>
              </w:rPr>
              <w:t>Completion</w:t>
            </w:r>
          </w:p>
        </w:tc>
        <w:tc>
          <w:tcPr>
            <w:tcW w:w="580" w:type="dxa"/>
            <w:vAlign w:val="bottom"/>
            <w:tcBorders>
              <w:right w:val="single" w:sz="8" w:color="auto"/>
            </w:tcBorders>
            <w:shd w:val="clear" w:color="auto" w:fill="D9D9D9"/>
          </w:tcPr>
          <w:p>
            <w:pPr>
              <w:jc w:val="right"/>
              <w:ind w:right="312"/>
              <w:spacing w:after="0" w:line="97" w:lineRule="exact"/>
              <w:rPr>
                <w:sz w:val="20"/>
                <w:szCs w:val="20"/>
                <w:color w:val="auto"/>
              </w:rPr>
            </w:pPr>
            <w:r>
              <w:rPr>
                <w:rFonts w:ascii="Times New Roman" w:cs="Times New Roman" w:eastAsia="Times New Roman" w:hAnsi="Times New Roman"/>
                <w:sz w:val="10"/>
                <w:szCs w:val="10"/>
                <w:b w:val="1"/>
                <w:bCs w:val="1"/>
                <w:color w:val="auto"/>
                <w:w w:val="85"/>
              </w:rPr>
              <w:t>(4)(5)</w:t>
            </w:r>
          </w:p>
        </w:tc>
        <w:tc>
          <w:tcPr>
            <w:tcW w:w="166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000" w:type="dxa"/>
            <w:vAlign w:val="bottom"/>
            <w:tcBorders>
              <w:left w:val="single" w:sz="8" w:color="auto"/>
              <w:bottom w:val="single" w:sz="8" w:color="D9D9D9"/>
              <w:right w:val="single" w:sz="8" w:color="auto"/>
            </w:tcBorders>
            <w:shd w:val="clear" w:color="auto" w:fill="D9D9D9"/>
          </w:tcPr>
          <w:p>
            <w:pPr>
              <w:spacing w:after="0"/>
              <w:rPr>
                <w:sz w:val="15"/>
                <w:szCs w:val="15"/>
                <w:color w:val="auto"/>
              </w:rPr>
            </w:pPr>
          </w:p>
        </w:tc>
        <w:tc>
          <w:tcPr>
            <w:tcW w:w="2700" w:type="dxa"/>
            <w:vAlign w:val="bottom"/>
            <w:tcBorders>
              <w:bottom w:val="single" w:sz="8" w:color="D9D9D9"/>
              <w:right w:val="single" w:sz="8" w:color="auto"/>
            </w:tcBorders>
            <w:shd w:val="clear" w:color="auto" w:fill="D9D9D9"/>
          </w:tcPr>
          <w:p>
            <w:pPr>
              <w:spacing w:after="0"/>
              <w:rPr>
                <w:sz w:val="15"/>
                <w:szCs w:val="15"/>
                <w:color w:val="auto"/>
              </w:rPr>
            </w:pPr>
          </w:p>
        </w:tc>
        <w:tc>
          <w:tcPr>
            <w:tcW w:w="1060" w:type="dxa"/>
            <w:vAlign w:val="bottom"/>
            <w:tcBorders>
              <w:bottom w:val="single" w:sz="8" w:color="D9D9D9"/>
            </w:tcBorders>
            <w:vMerge w:val="continue"/>
            <w:shd w:val="clear" w:color="auto" w:fill="D9D9D9"/>
          </w:tcPr>
          <w:p>
            <w:pPr>
              <w:spacing w:after="0"/>
              <w:rPr>
                <w:sz w:val="15"/>
                <w:szCs w:val="15"/>
                <w:color w:val="auto"/>
              </w:rPr>
            </w:pPr>
          </w:p>
        </w:tc>
        <w:tc>
          <w:tcPr>
            <w:tcW w:w="520" w:type="dxa"/>
            <w:vAlign w:val="bottom"/>
            <w:tcBorders>
              <w:bottom w:val="single" w:sz="8" w:color="D9D9D9"/>
              <w:right w:val="single" w:sz="8" w:color="auto"/>
            </w:tcBorders>
            <w:shd w:val="clear" w:color="auto" w:fill="D9D9D9"/>
          </w:tcPr>
          <w:p>
            <w:pPr>
              <w:spacing w:after="0"/>
              <w:rPr>
                <w:sz w:val="15"/>
                <w:szCs w:val="15"/>
                <w:color w:val="auto"/>
              </w:rPr>
            </w:pPr>
          </w:p>
        </w:tc>
        <w:tc>
          <w:tcPr>
            <w:tcW w:w="660" w:type="dxa"/>
            <w:vAlign w:val="bottom"/>
            <w:tcBorders>
              <w:bottom w:val="single" w:sz="8" w:color="D9D9D9"/>
            </w:tcBorders>
            <w:shd w:val="clear" w:color="auto" w:fill="D9D9D9"/>
          </w:tcPr>
          <w:p>
            <w:pPr>
              <w:spacing w:after="0"/>
              <w:rPr>
                <w:sz w:val="20"/>
                <w:szCs w:val="20"/>
                <w:color w:val="auto"/>
              </w:rPr>
            </w:pPr>
            <w:r>
              <w:rPr>
                <w:rFonts w:ascii="Times New Roman" w:cs="Times New Roman" w:eastAsia="Times New Roman" w:hAnsi="Times New Roman"/>
                <w:sz w:val="10"/>
                <w:szCs w:val="10"/>
                <w:b w:val="1"/>
                <w:bCs w:val="1"/>
                <w:color w:val="auto"/>
              </w:rPr>
              <w:t>(3)</w:t>
            </w:r>
          </w:p>
        </w:tc>
        <w:tc>
          <w:tcPr>
            <w:tcW w:w="420" w:type="dxa"/>
            <w:vAlign w:val="bottom"/>
            <w:tcBorders>
              <w:bottom w:val="single" w:sz="8" w:color="D9D9D9"/>
            </w:tcBorders>
            <w:shd w:val="clear" w:color="auto" w:fill="D9D9D9"/>
          </w:tcPr>
          <w:p>
            <w:pPr>
              <w:spacing w:after="0"/>
              <w:rPr>
                <w:sz w:val="15"/>
                <w:szCs w:val="15"/>
                <w:color w:val="auto"/>
              </w:rPr>
            </w:pPr>
          </w:p>
        </w:tc>
        <w:tc>
          <w:tcPr>
            <w:tcW w:w="600" w:type="dxa"/>
            <w:vAlign w:val="bottom"/>
            <w:tcBorders>
              <w:bottom w:val="single" w:sz="8" w:color="D9D9D9"/>
              <w:right w:val="single" w:sz="8" w:color="auto"/>
            </w:tcBorders>
            <w:shd w:val="clear" w:color="auto" w:fill="D9D9D9"/>
          </w:tcPr>
          <w:p>
            <w:pPr>
              <w:spacing w:after="0"/>
              <w:rPr>
                <w:sz w:val="15"/>
                <w:szCs w:val="15"/>
                <w:color w:val="auto"/>
              </w:rPr>
            </w:pPr>
          </w:p>
        </w:tc>
        <w:tc>
          <w:tcPr>
            <w:tcW w:w="1040" w:type="dxa"/>
            <w:vAlign w:val="bottom"/>
            <w:tcBorders>
              <w:bottom w:val="single" w:sz="8" w:color="D9D9D9"/>
            </w:tcBorders>
            <w:vMerge w:val="continue"/>
            <w:shd w:val="clear" w:color="auto" w:fill="D9D9D9"/>
          </w:tcPr>
          <w:p>
            <w:pPr>
              <w:spacing w:after="0"/>
              <w:rPr>
                <w:sz w:val="15"/>
                <w:szCs w:val="15"/>
                <w:color w:val="auto"/>
              </w:rPr>
            </w:pPr>
          </w:p>
        </w:tc>
        <w:tc>
          <w:tcPr>
            <w:tcW w:w="580" w:type="dxa"/>
            <w:vAlign w:val="bottom"/>
            <w:tcBorders>
              <w:bottom w:val="single" w:sz="8" w:color="D9D9D9"/>
              <w:right w:val="single" w:sz="8" w:color="auto"/>
            </w:tcBorders>
            <w:shd w:val="clear" w:color="auto" w:fill="D9D9D9"/>
          </w:tcPr>
          <w:p>
            <w:pPr>
              <w:spacing w:after="0"/>
              <w:rPr>
                <w:sz w:val="15"/>
                <w:szCs w:val="15"/>
                <w:color w:val="auto"/>
              </w:rPr>
            </w:pPr>
          </w:p>
        </w:tc>
        <w:tc>
          <w:tcPr>
            <w:tcW w:w="1660" w:type="dxa"/>
            <w:vAlign w:val="bottom"/>
            <w:tcBorders>
              <w:bottom w:val="single" w:sz="8" w:color="D9D9D9"/>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tcBorders>
              <w:top w:val="single" w:sz="8" w:color="auto"/>
              <w:left w:val="single" w:sz="8" w:color="auto"/>
              <w:right w:val="single" w:sz="8" w:color="auto"/>
            </w:tcBorders>
          </w:tcPr>
          <w:p>
            <w:pPr>
              <w:ind w:left="100"/>
              <w:spacing w:after="0" w:line="175" w:lineRule="exact"/>
              <w:rPr>
                <w:sz w:val="20"/>
                <w:szCs w:val="20"/>
                <w:color w:val="auto"/>
              </w:rPr>
            </w:pPr>
            <w:r>
              <w:rPr>
                <w:rFonts w:ascii="Times New Roman" w:cs="Times New Roman" w:eastAsia="Times New Roman" w:hAnsi="Times New Roman"/>
                <w:sz w:val="15"/>
                <w:szCs w:val="15"/>
                <w:color w:val="auto"/>
              </w:rPr>
              <w:t>Psilocybin Program</w:t>
            </w:r>
            <w:r>
              <w:rPr>
                <w:rFonts w:ascii="Times New Roman" w:cs="Times New Roman" w:eastAsia="Times New Roman" w:hAnsi="Times New Roman"/>
                <w:sz w:val="19"/>
                <w:szCs w:val="19"/>
                <w:color w:val="auto"/>
                <w:vertAlign w:val="superscript"/>
              </w:rPr>
              <w:t>(8)</w:t>
            </w:r>
          </w:p>
        </w:tc>
        <w:tc>
          <w:tcPr>
            <w:tcW w:w="2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Chemically develop and synthesize</w:t>
            </w:r>
          </w:p>
        </w:tc>
        <w:tc>
          <w:tcPr>
            <w:tcW w:w="1060" w:type="dxa"/>
            <w:vAlign w:val="bottom"/>
            <w:tcBorders>
              <w:top w:val="single" w:sz="8" w:color="auto"/>
            </w:tcBorders>
          </w:tcPr>
          <w:p>
            <w:pPr>
              <w:spacing w:after="0"/>
              <w:rPr>
                <w:sz w:val="15"/>
                <w:szCs w:val="15"/>
                <w:color w:val="auto"/>
              </w:rPr>
            </w:pPr>
          </w:p>
        </w:tc>
        <w:tc>
          <w:tcPr>
            <w:tcW w:w="520" w:type="dxa"/>
            <w:vAlign w:val="bottom"/>
            <w:tcBorders>
              <w:top w:val="single" w:sz="8" w:color="auto"/>
              <w:right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600" w:type="dxa"/>
            <w:vAlign w:val="bottom"/>
            <w:tcBorders>
              <w:top w:val="single" w:sz="8" w:color="auto"/>
              <w:right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spacing w:after="0"/>
              <w:rPr>
                <w:sz w:val="15"/>
                <w:szCs w:val="15"/>
                <w:color w:val="auto"/>
              </w:rPr>
            </w:pPr>
          </w:p>
        </w:tc>
        <w:tc>
          <w:tcPr>
            <w:tcW w:w="16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00" w:type="dxa"/>
            <w:vAlign w:val="bottom"/>
            <w:tcBorders>
              <w:left w:val="single" w:sz="8" w:color="auto"/>
              <w:right w:val="single" w:sz="8" w:color="auto"/>
            </w:tcBorders>
          </w:tcPr>
          <w:p>
            <w:pPr>
              <w:spacing w:after="0"/>
              <w:rPr>
                <w:sz w:val="23"/>
                <w:szCs w:val="23"/>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psychedelic APIs</w:t>
            </w:r>
            <w:r>
              <w:rPr>
                <w:rFonts w:ascii="Times New Roman" w:cs="Times New Roman" w:eastAsia="Times New Roman" w:hAnsi="Times New Roman"/>
                <w:sz w:val="19"/>
                <w:szCs w:val="19"/>
                <w:color w:val="auto"/>
                <w:vertAlign w:val="superscript"/>
              </w:rPr>
              <w:t>(6)</w:t>
            </w:r>
          </w:p>
        </w:tc>
        <w:tc>
          <w:tcPr>
            <w:tcW w:w="1060" w:type="dxa"/>
            <w:vAlign w:val="bottom"/>
          </w:tcPr>
          <w:p>
            <w:pPr>
              <w:jc w:val="center"/>
              <w:ind w:left="427"/>
              <w:spacing w:after="0"/>
              <w:rPr>
                <w:sz w:val="20"/>
                <w:szCs w:val="20"/>
                <w:color w:val="auto"/>
              </w:rPr>
            </w:pPr>
            <w:r>
              <w:rPr>
                <w:rFonts w:ascii="Times New Roman" w:cs="Times New Roman" w:eastAsia="Times New Roman" w:hAnsi="Times New Roman"/>
                <w:sz w:val="15"/>
                <w:szCs w:val="15"/>
                <w:color w:val="auto"/>
                <w:w w:val="93"/>
              </w:rPr>
              <w:t>$772</w:t>
            </w:r>
          </w:p>
        </w:tc>
        <w:tc>
          <w:tcPr>
            <w:tcW w:w="52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Nil</w:t>
            </w:r>
          </w:p>
        </w:tc>
        <w:tc>
          <w:tcPr>
            <w:tcW w:w="600" w:type="dxa"/>
            <w:vAlign w:val="bottom"/>
            <w:tcBorders>
              <w:right w:val="single" w:sz="8" w:color="auto"/>
            </w:tcBorders>
          </w:tcPr>
          <w:p>
            <w:pPr>
              <w:spacing w:after="0"/>
              <w:rPr>
                <w:sz w:val="23"/>
                <w:szCs w:val="23"/>
                <w:color w:val="auto"/>
              </w:rPr>
            </w:pPr>
          </w:p>
        </w:tc>
        <w:tc>
          <w:tcPr>
            <w:tcW w:w="1040" w:type="dxa"/>
            <w:vAlign w:val="bottom"/>
          </w:tcPr>
          <w:p>
            <w:pPr>
              <w:jc w:val="center"/>
              <w:ind w:left="468"/>
              <w:spacing w:after="0"/>
              <w:rPr>
                <w:sz w:val="20"/>
                <w:szCs w:val="20"/>
                <w:color w:val="auto"/>
              </w:rPr>
            </w:pPr>
            <w:r>
              <w:rPr>
                <w:rFonts w:ascii="Times New Roman" w:cs="Times New Roman" w:eastAsia="Times New Roman" w:hAnsi="Times New Roman"/>
                <w:sz w:val="15"/>
                <w:szCs w:val="15"/>
                <w:color w:val="auto"/>
                <w:w w:val="95"/>
              </w:rPr>
              <w:t>Q1 2021</w:t>
            </w:r>
          </w:p>
        </w:tc>
        <w:tc>
          <w:tcPr>
            <w:tcW w:w="580" w:type="dxa"/>
            <w:vAlign w:val="bottom"/>
            <w:tcBorders>
              <w:right w:val="single" w:sz="8" w:color="auto"/>
            </w:tcBorders>
          </w:tcPr>
          <w:p>
            <w:pPr>
              <w:spacing w:after="0"/>
              <w:rPr>
                <w:sz w:val="23"/>
                <w:szCs w:val="23"/>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Completed</w:t>
            </w:r>
            <w:r>
              <w:rPr>
                <w:rFonts w:ascii="Times New Roman" w:cs="Times New Roman" w:eastAsia="Times New Roman" w:hAnsi="Times New Roman"/>
                <w:sz w:val="19"/>
                <w:szCs w:val="19"/>
                <w:color w:val="auto"/>
                <w:w w:val="91"/>
                <w:vertAlign w:val="superscript"/>
              </w:rPr>
              <w:t>(7)</w:t>
            </w: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right w:val="single" w:sz="8" w:color="auto"/>
            </w:tcBorders>
          </w:tcPr>
          <w:p>
            <w:pPr>
              <w:spacing w:after="0"/>
              <w:rPr>
                <w:sz w:val="13"/>
                <w:szCs w:val="13"/>
                <w:color w:val="auto"/>
              </w:rPr>
            </w:pPr>
          </w:p>
        </w:tc>
        <w:tc>
          <w:tcPr>
            <w:tcW w:w="270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00" w:type="dxa"/>
            <w:vAlign w:val="bottom"/>
            <w:tcBorders>
              <w:left w:val="single" w:sz="8" w:color="auto"/>
              <w:right w:val="single" w:sz="8" w:color="auto"/>
            </w:tcBorders>
          </w:tcPr>
          <w:p>
            <w:pPr>
              <w:spacing w:after="0"/>
              <w:rPr>
                <w:sz w:val="15"/>
                <w:szCs w:val="15"/>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Development  of  psilocybin  Sublingual</w:t>
            </w:r>
          </w:p>
        </w:tc>
        <w:tc>
          <w:tcPr>
            <w:tcW w:w="10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00" w:type="dxa"/>
            <w:vAlign w:val="bottom"/>
            <w:tcBorders>
              <w:left w:val="single" w:sz="8" w:color="auto"/>
              <w:right w:val="single" w:sz="8" w:color="auto"/>
            </w:tcBorders>
          </w:tcPr>
          <w:p>
            <w:pPr>
              <w:spacing w:after="0"/>
              <w:rPr>
                <w:sz w:val="23"/>
                <w:szCs w:val="23"/>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Film</w:t>
            </w:r>
            <w:r>
              <w:rPr>
                <w:rFonts w:ascii="Times New Roman" w:cs="Times New Roman" w:eastAsia="Times New Roman" w:hAnsi="Times New Roman"/>
                <w:sz w:val="19"/>
                <w:szCs w:val="19"/>
                <w:color w:val="auto"/>
                <w:vertAlign w:val="superscript"/>
              </w:rPr>
              <w:t>(9)</w:t>
            </w:r>
          </w:p>
        </w:tc>
        <w:tc>
          <w:tcPr>
            <w:tcW w:w="1060" w:type="dxa"/>
            <w:vAlign w:val="bottom"/>
          </w:tcPr>
          <w:p>
            <w:pPr>
              <w:jc w:val="center"/>
              <w:ind w:left="427"/>
              <w:spacing w:after="0"/>
              <w:rPr>
                <w:sz w:val="20"/>
                <w:szCs w:val="20"/>
                <w:color w:val="auto"/>
              </w:rPr>
            </w:pPr>
            <w:r>
              <w:rPr>
                <w:rFonts w:ascii="Times New Roman" w:cs="Times New Roman" w:eastAsia="Times New Roman" w:hAnsi="Times New Roman"/>
                <w:sz w:val="15"/>
                <w:szCs w:val="15"/>
                <w:color w:val="auto"/>
                <w:w w:val="96"/>
              </w:rPr>
              <w:t>$1,000</w:t>
            </w:r>
          </w:p>
        </w:tc>
        <w:tc>
          <w:tcPr>
            <w:tcW w:w="52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jc w:val="center"/>
              <w:ind w:right="7"/>
              <w:spacing w:after="0"/>
              <w:rPr>
                <w:sz w:val="20"/>
                <w:szCs w:val="20"/>
                <w:color w:val="auto"/>
              </w:rPr>
            </w:pPr>
            <w:r>
              <w:rPr>
                <w:rFonts w:ascii="Times New Roman" w:cs="Times New Roman" w:eastAsia="Times New Roman" w:hAnsi="Times New Roman"/>
                <w:sz w:val="15"/>
                <w:szCs w:val="15"/>
                <w:color w:val="auto"/>
                <w:w w:val="97"/>
              </w:rPr>
              <w:t>$97</w:t>
            </w:r>
          </w:p>
        </w:tc>
        <w:tc>
          <w:tcPr>
            <w:tcW w:w="600" w:type="dxa"/>
            <w:vAlign w:val="bottom"/>
            <w:tcBorders>
              <w:right w:val="single" w:sz="8" w:color="auto"/>
            </w:tcBorders>
          </w:tcPr>
          <w:p>
            <w:pPr>
              <w:spacing w:after="0"/>
              <w:rPr>
                <w:sz w:val="23"/>
                <w:szCs w:val="23"/>
                <w:color w:val="auto"/>
              </w:rPr>
            </w:pPr>
          </w:p>
        </w:tc>
        <w:tc>
          <w:tcPr>
            <w:tcW w:w="1040" w:type="dxa"/>
            <w:vAlign w:val="bottom"/>
          </w:tcPr>
          <w:p>
            <w:pPr>
              <w:jc w:val="center"/>
              <w:ind w:left="468"/>
              <w:spacing w:after="0"/>
              <w:rPr>
                <w:sz w:val="20"/>
                <w:szCs w:val="20"/>
                <w:color w:val="auto"/>
              </w:rPr>
            </w:pPr>
            <w:r>
              <w:rPr>
                <w:rFonts w:ascii="Times New Roman" w:cs="Times New Roman" w:eastAsia="Times New Roman" w:hAnsi="Times New Roman"/>
                <w:sz w:val="15"/>
                <w:szCs w:val="15"/>
                <w:color w:val="auto"/>
              </w:rPr>
              <w:t>N/A</w:t>
            </w:r>
          </w:p>
        </w:tc>
        <w:tc>
          <w:tcPr>
            <w:tcW w:w="580" w:type="dxa"/>
            <w:vAlign w:val="bottom"/>
            <w:tcBorders>
              <w:right w:val="single" w:sz="8" w:color="auto"/>
            </w:tcBorders>
          </w:tcPr>
          <w:p>
            <w:pPr>
              <w:spacing w:after="0"/>
              <w:rPr>
                <w:sz w:val="23"/>
                <w:szCs w:val="23"/>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Merged</w:t>
            </w:r>
            <w:r>
              <w:rPr>
                <w:rFonts w:ascii="Times New Roman" w:cs="Times New Roman" w:eastAsia="Times New Roman" w:hAnsi="Times New Roman"/>
                <w:sz w:val="19"/>
                <w:szCs w:val="19"/>
                <w:color w:val="auto"/>
                <w:w w:val="94"/>
                <w:vertAlign w:val="superscript"/>
              </w:rPr>
              <w:t>(8)</w:t>
            </w: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right w:val="single" w:sz="8" w:color="auto"/>
            </w:tcBorders>
          </w:tcPr>
          <w:p>
            <w:pPr>
              <w:spacing w:after="0"/>
              <w:rPr>
                <w:sz w:val="13"/>
                <w:szCs w:val="13"/>
                <w:color w:val="auto"/>
              </w:rPr>
            </w:pPr>
          </w:p>
        </w:tc>
        <w:tc>
          <w:tcPr>
            <w:tcW w:w="270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0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w w:val="96"/>
              </w:rPr>
              <w:t>Phase IIa MDD study completed with data</w:t>
            </w:r>
            <w:r>
              <w:rPr>
                <w:rFonts w:ascii="Times New Roman" w:cs="Times New Roman" w:eastAsia="Times New Roman" w:hAnsi="Times New Roman"/>
                <w:sz w:val="19"/>
                <w:szCs w:val="19"/>
                <w:color w:val="auto"/>
                <w:w w:val="96"/>
                <w:vertAlign w:val="superscript"/>
              </w:rPr>
              <w:t>(10)</w:t>
            </w:r>
          </w:p>
        </w:tc>
        <w:tc>
          <w:tcPr>
            <w:tcW w:w="1060" w:type="dxa"/>
            <w:vAlign w:val="bottom"/>
            <w:vMerge w:val="restart"/>
          </w:tcPr>
          <w:p>
            <w:pPr>
              <w:jc w:val="center"/>
              <w:ind w:left="427"/>
              <w:spacing w:after="0"/>
              <w:rPr>
                <w:sz w:val="20"/>
                <w:szCs w:val="20"/>
                <w:color w:val="auto"/>
              </w:rPr>
            </w:pPr>
            <w:r>
              <w:rPr>
                <w:rFonts w:ascii="Times New Roman" w:cs="Times New Roman" w:eastAsia="Times New Roman" w:hAnsi="Times New Roman"/>
                <w:sz w:val="15"/>
                <w:szCs w:val="15"/>
                <w:color w:val="auto"/>
                <w:w w:val="96"/>
              </w:rPr>
              <w:t>$1,810</w:t>
            </w:r>
          </w:p>
        </w:tc>
        <w:tc>
          <w:tcPr>
            <w:tcW w:w="52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3"/>
              </w:rPr>
              <w:t>$339</w:t>
            </w:r>
          </w:p>
        </w:tc>
        <w:tc>
          <w:tcPr>
            <w:tcW w:w="600" w:type="dxa"/>
            <w:vAlign w:val="bottom"/>
            <w:tcBorders>
              <w:right w:val="single" w:sz="8" w:color="auto"/>
            </w:tcBorders>
          </w:tcPr>
          <w:p>
            <w:pPr>
              <w:spacing w:after="0"/>
              <w:rPr>
                <w:sz w:val="20"/>
                <w:szCs w:val="20"/>
                <w:color w:val="auto"/>
              </w:rPr>
            </w:pPr>
          </w:p>
        </w:tc>
        <w:tc>
          <w:tcPr>
            <w:tcW w:w="1040" w:type="dxa"/>
            <w:vAlign w:val="bottom"/>
            <w:vMerge w:val="restart"/>
          </w:tcPr>
          <w:p>
            <w:pPr>
              <w:jc w:val="center"/>
              <w:ind w:left="468"/>
              <w:spacing w:after="0"/>
              <w:rPr>
                <w:sz w:val="20"/>
                <w:szCs w:val="20"/>
                <w:color w:val="auto"/>
              </w:rPr>
            </w:pPr>
            <w:r>
              <w:rPr>
                <w:rFonts w:ascii="Times New Roman" w:cs="Times New Roman" w:eastAsia="Times New Roman" w:hAnsi="Times New Roman"/>
                <w:sz w:val="15"/>
                <w:szCs w:val="15"/>
                <w:color w:val="auto"/>
              </w:rPr>
              <w:t>N/A</w:t>
            </w:r>
          </w:p>
        </w:tc>
        <w:tc>
          <w:tcPr>
            <w:tcW w:w="5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Merged</w:t>
            </w:r>
            <w:r>
              <w:rPr>
                <w:rFonts w:ascii="Times New Roman" w:cs="Times New Roman" w:eastAsia="Times New Roman" w:hAnsi="Times New Roman"/>
                <w:sz w:val="19"/>
                <w:szCs w:val="19"/>
                <w:color w:val="auto"/>
                <w:w w:val="94"/>
                <w:vertAlign w:val="superscript"/>
              </w:rPr>
              <w:t>(8)</w:t>
            </w:r>
          </w:p>
        </w:tc>
        <w:tc>
          <w:tcPr>
            <w:tcW w:w="0" w:type="dxa"/>
            <w:vAlign w:val="bottom"/>
          </w:tcPr>
          <w:p>
            <w:pPr>
              <w:spacing w:after="0"/>
              <w:rPr>
                <w:sz w:val="1"/>
                <w:szCs w:val="1"/>
                <w:color w:val="auto"/>
              </w:rPr>
            </w:pPr>
          </w:p>
        </w:tc>
      </w:tr>
      <w:tr>
        <w:trPr>
          <w:trHeight w:val="106"/>
        </w:trPr>
        <w:tc>
          <w:tcPr>
            <w:tcW w:w="200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1060" w:type="dxa"/>
            <w:vAlign w:val="bottom"/>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1040" w:type="dxa"/>
            <w:vAlign w:val="bottom"/>
            <w:vMerge w:val="continue"/>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00" w:type="dxa"/>
            <w:vAlign w:val="bottom"/>
            <w:tcBorders>
              <w:left w:val="single" w:sz="8" w:color="auto"/>
              <w:right w:val="single" w:sz="8" w:color="auto"/>
            </w:tcBorders>
          </w:tcPr>
          <w:p>
            <w:pPr>
              <w:spacing w:after="0"/>
              <w:rPr>
                <w:sz w:val="5"/>
                <w:szCs w:val="5"/>
                <w:color w:val="auto"/>
              </w:rPr>
            </w:pPr>
          </w:p>
        </w:tc>
        <w:tc>
          <w:tcPr>
            <w:tcW w:w="27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0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w w:val="95"/>
              </w:rPr>
              <w:t>Phase IIb MDD study completed with data</w:t>
            </w:r>
            <w:r>
              <w:rPr>
                <w:rFonts w:ascii="Times New Roman" w:cs="Times New Roman" w:eastAsia="Times New Roman" w:hAnsi="Times New Roman"/>
                <w:sz w:val="19"/>
                <w:szCs w:val="19"/>
                <w:color w:val="auto"/>
                <w:w w:val="95"/>
                <w:vertAlign w:val="superscript"/>
              </w:rPr>
              <w:t>(10)</w:t>
            </w:r>
          </w:p>
        </w:tc>
        <w:tc>
          <w:tcPr>
            <w:tcW w:w="1060" w:type="dxa"/>
            <w:vAlign w:val="bottom"/>
            <w:vMerge w:val="restart"/>
          </w:tcPr>
          <w:p>
            <w:pPr>
              <w:jc w:val="center"/>
              <w:ind w:left="427"/>
              <w:spacing w:after="0"/>
              <w:rPr>
                <w:sz w:val="20"/>
                <w:szCs w:val="20"/>
                <w:color w:val="auto"/>
              </w:rPr>
            </w:pPr>
            <w:r>
              <w:rPr>
                <w:rFonts w:ascii="Times New Roman" w:cs="Times New Roman" w:eastAsia="Times New Roman" w:hAnsi="Times New Roman"/>
                <w:sz w:val="15"/>
                <w:szCs w:val="15"/>
                <w:color w:val="auto"/>
              </w:rPr>
              <w:t>$0</w:t>
            </w:r>
          </w:p>
        </w:tc>
        <w:tc>
          <w:tcPr>
            <w:tcW w:w="52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Nil</w:t>
            </w:r>
          </w:p>
        </w:tc>
        <w:tc>
          <w:tcPr>
            <w:tcW w:w="600" w:type="dxa"/>
            <w:vAlign w:val="bottom"/>
            <w:tcBorders>
              <w:right w:val="single" w:sz="8" w:color="auto"/>
            </w:tcBorders>
          </w:tcPr>
          <w:p>
            <w:pPr>
              <w:spacing w:after="0"/>
              <w:rPr>
                <w:sz w:val="20"/>
                <w:szCs w:val="20"/>
                <w:color w:val="auto"/>
              </w:rPr>
            </w:pPr>
          </w:p>
        </w:tc>
        <w:tc>
          <w:tcPr>
            <w:tcW w:w="1040" w:type="dxa"/>
            <w:vAlign w:val="bottom"/>
            <w:vMerge w:val="restart"/>
          </w:tcPr>
          <w:p>
            <w:pPr>
              <w:jc w:val="center"/>
              <w:ind w:left="468"/>
              <w:spacing w:after="0"/>
              <w:rPr>
                <w:sz w:val="20"/>
                <w:szCs w:val="20"/>
                <w:color w:val="auto"/>
              </w:rPr>
            </w:pPr>
            <w:r>
              <w:rPr>
                <w:rFonts w:ascii="Times New Roman" w:cs="Times New Roman" w:eastAsia="Times New Roman" w:hAnsi="Times New Roman"/>
                <w:sz w:val="15"/>
                <w:szCs w:val="15"/>
                <w:color w:val="auto"/>
              </w:rPr>
              <w:t>N/A</w:t>
            </w:r>
          </w:p>
        </w:tc>
        <w:tc>
          <w:tcPr>
            <w:tcW w:w="5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Merged</w:t>
            </w:r>
            <w:r>
              <w:rPr>
                <w:rFonts w:ascii="Times New Roman" w:cs="Times New Roman" w:eastAsia="Times New Roman" w:hAnsi="Times New Roman"/>
                <w:sz w:val="19"/>
                <w:szCs w:val="19"/>
                <w:color w:val="auto"/>
                <w:w w:val="94"/>
                <w:vertAlign w:val="superscript"/>
              </w:rPr>
              <w:t>(8)</w:t>
            </w:r>
          </w:p>
        </w:tc>
        <w:tc>
          <w:tcPr>
            <w:tcW w:w="0" w:type="dxa"/>
            <w:vAlign w:val="bottom"/>
          </w:tcPr>
          <w:p>
            <w:pPr>
              <w:spacing w:after="0"/>
              <w:rPr>
                <w:sz w:val="1"/>
                <w:szCs w:val="1"/>
                <w:color w:val="auto"/>
              </w:rPr>
            </w:pPr>
          </w:p>
        </w:tc>
      </w:tr>
      <w:tr>
        <w:trPr>
          <w:trHeight w:val="106"/>
        </w:trPr>
        <w:tc>
          <w:tcPr>
            <w:tcW w:w="200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1060" w:type="dxa"/>
            <w:vAlign w:val="bottom"/>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1040" w:type="dxa"/>
            <w:vAlign w:val="bottom"/>
            <w:vMerge w:val="continue"/>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00" w:type="dxa"/>
            <w:vAlign w:val="bottom"/>
            <w:tcBorders>
              <w:left w:val="single" w:sz="8" w:color="auto"/>
              <w:right w:val="single" w:sz="8" w:color="auto"/>
            </w:tcBorders>
          </w:tcPr>
          <w:p>
            <w:pPr>
              <w:spacing w:after="0"/>
              <w:rPr>
                <w:sz w:val="5"/>
                <w:szCs w:val="5"/>
                <w:color w:val="auto"/>
              </w:rPr>
            </w:pPr>
          </w:p>
        </w:tc>
        <w:tc>
          <w:tcPr>
            <w:tcW w:w="27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00" w:type="dxa"/>
            <w:vAlign w:val="bottom"/>
            <w:tcBorders>
              <w:left w:val="single" w:sz="8" w:color="auto"/>
              <w:right w:val="single" w:sz="8" w:color="auto"/>
            </w:tcBorders>
          </w:tcPr>
          <w:p>
            <w:pPr>
              <w:spacing w:after="0"/>
              <w:rPr>
                <w:sz w:val="15"/>
                <w:szCs w:val="15"/>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w w:val="98"/>
              </w:rPr>
              <w:t>Support of additional phase IIb study sites in</w:t>
            </w:r>
          </w:p>
        </w:tc>
        <w:tc>
          <w:tcPr>
            <w:tcW w:w="10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00" w:type="dxa"/>
            <w:vAlign w:val="bottom"/>
            <w:tcBorders>
              <w:left w:val="single" w:sz="8" w:color="auto"/>
              <w:right w:val="single" w:sz="8" w:color="auto"/>
            </w:tcBorders>
          </w:tcPr>
          <w:p>
            <w:pPr>
              <w:spacing w:after="0"/>
              <w:rPr>
                <w:sz w:val="23"/>
                <w:szCs w:val="23"/>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Canada and the United States</w:t>
            </w:r>
            <w:r>
              <w:rPr>
                <w:rFonts w:ascii="Times New Roman" w:cs="Times New Roman" w:eastAsia="Times New Roman" w:hAnsi="Times New Roman"/>
                <w:sz w:val="19"/>
                <w:szCs w:val="19"/>
                <w:color w:val="auto"/>
                <w:vertAlign w:val="superscript"/>
              </w:rPr>
              <w:t>(10)</w:t>
            </w:r>
          </w:p>
        </w:tc>
        <w:tc>
          <w:tcPr>
            <w:tcW w:w="1060" w:type="dxa"/>
            <w:vAlign w:val="bottom"/>
          </w:tcPr>
          <w:p>
            <w:pPr>
              <w:jc w:val="center"/>
              <w:ind w:left="427"/>
              <w:spacing w:after="0"/>
              <w:rPr>
                <w:sz w:val="20"/>
                <w:szCs w:val="20"/>
                <w:color w:val="auto"/>
              </w:rPr>
            </w:pPr>
            <w:r>
              <w:rPr>
                <w:rFonts w:ascii="Times New Roman" w:cs="Times New Roman" w:eastAsia="Times New Roman" w:hAnsi="Times New Roman"/>
                <w:sz w:val="15"/>
                <w:szCs w:val="15"/>
                <w:color w:val="auto"/>
              </w:rPr>
              <w:t>$0</w:t>
            </w:r>
          </w:p>
        </w:tc>
        <w:tc>
          <w:tcPr>
            <w:tcW w:w="52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jc w:val="center"/>
              <w:ind w:right="27"/>
              <w:spacing w:after="0"/>
              <w:rPr>
                <w:sz w:val="20"/>
                <w:szCs w:val="20"/>
                <w:color w:val="auto"/>
              </w:rPr>
            </w:pPr>
            <w:r>
              <w:rPr>
                <w:rFonts w:ascii="Times New Roman" w:cs="Times New Roman" w:eastAsia="Times New Roman" w:hAnsi="Times New Roman"/>
                <w:sz w:val="15"/>
                <w:szCs w:val="15"/>
                <w:color w:val="auto"/>
                <w:w w:val="93"/>
              </w:rPr>
              <w:t>$379</w:t>
            </w:r>
          </w:p>
        </w:tc>
        <w:tc>
          <w:tcPr>
            <w:tcW w:w="600" w:type="dxa"/>
            <w:vAlign w:val="bottom"/>
            <w:tcBorders>
              <w:right w:val="single" w:sz="8" w:color="auto"/>
            </w:tcBorders>
          </w:tcPr>
          <w:p>
            <w:pPr>
              <w:spacing w:after="0"/>
              <w:rPr>
                <w:sz w:val="23"/>
                <w:szCs w:val="23"/>
                <w:color w:val="auto"/>
              </w:rPr>
            </w:pPr>
          </w:p>
        </w:tc>
        <w:tc>
          <w:tcPr>
            <w:tcW w:w="1040" w:type="dxa"/>
            <w:vAlign w:val="bottom"/>
          </w:tcPr>
          <w:p>
            <w:pPr>
              <w:jc w:val="center"/>
              <w:ind w:left="468"/>
              <w:spacing w:after="0"/>
              <w:rPr>
                <w:sz w:val="20"/>
                <w:szCs w:val="20"/>
                <w:color w:val="auto"/>
              </w:rPr>
            </w:pPr>
            <w:r>
              <w:rPr>
                <w:rFonts w:ascii="Times New Roman" w:cs="Times New Roman" w:eastAsia="Times New Roman" w:hAnsi="Times New Roman"/>
                <w:sz w:val="15"/>
                <w:szCs w:val="15"/>
                <w:color w:val="auto"/>
              </w:rPr>
              <w:t>N/A</w:t>
            </w:r>
          </w:p>
        </w:tc>
        <w:tc>
          <w:tcPr>
            <w:tcW w:w="580" w:type="dxa"/>
            <w:vAlign w:val="bottom"/>
            <w:tcBorders>
              <w:right w:val="single" w:sz="8" w:color="auto"/>
            </w:tcBorders>
          </w:tcPr>
          <w:p>
            <w:pPr>
              <w:spacing w:after="0"/>
              <w:rPr>
                <w:sz w:val="23"/>
                <w:szCs w:val="23"/>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Merged</w:t>
            </w:r>
            <w:r>
              <w:rPr>
                <w:rFonts w:ascii="Times New Roman" w:cs="Times New Roman" w:eastAsia="Times New Roman" w:hAnsi="Times New Roman"/>
                <w:sz w:val="19"/>
                <w:szCs w:val="19"/>
                <w:color w:val="auto"/>
                <w:w w:val="94"/>
                <w:vertAlign w:val="superscript"/>
              </w:rPr>
              <w:t>(8)</w:t>
            </w:r>
          </w:p>
        </w:tc>
        <w:tc>
          <w:tcPr>
            <w:tcW w:w="0" w:type="dxa"/>
            <w:vAlign w:val="bottom"/>
          </w:tcPr>
          <w:p>
            <w:pPr>
              <w:spacing w:after="0"/>
              <w:rPr>
                <w:sz w:val="1"/>
                <w:szCs w:val="1"/>
                <w:color w:val="auto"/>
              </w:rPr>
            </w:pPr>
          </w:p>
        </w:tc>
      </w:tr>
      <w:tr>
        <w:trPr>
          <w:trHeight w:val="150"/>
        </w:trPr>
        <w:tc>
          <w:tcPr>
            <w:tcW w:w="2000" w:type="dxa"/>
            <w:vAlign w:val="bottom"/>
            <w:tcBorders>
              <w:left w:val="single" w:sz="8" w:color="auto"/>
              <w:right w:val="single" w:sz="8" w:color="auto"/>
            </w:tcBorders>
          </w:tcPr>
          <w:p>
            <w:pPr>
              <w:spacing w:after="0"/>
              <w:rPr>
                <w:sz w:val="13"/>
                <w:szCs w:val="13"/>
                <w:color w:val="auto"/>
              </w:rPr>
            </w:pPr>
          </w:p>
        </w:tc>
        <w:tc>
          <w:tcPr>
            <w:tcW w:w="270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00" w:type="dxa"/>
            <w:vAlign w:val="bottom"/>
            <w:tcBorders>
              <w:left w:val="single" w:sz="8" w:color="auto"/>
              <w:right w:val="single" w:sz="8" w:color="auto"/>
            </w:tcBorders>
          </w:tcPr>
          <w:p>
            <w:pPr>
              <w:spacing w:after="0"/>
              <w:rPr>
                <w:sz w:val="15"/>
                <w:szCs w:val="15"/>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Commence microdose study with the</w:t>
            </w:r>
          </w:p>
        </w:tc>
        <w:tc>
          <w:tcPr>
            <w:tcW w:w="10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00" w:type="dxa"/>
            <w:vAlign w:val="bottom"/>
            <w:tcBorders>
              <w:left w:val="single" w:sz="8" w:color="auto"/>
              <w:right w:val="single" w:sz="8" w:color="auto"/>
            </w:tcBorders>
          </w:tcPr>
          <w:p>
            <w:pPr>
              <w:spacing w:after="0"/>
              <w:rPr>
                <w:sz w:val="22"/>
                <w:szCs w:val="22"/>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Canadian Centre of Psychedelic Science</w:t>
            </w:r>
            <w:r>
              <w:rPr>
                <w:rFonts w:ascii="Times New Roman" w:cs="Times New Roman" w:eastAsia="Times New Roman" w:hAnsi="Times New Roman"/>
                <w:sz w:val="19"/>
                <w:szCs w:val="19"/>
                <w:color w:val="auto"/>
                <w:vertAlign w:val="superscript"/>
              </w:rPr>
              <w:t>(11)</w:t>
            </w:r>
          </w:p>
        </w:tc>
        <w:tc>
          <w:tcPr>
            <w:tcW w:w="1060" w:type="dxa"/>
            <w:vAlign w:val="bottom"/>
          </w:tcPr>
          <w:p>
            <w:pPr>
              <w:jc w:val="center"/>
              <w:ind w:left="427"/>
              <w:spacing w:after="0"/>
              <w:rPr>
                <w:sz w:val="20"/>
                <w:szCs w:val="20"/>
                <w:color w:val="auto"/>
              </w:rPr>
            </w:pPr>
            <w:r>
              <w:rPr>
                <w:rFonts w:ascii="Times New Roman" w:cs="Times New Roman" w:eastAsia="Times New Roman" w:hAnsi="Times New Roman"/>
                <w:sz w:val="15"/>
                <w:szCs w:val="15"/>
                <w:color w:val="auto"/>
              </w:rPr>
              <w:t>Nil</w:t>
            </w:r>
          </w:p>
        </w:tc>
        <w:tc>
          <w:tcPr>
            <w:tcW w:w="520" w:type="dxa"/>
            <w:vAlign w:val="bottom"/>
            <w:tcBorders>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Nil</w:t>
            </w:r>
          </w:p>
        </w:tc>
        <w:tc>
          <w:tcPr>
            <w:tcW w:w="600" w:type="dxa"/>
            <w:vAlign w:val="bottom"/>
            <w:tcBorders>
              <w:right w:val="single" w:sz="8" w:color="auto"/>
            </w:tcBorders>
          </w:tcPr>
          <w:p>
            <w:pPr>
              <w:spacing w:after="0"/>
              <w:rPr>
                <w:sz w:val="22"/>
                <w:szCs w:val="22"/>
                <w:color w:val="auto"/>
              </w:rPr>
            </w:pPr>
          </w:p>
        </w:tc>
        <w:tc>
          <w:tcPr>
            <w:tcW w:w="1040" w:type="dxa"/>
            <w:vAlign w:val="bottom"/>
          </w:tcPr>
          <w:p>
            <w:pPr>
              <w:jc w:val="center"/>
              <w:ind w:left="468"/>
              <w:spacing w:after="0"/>
              <w:rPr>
                <w:sz w:val="20"/>
                <w:szCs w:val="20"/>
                <w:color w:val="auto"/>
              </w:rPr>
            </w:pPr>
            <w:r>
              <w:rPr>
                <w:rFonts w:ascii="Times New Roman" w:cs="Times New Roman" w:eastAsia="Times New Roman" w:hAnsi="Times New Roman"/>
                <w:sz w:val="15"/>
                <w:szCs w:val="15"/>
                <w:color w:val="auto"/>
              </w:rPr>
              <w:t>N/A</w:t>
            </w:r>
          </w:p>
        </w:tc>
        <w:tc>
          <w:tcPr>
            <w:tcW w:w="58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Cancelled</w:t>
            </w:r>
          </w:p>
        </w:tc>
        <w:tc>
          <w:tcPr>
            <w:tcW w:w="0" w:type="dxa"/>
            <w:vAlign w:val="bottom"/>
          </w:tcPr>
          <w:p>
            <w:pPr>
              <w:spacing w:after="0"/>
              <w:rPr>
                <w:sz w:val="1"/>
                <w:szCs w:val="1"/>
                <w:color w:val="auto"/>
              </w:rPr>
            </w:pPr>
          </w:p>
        </w:tc>
      </w:tr>
      <w:tr>
        <w:trPr>
          <w:trHeight w:val="162"/>
        </w:trPr>
        <w:tc>
          <w:tcPr>
            <w:tcW w:w="2000" w:type="dxa"/>
            <w:vAlign w:val="bottom"/>
            <w:tcBorders>
              <w:left w:val="single" w:sz="8" w:color="auto"/>
              <w:bottom w:val="single" w:sz="8" w:color="auto"/>
              <w:right w:val="single" w:sz="8" w:color="auto"/>
            </w:tcBorders>
          </w:tcPr>
          <w:p>
            <w:pPr>
              <w:spacing w:after="0"/>
              <w:rPr>
                <w:sz w:val="14"/>
                <w:szCs w:val="14"/>
                <w:color w:val="auto"/>
              </w:rPr>
            </w:pPr>
          </w:p>
        </w:tc>
        <w:tc>
          <w:tcPr>
            <w:tcW w:w="270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Deuterated Psilocybin Analog</w:t>
            </w: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Completion of IND enabling pre-clinical</w:t>
            </w:r>
          </w:p>
        </w:tc>
        <w:tc>
          <w:tcPr>
            <w:tcW w:w="1060" w:type="dxa"/>
            <w:vAlign w:val="bottom"/>
            <w:vMerge w:val="restart"/>
          </w:tcPr>
          <w:p>
            <w:pPr>
              <w:jc w:val="center"/>
              <w:ind w:left="427"/>
              <w:spacing w:after="0"/>
              <w:rPr>
                <w:sz w:val="20"/>
                <w:szCs w:val="20"/>
                <w:color w:val="auto"/>
              </w:rPr>
            </w:pPr>
            <w:r>
              <w:rPr>
                <w:rFonts w:ascii="Times New Roman" w:cs="Times New Roman" w:eastAsia="Times New Roman" w:hAnsi="Times New Roman"/>
                <w:sz w:val="15"/>
                <w:szCs w:val="15"/>
                <w:color w:val="auto"/>
              </w:rPr>
              <w:t>Nil</w:t>
            </w:r>
          </w:p>
        </w:tc>
        <w:tc>
          <w:tcPr>
            <w:tcW w:w="520" w:type="dxa"/>
            <w:vAlign w:val="bottom"/>
            <w:tcBorders>
              <w:right w:val="single" w:sz="8" w:color="auto"/>
            </w:tcBorders>
          </w:tcPr>
          <w:p>
            <w:pPr>
              <w:spacing w:after="0"/>
              <w:rPr>
                <w:sz w:val="16"/>
                <w:szCs w:val="16"/>
                <w:color w:val="auto"/>
              </w:rPr>
            </w:pPr>
          </w:p>
        </w:tc>
        <w:tc>
          <w:tcPr>
            <w:tcW w:w="1080" w:type="dxa"/>
            <w:vAlign w:val="bottom"/>
            <w:gridSpan w:val="2"/>
            <w:vMerge w:val="restart"/>
          </w:tcPr>
          <w:p>
            <w:pPr>
              <w:jc w:val="center"/>
              <w:ind w:left="489"/>
              <w:spacing w:after="0"/>
              <w:rPr>
                <w:sz w:val="20"/>
                <w:szCs w:val="20"/>
                <w:color w:val="auto"/>
              </w:rPr>
            </w:pPr>
            <w:r>
              <w:rPr>
                <w:rFonts w:ascii="Times New Roman" w:cs="Times New Roman" w:eastAsia="Times New Roman" w:hAnsi="Times New Roman"/>
                <w:sz w:val="15"/>
                <w:szCs w:val="15"/>
                <w:color w:val="auto"/>
                <w:w w:val="96"/>
              </w:rPr>
              <w:t>$2,527</w:t>
            </w:r>
          </w:p>
        </w:tc>
        <w:tc>
          <w:tcPr>
            <w:tcW w:w="60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Q2-2022</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Completed</w:t>
            </w:r>
          </w:p>
        </w:tc>
        <w:tc>
          <w:tcPr>
            <w:tcW w:w="0" w:type="dxa"/>
            <w:vAlign w:val="bottom"/>
          </w:tcPr>
          <w:p>
            <w:pPr>
              <w:spacing w:after="0"/>
              <w:rPr>
                <w:sz w:val="1"/>
                <w:szCs w:val="1"/>
                <w:color w:val="auto"/>
              </w:rPr>
            </w:pPr>
          </w:p>
        </w:tc>
      </w:tr>
      <w:tr>
        <w:trPr>
          <w:trHeight w:val="93"/>
        </w:trPr>
        <w:tc>
          <w:tcPr>
            <w:tcW w:w="20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Program</w:t>
            </w:r>
            <w:r>
              <w:rPr>
                <w:rFonts w:ascii="Times New Roman" w:cs="Times New Roman" w:eastAsia="Times New Roman" w:hAnsi="Times New Roman"/>
                <w:sz w:val="19"/>
                <w:szCs w:val="19"/>
                <w:color w:val="auto"/>
                <w:vertAlign w:val="superscript"/>
              </w:rPr>
              <w:t>(8)</w:t>
            </w:r>
          </w:p>
        </w:tc>
        <w:tc>
          <w:tcPr>
            <w:tcW w:w="27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studies</w:t>
            </w:r>
          </w:p>
        </w:tc>
        <w:tc>
          <w:tcPr>
            <w:tcW w:w="1060" w:type="dxa"/>
            <w:vAlign w:val="bottom"/>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gridSpan w:val="2"/>
            <w:vMerge w:val="continue"/>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00" w:type="dxa"/>
            <w:vAlign w:val="bottom"/>
            <w:tcBorders>
              <w:left w:val="single" w:sz="8" w:color="auto"/>
              <w:right w:val="single" w:sz="8" w:color="auto"/>
            </w:tcBorders>
            <w:vMerge w:val="continue"/>
          </w:tcPr>
          <w:p>
            <w:pPr>
              <w:spacing w:after="0"/>
              <w:rPr>
                <w:sz w:val="11"/>
                <w:szCs w:val="11"/>
                <w:color w:val="auto"/>
              </w:rPr>
            </w:pPr>
          </w:p>
        </w:tc>
        <w:tc>
          <w:tcPr>
            <w:tcW w:w="2700" w:type="dxa"/>
            <w:vAlign w:val="bottom"/>
            <w:tcBorders>
              <w:bottom w:val="single" w:sz="8" w:color="auto"/>
              <w:right w:val="single" w:sz="8" w:color="auto"/>
            </w:tcBorders>
            <w:vMerge w:val="continue"/>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00" w:type="dxa"/>
            <w:vAlign w:val="bottom"/>
            <w:tcBorders>
              <w:left w:val="single" w:sz="8" w:color="auto"/>
              <w:right w:val="single" w:sz="8" w:color="auto"/>
            </w:tcBorders>
          </w:tcPr>
          <w:p>
            <w:pPr>
              <w:spacing w:after="0"/>
              <w:rPr>
                <w:sz w:val="16"/>
                <w:szCs w:val="16"/>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Progression of post IND enabling pre-</w:t>
            </w:r>
          </w:p>
        </w:tc>
        <w:tc>
          <w:tcPr>
            <w:tcW w:w="1060" w:type="dxa"/>
            <w:vAlign w:val="bottom"/>
            <w:vMerge w:val="restart"/>
          </w:tcPr>
          <w:p>
            <w:pPr>
              <w:jc w:val="center"/>
              <w:ind w:left="427"/>
              <w:spacing w:after="0"/>
              <w:rPr>
                <w:sz w:val="20"/>
                <w:szCs w:val="20"/>
                <w:color w:val="auto"/>
              </w:rPr>
            </w:pPr>
            <w:r>
              <w:rPr>
                <w:rFonts w:ascii="Times New Roman" w:cs="Times New Roman" w:eastAsia="Times New Roman" w:hAnsi="Times New Roman"/>
                <w:sz w:val="15"/>
                <w:szCs w:val="15"/>
                <w:color w:val="auto"/>
              </w:rPr>
              <w:t>Nil</w:t>
            </w:r>
          </w:p>
        </w:tc>
        <w:tc>
          <w:tcPr>
            <w:tcW w:w="52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vMerge w:val="restart"/>
          </w:tcPr>
          <w:p>
            <w:pPr>
              <w:jc w:val="center"/>
              <w:ind w:right="27"/>
              <w:spacing w:after="0"/>
              <w:rPr>
                <w:sz w:val="20"/>
                <w:szCs w:val="20"/>
                <w:color w:val="auto"/>
              </w:rPr>
            </w:pPr>
            <w:r>
              <w:rPr>
                <w:rFonts w:ascii="Times New Roman" w:cs="Times New Roman" w:eastAsia="Times New Roman" w:hAnsi="Times New Roman"/>
                <w:sz w:val="15"/>
                <w:szCs w:val="15"/>
                <w:color w:val="auto"/>
                <w:w w:val="93"/>
              </w:rPr>
              <w:t>$323</w:t>
            </w:r>
          </w:p>
        </w:tc>
        <w:tc>
          <w:tcPr>
            <w:tcW w:w="60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5"/>
                <w:szCs w:val="15"/>
                <w:color w:val="auto"/>
                <w:w w:val="89"/>
              </w:rPr>
              <w:t>Ongoing</w:t>
            </w:r>
            <w:r>
              <w:rPr>
                <w:rFonts w:ascii="Times New Roman" w:cs="Times New Roman" w:eastAsia="Times New Roman" w:hAnsi="Times New Roman"/>
                <w:sz w:val="19"/>
                <w:szCs w:val="19"/>
                <w:color w:val="auto"/>
                <w:w w:val="89"/>
                <w:vertAlign w:val="superscript"/>
              </w:rPr>
              <w:t>(18)</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147"/>
        </w:trPr>
        <w:tc>
          <w:tcPr>
            <w:tcW w:w="2000" w:type="dxa"/>
            <w:vAlign w:val="bottom"/>
            <w:tcBorders>
              <w:left w:val="single" w:sz="8" w:color="auto"/>
              <w:right w:val="single" w:sz="8" w:color="auto"/>
            </w:tcBorders>
          </w:tcPr>
          <w:p>
            <w:pPr>
              <w:spacing w:after="0"/>
              <w:rPr>
                <w:sz w:val="12"/>
                <w:szCs w:val="12"/>
                <w:color w:val="auto"/>
              </w:rPr>
            </w:pPr>
          </w:p>
        </w:tc>
        <w:tc>
          <w:tcPr>
            <w:tcW w:w="27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clinical studies</w:t>
            </w:r>
          </w:p>
        </w:tc>
        <w:tc>
          <w:tcPr>
            <w:tcW w:w="10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gridSpan w:val="2"/>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00" w:type="dxa"/>
            <w:vAlign w:val="bottom"/>
            <w:tcBorders>
              <w:left w:val="single" w:sz="8" w:color="auto"/>
              <w:right w:val="single" w:sz="8" w:color="auto"/>
            </w:tcBorders>
          </w:tcPr>
          <w:p>
            <w:pPr>
              <w:spacing w:after="0"/>
              <w:rPr>
                <w:sz w:val="3"/>
                <w:szCs w:val="3"/>
                <w:color w:val="auto"/>
              </w:rPr>
            </w:pPr>
          </w:p>
        </w:tc>
        <w:tc>
          <w:tcPr>
            <w:tcW w:w="2700" w:type="dxa"/>
            <w:vAlign w:val="bottom"/>
            <w:tcBorders>
              <w:right w:val="single" w:sz="8" w:color="auto"/>
            </w:tcBorders>
            <w:vMerge w:val="continue"/>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16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2000" w:type="dxa"/>
            <w:vAlign w:val="bottom"/>
            <w:tcBorders>
              <w:left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00" w:type="dxa"/>
            <w:vAlign w:val="bottom"/>
            <w:tcBorders>
              <w:left w:val="single" w:sz="8" w:color="auto"/>
              <w:right w:val="single" w:sz="8" w:color="auto"/>
            </w:tcBorders>
          </w:tcPr>
          <w:p>
            <w:pPr>
              <w:spacing w:after="0"/>
              <w:rPr>
                <w:sz w:val="16"/>
                <w:szCs w:val="16"/>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w w:val="98"/>
              </w:rPr>
              <w:t>Completion of chemistry, manufacturing and</w:t>
            </w:r>
          </w:p>
        </w:tc>
        <w:tc>
          <w:tcPr>
            <w:tcW w:w="10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00" w:type="dxa"/>
            <w:vAlign w:val="bottom"/>
            <w:tcBorders>
              <w:left w:val="single" w:sz="8" w:color="auto"/>
              <w:right w:val="single" w:sz="8" w:color="auto"/>
            </w:tcBorders>
          </w:tcPr>
          <w:p>
            <w:pPr>
              <w:spacing w:after="0"/>
              <w:rPr>
                <w:sz w:val="15"/>
                <w:szCs w:val="15"/>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control development for pre-clinical and</w:t>
            </w:r>
          </w:p>
        </w:tc>
        <w:tc>
          <w:tcPr>
            <w:tcW w:w="1060" w:type="dxa"/>
            <w:vAlign w:val="bottom"/>
          </w:tcPr>
          <w:p>
            <w:pPr>
              <w:jc w:val="center"/>
              <w:ind w:left="427"/>
              <w:spacing w:after="0"/>
              <w:rPr>
                <w:sz w:val="20"/>
                <w:szCs w:val="20"/>
                <w:color w:val="auto"/>
              </w:rPr>
            </w:pPr>
            <w:r>
              <w:rPr>
                <w:rFonts w:ascii="Times New Roman" w:cs="Times New Roman" w:eastAsia="Times New Roman" w:hAnsi="Times New Roman"/>
                <w:sz w:val="15"/>
                <w:szCs w:val="15"/>
                <w:color w:val="auto"/>
              </w:rPr>
              <w:t>Nil</w:t>
            </w:r>
          </w:p>
        </w:tc>
        <w:tc>
          <w:tcPr>
            <w:tcW w:w="520" w:type="dxa"/>
            <w:vAlign w:val="bottom"/>
            <w:tcBorders>
              <w:right w:val="single" w:sz="8" w:color="auto"/>
            </w:tcBorders>
          </w:tcPr>
          <w:p>
            <w:pPr>
              <w:spacing w:after="0"/>
              <w:rPr>
                <w:sz w:val="15"/>
                <w:szCs w:val="15"/>
                <w:color w:val="auto"/>
              </w:rPr>
            </w:pPr>
          </w:p>
        </w:tc>
        <w:tc>
          <w:tcPr>
            <w:tcW w:w="1080" w:type="dxa"/>
            <w:vAlign w:val="bottom"/>
            <w:gridSpan w:val="2"/>
          </w:tcPr>
          <w:p>
            <w:pPr>
              <w:jc w:val="center"/>
              <w:ind w:left="489"/>
              <w:spacing w:after="0"/>
              <w:rPr>
                <w:sz w:val="20"/>
                <w:szCs w:val="20"/>
                <w:color w:val="auto"/>
              </w:rPr>
            </w:pPr>
            <w:r>
              <w:rPr>
                <w:rFonts w:ascii="Times New Roman" w:cs="Times New Roman" w:eastAsia="Times New Roman" w:hAnsi="Times New Roman"/>
                <w:sz w:val="15"/>
                <w:szCs w:val="15"/>
                <w:color w:val="auto"/>
                <w:w w:val="96"/>
              </w:rPr>
              <w:t>$2,000</w:t>
            </w:r>
          </w:p>
        </w:tc>
        <w:tc>
          <w:tcPr>
            <w:tcW w:w="60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w w:val="97"/>
              </w:rPr>
              <w:t>Q2-2022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Completed</w:t>
            </w:r>
          </w:p>
        </w:tc>
        <w:tc>
          <w:tcPr>
            <w:tcW w:w="0" w:type="dxa"/>
            <w:vAlign w:val="bottom"/>
          </w:tcPr>
          <w:p>
            <w:pPr>
              <w:spacing w:after="0"/>
              <w:rPr>
                <w:sz w:val="1"/>
                <w:szCs w:val="1"/>
                <w:color w:val="auto"/>
              </w:rPr>
            </w:pPr>
          </w:p>
        </w:tc>
      </w:tr>
      <w:tr>
        <w:trPr>
          <w:trHeight w:val="191"/>
        </w:trPr>
        <w:tc>
          <w:tcPr>
            <w:tcW w:w="2000" w:type="dxa"/>
            <w:vAlign w:val="bottom"/>
            <w:tcBorders>
              <w:left w:val="single" w:sz="8" w:color="auto"/>
              <w:right w:val="single" w:sz="8" w:color="auto"/>
            </w:tcBorders>
          </w:tcPr>
          <w:p>
            <w:pPr>
              <w:spacing w:after="0"/>
              <w:rPr>
                <w:sz w:val="16"/>
                <w:szCs w:val="16"/>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clinical studies</w:t>
            </w:r>
          </w:p>
        </w:tc>
        <w:tc>
          <w:tcPr>
            <w:tcW w:w="10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000" w:type="dxa"/>
            <w:vAlign w:val="bottom"/>
            <w:tcBorders>
              <w:left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00" w:type="dxa"/>
            <w:vAlign w:val="bottom"/>
            <w:tcBorders>
              <w:left w:val="single" w:sz="8" w:color="auto"/>
              <w:right w:val="single" w:sz="8" w:color="auto"/>
            </w:tcBorders>
          </w:tcPr>
          <w:p>
            <w:pPr>
              <w:spacing w:after="0"/>
              <w:rPr>
                <w:sz w:val="16"/>
                <w:szCs w:val="16"/>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Chemistry, manufacturing and control</w:t>
            </w:r>
          </w:p>
        </w:tc>
        <w:tc>
          <w:tcPr>
            <w:tcW w:w="1060" w:type="dxa"/>
            <w:vAlign w:val="bottom"/>
            <w:vMerge w:val="restart"/>
          </w:tcPr>
          <w:p>
            <w:pPr>
              <w:jc w:val="center"/>
              <w:ind w:left="427"/>
              <w:spacing w:after="0"/>
              <w:rPr>
                <w:sz w:val="20"/>
                <w:szCs w:val="20"/>
                <w:color w:val="auto"/>
              </w:rPr>
            </w:pPr>
            <w:r>
              <w:rPr>
                <w:rFonts w:ascii="Times New Roman" w:cs="Times New Roman" w:eastAsia="Times New Roman" w:hAnsi="Times New Roman"/>
                <w:sz w:val="15"/>
                <w:szCs w:val="15"/>
                <w:color w:val="auto"/>
              </w:rPr>
              <w:t>Nil</w:t>
            </w:r>
          </w:p>
        </w:tc>
        <w:tc>
          <w:tcPr>
            <w:tcW w:w="520" w:type="dxa"/>
            <w:vAlign w:val="bottom"/>
            <w:tcBorders>
              <w:right w:val="single" w:sz="8" w:color="auto"/>
            </w:tcBorders>
          </w:tcPr>
          <w:p>
            <w:pPr>
              <w:spacing w:after="0"/>
              <w:rPr>
                <w:sz w:val="16"/>
                <w:szCs w:val="16"/>
                <w:color w:val="auto"/>
              </w:rPr>
            </w:pPr>
          </w:p>
        </w:tc>
        <w:tc>
          <w:tcPr>
            <w:tcW w:w="1080" w:type="dxa"/>
            <w:vAlign w:val="bottom"/>
            <w:gridSpan w:val="2"/>
            <w:vMerge w:val="restart"/>
          </w:tcPr>
          <w:p>
            <w:pPr>
              <w:jc w:val="center"/>
              <w:ind w:left="489"/>
              <w:spacing w:after="0"/>
              <w:rPr>
                <w:sz w:val="20"/>
                <w:szCs w:val="20"/>
                <w:color w:val="auto"/>
              </w:rPr>
            </w:pPr>
            <w:r>
              <w:rPr>
                <w:rFonts w:ascii="Times New Roman" w:cs="Times New Roman" w:eastAsia="Times New Roman" w:hAnsi="Times New Roman"/>
                <w:sz w:val="15"/>
                <w:szCs w:val="15"/>
                <w:color w:val="auto"/>
                <w:w w:val="96"/>
              </w:rPr>
              <w:t>$1,701</w:t>
            </w:r>
          </w:p>
        </w:tc>
        <w:tc>
          <w:tcPr>
            <w:tcW w:w="60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5"/>
                <w:szCs w:val="15"/>
                <w:color w:val="auto"/>
                <w:w w:val="89"/>
              </w:rPr>
              <w:t>Ongoing</w:t>
            </w:r>
            <w:r>
              <w:rPr>
                <w:rFonts w:ascii="Times New Roman" w:cs="Times New Roman" w:eastAsia="Times New Roman" w:hAnsi="Times New Roman"/>
                <w:sz w:val="19"/>
                <w:szCs w:val="19"/>
                <w:color w:val="auto"/>
                <w:w w:val="89"/>
                <w:vertAlign w:val="superscript"/>
              </w:rPr>
              <w:t>(18)</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147"/>
        </w:trPr>
        <w:tc>
          <w:tcPr>
            <w:tcW w:w="2000" w:type="dxa"/>
            <w:vAlign w:val="bottom"/>
            <w:tcBorders>
              <w:left w:val="single" w:sz="8" w:color="auto"/>
              <w:right w:val="single" w:sz="8" w:color="auto"/>
            </w:tcBorders>
          </w:tcPr>
          <w:p>
            <w:pPr>
              <w:spacing w:after="0"/>
              <w:rPr>
                <w:sz w:val="12"/>
                <w:szCs w:val="12"/>
                <w:color w:val="auto"/>
              </w:rPr>
            </w:pPr>
          </w:p>
        </w:tc>
        <w:tc>
          <w:tcPr>
            <w:tcW w:w="27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development progression</w:t>
            </w:r>
          </w:p>
        </w:tc>
        <w:tc>
          <w:tcPr>
            <w:tcW w:w="10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gridSpan w:val="2"/>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00" w:type="dxa"/>
            <w:vAlign w:val="bottom"/>
            <w:tcBorders>
              <w:left w:val="single" w:sz="8" w:color="auto"/>
              <w:right w:val="single" w:sz="8" w:color="auto"/>
            </w:tcBorders>
          </w:tcPr>
          <w:p>
            <w:pPr>
              <w:spacing w:after="0"/>
              <w:rPr>
                <w:sz w:val="3"/>
                <w:szCs w:val="3"/>
                <w:color w:val="auto"/>
              </w:rPr>
            </w:pPr>
          </w:p>
        </w:tc>
        <w:tc>
          <w:tcPr>
            <w:tcW w:w="2700" w:type="dxa"/>
            <w:vAlign w:val="bottom"/>
            <w:tcBorders>
              <w:right w:val="single" w:sz="8" w:color="auto"/>
            </w:tcBorders>
            <w:vMerge w:val="continue"/>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16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2000" w:type="dxa"/>
            <w:vAlign w:val="bottom"/>
            <w:tcBorders>
              <w:left w:val="single" w:sz="8" w:color="auto"/>
              <w:right w:val="single" w:sz="8" w:color="auto"/>
            </w:tcBorders>
          </w:tcPr>
          <w:p>
            <w:pPr>
              <w:spacing w:after="0"/>
              <w:rPr>
                <w:sz w:val="2"/>
                <w:szCs w:val="2"/>
                <w:color w:val="auto"/>
              </w:rPr>
            </w:pPr>
          </w:p>
        </w:tc>
        <w:tc>
          <w:tcPr>
            <w:tcW w:w="27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w w:val="99"/>
              </w:rPr>
              <w:t>Clinical trial filings and first in human study</w:t>
            </w: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000" w:type="dxa"/>
            <w:vAlign w:val="bottom"/>
            <w:tcBorders>
              <w:left w:val="single" w:sz="8" w:color="auto"/>
              <w:right w:val="single" w:sz="8" w:color="auto"/>
            </w:tcBorders>
          </w:tcPr>
          <w:p>
            <w:pPr>
              <w:spacing w:after="0"/>
              <w:rPr>
                <w:sz w:val="15"/>
                <w:szCs w:val="15"/>
                <w:color w:val="auto"/>
              </w:rPr>
            </w:pPr>
          </w:p>
        </w:tc>
        <w:tc>
          <w:tcPr>
            <w:tcW w:w="2700" w:type="dxa"/>
            <w:vAlign w:val="bottom"/>
            <w:tcBorders>
              <w:right w:val="single" w:sz="8" w:color="auto"/>
            </w:tcBorders>
            <w:vMerge w:val="continue"/>
          </w:tcPr>
          <w:p>
            <w:pPr>
              <w:spacing w:after="0"/>
              <w:rPr>
                <w:sz w:val="15"/>
                <w:szCs w:val="15"/>
                <w:color w:val="auto"/>
              </w:rPr>
            </w:pPr>
          </w:p>
        </w:tc>
        <w:tc>
          <w:tcPr>
            <w:tcW w:w="1060" w:type="dxa"/>
            <w:vAlign w:val="bottom"/>
            <w:vMerge w:val="restart"/>
          </w:tcPr>
          <w:p>
            <w:pPr>
              <w:jc w:val="center"/>
              <w:ind w:left="427"/>
              <w:spacing w:after="0"/>
              <w:rPr>
                <w:sz w:val="20"/>
                <w:szCs w:val="20"/>
                <w:color w:val="auto"/>
              </w:rPr>
            </w:pPr>
            <w:r>
              <w:rPr>
                <w:rFonts w:ascii="Times New Roman" w:cs="Times New Roman" w:eastAsia="Times New Roman" w:hAnsi="Times New Roman"/>
                <w:sz w:val="15"/>
                <w:szCs w:val="15"/>
                <w:color w:val="auto"/>
              </w:rPr>
              <w:t>Nil</w:t>
            </w:r>
          </w:p>
        </w:tc>
        <w:tc>
          <w:tcPr>
            <w:tcW w:w="520" w:type="dxa"/>
            <w:vAlign w:val="bottom"/>
            <w:tcBorders>
              <w:right w:val="single" w:sz="8" w:color="auto"/>
            </w:tcBorders>
          </w:tcPr>
          <w:p>
            <w:pPr>
              <w:spacing w:after="0"/>
              <w:rPr>
                <w:sz w:val="15"/>
                <w:szCs w:val="15"/>
                <w:color w:val="auto"/>
              </w:rPr>
            </w:pPr>
          </w:p>
        </w:tc>
        <w:tc>
          <w:tcPr>
            <w:tcW w:w="1080" w:type="dxa"/>
            <w:vAlign w:val="bottom"/>
            <w:gridSpan w:val="2"/>
            <w:vMerge w:val="restart"/>
          </w:tcPr>
          <w:p>
            <w:pPr>
              <w:jc w:val="center"/>
              <w:ind w:left="489"/>
              <w:spacing w:after="0"/>
              <w:rPr>
                <w:sz w:val="20"/>
                <w:szCs w:val="20"/>
                <w:color w:val="auto"/>
              </w:rPr>
            </w:pPr>
            <w:r>
              <w:rPr>
                <w:rFonts w:ascii="Times New Roman" w:cs="Times New Roman" w:eastAsia="Times New Roman" w:hAnsi="Times New Roman"/>
                <w:sz w:val="15"/>
                <w:szCs w:val="15"/>
                <w:color w:val="auto"/>
                <w:w w:val="96"/>
              </w:rPr>
              <w:t>$2,591</w:t>
            </w:r>
          </w:p>
        </w:tc>
        <w:tc>
          <w:tcPr>
            <w:tcW w:w="60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5"/>
                <w:szCs w:val="15"/>
                <w:color w:val="auto"/>
                <w:w w:val="90"/>
              </w:rPr>
              <w:t>Q3 2022</w:t>
            </w:r>
            <w:r>
              <w:rPr>
                <w:rFonts w:ascii="Times New Roman" w:cs="Times New Roman" w:eastAsia="Times New Roman" w:hAnsi="Times New Roman"/>
                <w:sz w:val="19"/>
                <w:szCs w:val="19"/>
                <w:color w:val="auto"/>
                <w:w w:val="90"/>
                <w:vertAlign w:val="superscript"/>
              </w:rPr>
              <w:t>(17)</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147"/>
        </w:trPr>
        <w:tc>
          <w:tcPr>
            <w:tcW w:w="2000" w:type="dxa"/>
            <w:vAlign w:val="bottom"/>
            <w:tcBorders>
              <w:left w:val="single" w:sz="8" w:color="auto"/>
              <w:right w:val="single" w:sz="8" w:color="auto"/>
            </w:tcBorders>
          </w:tcPr>
          <w:p>
            <w:pPr>
              <w:spacing w:after="0"/>
              <w:rPr>
                <w:sz w:val="12"/>
                <w:szCs w:val="12"/>
                <w:color w:val="auto"/>
              </w:rPr>
            </w:pPr>
          </w:p>
        </w:tc>
        <w:tc>
          <w:tcPr>
            <w:tcW w:w="27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initiation</w:t>
            </w:r>
          </w:p>
        </w:tc>
        <w:tc>
          <w:tcPr>
            <w:tcW w:w="10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gridSpan w:val="2"/>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00" w:type="dxa"/>
            <w:vAlign w:val="bottom"/>
            <w:tcBorders>
              <w:left w:val="single" w:sz="8" w:color="auto"/>
              <w:right w:val="single" w:sz="8" w:color="auto"/>
            </w:tcBorders>
          </w:tcPr>
          <w:p>
            <w:pPr>
              <w:spacing w:after="0"/>
              <w:rPr>
                <w:sz w:val="3"/>
                <w:szCs w:val="3"/>
                <w:color w:val="auto"/>
              </w:rPr>
            </w:pPr>
          </w:p>
        </w:tc>
        <w:tc>
          <w:tcPr>
            <w:tcW w:w="2700" w:type="dxa"/>
            <w:vAlign w:val="bottom"/>
            <w:tcBorders>
              <w:right w:val="single" w:sz="8" w:color="auto"/>
            </w:tcBorders>
            <w:vMerge w:val="continue"/>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16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2000" w:type="dxa"/>
            <w:vAlign w:val="bottom"/>
            <w:tcBorders>
              <w:left w:val="single" w:sz="8" w:color="auto"/>
              <w:right w:val="single" w:sz="8" w:color="auto"/>
            </w:tcBorders>
          </w:tcPr>
          <w:p>
            <w:pPr>
              <w:spacing w:after="0"/>
              <w:rPr>
                <w:sz w:val="2"/>
                <w:szCs w:val="2"/>
                <w:color w:val="auto"/>
              </w:rPr>
            </w:pPr>
          </w:p>
        </w:tc>
        <w:tc>
          <w:tcPr>
            <w:tcW w:w="27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Initial pharmacokinetic and safety readout</w:t>
            </w: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gridSpan w:val="2"/>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00" w:type="dxa"/>
            <w:vAlign w:val="bottom"/>
            <w:tcBorders>
              <w:left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vMerge w:val="continue"/>
          </w:tcPr>
          <w:p>
            <w:pPr>
              <w:spacing w:after="0"/>
              <w:rPr>
                <w:sz w:val="19"/>
                <w:szCs w:val="19"/>
                <w:color w:val="auto"/>
              </w:rPr>
            </w:pPr>
          </w:p>
        </w:tc>
        <w:tc>
          <w:tcPr>
            <w:tcW w:w="1060" w:type="dxa"/>
            <w:vAlign w:val="bottom"/>
            <w:tcBorders>
              <w:bottom w:val="single" w:sz="8" w:color="auto"/>
            </w:tcBorders>
          </w:tcPr>
          <w:p>
            <w:pPr>
              <w:jc w:val="center"/>
              <w:ind w:left="427"/>
              <w:spacing w:after="0"/>
              <w:rPr>
                <w:sz w:val="20"/>
                <w:szCs w:val="20"/>
                <w:color w:val="auto"/>
              </w:rPr>
            </w:pPr>
            <w:r>
              <w:rPr>
                <w:rFonts w:ascii="Times New Roman" w:cs="Times New Roman" w:eastAsia="Times New Roman" w:hAnsi="Times New Roman"/>
                <w:sz w:val="15"/>
                <w:szCs w:val="15"/>
                <w:color w:val="auto"/>
              </w:rPr>
              <w:t>Nil</w:t>
            </w:r>
          </w:p>
        </w:tc>
        <w:tc>
          <w:tcPr>
            <w:tcW w:w="52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left="489"/>
              <w:spacing w:after="0"/>
              <w:rPr>
                <w:sz w:val="20"/>
                <w:szCs w:val="20"/>
                <w:color w:val="auto"/>
              </w:rPr>
            </w:pPr>
            <w:r>
              <w:rPr>
                <w:rFonts w:ascii="Times New Roman" w:cs="Times New Roman" w:eastAsia="Times New Roman" w:hAnsi="Times New Roman"/>
                <w:sz w:val="15"/>
                <w:szCs w:val="15"/>
                <w:color w:val="auto"/>
                <w:w w:val="96"/>
              </w:rPr>
              <w:t>$1,762</w:t>
            </w:r>
          </w:p>
        </w:tc>
        <w:tc>
          <w:tcPr>
            <w:tcW w:w="6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w w:val="90"/>
              </w:rPr>
              <w:t>Q4 2022</w:t>
            </w:r>
            <w:r>
              <w:rPr>
                <w:rFonts w:ascii="Times New Roman" w:cs="Times New Roman" w:eastAsia="Times New Roman" w:hAnsi="Times New Roman"/>
                <w:sz w:val="19"/>
                <w:szCs w:val="19"/>
                <w:color w:val="auto"/>
                <w:w w:val="90"/>
                <w:vertAlign w:val="superscript"/>
              </w:rPr>
              <w:t>(17)</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224"/>
        </w:trPr>
        <w:tc>
          <w:tcPr>
            <w:tcW w:w="2000" w:type="dxa"/>
            <w:vAlign w:val="bottom"/>
            <w:tcBorders>
              <w:left w:val="single" w:sz="8" w:color="auto"/>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Clinical trial first in human full study report</w:t>
            </w:r>
          </w:p>
        </w:tc>
        <w:tc>
          <w:tcPr>
            <w:tcW w:w="1060" w:type="dxa"/>
            <w:vAlign w:val="bottom"/>
            <w:tcBorders>
              <w:bottom w:val="single" w:sz="8" w:color="auto"/>
            </w:tcBorders>
          </w:tcPr>
          <w:p>
            <w:pPr>
              <w:jc w:val="center"/>
              <w:ind w:left="427"/>
              <w:spacing w:after="0"/>
              <w:rPr>
                <w:sz w:val="20"/>
                <w:szCs w:val="20"/>
                <w:color w:val="auto"/>
              </w:rPr>
            </w:pPr>
            <w:r>
              <w:rPr>
                <w:rFonts w:ascii="Times New Roman" w:cs="Times New Roman" w:eastAsia="Times New Roman" w:hAnsi="Times New Roman"/>
                <w:sz w:val="15"/>
                <w:szCs w:val="15"/>
                <w:color w:val="auto"/>
              </w:rPr>
              <w:t>Nil</w:t>
            </w:r>
          </w:p>
        </w:tc>
        <w:tc>
          <w:tcPr>
            <w:tcW w:w="52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left="489"/>
              <w:spacing w:after="0"/>
              <w:rPr>
                <w:sz w:val="20"/>
                <w:szCs w:val="20"/>
                <w:color w:val="auto"/>
              </w:rPr>
            </w:pPr>
            <w:r>
              <w:rPr>
                <w:rFonts w:ascii="Times New Roman" w:cs="Times New Roman" w:eastAsia="Times New Roman" w:hAnsi="Times New Roman"/>
                <w:sz w:val="15"/>
                <w:szCs w:val="15"/>
                <w:color w:val="auto"/>
                <w:w w:val="96"/>
              </w:rPr>
              <w:t>$1,319</w:t>
            </w:r>
          </w:p>
        </w:tc>
        <w:tc>
          <w:tcPr>
            <w:tcW w:w="6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w w:val="90"/>
              </w:rPr>
              <w:t>Q3 2023</w:t>
            </w:r>
            <w:r>
              <w:rPr>
                <w:rFonts w:ascii="Times New Roman" w:cs="Times New Roman" w:eastAsia="Times New Roman" w:hAnsi="Times New Roman"/>
                <w:sz w:val="19"/>
                <w:szCs w:val="19"/>
                <w:color w:val="auto"/>
                <w:w w:val="90"/>
                <w:vertAlign w:val="superscript"/>
              </w:rPr>
              <w:t>(17)</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175"/>
        </w:trPr>
        <w:tc>
          <w:tcPr>
            <w:tcW w:w="20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Deuterated Tryptamines</w:t>
            </w: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Progression of CYB003 to phase I studies</w:t>
            </w:r>
          </w:p>
        </w:tc>
        <w:tc>
          <w:tcPr>
            <w:tcW w:w="10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Programs</w:t>
            </w: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and development of the associated delivery</w:t>
            </w:r>
          </w:p>
        </w:tc>
        <w:tc>
          <w:tcPr>
            <w:tcW w:w="1060" w:type="dxa"/>
            <w:vAlign w:val="bottom"/>
            <w:vMerge w:val="restart"/>
          </w:tcPr>
          <w:p>
            <w:pPr>
              <w:jc w:val="center"/>
              <w:ind w:left="427"/>
              <w:spacing w:after="0"/>
              <w:rPr>
                <w:sz w:val="20"/>
                <w:szCs w:val="20"/>
                <w:color w:val="auto"/>
              </w:rPr>
            </w:pPr>
            <w:r>
              <w:rPr>
                <w:rFonts w:ascii="Times New Roman" w:cs="Times New Roman" w:eastAsia="Times New Roman" w:hAnsi="Times New Roman"/>
                <w:sz w:val="15"/>
                <w:szCs w:val="15"/>
                <w:color w:val="auto"/>
                <w:w w:val="96"/>
              </w:rPr>
              <w:t>$2,886</w:t>
            </w:r>
          </w:p>
        </w:tc>
        <w:tc>
          <w:tcPr>
            <w:tcW w:w="520" w:type="dxa"/>
            <w:vAlign w:val="bottom"/>
            <w:tcBorders>
              <w:right w:val="single" w:sz="8" w:color="auto"/>
            </w:tcBorders>
          </w:tcPr>
          <w:p>
            <w:pPr>
              <w:spacing w:after="0"/>
              <w:rPr>
                <w:sz w:val="15"/>
                <w:szCs w:val="15"/>
                <w:color w:val="auto"/>
              </w:rPr>
            </w:pPr>
          </w:p>
        </w:tc>
        <w:tc>
          <w:tcPr>
            <w:tcW w:w="1080" w:type="dxa"/>
            <w:vAlign w:val="bottom"/>
            <w:gridSpan w:val="2"/>
            <w:vMerge w:val="restart"/>
          </w:tcPr>
          <w:p>
            <w:pPr>
              <w:jc w:val="center"/>
              <w:ind w:left="489"/>
              <w:spacing w:after="0"/>
              <w:rPr>
                <w:sz w:val="20"/>
                <w:szCs w:val="20"/>
                <w:color w:val="auto"/>
              </w:rPr>
            </w:pPr>
            <w:r>
              <w:rPr>
                <w:rFonts w:ascii="Times New Roman" w:cs="Times New Roman" w:eastAsia="Times New Roman" w:hAnsi="Times New Roman"/>
                <w:sz w:val="15"/>
                <w:szCs w:val="15"/>
                <w:color w:val="auto"/>
                <w:w w:val="96"/>
              </w:rPr>
              <w:t>$1,198</w:t>
            </w:r>
          </w:p>
        </w:tc>
        <w:tc>
          <w:tcPr>
            <w:tcW w:w="600" w:type="dxa"/>
            <w:vAlign w:val="bottom"/>
            <w:tcBorders>
              <w:right w:val="single" w:sz="8" w:color="auto"/>
            </w:tcBorders>
          </w:tcPr>
          <w:p>
            <w:pPr>
              <w:spacing w:after="0"/>
              <w:rPr>
                <w:sz w:val="15"/>
                <w:szCs w:val="15"/>
                <w:color w:val="auto"/>
              </w:rPr>
            </w:pPr>
          </w:p>
        </w:tc>
        <w:tc>
          <w:tcPr>
            <w:tcW w:w="1040" w:type="dxa"/>
            <w:vAlign w:val="bottom"/>
            <w:vMerge w:val="restart"/>
          </w:tcPr>
          <w:p>
            <w:pPr>
              <w:jc w:val="center"/>
              <w:ind w:left="468"/>
              <w:spacing w:after="0"/>
              <w:rPr>
                <w:sz w:val="20"/>
                <w:szCs w:val="20"/>
                <w:color w:val="auto"/>
              </w:rPr>
            </w:pPr>
            <w:r>
              <w:rPr>
                <w:rFonts w:ascii="Times New Roman" w:cs="Times New Roman" w:eastAsia="Times New Roman" w:hAnsi="Times New Roman"/>
                <w:sz w:val="15"/>
                <w:szCs w:val="15"/>
                <w:color w:val="auto"/>
              </w:rPr>
              <w:t>N/A</w:t>
            </w:r>
          </w:p>
        </w:tc>
        <w:tc>
          <w:tcPr>
            <w:tcW w:w="58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Merged</w:t>
            </w:r>
            <w:r>
              <w:rPr>
                <w:rFonts w:ascii="Times New Roman" w:cs="Times New Roman" w:eastAsia="Times New Roman" w:hAnsi="Times New Roman"/>
                <w:sz w:val="19"/>
                <w:szCs w:val="19"/>
                <w:color w:val="auto"/>
                <w:w w:val="94"/>
                <w:vertAlign w:val="superscript"/>
              </w:rPr>
              <w:t>(8)</w:t>
            </w:r>
          </w:p>
        </w:tc>
        <w:tc>
          <w:tcPr>
            <w:tcW w:w="0" w:type="dxa"/>
            <w:vAlign w:val="bottom"/>
          </w:tcPr>
          <w:p>
            <w:pPr>
              <w:spacing w:after="0"/>
              <w:rPr>
                <w:sz w:val="1"/>
                <w:szCs w:val="1"/>
                <w:color w:val="auto"/>
              </w:rPr>
            </w:pPr>
          </w:p>
        </w:tc>
      </w:tr>
      <w:tr>
        <w:trPr>
          <w:trHeight w:val="70"/>
        </w:trPr>
        <w:tc>
          <w:tcPr>
            <w:tcW w:w="2000" w:type="dxa"/>
            <w:vAlign w:val="bottom"/>
            <w:tcBorders>
              <w:left w:val="single" w:sz="8" w:color="auto"/>
              <w:right w:val="single" w:sz="8" w:color="auto"/>
            </w:tcBorders>
          </w:tcPr>
          <w:p>
            <w:pPr>
              <w:spacing w:after="0"/>
              <w:rPr>
                <w:sz w:val="6"/>
                <w:szCs w:val="6"/>
                <w:color w:val="auto"/>
              </w:rPr>
            </w:pPr>
          </w:p>
        </w:tc>
        <w:tc>
          <w:tcPr>
            <w:tcW w:w="2700" w:type="dxa"/>
            <w:vAlign w:val="bottom"/>
            <w:tcBorders>
              <w:right w:val="single" w:sz="8" w:color="auto"/>
            </w:tcBorders>
          </w:tcPr>
          <w:p>
            <w:pPr>
              <w:ind w:left="520"/>
              <w:spacing w:after="0" w:line="71" w:lineRule="exact"/>
              <w:rPr>
                <w:sz w:val="20"/>
                <w:szCs w:val="20"/>
                <w:color w:val="auto"/>
              </w:rPr>
            </w:pPr>
            <w:r>
              <w:rPr>
                <w:rFonts w:ascii="Times New Roman" w:cs="Times New Roman" w:eastAsia="Times New Roman" w:hAnsi="Times New Roman"/>
                <w:sz w:val="8"/>
                <w:szCs w:val="8"/>
                <w:color w:val="auto"/>
              </w:rPr>
              <w:t>(8)</w:t>
            </w:r>
          </w:p>
        </w:tc>
        <w:tc>
          <w:tcPr>
            <w:tcW w:w="1060" w:type="dxa"/>
            <w:vAlign w:val="bottom"/>
            <w:vMerge w:val="continue"/>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1040" w:type="dxa"/>
            <w:vAlign w:val="bottom"/>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1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00" w:type="dxa"/>
            <w:vAlign w:val="bottom"/>
            <w:tcBorders>
              <w:left w:val="single" w:sz="8" w:color="auto"/>
              <w:right w:val="single" w:sz="8" w:color="auto"/>
            </w:tcBorders>
          </w:tcPr>
          <w:p>
            <w:pPr>
              <w:spacing w:after="0"/>
              <w:rPr>
                <w:sz w:val="16"/>
                <w:szCs w:val="16"/>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platform</w:t>
            </w:r>
          </w:p>
        </w:tc>
        <w:tc>
          <w:tcPr>
            <w:tcW w:w="10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00" w:type="dxa"/>
            <w:vAlign w:val="bottom"/>
            <w:tcBorders>
              <w:left w:val="single" w:sz="8" w:color="auto"/>
              <w:right w:val="single" w:sz="8" w:color="auto"/>
            </w:tcBorders>
          </w:tcPr>
          <w:p>
            <w:pPr>
              <w:spacing w:after="0"/>
              <w:rPr>
                <w:sz w:val="13"/>
                <w:szCs w:val="13"/>
                <w:color w:val="auto"/>
              </w:rPr>
            </w:pPr>
          </w:p>
        </w:tc>
        <w:tc>
          <w:tcPr>
            <w:tcW w:w="27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w w:val="97"/>
              </w:rPr>
              <w:t>Progression of CYB004 to clinical studies</w:t>
            </w:r>
            <w:r>
              <w:rPr>
                <w:rFonts w:ascii="Times New Roman" w:cs="Times New Roman" w:eastAsia="Times New Roman" w:hAnsi="Times New Roman"/>
                <w:sz w:val="19"/>
                <w:szCs w:val="19"/>
                <w:color w:val="auto"/>
                <w:w w:val="97"/>
                <w:vertAlign w:val="superscript"/>
              </w:rPr>
              <w:t>(12)</w:t>
            </w: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0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vMerge w:val="continue"/>
          </w:tcPr>
          <w:p>
            <w:pPr>
              <w:spacing w:after="0"/>
              <w:rPr>
                <w:sz w:val="20"/>
                <w:szCs w:val="20"/>
                <w:color w:val="auto"/>
              </w:rPr>
            </w:pPr>
          </w:p>
        </w:tc>
        <w:tc>
          <w:tcPr>
            <w:tcW w:w="1060" w:type="dxa"/>
            <w:vAlign w:val="bottom"/>
            <w:vMerge w:val="restart"/>
          </w:tcPr>
          <w:p>
            <w:pPr>
              <w:jc w:val="center"/>
              <w:ind w:left="427"/>
              <w:spacing w:after="0"/>
              <w:rPr>
                <w:sz w:val="20"/>
                <w:szCs w:val="20"/>
                <w:color w:val="auto"/>
              </w:rPr>
            </w:pPr>
            <w:r>
              <w:rPr>
                <w:rFonts w:ascii="Times New Roman" w:cs="Times New Roman" w:eastAsia="Times New Roman" w:hAnsi="Times New Roman"/>
                <w:sz w:val="15"/>
                <w:szCs w:val="15"/>
                <w:color w:val="auto"/>
                <w:w w:val="96"/>
              </w:rPr>
              <w:t>$2,777</w:t>
            </w:r>
          </w:p>
        </w:tc>
        <w:tc>
          <w:tcPr>
            <w:tcW w:w="520" w:type="dxa"/>
            <w:vAlign w:val="bottom"/>
            <w:tcBorders>
              <w:right w:val="single" w:sz="8" w:color="auto"/>
            </w:tcBorders>
          </w:tcPr>
          <w:p>
            <w:pPr>
              <w:spacing w:after="0"/>
              <w:rPr>
                <w:sz w:val="20"/>
                <w:szCs w:val="20"/>
                <w:color w:val="auto"/>
              </w:rPr>
            </w:pPr>
          </w:p>
        </w:tc>
        <w:tc>
          <w:tcPr>
            <w:tcW w:w="1080" w:type="dxa"/>
            <w:vAlign w:val="bottom"/>
            <w:gridSpan w:val="2"/>
            <w:vMerge w:val="restart"/>
          </w:tcPr>
          <w:p>
            <w:pPr>
              <w:jc w:val="center"/>
              <w:ind w:left="489"/>
              <w:spacing w:after="0"/>
              <w:rPr>
                <w:sz w:val="20"/>
                <w:szCs w:val="20"/>
                <w:color w:val="auto"/>
              </w:rPr>
            </w:pPr>
            <w:r>
              <w:rPr>
                <w:rFonts w:ascii="Times New Roman" w:cs="Times New Roman" w:eastAsia="Times New Roman" w:hAnsi="Times New Roman"/>
                <w:sz w:val="15"/>
                <w:szCs w:val="15"/>
                <w:color w:val="auto"/>
                <w:w w:val="98"/>
              </w:rPr>
              <w:t>$10,829</w:t>
            </w:r>
          </w:p>
        </w:tc>
        <w:tc>
          <w:tcPr>
            <w:tcW w:w="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5"/>
                <w:szCs w:val="15"/>
                <w:color w:val="auto"/>
                <w:w w:val="89"/>
              </w:rPr>
              <w:t>Ongoing</w:t>
            </w:r>
            <w:r>
              <w:rPr>
                <w:rFonts w:ascii="Times New Roman" w:cs="Times New Roman" w:eastAsia="Times New Roman" w:hAnsi="Times New Roman"/>
                <w:sz w:val="19"/>
                <w:szCs w:val="19"/>
                <w:color w:val="auto"/>
                <w:w w:val="89"/>
                <w:vertAlign w:val="superscript"/>
              </w:rPr>
              <w:t>(12)</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106"/>
        </w:trPr>
        <w:tc>
          <w:tcPr>
            <w:tcW w:w="200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1060" w:type="dxa"/>
            <w:vAlign w:val="bottom"/>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gridSpan w:val="2"/>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00" w:type="dxa"/>
            <w:vAlign w:val="bottom"/>
            <w:tcBorders>
              <w:left w:val="single" w:sz="8" w:color="auto"/>
              <w:right w:val="single" w:sz="8" w:color="auto"/>
            </w:tcBorders>
          </w:tcPr>
          <w:p>
            <w:pPr>
              <w:spacing w:after="0"/>
              <w:rPr>
                <w:sz w:val="5"/>
                <w:szCs w:val="5"/>
                <w:color w:val="auto"/>
              </w:rPr>
            </w:pPr>
          </w:p>
        </w:tc>
        <w:tc>
          <w:tcPr>
            <w:tcW w:w="27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gridSpan w:val="2"/>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00" w:type="dxa"/>
            <w:vAlign w:val="bottom"/>
            <w:tcBorders>
              <w:left w:val="single" w:sz="8" w:color="auto"/>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CYB004-E Phase I DMT study</w:t>
            </w:r>
          </w:p>
        </w:tc>
        <w:tc>
          <w:tcPr>
            <w:tcW w:w="1060" w:type="dxa"/>
            <w:vAlign w:val="bottom"/>
            <w:tcBorders>
              <w:bottom w:val="single" w:sz="8" w:color="auto"/>
            </w:tcBorders>
          </w:tcPr>
          <w:p>
            <w:pPr>
              <w:jc w:val="center"/>
              <w:ind w:left="427"/>
              <w:spacing w:after="0"/>
              <w:rPr>
                <w:sz w:val="20"/>
                <w:szCs w:val="20"/>
                <w:color w:val="auto"/>
              </w:rPr>
            </w:pPr>
            <w:r>
              <w:rPr>
                <w:rFonts w:ascii="Times New Roman" w:cs="Times New Roman" w:eastAsia="Times New Roman" w:hAnsi="Times New Roman"/>
                <w:sz w:val="15"/>
                <w:szCs w:val="15"/>
                <w:color w:val="auto"/>
              </w:rPr>
              <w:t>Nil</w:t>
            </w:r>
          </w:p>
        </w:tc>
        <w:tc>
          <w:tcPr>
            <w:tcW w:w="52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left="489"/>
              <w:spacing w:after="0"/>
              <w:rPr>
                <w:sz w:val="20"/>
                <w:szCs w:val="20"/>
                <w:color w:val="auto"/>
              </w:rPr>
            </w:pPr>
            <w:r>
              <w:rPr>
                <w:rFonts w:ascii="Times New Roman" w:cs="Times New Roman" w:eastAsia="Times New Roman" w:hAnsi="Times New Roman"/>
                <w:sz w:val="15"/>
                <w:szCs w:val="15"/>
                <w:color w:val="auto"/>
                <w:w w:val="96"/>
              </w:rPr>
              <w:t>$1,250</w:t>
            </w:r>
          </w:p>
        </w:tc>
        <w:tc>
          <w:tcPr>
            <w:tcW w:w="6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tcBorders>
          </w:tcPr>
          <w:p>
            <w:pPr>
              <w:jc w:val="center"/>
              <w:ind w:left="468"/>
              <w:spacing w:after="0" w:line="225" w:lineRule="exact"/>
              <w:rPr>
                <w:sz w:val="20"/>
                <w:szCs w:val="20"/>
                <w:color w:val="auto"/>
              </w:rPr>
            </w:pPr>
            <w:r>
              <w:rPr>
                <w:rFonts w:ascii="Times New Roman" w:cs="Times New Roman" w:eastAsia="Times New Roman" w:hAnsi="Times New Roman"/>
                <w:sz w:val="26"/>
                <w:szCs w:val="26"/>
                <w:color w:val="auto"/>
                <w:w w:val="92"/>
                <w:vertAlign w:val="subscript"/>
              </w:rPr>
              <w:t>TBD</w:t>
            </w:r>
            <w:r>
              <w:rPr>
                <w:rFonts w:ascii="Times New Roman" w:cs="Times New Roman" w:eastAsia="Times New Roman" w:hAnsi="Times New Roman"/>
                <w:sz w:val="9"/>
                <w:szCs w:val="9"/>
                <w:color w:val="auto"/>
                <w:w w:val="92"/>
              </w:rPr>
              <w:t>(19)</w:t>
            </w:r>
          </w:p>
        </w:tc>
        <w:tc>
          <w:tcPr>
            <w:tcW w:w="5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175"/>
        </w:trPr>
        <w:tc>
          <w:tcPr>
            <w:tcW w:w="20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Phenethylamine Development</w:t>
            </w: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Progression of phenethylamine candidate to</w:t>
            </w:r>
          </w:p>
        </w:tc>
        <w:tc>
          <w:tcPr>
            <w:tcW w:w="10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Program</w:t>
            </w: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clinical studies</w:t>
            </w:r>
            <w:r>
              <w:rPr>
                <w:rFonts w:ascii="Times New Roman" w:cs="Times New Roman" w:eastAsia="Times New Roman" w:hAnsi="Times New Roman"/>
                <w:sz w:val="19"/>
                <w:szCs w:val="19"/>
                <w:color w:val="auto"/>
                <w:vertAlign w:val="superscript"/>
              </w:rPr>
              <w:t>(13)</w:t>
            </w:r>
          </w:p>
        </w:tc>
        <w:tc>
          <w:tcPr>
            <w:tcW w:w="1060" w:type="dxa"/>
            <w:vAlign w:val="bottom"/>
          </w:tcPr>
          <w:p>
            <w:pPr>
              <w:jc w:val="center"/>
              <w:ind w:left="427"/>
              <w:spacing w:after="0"/>
              <w:rPr>
                <w:sz w:val="20"/>
                <w:szCs w:val="20"/>
                <w:color w:val="auto"/>
              </w:rPr>
            </w:pPr>
            <w:r>
              <w:rPr>
                <w:rFonts w:ascii="Times New Roman" w:cs="Times New Roman" w:eastAsia="Times New Roman" w:hAnsi="Times New Roman"/>
                <w:sz w:val="15"/>
                <w:szCs w:val="15"/>
                <w:color w:val="auto"/>
                <w:w w:val="96"/>
              </w:rPr>
              <w:t>$2,375</w:t>
            </w:r>
          </w:p>
        </w:tc>
        <w:tc>
          <w:tcPr>
            <w:tcW w:w="520" w:type="dxa"/>
            <w:vAlign w:val="bottom"/>
            <w:tcBorders>
              <w:right w:val="single" w:sz="8" w:color="auto"/>
            </w:tcBorders>
          </w:tcPr>
          <w:p>
            <w:pPr>
              <w:spacing w:after="0"/>
              <w:rPr>
                <w:sz w:val="22"/>
                <w:szCs w:val="22"/>
                <w:color w:val="auto"/>
              </w:rPr>
            </w:pPr>
          </w:p>
        </w:tc>
        <w:tc>
          <w:tcPr>
            <w:tcW w:w="1080" w:type="dxa"/>
            <w:vAlign w:val="bottom"/>
            <w:gridSpan w:val="2"/>
          </w:tcPr>
          <w:p>
            <w:pPr>
              <w:jc w:val="center"/>
              <w:ind w:left="489"/>
              <w:spacing w:after="0"/>
              <w:rPr>
                <w:sz w:val="20"/>
                <w:szCs w:val="20"/>
                <w:color w:val="auto"/>
              </w:rPr>
            </w:pPr>
            <w:r>
              <w:rPr>
                <w:rFonts w:ascii="Times New Roman" w:cs="Times New Roman" w:eastAsia="Times New Roman" w:hAnsi="Times New Roman"/>
                <w:sz w:val="15"/>
                <w:szCs w:val="15"/>
                <w:color w:val="auto"/>
                <w:w w:val="96"/>
              </w:rPr>
              <w:t>$2,614</w:t>
            </w:r>
          </w:p>
        </w:tc>
        <w:tc>
          <w:tcPr>
            <w:tcW w:w="600" w:type="dxa"/>
            <w:vAlign w:val="bottom"/>
            <w:tcBorders>
              <w:right w:val="single" w:sz="8" w:color="auto"/>
            </w:tcBorders>
          </w:tcPr>
          <w:p>
            <w:pPr>
              <w:spacing w:after="0"/>
              <w:rPr>
                <w:sz w:val="22"/>
                <w:szCs w:val="22"/>
                <w:color w:val="auto"/>
              </w:rPr>
            </w:pPr>
          </w:p>
        </w:tc>
        <w:tc>
          <w:tcPr>
            <w:tcW w:w="1040" w:type="dxa"/>
            <w:vAlign w:val="bottom"/>
          </w:tcPr>
          <w:p>
            <w:pPr>
              <w:jc w:val="center"/>
              <w:ind w:left="468"/>
              <w:spacing w:after="0"/>
              <w:rPr>
                <w:sz w:val="20"/>
                <w:szCs w:val="20"/>
                <w:color w:val="auto"/>
              </w:rPr>
            </w:pPr>
            <w:r>
              <w:rPr>
                <w:rFonts w:ascii="Times New Roman" w:cs="Times New Roman" w:eastAsia="Times New Roman" w:hAnsi="Times New Roman"/>
                <w:sz w:val="15"/>
                <w:szCs w:val="15"/>
                <w:color w:val="auto"/>
                <w:w w:val="95"/>
              </w:rPr>
              <w:t>Q4 2023</w:t>
            </w:r>
          </w:p>
        </w:tc>
        <w:tc>
          <w:tcPr>
            <w:tcW w:w="58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162"/>
        </w:trPr>
        <w:tc>
          <w:tcPr>
            <w:tcW w:w="2000" w:type="dxa"/>
            <w:vAlign w:val="bottom"/>
            <w:tcBorders>
              <w:left w:val="single" w:sz="8" w:color="auto"/>
              <w:bottom w:val="single" w:sz="8" w:color="auto"/>
              <w:right w:val="single" w:sz="8" w:color="auto"/>
            </w:tcBorders>
          </w:tcPr>
          <w:p>
            <w:pPr>
              <w:spacing w:after="0"/>
              <w:rPr>
                <w:sz w:val="14"/>
                <w:szCs w:val="14"/>
                <w:color w:val="auto"/>
              </w:rPr>
            </w:pPr>
          </w:p>
        </w:tc>
        <w:tc>
          <w:tcPr>
            <w:tcW w:w="270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Nutraceutical Products</w:t>
            </w:r>
            <w:r>
              <w:rPr>
                <w:rFonts w:ascii="Times New Roman" w:cs="Times New Roman" w:eastAsia="Times New Roman" w:hAnsi="Times New Roman"/>
                <w:sz w:val="19"/>
                <w:szCs w:val="19"/>
                <w:color w:val="auto"/>
                <w:vertAlign w:val="superscript"/>
              </w:rPr>
              <w:t>(15)</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Inventory fulfillment</w:t>
            </w:r>
          </w:p>
        </w:tc>
        <w:tc>
          <w:tcPr>
            <w:tcW w:w="1060" w:type="dxa"/>
            <w:vAlign w:val="bottom"/>
            <w:tcBorders>
              <w:bottom w:val="single" w:sz="8" w:color="auto"/>
            </w:tcBorders>
          </w:tcPr>
          <w:p>
            <w:pPr>
              <w:jc w:val="center"/>
              <w:ind w:left="407"/>
              <w:spacing w:after="0"/>
              <w:rPr>
                <w:sz w:val="20"/>
                <w:szCs w:val="20"/>
                <w:color w:val="auto"/>
              </w:rPr>
            </w:pPr>
            <w:r>
              <w:rPr>
                <w:rFonts w:ascii="Times New Roman" w:cs="Times New Roman" w:eastAsia="Times New Roman" w:hAnsi="Times New Roman"/>
                <w:sz w:val="15"/>
                <w:szCs w:val="15"/>
                <w:color w:val="auto"/>
                <w:w w:val="97"/>
              </w:rPr>
              <w:t>200</w:t>
            </w:r>
          </w:p>
        </w:tc>
        <w:tc>
          <w:tcPr>
            <w:tcW w:w="52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Nil</w:t>
            </w:r>
          </w:p>
        </w:tc>
        <w:tc>
          <w:tcPr>
            <w:tcW w:w="6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5"/>
                <w:szCs w:val="15"/>
                <w:color w:val="auto"/>
              </w:rPr>
              <w:t>N/A</w:t>
            </w:r>
          </w:p>
        </w:tc>
        <w:tc>
          <w:tcPr>
            <w:tcW w:w="5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Cancelled</w:t>
            </w:r>
          </w:p>
        </w:tc>
        <w:tc>
          <w:tcPr>
            <w:tcW w:w="0" w:type="dxa"/>
            <w:vAlign w:val="bottom"/>
          </w:tcPr>
          <w:p>
            <w:pPr>
              <w:spacing w:after="0"/>
              <w:rPr>
                <w:sz w:val="1"/>
                <w:szCs w:val="1"/>
                <w:color w:val="auto"/>
              </w:rPr>
            </w:pPr>
          </w:p>
        </w:tc>
      </w:tr>
      <w:tr>
        <w:trPr>
          <w:trHeight w:val="195"/>
        </w:trPr>
        <w:tc>
          <w:tcPr>
            <w:tcW w:w="2000" w:type="dxa"/>
            <w:vAlign w:val="bottom"/>
            <w:tcBorders>
              <w:left w:val="single" w:sz="8" w:color="auto"/>
              <w:right w:val="single" w:sz="8" w:color="auto"/>
            </w:tcBorders>
          </w:tcPr>
          <w:p>
            <w:pPr>
              <w:spacing w:after="0"/>
              <w:rPr>
                <w:sz w:val="16"/>
                <w:szCs w:val="16"/>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Product deployment</w:t>
            </w:r>
          </w:p>
        </w:tc>
        <w:tc>
          <w:tcPr>
            <w:tcW w:w="1060" w:type="dxa"/>
            <w:vAlign w:val="bottom"/>
          </w:tcPr>
          <w:p>
            <w:pPr>
              <w:jc w:val="center"/>
              <w:ind w:left="407"/>
              <w:spacing w:after="0"/>
              <w:rPr>
                <w:sz w:val="20"/>
                <w:szCs w:val="20"/>
                <w:color w:val="auto"/>
              </w:rPr>
            </w:pPr>
            <w:r>
              <w:rPr>
                <w:rFonts w:ascii="Times New Roman" w:cs="Times New Roman" w:eastAsia="Times New Roman" w:hAnsi="Times New Roman"/>
                <w:sz w:val="15"/>
                <w:szCs w:val="15"/>
                <w:color w:val="auto"/>
                <w:w w:val="97"/>
              </w:rPr>
              <w:t>200</w:t>
            </w:r>
          </w:p>
        </w:tc>
        <w:tc>
          <w:tcPr>
            <w:tcW w:w="52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Nil</w:t>
            </w:r>
          </w:p>
        </w:tc>
        <w:tc>
          <w:tcPr>
            <w:tcW w:w="600" w:type="dxa"/>
            <w:vAlign w:val="bottom"/>
            <w:tcBorders>
              <w:right w:val="single" w:sz="8" w:color="auto"/>
            </w:tcBorders>
          </w:tcPr>
          <w:p>
            <w:pPr>
              <w:spacing w:after="0"/>
              <w:rPr>
                <w:sz w:val="16"/>
                <w:szCs w:val="16"/>
                <w:color w:val="auto"/>
              </w:rPr>
            </w:pPr>
          </w:p>
        </w:tc>
        <w:tc>
          <w:tcPr>
            <w:tcW w:w="1040" w:type="dxa"/>
            <w:vAlign w:val="bottom"/>
          </w:tcPr>
          <w:p>
            <w:pPr>
              <w:jc w:val="center"/>
              <w:ind w:left="468"/>
              <w:spacing w:after="0"/>
              <w:rPr>
                <w:sz w:val="20"/>
                <w:szCs w:val="20"/>
                <w:color w:val="auto"/>
              </w:rPr>
            </w:pPr>
            <w:r>
              <w:rPr>
                <w:rFonts w:ascii="Times New Roman" w:cs="Times New Roman" w:eastAsia="Times New Roman" w:hAnsi="Times New Roman"/>
                <w:sz w:val="15"/>
                <w:szCs w:val="15"/>
                <w:color w:val="auto"/>
              </w:rPr>
              <w:t>N/A</w:t>
            </w:r>
          </w:p>
        </w:tc>
        <w:tc>
          <w:tcPr>
            <w:tcW w:w="5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Cancelled</w:t>
            </w:r>
          </w:p>
        </w:tc>
        <w:tc>
          <w:tcPr>
            <w:tcW w:w="0" w:type="dxa"/>
            <w:vAlign w:val="bottom"/>
          </w:tcPr>
          <w:p>
            <w:pPr>
              <w:spacing w:after="0"/>
              <w:rPr>
                <w:sz w:val="1"/>
                <w:szCs w:val="1"/>
                <w:color w:val="auto"/>
              </w:rPr>
            </w:pPr>
          </w:p>
        </w:tc>
      </w:tr>
      <w:tr>
        <w:trPr>
          <w:trHeight w:val="29"/>
        </w:trPr>
        <w:tc>
          <w:tcPr>
            <w:tcW w:w="2000" w:type="dxa"/>
            <w:vAlign w:val="bottom"/>
            <w:tcBorders>
              <w:left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00" w:type="dxa"/>
            <w:vAlign w:val="bottom"/>
            <w:tcBorders>
              <w:left w:val="single" w:sz="8" w:color="auto"/>
              <w:right w:val="single" w:sz="8" w:color="auto"/>
            </w:tcBorders>
          </w:tcPr>
          <w:p>
            <w:pPr>
              <w:spacing w:after="0"/>
              <w:rPr>
                <w:sz w:val="16"/>
                <w:szCs w:val="16"/>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Marketing</w:t>
            </w:r>
          </w:p>
        </w:tc>
        <w:tc>
          <w:tcPr>
            <w:tcW w:w="1060" w:type="dxa"/>
            <w:vAlign w:val="bottom"/>
          </w:tcPr>
          <w:p>
            <w:pPr>
              <w:jc w:val="center"/>
              <w:ind w:left="407"/>
              <w:spacing w:after="0"/>
              <w:rPr>
                <w:sz w:val="20"/>
                <w:szCs w:val="20"/>
                <w:color w:val="auto"/>
              </w:rPr>
            </w:pPr>
            <w:r>
              <w:rPr>
                <w:rFonts w:ascii="Times New Roman" w:cs="Times New Roman" w:eastAsia="Times New Roman" w:hAnsi="Times New Roman"/>
                <w:sz w:val="15"/>
                <w:szCs w:val="15"/>
                <w:color w:val="auto"/>
                <w:w w:val="97"/>
              </w:rPr>
              <w:t>100</w:t>
            </w:r>
          </w:p>
        </w:tc>
        <w:tc>
          <w:tcPr>
            <w:tcW w:w="52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Nil</w:t>
            </w:r>
          </w:p>
        </w:tc>
        <w:tc>
          <w:tcPr>
            <w:tcW w:w="600" w:type="dxa"/>
            <w:vAlign w:val="bottom"/>
            <w:tcBorders>
              <w:right w:val="single" w:sz="8" w:color="auto"/>
            </w:tcBorders>
          </w:tcPr>
          <w:p>
            <w:pPr>
              <w:spacing w:after="0"/>
              <w:rPr>
                <w:sz w:val="16"/>
                <w:szCs w:val="16"/>
                <w:color w:val="auto"/>
              </w:rPr>
            </w:pPr>
          </w:p>
        </w:tc>
        <w:tc>
          <w:tcPr>
            <w:tcW w:w="1040" w:type="dxa"/>
            <w:vAlign w:val="bottom"/>
          </w:tcPr>
          <w:p>
            <w:pPr>
              <w:jc w:val="center"/>
              <w:ind w:left="468"/>
              <w:spacing w:after="0"/>
              <w:rPr>
                <w:sz w:val="20"/>
                <w:szCs w:val="20"/>
                <w:color w:val="auto"/>
              </w:rPr>
            </w:pPr>
            <w:r>
              <w:rPr>
                <w:rFonts w:ascii="Times New Roman" w:cs="Times New Roman" w:eastAsia="Times New Roman" w:hAnsi="Times New Roman"/>
                <w:sz w:val="15"/>
                <w:szCs w:val="15"/>
                <w:color w:val="auto"/>
              </w:rPr>
              <w:t>N/A</w:t>
            </w:r>
          </w:p>
        </w:tc>
        <w:tc>
          <w:tcPr>
            <w:tcW w:w="5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Cancelled</w:t>
            </w:r>
          </w:p>
        </w:tc>
        <w:tc>
          <w:tcPr>
            <w:tcW w:w="0" w:type="dxa"/>
            <w:vAlign w:val="bottom"/>
          </w:tcPr>
          <w:p>
            <w:pPr>
              <w:spacing w:after="0"/>
              <w:rPr>
                <w:sz w:val="1"/>
                <w:szCs w:val="1"/>
                <w:color w:val="auto"/>
              </w:rPr>
            </w:pPr>
          </w:p>
        </w:tc>
      </w:tr>
      <w:tr>
        <w:trPr>
          <w:trHeight w:val="29"/>
        </w:trPr>
        <w:tc>
          <w:tcPr>
            <w:tcW w:w="2000" w:type="dxa"/>
            <w:vAlign w:val="bottom"/>
            <w:tcBorders>
              <w:left w:val="single" w:sz="8" w:color="auto"/>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Technology Programs</w:t>
            </w: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Marketing</w:t>
            </w:r>
            <w:r>
              <w:rPr>
                <w:rFonts w:ascii="Times New Roman" w:cs="Times New Roman" w:eastAsia="Times New Roman" w:hAnsi="Times New Roman"/>
                <w:sz w:val="19"/>
                <w:szCs w:val="19"/>
                <w:color w:val="auto"/>
                <w:vertAlign w:val="superscript"/>
              </w:rPr>
              <w:t>(14)</w:t>
            </w:r>
          </w:p>
        </w:tc>
        <w:tc>
          <w:tcPr>
            <w:tcW w:w="1060" w:type="dxa"/>
            <w:vAlign w:val="bottom"/>
            <w:vMerge w:val="restart"/>
          </w:tcPr>
          <w:p>
            <w:pPr>
              <w:jc w:val="center"/>
              <w:ind w:left="427"/>
              <w:spacing w:after="0"/>
              <w:rPr>
                <w:sz w:val="20"/>
                <w:szCs w:val="20"/>
                <w:color w:val="auto"/>
              </w:rPr>
            </w:pPr>
            <w:r>
              <w:rPr>
                <w:rFonts w:ascii="Times New Roman" w:cs="Times New Roman" w:eastAsia="Times New Roman" w:hAnsi="Times New Roman"/>
                <w:sz w:val="15"/>
                <w:szCs w:val="15"/>
                <w:color w:val="auto"/>
              </w:rPr>
              <w:t>Nil</w:t>
            </w:r>
          </w:p>
        </w:tc>
        <w:tc>
          <w:tcPr>
            <w:tcW w:w="52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Nil</w:t>
            </w:r>
          </w:p>
        </w:tc>
        <w:tc>
          <w:tcPr>
            <w:tcW w:w="600" w:type="dxa"/>
            <w:vAlign w:val="bottom"/>
            <w:tcBorders>
              <w:right w:val="single" w:sz="8" w:color="auto"/>
            </w:tcBorders>
          </w:tcPr>
          <w:p>
            <w:pPr>
              <w:spacing w:after="0"/>
              <w:rPr>
                <w:sz w:val="20"/>
                <w:szCs w:val="20"/>
                <w:color w:val="auto"/>
              </w:rPr>
            </w:pPr>
          </w:p>
        </w:tc>
        <w:tc>
          <w:tcPr>
            <w:tcW w:w="1040" w:type="dxa"/>
            <w:vAlign w:val="bottom"/>
            <w:vMerge w:val="restart"/>
          </w:tcPr>
          <w:p>
            <w:pPr>
              <w:jc w:val="center"/>
              <w:ind w:left="468"/>
              <w:spacing w:after="0"/>
              <w:rPr>
                <w:sz w:val="20"/>
                <w:szCs w:val="20"/>
                <w:color w:val="auto"/>
              </w:rPr>
            </w:pPr>
            <w:r>
              <w:rPr>
                <w:rFonts w:ascii="Times New Roman" w:cs="Times New Roman" w:eastAsia="Times New Roman" w:hAnsi="Times New Roman"/>
                <w:sz w:val="15"/>
                <w:szCs w:val="15"/>
                <w:color w:val="auto"/>
              </w:rPr>
              <w:t>N/A</w:t>
            </w:r>
          </w:p>
        </w:tc>
        <w:tc>
          <w:tcPr>
            <w:tcW w:w="5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Cancelled</w:t>
            </w:r>
          </w:p>
        </w:tc>
        <w:tc>
          <w:tcPr>
            <w:tcW w:w="0" w:type="dxa"/>
            <w:vAlign w:val="bottom"/>
          </w:tcPr>
          <w:p>
            <w:pPr>
              <w:spacing w:after="0"/>
              <w:rPr>
                <w:sz w:val="1"/>
                <w:szCs w:val="1"/>
                <w:color w:val="auto"/>
              </w:rPr>
            </w:pPr>
          </w:p>
        </w:tc>
      </w:tr>
      <w:tr>
        <w:trPr>
          <w:trHeight w:val="44"/>
        </w:trPr>
        <w:tc>
          <w:tcPr>
            <w:tcW w:w="2000" w:type="dxa"/>
            <w:vAlign w:val="bottom"/>
            <w:tcBorders>
              <w:left w:val="single" w:sz="8" w:color="auto"/>
              <w:right w:val="single" w:sz="8" w:color="auto"/>
            </w:tcBorders>
          </w:tcPr>
          <w:p>
            <w:pPr>
              <w:spacing w:after="0"/>
              <w:rPr>
                <w:sz w:val="3"/>
                <w:szCs w:val="3"/>
                <w:color w:val="auto"/>
              </w:rPr>
            </w:pPr>
          </w:p>
        </w:tc>
        <w:tc>
          <w:tcPr>
            <w:tcW w:w="2700" w:type="dxa"/>
            <w:vAlign w:val="bottom"/>
            <w:tcBorders>
              <w:right w:val="single" w:sz="8" w:color="auto"/>
            </w:tcBorders>
          </w:tcPr>
          <w:p>
            <w:pPr>
              <w:spacing w:after="0"/>
              <w:rPr>
                <w:sz w:val="3"/>
                <w:szCs w:val="3"/>
                <w:color w:val="auto"/>
              </w:rPr>
            </w:pPr>
          </w:p>
        </w:tc>
        <w:tc>
          <w:tcPr>
            <w:tcW w:w="1060" w:type="dxa"/>
            <w:vAlign w:val="bottom"/>
            <w:vMerge w:val="continue"/>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1040" w:type="dxa"/>
            <w:vAlign w:val="bottom"/>
            <w:vMerge w:val="continue"/>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166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000" w:type="dxa"/>
            <w:vAlign w:val="bottom"/>
            <w:tcBorders>
              <w:left w:val="single" w:sz="8" w:color="auto"/>
              <w:right w:val="single" w:sz="8" w:color="auto"/>
            </w:tcBorders>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00" w:type="dxa"/>
            <w:vAlign w:val="bottom"/>
            <w:tcBorders>
              <w:left w:val="single" w:sz="8" w:color="auto"/>
              <w:right w:val="single" w:sz="8" w:color="auto"/>
            </w:tcBorders>
          </w:tcPr>
          <w:p>
            <w:pPr>
              <w:spacing w:after="0"/>
              <w:rPr>
                <w:sz w:val="15"/>
                <w:szCs w:val="15"/>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Development of patient digital therapy</w:t>
            </w:r>
          </w:p>
        </w:tc>
        <w:tc>
          <w:tcPr>
            <w:tcW w:w="10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00" w:type="dxa"/>
            <w:vAlign w:val="bottom"/>
            <w:tcBorders>
              <w:left w:val="single" w:sz="8" w:color="auto"/>
              <w:right w:val="single" w:sz="8" w:color="auto"/>
            </w:tcBorders>
          </w:tcPr>
          <w:p>
            <w:pPr>
              <w:spacing w:after="0"/>
              <w:rPr>
                <w:sz w:val="22"/>
                <w:szCs w:val="22"/>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platform</w:t>
            </w:r>
            <w:r>
              <w:rPr>
                <w:rFonts w:ascii="Times New Roman" w:cs="Times New Roman" w:eastAsia="Times New Roman" w:hAnsi="Times New Roman"/>
                <w:sz w:val="19"/>
                <w:szCs w:val="19"/>
                <w:color w:val="auto"/>
                <w:vertAlign w:val="superscript"/>
              </w:rPr>
              <w:t>(15)</w:t>
            </w:r>
          </w:p>
        </w:tc>
        <w:tc>
          <w:tcPr>
            <w:tcW w:w="1060" w:type="dxa"/>
            <w:vAlign w:val="bottom"/>
          </w:tcPr>
          <w:p>
            <w:pPr>
              <w:jc w:val="center"/>
              <w:ind w:left="427"/>
              <w:spacing w:after="0"/>
              <w:rPr>
                <w:sz w:val="20"/>
                <w:szCs w:val="20"/>
                <w:color w:val="auto"/>
              </w:rPr>
            </w:pPr>
            <w:r>
              <w:rPr>
                <w:rFonts w:ascii="Times New Roman" w:cs="Times New Roman" w:eastAsia="Times New Roman" w:hAnsi="Times New Roman"/>
                <w:sz w:val="15"/>
                <w:szCs w:val="15"/>
                <w:color w:val="auto"/>
              </w:rPr>
              <w:t>$0</w:t>
            </w:r>
          </w:p>
        </w:tc>
        <w:tc>
          <w:tcPr>
            <w:tcW w:w="520" w:type="dxa"/>
            <w:vAlign w:val="bottom"/>
            <w:tcBorders>
              <w:right w:val="single" w:sz="8" w:color="auto"/>
            </w:tcBorders>
          </w:tcPr>
          <w:p>
            <w:pPr>
              <w:spacing w:after="0"/>
              <w:rPr>
                <w:sz w:val="22"/>
                <w:szCs w:val="22"/>
                <w:color w:val="auto"/>
              </w:rPr>
            </w:pPr>
          </w:p>
        </w:tc>
        <w:tc>
          <w:tcPr>
            <w:tcW w:w="1080" w:type="dxa"/>
            <w:vAlign w:val="bottom"/>
            <w:gridSpan w:val="2"/>
          </w:tcPr>
          <w:p>
            <w:pPr>
              <w:jc w:val="center"/>
              <w:ind w:left="489"/>
              <w:spacing w:after="0"/>
              <w:rPr>
                <w:sz w:val="20"/>
                <w:szCs w:val="20"/>
                <w:color w:val="auto"/>
              </w:rPr>
            </w:pPr>
            <w:r>
              <w:rPr>
                <w:rFonts w:ascii="Times New Roman" w:cs="Times New Roman" w:eastAsia="Times New Roman" w:hAnsi="Times New Roman"/>
                <w:sz w:val="15"/>
                <w:szCs w:val="15"/>
                <w:color w:val="auto"/>
                <w:w w:val="96"/>
              </w:rPr>
              <w:t>$1,593</w:t>
            </w:r>
          </w:p>
        </w:tc>
        <w:tc>
          <w:tcPr>
            <w:tcW w:w="600" w:type="dxa"/>
            <w:vAlign w:val="bottom"/>
            <w:tcBorders>
              <w:right w:val="single" w:sz="8" w:color="auto"/>
            </w:tcBorders>
          </w:tcPr>
          <w:p>
            <w:pPr>
              <w:spacing w:after="0"/>
              <w:rPr>
                <w:sz w:val="22"/>
                <w:szCs w:val="22"/>
                <w:color w:val="auto"/>
              </w:rPr>
            </w:pPr>
          </w:p>
        </w:tc>
        <w:tc>
          <w:tcPr>
            <w:tcW w:w="1040" w:type="dxa"/>
            <w:vAlign w:val="bottom"/>
          </w:tcPr>
          <w:p>
            <w:pPr>
              <w:jc w:val="center"/>
              <w:ind w:left="468"/>
              <w:spacing w:after="0"/>
              <w:rPr>
                <w:sz w:val="20"/>
                <w:szCs w:val="20"/>
                <w:color w:val="auto"/>
              </w:rPr>
            </w:pPr>
            <w:r>
              <w:rPr>
                <w:rFonts w:ascii="Times New Roman" w:cs="Times New Roman" w:eastAsia="Times New Roman" w:hAnsi="Times New Roman"/>
                <w:sz w:val="15"/>
                <w:szCs w:val="15"/>
                <w:color w:val="auto"/>
                <w:w w:val="95"/>
              </w:rPr>
              <w:t>Q2 2022</w:t>
            </w:r>
          </w:p>
        </w:tc>
        <w:tc>
          <w:tcPr>
            <w:tcW w:w="58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162"/>
        </w:trPr>
        <w:tc>
          <w:tcPr>
            <w:tcW w:w="2000" w:type="dxa"/>
            <w:vAlign w:val="bottom"/>
            <w:tcBorders>
              <w:left w:val="single" w:sz="8" w:color="auto"/>
              <w:right w:val="single" w:sz="8" w:color="auto"/>
            </w:tcBorders>
          </w:tcPr>
          <w:p>
            <w:pPr>
              <w:spacing w:after="0"/>
              <w:rPr>
                <w:sz w:val="14"/>
                <w:szCs w:val="14"/>
                <w:color w:val="auto"/>
              </w:rPr>
            </w:pPr>
          </w:p>
        </w:tc>
        <w:tc>
          <w:tcPr>
            <w:tcW w:w="270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00" w:type="dxa"/>
            <w:vAlign w:val="bottom"/>
            <w:tcBorders>
              <w:left w:val="single" w:sz="8" w:color="auto"/>
              <w:right w:val="single" w:sz="8" w:color="auto"/>
            </w:tcBorders>
          </w:tcPr>
          <w:p>
            <w:pPr>
              <w:spacing w:after="0"/>
              <w:rPr>
                <w:sz w:val="15"/>
                <w:szCs w:val="15"/>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w w:val="98"/>
              </w:rPr>
              <w:t>Sponsorship of studies utilizing Kernel Flow</w:t>
            </w:r>
          </w:p>
        </w:tc>
        <w:tc>
          <w:tcPr>
            <w:tcW w:w="10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00" w:type="dxa"/>
            <w:vAlign w:val="bottom"/>
            <w:tcBorders>
              <w:left w:val="single" w:sz="8" w:color="auto"/>
              <w:right w:val="single" w:sz="8" w:color="auto"/>
            </w:tcBorders>
          </w:tcPr>
          <w:p>
            <w:pPr>
              <w:spacing w:after="0"/>
              <w:rPr>
                <w:sz w:val="22"/>
                <w:szCs w:val="22"/>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technology</w:t>
            </w:r>
            <w:r>
              <w:rPr>
                <w:rFonts w:ascii="Times New Roman" w:cs="Times New Roman" w:eastAsia="Times New Roman" w:hAnsi="Times New Roman"/>
                <w:sz w:val="19"/>
                <w:szCs w:val="19"/>
                <w:color w:val="auto"/>
                <w:vertAlign w:val="superscript"/>
              </w:rPr>
              <w:t>(16)</w:t>
            </w:r>
          </w:p>
        </w:tc>
        <w:tc>
          <w:tcPr>
            <w:tcW w:w="1060" w:type="dxa"/>
            <w:vAlign w:val="bottom"/>
          </w:tcPr>
          <w:p>
            <w:pPr>
              <w:jc w:val="center"/>
              <w:ind w:left="427"/>
              <w:spacing w:after="0"/>
              <w:rPr>
                <w:sz w:val="20"/>
                <w:szCs w:val="20"/>
                <w:color w:val="auto"/>
              </w:rPr>
            </w:pPr>
            <w:r>
              <w:rPr>
                <w:rFonts w:ascii="Times New Roman" w:cs="Times New Roman" w:eastAsia="Times New Roman" w:hAnsi="Times New Roman"/>
                <w:sz w:val="15"/>
                <w:szCs w:val="15"/>
                <w:color w:val="auto"/>
                <w:w w:val="96"/>
              </w:rPr>
              <w:t>$2,363</w:t>
            </w:r>
          </w:p>
        </w:tc>
        <w:tc>
          <w:tcPr>
            <w:tcW w:w="520" w:type="dxa"/>
            <w:vAlign w:val="bottom"/>
            <w:tcBorders>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jc w:val="center"/>
              <w:ind w:right="27"/>
              <w:spacing w:after="0"/>
              <w:rPr>
                <w:sz w:val="20"/>
                <w:szCs w:val="20"/>
                <w:color w:val="auto"/>
              </w:rPr>
            </w:pPr>
            <w:r>
              <w:rPr>
                <w:rFonts w:ascii="Times New Roman" w:cs="Times New Roman" w:eastAsia="Times New Roman" w:hAnsi="Times New Roman"/>
                <w:sz w:val="15"/>
                <w:szCs w:val="15"/>
                <w:color w:val="auto"/>
                <w:w w:val="93"/>
              </w:rPr>
              <w:t>$521</w:t>
            </w:r>
          </w:p>
        </w:tc>
        <w:tc>
          <w:tcPr>
            <w:tcW w:w="600" w:type="dxa"/>
            <w:vAlign w:val="bottom"/>
            <w:tcBorders>
              <w:right w:val="single" w:sz="8" w:color="auto"/>
            </w:tcBorders>
          </w:tcPr>
          <w:p>
            <w:pPr>
              <w:spacing w:after="0"/>
              <w:rPr>
                <w:sz w:val="22"/>
                <w:szCs w:val="22"/>
                <w:color w:val="auto"/>
              </w:rPr>
            </w:pPr>
          </w:p>
        </w:tc>
        <w:tc>
          <w:tcPr>
            <w:tcW w:w="1040" w:type="dxa"/>
            <w:vAlign w:val="bottom"/>
          </w:tcPr>
          <w:p>
            <w:pPr>
              <w:jc w:val="center"/>
              <w:ind w:left="468"/>
              <w:spacing w:after="0"/>
              <w:rPr>
                <w:sz w:val="20"/>
                <w:szCs w:val="20"/>
                <w:color w:val="auto"/>
              </w:rPr>
            </w:pPr>
            <w:r>
              <w:rPr>
                <w:rFonts w:ascii="Times New Roman" w:cs="Times New Roman" w:eastAsia="Times New Roman" w:hAnsi="Times New Roman"/>
                <w:sz w:val="15"/>
                <w:szCs w:val="15"/>
                <w:color w:val="auto"/>
                <w:w w:val="95"/>
              </w:rPr>
              <w:t>Q4 2022</w:t>
            </w:r>
          </w:p>
        </w:tc>
        <w:tc>
          <w:tcPr>
            <w:tcW w:w="58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 process</w:t>
            </w:r>
          </w:p>
        </w:tc>
        <w:tc>
          <w:tcPr>
            <w:tcW w:w="0" w:type="dxa"/>
            <w:vAlign w:val="bottom"/>
          </w:tcPr>
          <w:p>
            <w:pPr>
              <w:spacing w:after="0"/>
              <w:rPr>
                <w:sz w:val="1"/>
                <w:szCs w:val="1"/>
                <w:color w:val="auto"/>
              </w:rPr>
            </w:pPr>
          </w:p>
        </w:tc>
      </w:tr>
      <w:tr>
        <w:trPr>
          <w:trHeight w:val="162"/>
        </w:trPr>
        <w:tc>
          <w:tcPr>
            <w:tcW w:w="2000" w:type="dxa"/>
            <w:vAlign w:val="bottom"/>
            <w:tcBorders>
              <w:left w:val="single" w:sz="8" w:color="auto"/>
              <w:bottom w:val="single" w:sz="8" w:color="auto"/>
              <w:right w:val="single" w:sz="8" w:color="auto"/>
            </w:tcBorders>
          </w:tcPr>
          <w:p>
            <w:pPr>
              <w:spacing w:after="0"/>
              <w:rPr>
                <w:sz w:val="14"/>
                <w:szCs w:val="14"/>
                <w:color w:val="auto"/>
              </w:rPr>
            </w:pPr>
          </w:p>
        </w:tc>
        <w:tc>
          <w:tcPr>
            <w:tcW w:w="270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gridSpan w:val="2"/>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00" w:type="dxa"/>
            <w:vAlign w:val="bottom"/>
            <w:tcBorders>
              <w:left w:val="single" w:sz="8" w:color="auto"/>
              <w:bottom w:val="single" w:sz="8" w:color="D9D9D9"/>
              <w:right w:val="single" w:sz="8" w:color="auto"/>
            </w:tcBorders>
            <w:shd w:val="clear" w:color="auto" w:fill="D9D9D9"/>
          </w:tcPr>
          <w:p>
            <w:pPr>
              <w:spacing w:after="0"/>
              <w:rPr>
                <w:sz w:val="17"/>
                <w:szCs w:val="17"/>
                <w:color w:val="auto"/>
              </w:rPr>
            </w:pPr>
          </w:p>
        </w:tc>
        <w:tc>
          <w:tcPr>
            <w:tcW w:w="2700" w:type="dxa"/>
            <w:vAlign w:val="bottom"/>
            <w:tcBorders>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60" w:type="dxa"/>
            <w:vAlign w:val="bottom"/>
            <w:tcBorders>
              <w:bottom w:val="single" w:sz="8" w:color="D9D9D9"/>
            </w:tcBorders>
            <w:shd w:val="clear" w:color="auto" w:fill="D9D9D9"/>
          </w:tcPr>
          <w:p>
            <w:pPr>
              <w:jc w:val="center"/>
              <w:ind w:left="427"/>
              <w:spacing w:after="0"/>
              <w:rPr>
                <w:sz w:val="20"/>
                <w:szCs w:val="20"/>
                <w:color w:val="auto"/>
              </w:rPr>
            </w:pPr>
            <w:r>
              <w:rPr>
                <w:rFonts w:ascii="Times New Roman" w:cs="Times New Roman" w:eastAsia="Times New Roman" w:hAnsi="Times New Roman"/>
                <w:sz w:val="15"/>
                <w:szCs w:val="15"/>
                <w:b w:val="1"/>
                <w:bCs w:val="1"/>
                <w:color w:val="auto"/>
                <w:w w:val="96"/>
              </w:rPr>
              <w:t>12,108</w:t>
            </w:r>
          </w:p>
        </w:tc>
        <w:tc>
          <w:tcPr>
            <w:tcW w:w="520" w:type="dxa"/>
            <w:vAlign w:val="bottom"/>
            <w:tcBorders>
              <w:bottom w:val="single" w:sz="8" w:color="D9D9D9"/>
              <w:right w:val="single" w:sz="8" w:color="auto"/>
            </w:tcBorders>
            <w:shd w:val="clear" w:color="auto" w:fill="D9D9D9"/>
          </w:tcPr>
          <w:p>
            <w:pPr>
              <w:spacing w:after="0"/>
              <w:rPr>
                <w:sz w:val="17"/>
                <w:szCs w:val="17"/>
                <w:color w:val="auto"/>
              </w:rPr>
            </w:pPr>
          </w:p>
        </w:tc>
        <w:tc>
          <w:tcPr>
            <w:tcW w:w="1080" w:type="dxa"/>
            <w:vAlign w:val="bottom"/>
            <w:tcBorders>
              <w:bottom w:val="single" w:sz="8" w:color="D9D9D9"/>
            </w:tcBorders>
            <w:gridSpan w:val="2"/>
            <w:shd w:val="clear" w:color="auto" w:fill="D9D9D9"/>
          </w:tcPr>
          <w:p>
            <w:pPr>
              <w:jc w:val="center"/>
              <w:ind w:left="489"/>
              <w:spacing w:after="0"/>
              <w:rPr>
                <w:sz w:val="20"/>
                <w:szCs w:val="20"/>
                <w:color w:val="auto"/>
              </w:rPr>
            </w:pPr>
            <w:r>
              <w:rPr>
                <w:rFonts w:ascii="Times New Roman" w:cs="Times New Roman" w:eastAsia="Times New Roman" w:hAnsi="Times New Roman"/>
                <w:sz w:val="15"/>
                <w:szCs w:val="15"/>
                <w:b w:val="1"/>
                <w:bCs w:val="1"/>
                <w:color w:val="auto"/>
                <w:w w:val="96"/>
              </w:rPr>
              <w:t>31,043</w:t>
            </w:r>
          </w:p>
        </w:tc>
        <w:tc>
          <w:tcPr>
            <w:tcW w:w="600" w:type="dxa"/>
            <w:vAlign w:val="bottom"/>
            <w:tcBorders>
              <w:bottom w:val="single" w:sz="8" w:color="D9D9D9"/>
              <w:right w:val="single" w:sz="8" w:color="auto"/>
            </w:tcBorders>
            <w:shd w:val="clear" w:color="auto" w:fill="D9D9D9"/>
          </w:tcPr>
          <w:p>
            <w:pPr>
              <w:spacing w:after="0"/>
              <w:rPr>
                <w:sz w:val="17"/>
                <w:szCs w:val="17"/>
                <w:color w:val="auto"/>
              </w:rPr>
            </w:pPr>
          </w:p>
        </w:tc>
        <w:tc>
          <w:tcPr>
            <w:tcW w:w="1040" w:type="dxa"/>
            <w:vAlign w:val="bottom"/>
            <w:tcBorders>
              <w:bottom w:val="single" w:sz="8" w:color="D9D9D9"/>
            </w:tcBorders>
            <w:shd w:val="clear" w:color="auto" w:fill="D9D9D9"/>
          </w:tcPr>
          <w:p>
            <w:pPr>
              <w:spacing w:after="0"/>
              <w:rPr>
                <w:sz w:val="17"/>
                <w:szCs w:val="17"/>
                <w:color w:val="auto"/>
              </w:rPr>
            </w:pPr>
          </w:p>
        </w:tc>
        <w:tc>
          <w:tcPr>
            <w:tcW w:w="580" w:type="dxa"/>
            <w:vAlign w:val="bottom"/>
            <w:tcBorders>
              <w:bottom w:val="single" w:sz="8" w:color="D9D9D9"/>
              <w:right w:val="single" w:sz="8" w:color="auto"/>
            </w:tcBorders>
            <w:shd w:val="clear" w:color="auto" w:fill="D9D9D9"/>
          </w:tcPr>
          <w:p>
            <w:pPr>
              <w:spacing w:after="0"/>
              <w:rPr>
                <w:sz w:val="17"/>
                <w:szCs w:val="17"/>
                <w:color w:val="auto"/>
              </w:rPr>
            </w:pPr>
          </w:p>
        </w:tc>
        <w:tc>
          <w:tcPr>
            <w:tcW w:w="1660" w:type="dxa"/>
            <w:vAlign w:val="bottom"/>
            <w:tcBorders>
              <w:bottom w:val="single" w:sz="8" w:color="D9D9D9"/>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70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04"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704" w:right="339" w:bottom="1440" w:gutter="0" w:footer="0" w:header="0"/>
          <w:type w:val="continuous"/>
        </w:sectPr>
      </w:pPr>
    </w:p>
    <w:bookmarkStart w:id="168" w:name="page169"/>
    <w:bookmarkEnd w:id="168"/>
    <w:p>
      <w:pPr>
        <w:ind w:left="2"/>
        <w:spacing w:after="0"/>
        <w:rPr>
          <w:sz w:val="20"/>
          <w:szCs w:val="20"/>
          <w:color w:val="auto"/>
        </w:rPr>
      </w:pPr>
      <w:r>
        <w:rPr>
          <w:rFonts w:ascii="Times New Roman" w:cs="Times New Roman" w:eastAsia="Times New Roman" w:hAnsi="Times New Roman"/>
          <w:sz w:val="15"/>
          <w:szCs w:val="15"/>
          <w:b w:val="1"/>
          <w:bCs w:val="1"/>
          <w:u w:val="single" w:color="auto"/>
          <w:color w:val="auto"/>
        </w:rPr>
        <w:t>Notes</w:t>
      </w:r>
      <w:r>
        <w:rPr>
          <w:rFonts w:ascii="Times New Roman" w:cs="Times New Roman" w:eastAsia="Times New Roman" w:hAnsi="Times New Roman"/>
          <w:sz w:val="15"/>
          <w:szCs w:val="15"/>
          <w:u w:val="single" w:color="auto"/>
          <w:color w:val="auto"/>
        </w:rPr>
        <w:t>:</w:t>
      </w:r>
    </w:p>
    <w:p>
      <w:pPr>
        <w:spacing w:after="0" w:line="49" w:lineRule="exact"/>
        <w:rPr>
          <w:sz w:val="20"/>
          <w:szCs w:val="20"/>
          <w:color w:val="auto"/>
        </w:rPr>
      </w:pPr>
    </w:p>
    <w:p>
      <w:pPr>
        <w:ind w:left="342" w:hanging="342"/>
        <w:spacing w:after="0"/>
        <w:tabs>
          <w:tab w:leader="none" w:pos="342"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may be circumstances where for sound business reasons the Company reallocates the funds or determines to not proceed with a milestone.</w:t>
      </w:r>
    </w:p>
    <w:p>
      <w:pPr>
        <w:spacing w:after="0" w:line="18" w:lineRule="exact"/>
        <w:rPr>
          <w:rFonts w:ascii="Times New Roman" w:cs="Times New Roman" w:eastAsia="Times New Roman" w:hAnsi="Times New Roman"/>
          <w:sz w:val="15"/>
          <w:szCs w:val="15"/>
          <w:color w:val="auto"/>
        </w:rPr>
      </w:pPr>
    </w:p>
    <w:p>
      <w:pPr>
        <w:ind w:left="322" w:hanging="322"/>
        <w:spacing w:after="0"/>
        <w:tabs>
          <w:tab w:leader="none" w:pos="322"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receipt of all necessary approvals, including the academic and scientific organizations with which the Company is working.</w:t>
      </w:r>
    </w:p>
    <w:p>
      <w:pPr>
        <w:spacing w:after="0" w:line="7" w:lineRule="exact"/>
        <w:rPr>
          <w:rFonts w:ascii="Times New Roman" w:cs="Times New Roman" w:eastAsia="Times New Roman" w:hAnsi="Times New Roman"/>
          <w:sz w:val="15"/>
          <w:szCs w:val="15"/>
          <w:color w:val="auto"/>
        </w:rPr>
      </w:pPr>
    </w:p>
    <w:p>
      <w:pPr>
        <w:ind w:left="322" w:hanging="322"/>
        <w:spacing w:after="0"/>
        <w:tabs>
          <w:tab w:leader="none" w:pos="322"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amounts have been converted from USD to CAD at an exchange rate of 1.28:1 and all dollar amounts presented in thousands.</w:t>
      </w:r>
    </w:p>
    <w:p>
      <w:pPr>
        <w:spacing w:after="0" w:line="2" w:lineRule="exact"/>
        <w:rPr>
          <w:rFonts w:ascii="Times New Roman" w:cs="Times New Roman" w:eastAsia="Times New Roman" w:hAnsi="Times New Roman"/>
          <w:sz w:val="15"/>
          <w:szCs w:val="15"/>
          <w:color w:val="auto"/>
        </w:rPr>
      </w:pPr>
    </w:p>
    <w:p>
      <w:pPr>
        <w:ind w:left="322" w:hanging="322"/>
        <w:spacing w:after="0"/>
        <w:tabs>
          <w:tab w:leader="none" w:pos="322"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total expenditure may be incurred by the Company after the relevant quarter that is indicated as the target timeframe for completion.</w:t>
      </w:r>
    </w:p>
    <w:p>
      <w:pPr>
        <w:spacing w:after="0" w:line="7" w:lineRule="exact"/>
        <w:rPr>
          <w:rFonts w:ascii="Times New Roman" w:cs="Times New Roman" w:eastAsia="Times New Roman" w:hAnsi="Times New Roman"/>
          <w:sz w:val="15"/>
          <w:szCs w:val="15"/>
          <w:color w:val="auto"/>
        </w:rPr>
      </w:pPr>
    </w:p>
    <w:p>
      <w:pPr>
        <w:ind w:left="322" w:hanging="322"/>
        <w:spacing w:after="0" w:line="220" w:lineRule="auto"/>
        <w:tabs>
          <w:tab w:leader="none" w:pos="322"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a calendar year-end.</w:t>
      </w:r>
    </w:p>
    <w:p>
      <w:pPr>
        <w:ind w:left="322" w:hanging="322"/>
        <w:spacing w:after="0"/>
        <w:tabs>
          <w:tab w:leader="none" w:pos="322"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milestone was previously expected to be completed in Q2 2021, as disclosed in the Listing Statement. However, the milestone was completed earlier than expected, in Q1 2021, due</w:t>
      </w:r>
    </w:p>
    <w:p>
      <w:pPr>
        <w:spacing w:after="0" w:line="10" w:lineRule="exact"/>
        <w:rPr>
          <w:sz w:val="20"/>
          <w:szCs w:val="20"/>
          <w:color w:val="auto"/>
        </w:rPr>
      </w:pPr>
    </w:p>
    <w:p>
      <w:pPr>
        <w:jc w:val="both"/>
        <w:ind w:left="582" w:right="20"/>
        <w:spacing w:after="0" w:line="226" w:lineRule="auto"/>
        <w:rPr>
          <w:sz w:val="20"/>
          <w:szCs w:val="20"/>
          <w:color w:val="auto"/>
        </w:rPr>
      </w:pPr>
      <w:r>
        <w:rPr>
          <w:rFonts w:ascii="Times New Roman" w:cs="Times New Roman" w:eastAsia="Times New Roman" w:hAnsi="Times New Roman"/>
          <w:sz w:val="15"/>
          <w:szCs w:val="15"/>
          <w:color w:val="auto"/>
        </w:rPr>
        <w:t>to frustration between Smart Medicines GMP Inc. and Cybin Corp. and this resulted in the termination of the professional services agreement dated June 24, 2020 between Cybin Corp. and Smart Medicines GMP Inc. See “History of the Company” in the AIF. Upon completion of the Adelia Transaction, the Company secured an alternative to the drug master file of synthetic API and novel compounds which Smart Medicines GMP Inc. had been engaged to provide, and now has in-house ability to develop molecules which can be scaled to GMP quantities. See “History of the Company” in the AIF. There are multiple risk factors regarding the ability to successfully commercially scale a chemically synthesized process to obtain psilocybin and other analogues. The Company expects to work with Adelia to provide psilocybin API for further studies, commercial oral film manufacturing and potential sales to research institutes. See “Risk Factors”.</w:t>
      </w:r>
    </w:p>
    <w:p>
      <w:pPr>
        <w:spacing w:after="0" w:line="3" w:lineRule="exact"/>
        <w:rPr>
          <w:sz w:val="20"/>
          <w:szCs w:val="20"/>
          <w:color w:val="auto"/>
        </w:rPr>
      </w:pPr>
    </w:p>
    <w:p>
      <w:pPr>
        <w:ind w:left="582" w:right="20" w:hanging="582"/>
        <w:spacing w:after="0" w:line="226" w:lineRule="auto"/>
        <w:tabs>
          <w:tab w:leader="none" w:pos="33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actual cost is lower than previously anticipated, and as previously disclosed in the Listing Statement, , and the Company’s final prospectus dated February 1, 2021 (the “</w:t>
      </w:r>
      <w:r>
        <w:rPr>
          <w:rFonts w:ascii="Times New Roman" w:cs="Times New Roman" w:eastAsia="Times New Roman" w:hAnsi="Times New Roman"/>
          <w:sz w:val="15"/>
          <w:szCs w:val="15"/>
          <w:b w:val="1"/>
          <w:bCs w:val="1"/>
          <w:color w:val="auto"/>
        </w:rPr>
        <w:t>February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2021 Prospectus</w:t>
      </w:r>
      <w:r>
        <w:rPr>
          <w:rFonts w:ascii="Times New Roman" w:cs="Times New Roman" w:eastAsia="Times New Roman" w:hAnsi="Times New Roman"/>
          <w:sz w:val="15"/>
          <w:szCs w:val="15"/>
          <w:color w:val="auto"/>
        </w:rPr>
        <w:t>”),, as a result of the termination of the professional services agreement dated June 24, 2020 between Cybin Corp. and Smart Medicines GMP Inc. See “</w:t>
      </w:r>
      <w:r>
        <w:rPr>
          <w:rFonts w:ascii="Times New Roman" w:cs="Times New Roman" w:eastAsia="Times New Roman" w:hAnsi="Times New Roman"/>
          <w:sz w:val="15"/>
          <w:szCs w:val="15"/>
          <w:i w:val="1"/>
          <w:iCs w:val="1"/>
          <w:color w:val="auto"/>
        </w:rPr>
        <w:t>History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the Company</w:t>
      </w:r>
      <w:r>
        <w:rPr>
          <w:rFonts w:ascii="Times New Roman" w:cs="Times New Roman" w:eastAsia="Times New Roman" w:hAnsi="Times New Roman"/>
          <w:sz w:val="15"/>
          <w:szCs w:val="15"/>
          <w:color w:val="auto"/>
        </w:rPr>
        <w:t>” in the AIF.</w:t>
      </w:r>
    </w:p>
    <w:p>
      <w:pPr>
        <w:spacing w:after="0" w:line="1" w:lineRule="exact"/>
        <w:rPr>
          <w:rFonts w:ascii="Times New Roman" w:cs="Times New Roman" w:eastAsia="Times New Roman" w:hAnsi="Times New Roman"/>
          <w:sz w:val="15"/>
          <w:szCs w:val="15"/>
          <w:color w:val="auto"/>
        </w:rPr>
      </w:pPr>
    </w:p>
    <w:p>
      <w:pPr>
        <w:jc w:val="both"/>
        <w:ind w:left="582" w:right="20" w:hanging="582"/>
        <w:spacing w:after="0" w:line="203" w:lineRule="auto"/>
        <w:tabs>
          <w:tab w:leader="none" w:pos="582"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light of compelling data related to CYB003, the Company has merged its Psilocybin Program with its deuterated tryptamine CYB003 preclinical program. The Company was previously running the programs in parallel in order to determine the molecules and methods of actions with the most benefits and least amount of drawbacks. This has now evolved into a single program, focusing on both the MDD and AUD indication in the U.S. and UK, to prioritize the advancement of the potentially superior molecule in the most cost effective manner</w:t>
      </w:r>
    </w:p>
    <w:p>
      <w:pPr>
        <w:spacing w:after="0" w:line="2" w:lineRule="exact"/>
        <w:rPr>
          <w:rFonts w:ascii="Times New Roman" w:cs="Times New Roman" w:eastAsia="Times New Roman" w:hAnsi="Times New Roman"/>
          <w:sz w:val="15"/>
          <w:szCs w:val="15"/>
          <w:color w:val="auto"/>
        </w:rPr>
      </w:pPr>
    </w:p>
    <w:p>
      <w:pPr>
        <w:ind w:left="582" w:right="20" w:hanging="582"/>
        <w:spacing w:after="0" w:line="243" w:lineRule="auto"/>
        <w:tabs>
          <w:tab w:leader="none" w:pos="346"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material factors and assumptions underlying this forward-looking statement are: (a)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Further, the Company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 The Company is prioritizing its Deuterated Psilocybin Analog Program</w:t>
      </w:r>
    </w:p>
    <w:p>
      <w:pPr>
        <w:spacing w:after="0" w:line="2" w:lineRule="exact"/>
        <w:rPr>
          <w:rFonts w:ascii="Times New Roman" w:cs="Times New Roman" w:eastAsia="Times New Roman" w:hAnsi="Times New Roman"/>
          <w:sz w:val="15"/>
          <w:szCs w:val="15"/>
          <w:color w:val="auto"/>
        </w:rPr>
      </w:pPr>
    </w:p>
    <w:p>
      <w:pPr>
        <w:ind w:left="582" w:right="20" w:hanging="582"/>
        <w:spacing w:after="0" w:line="243" w:lineRule="auto"/>
        <w:tabs>
          <w:tab w:leader="none" w:pos="394"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currently prioritizing its Deuterated Psilocybin Analog Program and it has merged its efforts from both the Psilocybin Program and the deuterated tryptamine CYB003 preclinical program, focusing on both the MDD and AUD indications in the U.S. and the UK.</w:t>
      </w:r>
    </w:p>
    <w:p>
      <w:pPr>
        <w:spacing w:after="0" w:line="1" w:lineRule="exact"/>
        <w:rPr>
          <w:rFonts w:ascii="Times New Roman" w:cs="Times New Roman" w:eastAsia="Times New Roman" w:hAnsi="Times New Roman"/>
          <w:sz w:val="15"/>
          <w:szCs w:val="15"/>
          <w:color w:val="auto"/>
        </w:rPr>
      </w:pPr>
    </w:p>
    <w:p>
      <w:pPr>
        <w:ind w:left="582" w:right="20" w:hanging="582"/>
        <w:spacing w:after="0" w:line="237" w:lineRule="auto"/>
        <w:tabs>
          <w:tab w:leader="none" w:pos="443"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April 6, 2021, the Company provided notice to the CCPS of its decision to terminate this arrangement, as a result, the actual cost is lower than previously anticipated, and as previously disclosed in the Listing Statement and February 2021 Prospectus. See “</w:t>
      </w:r>
      <w:r>
        <w:rPr>
          <w:rFonts w:ascii="Times New Roman" w:cs="Times New Roman" w:eastAsia="Times New Roman" w:hAnsi="Times New Roman"/>
          <w:sz w:val="15"/>
          <w:szCs w:val="15"/>
          <w:i w:val="1"/>
          <w:iCs w:val="1"/>
          <w:color w:val="auto"/>
        </w:rPr>
        <w:t>History of the Company</w:t>
      </w:r>
      <w:r>
        <w:rPr>
          <w:rFonts w:ascii="Times New Roman" w:cs="Times New Roman" w:eastAsia="Times New Roman" w:hAnsi="Times New Roman"/>
          <w:sz w:val="15"/>
          <w:szCs w:val="15"/>
          <w:color w:val="auto"/>
        </w:rPr>
        <w:t>” in the AIF.</w:t>
      </w:r>
    </w:p>
    <w:p>
      <w:pPr>
        <w:spacing w:after="0" w:line="1" w:lineRule="exact"/>
        <w:rPr>
          <w:rFonts w:ascii="Times New Roman" w:cs="Times New Roman" w:eastAsia="Times New Roman" w:hAnsi="Times New Roman"/>
          <w:sz w:val="15"/>
          <w:szCs w:val="15"/>
          <w:color w:val="auto"/>
        </w:rPr>
      </w:pPr>
    </w:p>
    <w:p>
      <w:pPr>
        <w:ind w:left="582" w:hanging="582"/>
        <w:spacing w:after="0" w:line="252" w:lineRule="auto"/>
        <w:tabs>
          <w:tab w:leader="none" w:pos="407"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Deuterated Tryptamines Program was a new objective following completion of the Adelia Transaction. This business objective requires clinical trial sites, contract manufacturers, certain scale-ups in operation, etc. which may impact the time frame that these are completed. The proceeds allocated include estimated costs associated with the progression of CYB004 to clinical studies over the period from June 1, 2021 up to March 31, 2023. The Company intends to continue pre-clinical studies and other research and development activities throughout the year and has therefore revised its timeline to ongoing. The anticipated timeline is based on, among others, the following material assumptions: (a) the timely and successful completion of certain preclinical studies including but not limited to: (i) complete the development of stable formulations utilizing these APIs; (ii) the development and validation of analytical methods for such formulations; (iii) the scale up of API production processes beyond laboratory scale will be suitable for entry into animal and human studies; (iv) studies of the stability of such formulations will be suitable for human studies; and (v) the development of Chemistry, Manufacturing and Controls to meet cGMP (as defined below); and (b) the Company assumes it will enter into agreements with certain third party vendors to complete a range of additional preclinical programs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There is no assurance that these timelines will be met or that these preclinical drug candidates will advance to clinical trials at all.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3" w:lineRule="exact"/>
        <w:rPr>
          <w:rFonts w:ascii="Times New Roman" w:cs="Times New Roman" w:eastAsia="Times New Roman" w:hAnsi="Times New Roman"/>
          <w:sz w:val="14"/>
          <w:szCs w:val="14"/>
          <w:color w:val="auto"/>
        </w:rPr>
      </w:pPr>
    </w:p>
    <w:p>
      <w:pPr>
        <w:ind w:left="582" w:hanging="582"/>
        <w:spacing w:after="0" w:line="245" w:lineRule="auto"/>
        <w:tabs>
          <w:tab w:leader="none" w:pos="412"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Phenethylamine Preclinical Program was a new objectives following completion of the Adelia Transaction. This business objective requires clinical trial sites, contract manufacturers, certain scale-ups in operation, etc. which may impact the time frame that these are completed. The proceeds allocated include estimated costs for the next 12 months associated with the progression of phenethylamine candidate to clinical studies. The Company anticipates that its phenethylamine program may deliver a drug candidate suitable for entry into clinical studies by Q4 2023, updated from Q4 2022 - Q1 2023, due to certain research and development delays. 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and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w:t>
      </w:r>
    </w:p>
    <w:p>
      <w:pPr>
        <w:spacing w:after="0" w:line="200" w:lineRule="exact"/>
        <w:rPr>
          <w:sz w:val="20"/>
          <w:szCs w:val="20"/>
          <w:color w:val="auto"/>
        </w:rPr>
      </w:pPr>
    </w:p>
    <w:p>
      <w:pPr>
        <w:spacing w:after="0" w:line="34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62"/>
          </w:cols>
          <w:pgMar w:left="318" w:top="809" w:right="319" w:bottom="1440" w:gutter="0" w:footer="0" w:header="0"/>
        </w:sectPr>
      </w:pPr>
    </w:p>
    <w:bookmarkStart w:id="169" w:name="page170"/>
    <w:bookmarkEnd w:id="169"/>
    <w:p>
      <w:pPr>
        <w:jc w:val="both"/>
        <w:ind w:left="582" w:right="20"/>
        <w:spacing w:after="0" w:line="249" w:lineRule="auto"/>
        <w:rPr>
          <w:sz w:val="20"/>
          <w:szCs w:val="20"/>
          <w:color w:val="auto"/>
        </w:rPr>
      </w:pPr>
      <w:r>
        <w:rPr>
          <w:rFonts w:ascii="Times New Roman" w:cs="Times New Roman" w:eastAsia="Times New Roman" w:hAnsi="Times New Roman"/>
          <w:sz w:val="15"/>
          <w:szCs w:val="15"/>
          <w:color w:val="auto"/>
        </w:rPr>
        <w:t>profiling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ind w:left="582" w:right="20" w:hanging="582"/>
        <w:spacing w:after="0" w:line="246" w:lineRule="auto"/>
        <w:tabs>
          <w:tab w:leader="none" w:pos="397"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completed its evaluation of the Product Line and its marketing platform and concluded that it would not proceed with this program in order to prioritize the research and development progression of psychedelic molecules.</w:t>
      </w:r>
    </w:p>
    <w:p>
      <w:pPr>
        <w:ind w:left="582" w:right="20" w:hanging="582"/>
        <w:spacing w:after="0" w:line="242" w:lineRule="auto"/>
        <w:tabs>
          <w:tab w:leader="none" w:pos="385"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proceeds allocated include estimated costs associated to establish the design of a proof of concept. The Company shall base future plans for the Digital platform on the results of the planned proof of concept work. The anticipated timeline to complete the proof of concept work is Q2-2022. This is an update from the previous disclosed milestone which included spend for the ongoing development of the patient digital platform, which was expected to be completed by Q4-2021. The anticipated timeline for completing this objective is based on certain material factors or assumptions including, but not limited to: (i) the demand for, and benefits of, the introduction of the digital therapy platform being materially accurate in light of the Company’s assessment of market and competitive conditions, and (ii) the individuals necessary to develop and operate the digital therapy platform being readily available, and willing to enter into favourable contractual arrangements with the Company in respect thereof.</w:t>
      </w:r>
    </w:p>
    <w:p>
      <w:pPr>
        <w:spacing w:after="0" w:line="3" w:lineRule="exact"/>
        <w:rPr>
          <w:rFonts w:ascii="Times New Roman" w:cs="Times New Roman" w:eastAsia="Times New Roman" w:hAnsi="Times New Roman"/>
          <w:sz w:val="15"/>
          <w:szCs w:val="15"/>
          <w:color w:val="auto"/>
        </w:rPr>
      </w:pPr>
    </w:p>
    <w:p>
      <w:pPr>
        <w:ind w:left="382" w:hanging="382"/>
        <w:spacing w:after="0" w:line="237" w:lineRule="auto"/>
        <w:tabs>
          <w:tab w:leader="none" w:pos="382"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Kernel Flow study will require the identification and recruitment of investigators and development of acceptable study protocols. See “Risk Factors”.</w:t>
      </w:r>
    </w:p>
    <w:p>
      <w:pPr>
        <w:ind w:left="582" w:right="20" w:hanging="582"/>
        <w:spacing w:after="0" w:line="246" w:lineRule="auto"/>
        <w:tabs>
          <w:tab w:leader="none" w:pos="415"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completed clinical trial application filings in Q2 2022 and plans to conduct its first in human trial, in patients with MDD, subject to receiving the necessary approvals. There is no assurance that these timelines will be met or that these preclinical drug candidates will advance to clinical trials at all.</w:t>
      </w:r>
    </w:p>
    <w:p>
      <w:pPr>
        <w:ind w:left="582" w:right="20" w:hanging="582"/>
        <w:spacing w:after="0" w:line="246" w:lineRule="auto"/>
        <w:tabs>
          <w:tab w:leader="none" w:pos="496"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progression of these milestones are expected to be ongoing for the duration of the Deuterated Psilocybin Analog Program, however, the spend presented in the table is representative of the expected expenditures from June 1, 2021 up to March 31, 2023.</w:t>
      </w:r>
    </w:p>
    <w:p>
      <w:pPr>
        <w:ind w:left="382" w:hanging="382"/>
        <w:spacing w:after="0"/>
        <w:tabs>
          <w:tab w:leader="none" w:pos="382"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Due to the timing of the Asset Acquisition, the Company is in the process of determining the anticipated completion date of the study.</w:t>
      </w:r>
    </w:p>
    <w:p>
      <w:pPr>
        <w:spacing w:after="0" w:line="200" w:lineRule="exact"/>
        <w:rPr>
          <w:sz w:val="20"/>
          <w:szCs w:val="20"/>
          <w:color w:val="auto"/>
        </w:rPr>
      </w:pPr>
    </w:p>
    <w:p>
      <w:pPr>
        <w:spacing w:after="0" w:line="226"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183" w:lineRule="exact"/>
        <w:rPr>
          <w:sz w:val="20"/>
          <w:szCs w:val="20"/>
          <w:color w:val="auto"/>
        </w:rPr>
      </w:pPr>
    </w:p>
    <w:p>
      <w:pPr>
        <w:jc w:val="both"/>
        <w:ind w:left="2" w:right="20"/>
        <w:spacing w:after="0" w:line="255" w:lineRule="auto"/>
        <w:rPr>
          <w:sz w:val="20"/>
          <w:szCs w:val="20"/>
          <w:color w:val="auto"/>
        </w:rPr>
      </w:pPr>
      <w:r>
        <w:rPr>
          <w:rFonts w:ascii="Times New Roman" w:cs="Times New Roman" w:eastAsia="Times New Roman" w:hAnsi="Times New Roman"/>
          <w:sz w:val="18"/>
          <w:szCs w:val="18"/>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19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Major Objectives</w:t>
      </w:r>
    </w:p>
    <w:p>
      <w:pPr>
        <w:spacing w:after="0" w:line="237" w:lineRule="exact"/>
        <w:rPr>
          <w:sz w:val="20"/>
          <w:szCs w:val="20"/>
          <w:color w:val="auto"/>
        </w:rPr>
      </w:pPr>
    </w:p>
    <w:p>
      <w:pPr>
        <w:jc w:val="both"/>
        <w:ind w:left="2" w:right="20"/>
        <w:spacing w:after="0" w:line="241" w:lineRule="auto"/>
        <w:rPr>
          <w:sz w:val="20"/>
          <w:szCs w:val="20"/>
          <w:color w:val="auto"/>
        </w:rPr>
      </w:pPr>
      <w:r>
        <w:rPr>
          <w:rFonts w:ascii="Times New Roman" w:cs="Times New Roman" w:eastAsia="Times New Roman" w:hAnsi="Times New Roman"/>
          <w:sz w:val="18"/>
          <w:szCs w:val="18"/>
          <w:color w:val="auto"/>
        </w:rPr>
        <w:t>As of the date of this MD&amp;A, the Company has four major objectives which have not generated revenue. The Company previously had a fifth major objective, however has made the decision to not progress with the Nutraceutical Products Program. In addition, the Company has merged its Psilocybin Program with its CYB003 deuterated tryptamine pre-clinical program and will be prioritizing the progression of the Deuterated Psilocybin Analog Program going forward, as it has been identified as a superior molecule.</w:t>
      </w:r>
    </w:p>
    <w:p>
      <w:pPr>
        <w:spacing w:after="0" w:line="183"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8"/>
          <w:szCs w:val="18"/>
          <w:color w:val="auto"/>
        </w:rPr>
        <w:t>The following is a description of each such objective, including a description of the Company’s plan for such objective, the status of the objective relative to the Company’s plan for such objective and anticipated expenditures to advance the objective to the next stage of the Company’s plan for the specific objective.</w:t>
      </w:r>
    </w:p>
    <w:p>
      <w:pPr>
        <w:spacing w:after="0" w:line="16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Deuterated Psilocybin Analog Program (formerly the Psilocybin Program)</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While oral psilocybin has been demonstrated to be efficacious, the Company recognized the challenges and limitations of the molecule and worked on ways</w:t>
      </w:r>
    </w:p>
    <w:p>
      <w:pPr>
        <w:spacing w:after="0" w:line="8" w:lineRule="exact"/>
        <w:rPr>
          <w:sz w:val="20"/>
          <w:szCs w:val="20"/>
          <w:color w:val="auto"/>
        </w:rPr>
      </w:pPr>
    </w:p>
    <w:p>
      <w:pPr>
        <w:jc w:val="both"/>
        <w:ind w:left="2" w:right="20"/>
        <w:spacing w:after="0" w:line="219" w:lineRule="auto"/>
        <w:rPr>
          <w:sz w:val="20"/>
          <w:szCs w:val="20"/>
          <w:color w:val="auto"/>
        </w:rPr>
      </w:pPr>
      <w:r>
        <w:rPr>
          <w:rFonts w:ascii="Times New Roman" w:cs="Times New Roman" w:eastAsia="Times New Roman" w:hAnsi="Times New Roman"/>
          <w:sz w:val="18"/>
          <w:szCs w:val="18"/>
          <w:color w:val="auto"/>
        </w:rPr>
        <w:t>to address them, by simultaneously looking at the formulation in two programs and then the molecule itself in another. In light of compelling data regarding the Company’s novel oral psilocybin analog molecule (CYB003), the Company has determined that it would be leveraging the data obtained through the</w:t>
      </w:r>
    </w:p>
    <w:p>
      <w:pPr>
        <w:spacing w:after="0" w:line="1" w:lineRule="exact"/>
        <w:rPr>
          <w:sz w:val="20"/>
          <w:szCs w:val="20"/>
          <w:color w:val="auto"/>
        </w:rPr>
      </w:pPr>
    </w:p>
    <w:p>
      <w:pPr>
        <w:jc w:val="both"/>
        <w:ind w:left="2" w:right="20"/>
        <w:spacing w:after="0" w:line="237" w:lineRule="auto"/>
        <w:rPr>
          <w:sz w:val="20"/>
          <w:szCs w:val="20"/>
          <w:color w:val="auto"/>
        </w:rPr>
      </w:pPr>
      <w:r>
        <w:rPr>
          <w:rFonts w:ascii="Times New Roman" w:cs="Times New Roman" w:eastAsia="Times New Roman" w:hAnsi="Times New Roman"/>
          <w:sz w:val="18"/>
          <w:szCs w:val="18"/>
          <w:color w:val="auto"/>
        </w:rPr>
        <w:t>Psilocybin Program to advance its newly defined Deuterated Psilocybin Analog Program. The Deuterated Psilocybin Analog Program has the potential to merge both the MDD and AUD indication into a single program. The Company</w:t>
      </w:r>
    </w:p>
    <w:p>
      <w:pPr>
        <w:spacing w:after="0" w:line="200" w:lineRule="exact"/>
        <w:rPr>
          <w:sz w:val="20"/>
          <w:szCs w:val="20"/>
          <w:color w:val="auto"/>
        </w:rPr>
      </w:pPr>
    </w:p>
    <w:p>
      <w:pPr>
        <w:spacing w:after="0" w:line="33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2"/>
          </w:cols>
          <w:pgMar w:left="318" w:top="714" w:right="319" w:bottom="1440" w:gutter="0" w:footer="0" w:header="0"/>
        </w:sectPr>
      </w:pPr>
    </w:p>
    <w:bookmarkStart w:id="170" w:name="page171"/>
    <w:bookmarkEnd w:id="170"/>
    <w:p>
      <w:pPr>
        <w:ind w:left="2"/>
        <w:spacing w:after="0"/>
        <w:rPr>
          <w:sz w:val="20"/>
          <w:szCs w:val="20"/>
          <w:color w:val="auto"/>
        </w:rPr>
      </w:pPr>
      <w:r>
        <w:rPr>
          <w:rFonts w:ascii="Times New Roman" w:cs="Times New Roman" w:eastAsia="Times New Roman" w:hAnsi="Times New Roman"/>
          <w:sz w:val="18"/>
          <w:szCs w:val="18"/>
          <w:color w:val="auto"/>
        </w:rPr>
        <w:t>has determined that this merger of programs would be the most efficient and cost-effective way for the Company to move forward.</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As a result, the Company will be prioritizing the progression of the Deuterated Psilocybin Analog Program going forward, as this has been demonstrated to</w:t>
      </w:r>
    </w:p>
    <w:p>
      <w:pPr>
        <w:spacing w:after="0" w:line="8" w:lineRule="exact"/>
        <w:rPr>
          <w:sz w:val="20"/>
          <w:szCs w:val="20"/>
          <w:color w:val="auto"/>
        </w:rPr>
      </w:pPr>
    </w:p>
    <w:p>
      <w:pPr>
        <w:jc w:val="both"/>
        <w:ind w:left="2" w:right="20"/>
        <w:spacing w:after="0" w:line="230" w:lineRule="auto"/>
        <w:rPr>
          <w:sz w:val="20"/>
          <w:szCs w:val="20"/>
          <w:color w:val="auto"/>
        </w:rPr>
      </w:pPr>
      <w:r>
        <w:rPr>
          <w:rFonts w:ascii="Times New Roman" w:cs="Times New Roman" w:eastAsia="Times New Roman" w:hAnsi="Times New Roman"/>
          <w:sz w:val="18"/>
          <w:szCs w:val="18"/>
          <w:color w:val="auto"/>
        </w:rPr>
        <w:t>be the potentially superior molecule. The Company will continue to advance on the previous disclosed psilocybin milestones, in the U.S., Europe, Canada, and the UK, as it deems them necessary to bring psychedelics to therapeutics.</w:t>
      </w:r>
    </w:p>
    <w:p>
      <w:pPr>
        <w:spacing w:after="0" w:line="194" w:lineRule="exact"/>
        <w:rPr>
          <w:sz w:val="20"/>
          <w:szCs w:val="20"/>
          <w:color w:val="auto"/>
        </w:rPr>
      </w:pPr>
    </w:p>
    <w:p>
      <w:pPr>
        <w:jc w:val="both"/>
        <w:ind w:left="2" w:right="20"/>
        <w:spacing w:after="0" w:line="259" w:lineRule="auto"/>
        <w:rPr>
          <w:sz w:val="20"/>
          <w:szCs w:val="20"/>
          <w:color w:val="auto"/>
        </w:rPr>
      </w:pPr>
      <w:r>
        <w:rPr>
          <w:rFonts w:ascii="Times New Roman" w:cs="Times New Roman" w:eastAsia="Times New Roman" w:hAnsi="Times New Roman"/>
          <w:sz w:val="18"/>
          <w:szCs w:val="18"/>
          <w:color w:val="auto"/>
        </w:rPr>
        <w:t>Anticipated timelines and spending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w:t>
      </w:r>
    </w:p>
    <w:p>
      <w:pPr>
        <w:spacing w:after="0" w:line="2"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8"/>
          <w:szCs w:val="18"/>
          <w:color w:val="auto"/>
        </w:rPr>
        <w:t>studies on timelines indicated as possible by such guidelines, other industry examples, and the Company’s development efforts to date. The result is a reallocation of funds and shifting of priorities to meet the overall objective of the Company’s spending estimates.</w:t>
      </w:r>
    </w:p>
    <w:p>
      <w:pPr>
        <w:spacing w:after="0" w:line="180"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8"/>
          <w:szCs w:val="18"/>
          <w:color w:val="auto"/>
        </w:rPr>
        <w:t>The Company has been investigating the development of short-acting tryptamines with the aim of creating clinical development candidates suitable for clinical research, utilizing (i) the chemical modification of tryptamine derivatives through the selective substitution of hydrogen atoms within the tryptamine molecules with deuterium; and (ii) the combination of such deuterated tryptamine derivative molecules with selected drug delivery methods, including but not limited to oral, inhalation methods, IV and intramuscular delivery.</w:t>
      </w:r>
    </w:p>
    <w:p>
      <w:pPr>
        <w:spacing w:after="0" w:line="178" w:lineRule="exact"/>
        <w:rPr>
          <w:sz w:val="20"/>
          <w:szCs w:val="20"/>
          <w:color w:val="auto"/>
        </w:rPr>
      </w:pPr>
    </w:p>
    <w:p>
      <w:pPr>
        <w:jc w:val="both"/>
        <w:ind w:left="2" w:right="20"/>
        <w:spacing w:after="0" w:line="228" w:lineRule="auto"/>
        <w:rPr>
          <w:sz w:val="20"/>
          <w:szCs w:val="20"/>
          <w:color w:val="auto"/>
        </w:rPr>
      </w:pPr>
      <w:r>
        <w:rPr>
          <w:rFonts w:ascii="Times New Roman" w:cs="Times New Roman" w:eastAsia="Times New Roman" w:hAnsi="Times New Roman"/>
          <w:sz w:val="18"/>
          <w:szCs w:val="18"/>
          <w:color w:val="auto"/>
        </w:rPr>
        <w:t>Academic research performed at New York University and John Hopkins University has indicated oral psilocybin to be efficacious in the treatment of mental health disorders, especially MDD, but with significant limitations, specifically: slow onset of action, extended duration of effect, and a variability in response among patients</w:t>
      </w:r>
      <w:r>
        <w:rPr>
          <w:rFonts w:ascii="Times New Roman" w:cs="Times New Roman" w:eastAsia="Times New Roman" w:hAnsi="Times New Roman"/>
          <w:sz w:val="23"/>
          <w:szCs w:val="23"/>
          <w:color w:val="auto"/>
          <w:vertAlign w:val="superscript"/>
        </w:rPr>
        <w:t>21</w:t>
      </w:r>
      <w:r>
        <w:rPr>
          <w:rFonts w:ascii="Times New Roman" w:cs="Times New Roman" w:eastAsia="Times New Roman" w:hAnsi="Times New Roman"/>
          <w:sz w:val="18"/>
          <w:szCs w:val="18"/>
          <w:color w:val="auto"/>
        </w:rPr>
        <w:t>. The Company’s CYB001 and CYB002 programs studied proprietary formulations, while the Company’s CYB003 program explored proprietary analogs with the goal to retain the benefits and address the challenges.</w:t>
      </w:r>
    </w:p>
    <w:p>
      <w:pPr>
        <w:spacing w:after="0" w:line="1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In multi-species pre-clinical studies, the Company’s deuterated psilocybin analog from its CYB003 program demonstrates:</w:t>
      </w:r>
    </w:p>
    <w:p>
      <w:pPr>
        <w:spacing w:after="0" w:line="233" w:lineRule="exact"/>
        <w:rPr>
          <w:sz w:val="20"/>
          <w:szCs w:val="20"/>
          <w:color w:val="auto"/>
        </w:rPr>
      </w:pPr>
    </w:p>
    <w:p>
      <w:pPr>
        <w:ind w:left="582" w:hanging="289"/>
        <w:spacing w:after="0"/>
        <w:tabs>
          <w:tab w:leader="none" w:pos="58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reduction in variability compared to oral psilocybin; which indicates potential for more predictable dosing in patients;</w:t>
      </w:r>
    </w:p>
    <w:p>
      <w:pPr>
        <w:spacing w:after="0" w:line="20" w:lineRule="exact"/>
        <w:rPr>
          <w:rFonts w:ascii="Times New Roman" w:cs="Times New Roman" w:eastAsia="Times New Roman" w:hAnsi="Times New Roman"/>
          <w:sz w:val="18"/>
          <w:szCs w:val="18"/>
          <w:color w:val="auto"/>
        </w:rPr>
      </w:pPr>
    </w:p>
    <w:p>
      <w:pPr>
        <w:ind w:left="582" w:hanging="289"/>
        <w:spacing w:after="0" w:line="226" w:lineRule="auto"/>
        <w:tabs>
          <w:tab w:leader="none" w:pos="58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reduction in dose compared to oral psilocybin; which indicates potential to maintain equivalent efficacy while reducing side effects;</w:t>
      </w:r>
    </w:p>
    <w:p>
      <w:pPr>
        <w:ind w:left="582" w:hanging="289"/>
        <w:spacing w:after="0"/>
        <w:tabs>
          <w:tab w:leader="none" w:pos="58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shorter time to onset when compared to oral psilocybin; which indicates potential for shorter duration of treatment; and</w:t>
      </w:r>
    </w:p>
    <w:p>
      <w:pPr>
        <w:spacing w:after="0" w:line="6" w:lineRule="exact"/>
        <w:rPr>
          <w:rFonts w:ascii="Times New Roman" w:cs="Times New Roman" w:eastAsia="Times New Roman" w:hAnsi="Times New Roman"/>
          <w:sz w:val="18"/>
          <w:szCs w:val="18"/>
          <w:color w:val="auto"/>
        </w:rPr>
      </w:pPr>
    </w:p>
    <w:p>
      <w:pPr>
        <w:ind w:left="582" w:right="20" w:hanging="289"/>
        <w:spacing w:after="0" w:line="269" w:lineRule="auto"/>
        <w:tabs>
          <w:tab w:leader="none" w:pos="57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double brain penetration when compared to oral psilocybin; which indicates potential for a lower dose therapeutic effect, and potentially reduced patient side effects.</w:t>
      </w:r>
    </w:p>
    <w:p>
      <w:pPr>
        <w:spacing w:after="0" w:line="170" w:lineRule="exact"/>
        <w:rPr>
          <w:sz w:val="20"/>
          <w:szCs w:val="20"/>
          <w:color w:val="auto"/>
        </w:rPr>
      </w:pPr>
    </w:p>
    <w:p>
      <w:pPr>
        <w:ind w:left="2" w:right="20"/>
        <w:spacing w:after="0" w:line="285" w:lineRule="auto"/>
        <w:rPr>
          <w:sz w:val="20"/>
          <w:szCs w:val="20"/>
          <w:color w:val="auto"/>
        </w:rPr>
      </w:pPr>
      <w:r>
        <w:rPr>
          <w:rFonts w:ascii="Times New Roman" w:cs="Times New Roman" w:eastAsia="Times New Roman" w:hAnsi="Times New Roman"/>
          <w:sz w:val="18"/>
          <w:szCs w:val="18"/>
          <w:color w:val="auto"/>
        </w:rPr>
        <w:t>Based on the Company's multi-species pre-clinical studies, the deuterated psilocybin analog in CYB003 has the potential to reduce time and resource burden on patients, providers and payers, with the potential to improve scalability and accessibility from the following conclusions:</w:t>
      </w:r>
    </w:p>
    <w:p>
      <w:pPr>
        <w:spacing w:after="0" w:line="156" w:lineRule="exact"/>
        <w:rPr>
          <w:sz w:val="20"/>
          <w:szCs w:val="20"/>
          <w:color w:val="auto"/>
        </w:rPr>
      </w:pPr>
    </w:p>
    <w:p>
      <w:pPr>
        <w:ind w:left="582" w:hanging="289"/>
        <w:spacing w:after="0"/>
        <w:tabs>
          <w:tab w:leader="none" w:pos="58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faster onset of action equates to less down time in the clinic before effects begin;</w:t>
      </w:r>
    </w:p>
    <w:p>
      <w:pPr>
        <w:spacing w:after="0" w:line="20" w:lineRule="exact"/>
        <w:rPr>
          <w:rFonts w:ascii="Times New Roman" w:cs="Times New Roman" w:eastAsia="Times New Roman" w:hAnsi="Times New Roman"/>
          <w:sz w:val="18"/>
          <w:szCs w:val="18"/>
          <w:color w:val="auto"/>
        </w:rPr>
      </w:pPr>
    </w:p>
    <w:p>
      <w:pPr>
        <w:ind w:left="582" w:hanging="289"/>
        <w:spacing w:after="0"/>
        <w:tabs>
          <w:tab w:leader="none" w:pos="58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half the duration of effect translates to shorter clinic days or more patients per day;</w:t>
      </w:r>
    </w:p>
    <w:p>
      <w:pPr>
        <w:ind w:left="582" w:hanging="289"/>
        <w:spacing w:after="0"/>
        <w:tabs>
          <w:tab w:leader="none" w:pos="58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predictable dose effects create a safer and more effective patient response;</w:t>
      </w:r>
    </w:p>
    <w:p>
      <w:pPr>
        <w:ind w:left="582" w:hanging="289"/>
        <w:spacing w:after="0"/>
        <w:tabs>
          <w:tab w:leader="none" w:pos="58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lowered peripheral exposure diminishes the risk of side effects; and</w:t>
      </w:r>
    </w:p>
    <w:p>
      <w:pPr>
        <w:ind w:left="582" w:hanging="289"/>
        <w:spacing w:after="0"/>
        <w:tabs>
          <w:tab w:leader="none" w:pos="58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brain penetration suggests lower overall dose needed to achieve clinical efficacy.</w:t>
      </w:r>
    </w:p>
    <w:p>
      <w:pPr>
        <w:spacing w:after="0" w:line="188" w:lineRule="exact"/>
        <w:rPr>
          <w:sz w:val="20"/>
          <w:szCs w:val="20"/>
          <w:color w:val="auto"/>
        </w:rPr>
      </w:pPr>
    </w:p>
    <w:p>
      <w:pPr>
        <w:ind w:left="2" w:right="20"/>
        <w:spacing w:after="0" w:line="231" w:lineRule="auto"/>
        <w:rPr>
          <w:sz w:val="20"/>
          <w:szCs w:val="20"/>
          <w:color w:val="auto"/>
        </w:rPr>
      </w:pPr>
      <w:r>
        <w:rPr>
          <w:rFonts w:ascii="Times New Roman" w:cs="Times New Roman" w:eastAsia="Times New Roman" w:hAnsi="Times New Roman"/>
          <w:sz w:val="18"/>
          <w:szCs w:val="18"/>
          <w:color w:val="auto"/>
        </w:rPr>
        <w:t>The Company completed its CYB003 IND enabling pre-clinical studies and CMC development, including the production of clinical materials required for clinical trials, in Q2-2022. The Company intends to continue its progression of post IND enabling pre-clinical studies and CMC development progression</w:t>
      </w:r>
    </w:p>
    <w:p>
      <w:pPr>
        <w:ind w:left="2"/>
        <w:spacing w:after="0"/>
        <w:rPr>
          <w:sz w:val="20"/>
          <w:szCs w:val="20"/>
          <w:color w:val="auto"/>
        </w:rPr>
      </w:pPr>
      <w:r>
        <w:rPr>
          <w:rFonts w:ascii="Times New Roman" w:cs="Times New Roman" w:eastAsia="Times New Roman" w:hAnsi="Times New Roman"/>
          <w:sz w:val="18"/>
          <w:szCs w:val="18"/>
          <w:color w:val="auto"/>
        </w:rPr>
        <w:t>throughout calendar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155194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both"/>
        <w:ind w:left="2" w:right="20" w:hanging="2"/>
        <w:spacing w:after="0" w:line="211" w:lineRule="auto"/>
        <w:tabs>
          <w:tab w:leader="none" w:pos="202" w:val="left"/>
        </w:tabs>
        <w:numPr>
          <w:ilvl w:val="0"/>
          <w:numId w:val="1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Effects of Psilocybin-Assisted Therapy on Major Depressive Disorder A Randomized Clinical Trial: </w:t>
      </w:r>
      <w:r>
        <w:rPr>
          <w:rFonts w:ascii="Times New Roman" w:cs="Times New Roman" w:eastAsia="Times New Roman" w:hAnsi="Times New Roman"/>
          <w:sz w:val="15"/>
          <w:szCs w:val="15"/>
          <w:u w:val="single" w:color="auto"/>
          <w:color w:val="3051F2"/>
        </w:rPr>
        <w:t>https://jamanetwork.com/journals/jamapsychiatry/fullarticle/2772630</w:t>
      </w:r>
      <w:r>
        <w:rPr>
          <w:rFonts w:ascii="Times New Roman" w:cs="Times New Roman" w:eastAsia="Times New Roman" w:hAnsi="Times New Roman"/>
          <w:sz w:val="15"/>
          <w:szCs w:val="15"/>
          <w:color w:val="auto"/>
        </w:rPr>
        <w:t xml:space="preserve">; Rapid and sustained symptom reduction following psilocybin treatment for anxiety and depression in patients with life-threatening cancer: a randomized controlled trial: </w:t>
      </w:r>
      <w:r>
        <w:rPr>
          <w:rFonts w:ascii="Times New Roman" w:cs="Times New Roman" w:eastAsia="Times New Roman" w:hAnsi="Times New Roman"/>
          <w:sz w:val="15"/>
          <w:szCs w:val="15"/>
          <w:u w:val="single" w:color="auto"/>
          <w:color w:val="3051F2"/>
        </w:rPr>
        <w:t>https://pubmed.ncbi.nlm.nih.gov/27909164/</w:t>
      </w:r>
    </w:p>
    <w:p>
      <w:pPr>
        <w:spacing w:after="0" w:line="200" w:lineRule="exact"/>
        <w:rPr>
          <w:sz w:val="20"/>
          <w:szCs w:val="20"/>
          <w:color w:val="auto"/>
        </w:rPr>
      </w:pPr>
    </w:p>
    <w:p>
      <w:pPr>
        <w:spacing w:after="0" w:line="34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2"/>
          </w:cols>
          <w:pgMar w:left="318" w:top="693" w:right="319" w:bottom="1440" w:gutter="0" w:footer="0" w:header="0"/>
        </w:sectPr>
      </w:pPr>
    </w:p>
    <w:bookmarkStart w:id="171" w:name="page172"/>
    <w:bookmarkEnd w:id="171"/>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On May 31, 2022, the Company announced the submission of an IND application to the FDA for its Phase I/IIa first-in-human clinical trial evaluating CYB003, a proprietary deuterated psilocybin analog, for the treatment of MDD.</w:t>
      </w:r>
    </w:p>
    <w:p>
      <w:pPr>
        <w:spacing w:after="0" w:line="15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On June 9, 2022, the Company announced that it has received IRB approval to begin the first-in-human Phase I/IIa clinical trial evaluating CYB003, its proprietary deuterated psilocybin analog, for the treatment of MDD.</w:t>
      </w:r>
    </w:p>
    <w:p>
      <w:pPr>
        <w:spacing w:after="0" w:line="156"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8"/>
          <w:szCs w:val="18"/>
          <w:color w:val="auto"/>
        </w:rPr>
        <w:t>Subsequent to regulatory approval, early-phase clinical trials, leveraging the Company's innovative EMBARK</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psychotherapeutic support program, are able to commence. As the Company has been progressing through the program, additional milestones related to the Phase I/IIa clinical trial have been identified. The Company intends to;</w:t>
      </w:r>
    </w:p>
    <w:p>
      <w:pPr>
        <w:spacing w:after="0" w:line="183" w:lineRule="exact"/>
        <w:rPr>
          <w:sz w:val="20"/>
          <w:szCs w:val="20"/>
          <w:color w:val="auto"/>
        </w:rPr>
      </w:pPr>
    </w:p>
    <w:p>
      <w:pPr>
        <w:ind w:left="580" w:hanging="289"/>
        <w:spacing w:after="0"/>
        <w:tabs>
          <w:tab w:leader="none" w:pos="5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its first in human study clinical trial by Q3 2022, subject to obtaining IND approval from the FDA;</w:t>
      </w:r>
    </w:p>
    <w:p>
      <w:pPr>
        <w:spacing w:after="0" w:line="26" w:lineRule="exact"/>
        <w:rPr>
          <w:rFonts w:ascii="Times New Roman" w:cs="Times New Roman" w:eastAsia="Times New Roman" w:hAnsi="Times New Roman"/>
          <w:sz w:val="18"/>
          <w:szCs w:val="18"/>
          <w:color w:val="auto"/>
        </w:rPr>
      </w:pPr>
    </w:p>
    <w:p>
      <w:pPr>
        <w:ind w:left="580" w:hanging="289"/>
        <w:spacing w:after="0"/>
        <w:tabs>
          <w:tab w:leader="none" w:pos="5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its initial pharmacokinetic and safety readout by the end of calendar 2022; and</w:t>
      </w:r>
    </w:p>
    <w:p>
      <w:pPr>
        <w:spacing w:after="0" w:line="12" w:lineRule="exact"/>
        <w:rPr>
          <w:rFonts w:ascii="Times New Roman" w:cs="Times New Roman" w:eastAsia="Times New Roman" w:hAnsi="Times New Roman"/>
          <w:sz w:val="18"/>
          <w:szCs w:val="18"/>
          <w:color w:val="auto"/>
        </w:rPr>
      </w:pPr>
    </w:p>
    <w:p>
      <w:pPr>
        <w:ind w:left="580" w:hanging="289"/>
        <w:spacing w:after="0"/>
        <w:tabs>
          <w:tab w:leader="none" w:pos="5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its clinical trial first in human full study report by Q3 2023.</w:t>
      </w:r>
    </w:p>
    <w:p>
      <w:pPr>
        <w:spacing w:after="0" w:line="2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9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had previously estimated that its actual and expected spend up to September 30, 2022 for this program would be similar to that previously disclosed for the Psilocybin Program and the deuterated tryptamine CYB003 preclinical program, being $4,762. However, the Company has updated its milestones to include additional planned progressions and has increased spend to reflect expenditures expected to be incurred up to the period ended March 31, 2023. Anticipated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Deuterated Tryptamines Programs</w:t>
      </w:r>
    </w:p>
    <w:p>
      <w:pPr>
        <w:spacing w:after="0" w:line="2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is investigating the development of short-acting tryptamines with the aim of creating clinical development candidates suitable for clinical research, utilizing (i) the chemical modification of tryptamine derivatives through the selective substitution of hydrogen atoms within the tryptamine molecules with deuterium; and (ii) the combination of such deuterated tryptamine derivative molecules with selected drug delivery methods.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assess the feasibility and viability of these deuterated tryptamine derivatives entering clinical studies, the Company has and will contract with reputable and licensed third-party vendors to undertake extensive preclinical characterization of target molecules on the Company’s behalf. These activities include but are not limited to: the synthesis of such molecules as APIs at laboratory scale, the development and optimization of production processes for such APIs. To date, the Company has undertaken sufficient work to enable selection of two deuterated tryptamine candidates and has scaled up production processes to optimize and maximize yields and ensure the drug candidates meet the required purity levels. In vitro and in vivo proof of principal in animal models has been undertaken to ensure selection of molecules with optimal anticipated pharmacokinetics best suited for future clinical trials.</w:t>
      </w:r>
    </w:p>
    <w:p>
      <w:pPr>
        <w:spacing w:after="0" w:line="19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Further preclinical development activities over the next 12 months are anticipated to include the development of stable formulations utilizing such APIs, the development and validation of analytical methods for such formulations, the scale up of API production processes beyond laboratory scale, suitable for entry into animal and human studies, studies of the stability of such formulations suitable for human studies, the development of Chemistry, Manufacturing and Controls to meet current Good Manufacturing Processes (“</w:t>
      </w:r>
      <w:r>
        <w:rPr>
          <w:rFonts w:ascii="Times New Roman" w:cs="Times New Roman" w:eastAsia="Times New Roman" w:hAnsi="Times New Roman"/>
          <w:sz w:val="18"/>
          <w:szCs w:val="18"/>
          <w:b w:val="1"/>
          <w:bCs w:val="1"/>
          <w:color w:val="auto"/>
        </w:rPr>
        <w:t>cGMP</w:t>
      </w:r>
      <w:r>
        <w:rPr>
          <w:rFonts w:ascii="Times New Roman" w:cs="Times New Roman" w:eastAsia="Times New Roman" w:hAnsi="Times New Roman"/>
          <w:sz w:val="18"/>
          <w:szCs w:val="18"/>
          <w:color w:val="auto"/>
        </w:rPr>
        <w:t>”). There is no assurance that the aforementioned timelines will be met or that the studies will advance to clinical trials, at all.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60"/>
          </w:cols>
          <w:pgMar w:left="320" w:top="705" w:right="319" w:bottom="1440" w:gutter="0" w:footer="0" w:header="0"/>
        </w:sectPr>
      </w:pPr>
    </w:p>
    <w:bookmarkStart w:id="172" w:name="page173"/>
    <w:bookmarkEnd w:id="172"/>
    <w:p>
      <w:pPr>
        <w:jc w:val="both"/>
        <w:ind w:left="2" w:right="20"/>
        <w:spacing w:after="0" w:line="255" w:lineRule="auto"/>
        <w:rPr>
          <w:sz w:val="20"/>
          <w:szCs w:val="20"/>
          <w:color w:val="auto"/>
        </w:rPr>
      </w:pPr>
      <w:r>
        <w:rPr>
          <w:rFonts w:ascii="Times New Roman" w:cs="Times New Roman" w:eastAsia="Times New Roman" w:hAnsi="Times New Roman"/>
          <w:sz w:val="18"/>
          <w:szCs w:val="18"/>
          <w:color w:val="auto"/>
        </w:rPr>
        <w:t>Further the Company’s third-party vendors will be responsible for completing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The Company intends to complete these studies, and collect further relevant safety and toxicity data, prior to the filing for an IND application with FDA, CTA with Health Canada, or other similar application with regulatory bodies in other jurisdictions. There is no assurance that the aforementioned timelines will be met or that the studies will advance to clinical trials, at all.</w:t>
      </w:r>
    </w:p>
    <w:p>
      <w:pPr>
        <w:spacing w:after="0" w:line="195" w:lineRule="exact"/>
        <w:rPr>
          <w:sz w:val="20"/>
          <w:szCs w:val="20"/>
          <w:color w:val="auto"/>
        </w:rPr>
      </w:pPr>
    </w:p>
    <w:p>
      <w:pPr>
        <w:jc w:val="both"/>
        <w:ind w:left="2" w:right="20"/>
        <w:spacing w:after="0" w:line="241" w:lineRule="auto"/>
        <w:rPr>
          <w:sz w:val="20"/>
          <w:szCs w:val="20"/>
          <w:color w:val="auto"/>
        </w:rPr>
      </w:pPr>
      <w:r>
        <w:rPr>
          <w:rFonts w:ascii="Times New Roman" w:cs="Times New Roman" w:eastAsia="Times New Roman" w:hAnsi="Times New Roman"/>
          <w:sz w:val="18"/>
          <w:szCs w:val="18"/>
          <w:color w:val="auto"/>
        </w:rPr>
        <w:t>The Company’s Deuterated Tryptamines Program is primarily focused on a lead candidate, CYB004, a deuterated version of DMT. The Company has a newly defined program, the Deuterated Psilocybin Analog Program, which merges the initiatives of the Psilocybin Program and the deuterated tryptamine CYB003 preclinical program into one single program (Deuterated Psilocybin Analog Program). The work performed to date related to CYB003 in this program has been instrumental in defining the new program, as described above.</w:t>
      </w:r>
    </w:p>
    <w:p>
      <w:pPr>
        <w:spacing w:after="0" w:line="191"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20"/>
          <w:szCs w:val="20"/>
          <w:color w:val="auto"/>
        </w:rPr>
        <w:t xml:space="preserve">On April 14, 2022, the Company </w:t>
      </w:r>
      <w:r>
        <w:rPr>
          <w:rFonts w:ascii="Times New Roman" w:cs="Times New Roman" w:eastAsia="Times New Roman" w:hAnsi="Times New Roman"/>
          <w:sz w:val="17"/>
          <w:szCs w:val="17"/>
          <w:color w:val="auto"/>
        </w:rPr>
        <w:t>announced positive preclinical data from a pharmacokinetic study evaluating CYB004, delivered via inhalation.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Specifically, inhaled CYB004 demonstrated significant advantages over both IV DMT and inhaled DMT, including longer duration of action, and improved bioavailability. The study also demonstrated that inhaled CYB004 showed a similar onset of effect and dose profile to IV DMT. These data may support the potential for inhalation as a viable and well-controlled delivery system of therapeutic psychedelics.</w:t>
      </w:r>
    </w:p>
    <w:p>
      <w:pPr>
        <w:spacing w:after="0" w:line="182" w:lineRule="exact"/>
        <w:rPr>
          <w:sz w:val="20"/>
          <w:szCs w:val="20"/>
          <w:color w:val="auto"/>
        </w:rPr>
      </w:pPr>
    </w:p>
    <w:p>
      <w:pPr>
        <w:jc w:val="both"/>
        <w:ind w:left="2" w:right="20"/>
        <w:spacing w:after="0" w:line="255" w:lineRule="auto"/>
        <w:rPr>
          <w:sz w:val="20"/>
          <w:szCs w:val="20"/>
          <w:color w:val="auto"/>
        </w:rPr>
      </w:pPr>
      <w:r>
        <w:rPr>
          <w:rFonts w:ascii="Times New Roman" w:cs="Times New Roman" w:eastAsia="Times New Roman" w:hAnsi="Times New Roman"/>
          <w:sz w:val="18"/>
          <w:szCs w:val="18"/>
          <w:color w:val="auto"/>
        </w:rPr>
        <w:t>The Company previously disclosed it intended to file a clinical trial application for a pilot study for the CYB004 candidate by the end of Q2 2022. As a result of the agreement with Entheon to acquire a Phase I DMT study. The Company has replaced the intended CYB004 pilot study with the acquired study, EBRX-101, now named CYB004-E. The CYB004-E study is expected to yield essential safety and dosing optimization data. Due to the timing of the Asset Acquisition, the Company is in the process of determining the anticipated completion date of the study. There is no assurance that the aforementioned timeline will be met. Anticipated timelines regarding drug development are based on reasonable assumptions informed by current knowledge and information available to the Company.</w:t>
      </w:r>
    </w:p>
    <w:p>
      <w:pPr>
        <w:spacing w:after="0" w:line="195" w:lineRule="exact"/>
        <w:rPr>
          <w:sz w:val="20"/>
          <w:szCs w:val="20"/>
          <w:color w:val="auto"/>
        </w:rPr>
      </w:pPr>
    </w:p>
    <w:p>
      <w:pPr>
        <w:jc w:val="both"/>
        <w:ind w:left="2" w:right="20"/>
        <w:spacing w:after="0" w:line="233" w:lineRule="auto"/>
        <w:rPr>
          <w:sz w:val="20"/>
          <w:szCs w:val="20"/>
          <w:color w:val="auto"/>
        </w:rPr>
      </w:pPr>
      <w:r>
        <w:rPr>
          <w:rFonts w:ascii="Times New Roman" w:cs="Times New Roman" w:eastAsia="Times New Roman" w:hAnsi="Times New Roman"/>
          <w:sz w:val="18"/>
          <w:szCs w:val="18"/>
          <w:color w:val="auto"/>
        </w:rPr>
        <w:t>The Company intends to continue pre-clinical studies and other research and development activities on its proprietary DMT molecule, CYB004, throughout the year and has therefore revised its timeline for this objective to ongoing</w:t>
      </w:r>
      <w:r>
        <w:rPr>
          <w:rFonts w:ascii="Times New Roman" w:cs="Times New Roman" w:eastAsia="Times New Roman" w:hAnsi="Times New Roman"/>
          <w:sz w:val="23"/>
          <w:szCs w:val="23"/>
          <w:color w:val="auto"/>
          <w:vertAlign w:val="superscript"/>
        </w:rPr>
        <w:t>22</w:t>
      </w:r>
      <w:r>
        <w:rPr>
          <w:rFonts w:ascii="Times New Roman" w:cs="Times New Roman" w:eastAsia="Times New Roman" w:hAnsi="Times New Roman"/>
          <w:sz w:val="18"/>
          <w:szCs w:val="18"/>
          <w:color w:val="auto"/>
        </w:rPr>
        <w:t>. The Company plans to evaluate CYB004 delivered via IV and via inhalation to determine the clinical path forward.</w:t>
      </w:r>
    </w:p>
    <w:p>
      <w:pPr>
        <w:spacing w:after="0" w:line="209" w:lineRule="exact"/>
        <w:rPr>
          <w:sz w:val="20"/>
          <w:szCs w:val="20"/>
          <w:color w:val="auto"/>
        </w:rPr>
      </w:pPr>
    </w:p>
    <w:p>
      <w:pPr>
        <w:jc w:val="both"/>
        <w:ind w:left="2" w:right="20"/>
        <w:spacing w:after="0" w:line="253" w:lineRule="auto"/>
        <w:rPr>
          <w:sz w:val="20"/>
          <w:szCs w:val="20"/>
          <w:color w:val="auto"/>
        </w:rPr>
      </w:pPr>
      <w:r>
        <w:rPr>
          <w:rFonts w:ascii="Times New Roman" w:cs="Times New Roman" w:eastAsia="Times New Roman" w:hAnsi="Times New Roman"/>
          <w:sz w:val="18"/>
          <w:szCs w:val="18"/>
          <w:color w:val="auto"/>
        </w:rPr>
        <w:t>The Company expects to spend $10,829 to advance preclinical development of CYB004 and $1,250 to advance Phase I DMT study for CYB004-E by March 31, 2023. The Company cannot at this time estimate the cost of bringing CYB004 to market as much of the associated costs depend on the outcomes of the clinical trials. Further, there is no assurance that the aforementioned timelines will be met or that the CYB004 program will advance to clinical trials, at all. Anticipated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386715</wp:posOffset>
            </wp:positionV>
            <wp:extent cx="155194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2" w:hanging="2"/>
        <w:spacing w:after="0" w:line="247" w:lineRule="auto"/>
        <w:tabs>
          <w:tab w:leader="none" w:pos="178" w:val="left"/>
        </w:tabs>
        <w:numPr>
          <w:ilvl w:val="0"/>
          <w:numId w:val="1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 xml:space="preserve">The Company previously disclosed that the anticipated timeline for completing this objective was Q2 2022. The Company intends to continue pre-clinical studies and other research and development activities throughout the year and has therefore revised its timeline to ongoing. Timing for this program is based on, among others, the following material assumptions: (a) the timely and successful completion of certain preclinical studies including but not limited to: (i) complete the development of stable formulations utilizing these APIs; (ii) the development and validation of analytical methods for such formulations; (iii) the scale up of API production processes beyond laboratory scale will be suitable for entry into animal and human studies; (iv) studies of the stability of such formulations will be suitable for human studies; and (v) the development of Chemistry, Manufacturing and Controls to meet cGMP (as defined below); and (b) the Company assumes it will enter into agreements with certain third party vendors to complete a range of additional preclinical programs before the final selection of drug candidates for entry into human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4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2"/>
          </w:cols>
          <w:pgMar w:left="318" w:top="706"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Phenethylamine Program</w:t>
      </w:r>
    </w:p>
    <w:p>
      <w:pPr>
        <w:spacing w:after="0" w:line="2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is investigating the development of phenethylamine derivatives with the aim of creating clinical development candidates suitable for preclinical and clinical research, utilizing (i) the chemical modification of phenethylamine derivatives; and (ii) the combination of such phenethylamine derivative molecules with selected drug delivery methods, including but not limited to sublingual delivery, orally dissolving tablets, inhalation methods, intravenous and intramuscular delivery.</w:t>
      </w:r>
    </w:p>
    <w:p>
      <w:pPr>
        <w:spacing w:after="0" w:line="17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Work on the synthesis and optimization of these molecules has recently begun at a licensed third-party vendor. In order to assess the feasibility and viability of these phenethylamine derivatives entering clinical studies, the Company has and will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suitable for entry into animal and human studies, studies of the stability of such formulations suitable for human studies, the development of Chemistry, Manufacturing and Controls to meet current cGMP.</w:t>
      </w:r>
    </w:p>
    <w:p>
      <w:pPr>
        <w:spacing w:after="0" w:line="18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In addition, utilizing the expertise of selected third parties, the Company intends to oversee the study of the pharmacokinetic profiles of its formulations in a number of animal models and the completion of Absorption, Distribution, Metabolism, and Excretion profiles. Further, the Company’s licensed third party vendors will be responsible for completing a range of additional preclinical programs including but not limited to dos-ranging studies in multiple animal species, toxicity studies in multiple animal species, genotoxicity studies, teratogenicity studies, along with neuropharmacological, pulmonary, and cardiovascular profiling, before the final selection of drug candidates for entry into human trials.</w:t>
      </w:r>
    </w:p>
    <w:p>
      <w:pPr>
        <w:spacing w:after="0" w:line="178"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1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anticipates that its phenethylamine program may deliver a drug candidate suitable for entry into clinical studies by end 2023. The Company expects to spend $2,614 to complete preclinical development of a phenethylamine drug candidate by March 31, 2023. The Company cannot at this time estimate the cost of bringing a phenethylamine drug candidate to market as much of the associated costs depend on the outcomes of the phase I and phase II clinical trials. Further, there is no assurance that the aforementioned timelines will be met or that such studies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result is revised spending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Nutraceutical Products</w:t>
      </w:r>
    </w:p>
    <w:p>
      <w:pPr>
        <w:spacing w:after="0" w:line="23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In November 2021, the Company determined that it would not proceed with the Product Line in order to focus its efforts on the research and development progression of psychedelic molecules. As a result, the Company no longer expects to complete its anticipated milestone and is expecting to spend $NIL on this program.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Programs</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worked on a number of fronts to establish an e-Commerce platform to support the education, sales and marketing of potential consumer and prescription mental wellness products, including but not limited to its line of nutraceutical products. The Company has undertaken commissioned market research activities to evaluate the market potential and the steps necessary to establish such a platform, along with commercial discussions with a number of parties that could assist the Company in building and accelerating its path to market. With the decision to no longer pursue with the nutraceutical business segment, the spend has been reduced to $NIL.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60"/>
          </w:cols>
          <w:pgMar w:left="320" w:top="701" w:right="319" w:bottom="1440" w:gutter="0" w:footer="0" w:header="0"/>
        </w:sectPr>
      </w:pPr>
    </w:p>
    <w:bookmarkStart w:id="174" w:name="page175"/>
    <w:bookmarkEnd w:id="174"/>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has begun work on the creation of a Digital Platform. The Digital Platform is envisioned to help patients undergoing psychedelic therapies to memorialize the learning from their treatment sessions and to assist with the integration of such learnings into the patient’s psychotherapy program. Activities have been undertaken to establish the design of a proof of concept and to identify the necessary key modules and components. Proof of concept testing is currently ongoing. The Company is evaluating paths forward for the program.</w:t>
      </w:r>
    </w:p>
    <w:p>
      <w:pPr>
        <w:spacing w:after="0" w:line="190"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8"/>
          <w:szCs w:val="18"/>
          <w:color w:val="auto"/>
        </w:rPr>
        <w:t>The Company previously announced an agreement with Kernel that will enable the Company to use Kernel Flow devices to potentially measure neural activity during psychedelic therapy. While the Company previously announced that delivery was expected in Q2 2021 and studies would commence in the second half of 2021, the Company has since decided to focus on sponsoring studies in the near term. On June 1, 2021, the Company announced its sponsorship of Kernel’s feasibility study of its Kernel Flow technology to measure Ketamine’s psychedelic effect on cerebral cortex hemodynamics. On October 26, 2021, the Company announced that the FDA has authorized an IND application to proceed with the Company’s sponsored feasibility study using Kernel’s Flow technology to measure ketamine’s psychedelic effect on cerebral cortex hemodynamics. On January 11, 2022, the Company announced that the IRB has approved the Company’s sponsored feasibility study and on March 31, 2022, the Company announced that the first study visit has been conducted in a Cybin-sponsored feasibility study evaluating Kernel’s quantitative neuroimaging technology, Flow, to measure ketamine’s psychedelic effects on cerebral cortex hemodynamics. On May 9, 2022 the Company announced that preliminary data confirmed Flow’s ability to successfully measure neuro-effect of ketamine over 10 days. The Company expects to spend $521 to sponsor clinical studies utilizing these devices by the end of calendar 2022. This is a decrease from the original estimate of $1,825 as the Company will base any future sponsorships on the preliminary study results received. There is no guarantee that the use of such devices in clinical studies will result in a commercially viable product and there is no assurance that the aforementioned timelines will be met or that such studies will advance to clinical trials, at all.</w:t>
      </w:r>
    </w:p>
    <w:p>
      <w:pPr>
        <w:spacing w:after="0" w:line="18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“Risk Factors” in this MD&amp;A or unforeseen events.</w:t>
      </w:r>
    </w:p>
    <w:p>
      <w:pPr>
        <w:spacing w:after="0" w:line="17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Other than as described in the AIF and herein, to the knowledge of management, there are no other particular significant events or milestones that must occur for the Company’s initial business objectives in the next 12 months to be accomplished. However, 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00"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Cybin has title to one granted US patent related to the Company’s investigational deuterated DMT compound CYB004. The patent covers composition of matter and protects the CYB004 drug substance, a putative new chemical entity.</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3"/>
                <w:szCs w:val="23"/>
                <w:color w:val="auto"/>
              </w:rPr>
            </w:pPr>
          </w:p>
        </w:tc>
        <w:tc>
          <w:tcPr>
            <w:tcW w:w="2040" w:type="dxa"/>
            <w:vAlign w:val="bottom"/>
            <w:tcBorders>
              <w:top w:val="single" w:sz="8" w:color="auto"/>
              <w:bottom w:val="single" w:sz="8" w:color="BFBFBF"/>
              <w:right w:val="single" w:sz="8" w:color="auto"/>
            </w:tcBorders>
            <w:shd w:val="clear" w:color="auto" w:fill="BFBFB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1740" w:type="dxa"/>
            <w:vAlign w:val="bottom"/>
            <w:tcBorders>
              <w:top w:val="single" w:sz="8" w:color="auto"/>
              <w:bottom w:val="single" w:sz="8" w:color="BFBFBF"/>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7160" w:type="dxa"/>
            <w:vAlign w:val="bottom"/>
            <w:tcBorders>
              <w:top w:val="single" w:sz="8" w:color="auto"/>
              <w:bottom w:val="single" w:sz="8" w:color="BFBFBF"/>
              <w:right w:val="single" w:sz="8" w:color="auto"/>
            </w:tcBorders>
            <w:shd w:val="clear" w:color="auto" w:fill="BFBFBF"/>
          </w:tcPr>
          <w:p>
            <w:pPr>
              <w:ind w:left="31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11"/>
        </w:trPr>
        <w:tc>
          <w:tcPr>
            <w:tcW w:w="320" w:type="dxa"/>
            <w:vAlign w:val="bottom"/>
            <w:tcBorders>
              <w:top w:val="single" w:sz="8" w:color="auto"/>
              <w:left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1</w:t>
            </w:r>
          </w:p>
        </w:tc>
        <w:tc>
          <w:tcPr>
            <w:tcW w:w="2040" w:type="dxa"/>
            <w:vAlign w:val="bottom"/>
            <w:tcBorders>
              <w:top w:val="single" w:sz="8" w:color="auto"/>
              <w:right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w w:val="97"/>
              </w:rPr>
              <w:t>11,242,318</w:t>
            </w:r>
          </w:p>
        </w:tc>
        <w:tc>
          <w:tcPr>
            <w:tcW w:w="17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71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bl>
    <w:p>
      <w:pPr>
        <w:spacing w:after="0" w:line="2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Cybin has title to ten provisional patent applications, one US non-provisional patent application, and seven Patent Cooperation Treaty (“</w:t>
      </w:r>
      <w:r>
        <w:rPr>
          <w:rFonts w:ascii="Times New Roman" w:cs="Times New Roman" w:eastAsia="Times New Roman" w:hAnsi="Times New Roman"/>
          <w:sz w:val="18"/>
          <w:szCs w:val="18"/>
          <w:b w:val="1"/>
          <w:bCs w:val="1"/>
          <w:color w:val="auto"/>
        </w:rPr>
        <w:t>PCT</w:t>
      </w:r>
      <w:r>
        <w:rPr>
          <w:rFonts w:ascii="Times New Roman" w:cs="Times New Roman" w:eastAsia="Times New Roman" w:hAnsi="Times New Roman"/>
          <w:sz w:val="18"/>
          <w:szCs w:val="18"/>
          <w:color w:val="auto"/>
        </w:rPr>
        <w:t>”) applications, including claims directed to compositions of matter and methods of use in support of its research and development and pre-clinical and clinical trial programs.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60"/>
          </w:cols>
          <w:pgMar w:left="320" w:top="705" w:right="319" w:bottom="1440" w:gutter="0" w:footer="0" w:header="0"/>
        </w:sectPr>
      </w:pPr>
    </w:p>
    <w:bookmarkStart w:id="175" w:name="page176"/>
    <w:bookmarkEnd w:id="175"/>
    <w:tbl>
      <w:tblPr>
        <w:tblLayout w:type="fixed"/>
        <w:tblInd w:w="10" w:type="dxa"/>
        <w:tblCellMar>
          <w:top w:w="0" w:type="dxa"/>
          <w:left w:w="0" w:type="dxa"/>
          <w:bottom w:w="0" w:type="dxa"/>
          <w:right w:w="0" w:type="dxa"/>
        </w:tblCellMar>
      </w:tblPr>
      <w:tr>
        <w:trPr>
          <w:trHeight w:val="274"/>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3"/>
                <w:szCs w:val="23"/>
                <w:color w:val="auto"/>
              </w:rPr>
            </w:pPr>
          </w:p>
        </w:tc>
        <w:tc>
          <w:tcPr>
            <w:tcW w:w="2040" w:type="dxa"/>
            <w:vAlign w:val="bottom"/>
            <w:tcBorders>
              <w:top w:val="single" w:sz="8" w:color="auto"/>
              <w:bottom w:val="single" w:sz="8" w:color="BFBFBF"/>
              <w:right w:val="single" w:sz="8" w:color="auto"/>
            </w:tcBorders>
            <w:shd w:val="clear" w:color="auto" w:fill="BFBFBF"/>
          </w:tcPr>
          <w:p>
            <w:pPr>
              <w:ind w:left="4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720" w:type="dxa"/>
            <w:vAlign w:val="bottom"/>
            <w:tcBorders>
              <w:top w:val="single" w:sz="8" w:color="auto"/>
              <w:bottom w:val="single" w:sz="8" w:color="BFBFBF"/>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2040" w:type="dxa"/>
            <w:vAlign w:val="bottom"/>
            <w:tcBorders>
              <w:top w:val="single" w:sz="8" w:color="auto"/>
              <w:bottom w:val="single" w:sz="8" w:color="BFBFBF"/>
              <w:right w:val="single" w:sz="8" w:color="auto"/>
            </w:tcBorders>
            <w:shd w:val="clear" w:color="auto" w:fill="BFBFBF"/>
          </w:tcPr>
          <w:p>
            <w:pPr>
              <w:ind w:left="80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5120" w:type="dxa"/>
            <w:vAlign w:val="bottom"/>
            <w:tcBorders>
              <w:top w:val="single" w:sz="8" w:color="auto"/>
              <w:bottom w:val="single" w:sz="8" w:color="BFBFBF"/>
              <w:right w:val="single" w:sz="8" w:color="auto"/>
            </w:tcBorders>
            <w:shd w:val="clear" w:color="auto" w:fill="BFBFBF"/>
          </w:tcPr>
          <w:p>
            <w:pPr>
              <w:ind w:left="21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1"/>
        </w:trPr>
        <w:tc>
          <w:tcPr>
            <w:tcW w:w="3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20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PCT/IB2021/054340</w:t>
            </w:r>
          </w:p>
        </w:tc>
        <w:tc>
          <w:tcPr>
            <w:tcW w:w="17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20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Tryptamine Derivative Compounds and Methods</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63/219,880</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Integrated Data Collection Devices for Use in Psychotherapy</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PCT/EP2021/072898</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PCT/EP2021/072896</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63/241,891</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6</w:t>
            </w:r>
          </w:p>
        </w:tc>
        <w:tc>
          <w:tcPr>
            <w:tcW w:w="20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PCT/EP2021/077057</w:t>
            </w: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Ireland</w:t>
            </w:r>
          </w:p>
        </w:tc>
        <w:tc>
          <w:tcPr>
            <w:tcW w:w="20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Methods  For  Delivery  of  Psychedelic  Medications  By  Inhalation  and</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20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2040" w:type="dxa"/>
            <w:vAlign w:val="bottom"/>
            <w:tcBorders>
              <w:right w:val="single" w:sz="8" w:color="auto"/>
            </w:tcBorders>
            <w:vMerge w:val="continue"/>
          </w:tcPr>
          <w:p>
            <w:pPr>
              <w:spacing w:after="0"/>
              <w:rPr>
                <w:sz w:val="8"/>
                <w:szCs w:val="8"/>
                <w:color w:val="auto"/>
              </w:rPr>
            </w:pPr>
          </w:p>
        </w:tc>
        <w:tc>
          <w:tcPr>
            <w:tcW w:w="5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Systems For Performing the Methods</w:t>
            </w:r>
          </w:p>
        </w:tc>
        <w:tc>
          <w:tcPr>
            <w:tcW w:w="0" w:type="dxa"/>
            <w:vAlign w:val="bottom"/>
          </w:tcPr>
          <w:p>
            <w:pPr>
              <w:spacing w:after="0"/>
              <w:rPr>
                <w:sz w:val="1"/>
                <w:szCs w:val="1"/>
                <w:color w:val="auto"/>
              </w:rPr>
            </w:pPr>
          </w:p>
        </w:tc>
      </w:tr>
      <w:tr>
        <w:trPr>
          <w:trHeight w:val="110"/>
        </w:trPr>
        <w:tc>
          <w:tcPr>
            <w:tcW w:w="320" w:type="dxa"/>
            <w:vAlign w:val="bottom"/>
            <w:tcBorders>
              <w:left w:val="single" w:sz="8" w:color="auto"/>
              <w:right w:val="single" w:sz="8" w:color="auto"/>
            </w:tcBorders>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5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63/276,117</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Psilocybin Analog Formulations and Methods of Use</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17/564,707</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PCT/EP2022/056991</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63/268,019</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63/268,020</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PCT/EP2022/058574</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63/268,022</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14</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63/268,024</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Amphetamine Derivatives, Compositions, and Methods of Use</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63/299,599</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16</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63/362,238</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Methods For Delivery of Psychedelic Medications by Inhalation and Systems</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17</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63/362,258</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18</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PCT/EP2022/063269</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2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0" w:type="dxa"/>
            <w:vAlign w:val="bottom"/>
          </w:tcPr>
          <w:p>
            <w:pPr>
              <w:spacing w:after="0"/>
              <w:rPr>
                <w:sz w:val="1"/>
                <w:szCs w:val="1"/>
                <w:color w:val="auto"/>
              </w:rPr>
            </w:pPr>
          </w:p>
        </w:tc>
      </w:tr>
      <w:tr>
        <w:trPr>
          <w:trHeight w:val="38"/>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 cover novel drug delivery platforms for administration of the psychedelic drugs with faster onset of action, higher bioavailability by way of bypassing liver metabolism, more controlled delivery for better patient experience, and optimized therapeutic outcomes.</w:t>
      </w:r>
    </w:p>
    <w:p>
      <w:pPr>
        <w:spacing w:after="0" w:line="15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Cybin has also filed applications for registration of twenty-two trademarks, including Changing Minds™, Cybin, Cybin Therapeutics™, Embark™, It’s not magic. It’s mushrooms™, It’s not magic, its science™, Journey™, Mushroom &amp; Friends™, Psilotonin™, Psychedelics to Therapeutics™ and CYB™.</w:t>
      </w:r>
    </w:p>
    <w:p>
      <w:pPr>
        <w:spacing w:after="0" w:line="13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w:t>
      </w:r>
    </w:p>
    <w:p>
      <w:pPr>
        <w:spacing w:after="0" w:line="16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On July 8, 2021, the Company announced its scaling up of its European operations though its recently formed wholly owned Ireland subsidiary, Cybin Ireland. In connection with the formation of Cybin Ireland, the Company transferred its intellectual property assets to this entity.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Framework and Licensing Regime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2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In Canada, oversight of healthcare is divided between the federal and provincial governments. The federal government is responsible for regulating, among other things, the approval, import, sale, and marketing of drugs such as psilocybin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60"/>
          </w:cols>
          <w:pgMar w:left="320" w:top="731" w:right="319" w:bottom="1440" w:gutter="0" w:footer="0" w:header="0"/>
        </w:sectPr>
      </w:pPr>
    </w:p>
    <w:bookmarkStart w:id="176" w:name="page177"/>
    <w:bookmarkEnd w:id="176"/>
    <w:p>
      <w:pPr>
        <w:jc w:val="both"/>
        <w:ind w:left="2"/>
        <w:spacing w:after="0" w:line="260" w:lineRule="auto"/>
        <w:rPr>
          <w:sz w:val="20"/>
          <w:szCs w:val="20"/>
          <w:color w:val="auto"/>
        </w:rPr>
      </w:pPr>
      <w:r>
        <w:rPr>
          <w:rFonts w:ascii="Times New Roman" w:cs="Times New Roman" w:eastAsia="Times New Roman" w:hAnsi="Times New Roman"/>
          <w:sz w:val="18"/>
          <w:szCs w:val="18"/>
          <w:color w:val="auto"/>
        </w:rPr>
        <w:t>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64"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 xml:space="preserve">Certain psychoactive compounds, such as psilocybin, are considered controlled substances under Schedule III of the </w:t>
      </w:r>
      <w:r>
        <w:rPr>
          <w:rFonts w:ascii="Times New Roman" w:cs="Times New Roman" w:eastAsia="Times New Roman" w:hAnsi="Times New Roman"/>
          <w:sz w:val="18"/>
          <w:szCs w:val="18"/>
          <w:i w:val="1"/>
          <w:iCs w:val="1"/>
          <w:color w:val="auto"/>
        </w:rPr>
        <w:t>Controlled Drugs and Substances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CDSA</w:t>
      </w:r>
      <w:r>
        <w:rPr>
          <w:rFonts w:ascii="Times New Roman" w:cs="Times New Roman" w:eastAsia="Times New Roman" w:hAnsi="Times New Roman"/>
          <w:sz w:val="18"/>
          <w:szCs w:val="18"/>
          <w:color w:val="auto"/>
        </w:rPr>
        <w:t>”). In order to conduct any scientific research, including pre-clinical and clinical trials, using psychoactive compounds listed as controlled substances under the CDSA, an exemption under Section 56 of the CDSA (“</w:t>
      </w:r>
      <w:r>
        <w:rPr>
          <w:rFonts w:ascii="Times New Roman" w:cs="Times New Roman" w:eastAsia="Times New Roman" w:hAnsi="Times New Roman"/>
          <w:sz w:val="18"/>
          <w:szCs w:val="18"/>
          <w:b w:val="1"/>
          <w:bCs w:val="1"/>
          <w:color w:val="auto"/>
        </w:rPr>
        <w:t>Section 56 Exemption</w:t>
      </w:r>
      <w:r>
        <w:rPr>
          <w:rFonts w:ascii="Times New Roman" w:cs="Times New Roman" w:eastAsia="Times New Roman" w:hAnsi="Times New Roman"/>
          <w:sz w:val="18"/>
          <w:szCs w:val="18"/>
          <w:color w:val="auto"/>
        </w:rPr>
        <w:t>”) is required. This exemption allows the holder to possess and use the controlled substance without being subject to the restrictions set out in the CDSA. The Company has not applied for a Section 56 Exemption from Health Canada.</w:t>
      </w:r>
    </w:p>
    <w:p>
      <w:pPr>
        <w:spacing w:after="0" w:line="169" w:lineRule="exact"/>
        <w:rPr>
          <w:sz w:val="20"/>
          <w:szCs w:val="20"/>
          <w:color w:val="auto"/>
        </w:rPr>
      </w:pPr>
    </w:p>
    <w:p>
      <w:pPr>
        <w:ind w:left="2"/>
        <w:spacing w:after="0" w:line="233" w:lineRule="auto"/>
        <w:rPr>
          <w:sz w:val="20"/>
          <w:szCs w:val="20"/>
          <w:color w:val="auto"/>
        </w:rPr>
      </w:pPr>
      <w:r>
        <w:rPr>
          <w:rFonts w:ascii="Times New Roman" w:cs="Times New Roman" w:eastAsia="Times New Roman" w:hAnsi="Times New Roman"/>
          <w:sz w:val="18"/>
          <w:szCs w:val="18"/>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w:t>
      </w:r>
      <w:r>
        <w:rPr>
          <w:rFonts w:ascii="Times New Roman" w:cs="Times New Roman" w:eastAsia="Times New Roman" w:hAnsi="Times New Roman"/>
          <w:sz w:val="18"/>
          <w:szCs w:val="18"/>
          <w:i w:val="1"/>
          <w:iCs w:val="1"/>
          <w:color w:val="auto"/>
        </w:rPr>
        <w:t>Controlled Drugs and Substances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Food and Drugs Regulations</w:t>
      </w:r>
      <w:r>
        <w:rPr>
          <w:rFonts w:ascii="Times New Roman" w:cs="Times New Roman" w:eastAsia="Times New Roman" w:hAnsi="Times New Roman"/>
          <w:sz w:val="18"/>
          <w:szCs w:val="18"/>
          <w:color w:val="auto"/>
        </w:rPr>
        <w:t>) and subject to any restrictions placed on the licence by Health Canada, an entity with a Dealer’s Licence may produce,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assemble, sell, provide, transport, send, deliver, import or export a restricted drug (as listed in Part J in the Food and Drugs Regulations – which includes psilocybin and psilocin) (see s. J.01.009 (1) of the Food and Drug Regulations).</w:t>
      </w:r>
    </w:p>
    <w:p>
      <w:pPr>
        <w:spacing w:after="0" w:line="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intends to sponsor and work with licensed third parties to conduct any clinical trials and research and does not handle controlled substances.</w:t>
      </w:r>
    </w:p>
    <w:p>
      <w:pPr>
        <w:spacing w:after="0" w:line="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If the Company were to conduct this work without the reliance on third parties, it would need to obtain additional licences and approvals described above.</w:t>
      </w:r>
    </w:p>
    <w:p>
      <w:pPr>
        <w:spacing w:after="0" w:line="18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9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FDA and other federal, state, local and foreign regulatory agencies impose substantial requirements upon the clinical development, clinical testing,</w:t>
      </w:r>
    </w:p>
    <w:p>
      <w:pPr>
        <w:spacing w:after="0" w:line="8" w:lineRule="exact"/>
        <w:rPr>
          <w:sz w:val="20"/>
          <w:szCs w:val="20"/>
          <w:color w:val="auto"/>
        </w:rPr>
      </w:pPr>
    </w:p>
    <w:p>
      <w:pPr>
        <w:jc w:val="both"/>
        <w:ind w:left="2"/>
        <w:spacing w:after="0" w:line="219" w:lineRule="auto"/>
        <w:rPr>
          <w:sz w:val="20"/>
          <w:szCs w:val="20"/>
          <w:color w:val="auto"/>
        </w:rPr>
      </w:pPr>
      <w:r>
        <w:rPr>
          <w:rFonts w:ascii="Times New Roman" w:cs="Times New Roman" w:eastAsia="Times New Roman" w:hAnsi="Times New Roman"/>
          <w:sz w:val="18"/>
          <w:szCs w:val="18"/>
          <w:color w:val="auto"/>
        </w:rPr>
        <w:t>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w:t>
      </w:r>
    </w:p>
    <w:p>
      <w:pPr>
        <w:spacing w:after="0" w:line="1" w:lineRule="exact"/>
        <w:rPr>
          <w:sz w:val="20"/>
          <w:szCs w:val="20"/>
          <w:color w:val="auto"/>
        </w:rPr>
      </w:pPr>
    </w:p>
    <w:p>
      <w:pPr>
        <w:jc w:val="both"/>
        <w:ind w:left="2"/>
        <w:spacing w:after="0"/>
        <w:rPr>
          <w:sz w:val="20"/>
          <w:szCs w:val="20"/>
          <w:color w:val="auto"/>
        </w:rPr>
      </w:pPr>
      <w:r>
        <w:rPr>
          <w:rFonts w:ascii="Times New Roman" w:cs="Times New Roman" w:eastAsia="Times New Roman" w:hAnsi="Times New Roman"/>
          <w:sz w:val="17"/>
          <w:szCs w:val="17"/>
          <w:color w:val="auto"/>
        </w:rPr>
        <w:t>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w:t>
      </w:r>
    </w:p>
    <w:p>
      <w:pPr>
        <w:jc w:val="both"/>
        <w:ind w:left="2"/>
        <w:spacing w:after="0" w:line="192" w:lineRule="auto"/>
        <w:rPr>
          <w:sz w:val="20"/>
          <w:szCs w:val="20"/>
          <w:color w:val="auto"/>
        </w:rPr>
      </w:pPr>
      <w:r>
        <w:rPr>
          <w:rFonts w:ascii="Times New Roman" w:cs="Times New Roman" w:eastAsia="Times New Roman" w:hAnsi="Times New Roman"/>
          <w:sz w:val="18"/>
          <w:szCs w:val="18"/>
          <w:color w:val="auto"/>
        </w:rPr>
        <w:t>injunctive relief including partial or total suspension of production, or withdrawal of a product from the market. The Company intends to file an IND application related to its Deuterated Psilocybin Analog Program upon completion of its pre-clinical studies and CMC development</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Anticipated timelines</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related to regulatory filings are based on reasonable assumptions informed by current knowledge and information available to the Company.</w:t>
      </w:r>
    </w:p>
    <w:p>
      <w:pPr>
        <w:spacing w:after="0" w:line="201"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8"/>
          <w:szCs w:val="18"/>
          <w:color w:val="auto"/>
        </w:rPr>
        <w:t>Psilocybin, psilocin, dimethyltryptamine, and 5-Methoxy-N-N-dimethyltryptamine are strictly controlled under the federal Controlled Substances Act, 21 U.S.C. §801, et. seq. (“</w:t>
      </w:r>
      <w:r>
        <w:rPr>
          <w:rFonts w:ascii="Times New Roman" w:cs="Times New Roman" w:eastAsia="Times New Roman" w:hAnsi="Times New Roman"/>
          <w:sz w:val="18"/>
          <w:szCs w:val="18"/>
          <w:b w:val="1"/>
          <w:bCs w:val="1"/>
          <w:color w:val="auto"/>
        </w:rPr>
        <w:t>CSA</w:t>
      </w:r>
      <w:r>
        <w:rPr>
          <w:rFonts w:ascii="Times New Roman" w:cs="Times New Roman" w:eastAsia="Times New Roman" w:hAnsi="Times New Roman"/>
          <w:sz w:val="18"/>
          <w:szCs w:val="18"/>
          <w:color w:val="auto"/>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psilocybin to be available for commercial marketing in the United States, psilocybin and psilocin must be rescheduled, or the product itself must be scheduled, by the DEA to Schedule II, III, IV or V. Scheduling determinations by the DEA are dependent on FDA approval of a substance or a specific formulation of a substance.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155194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22" w:lineRule="exact"/>
        <w:rPr>
          <w:sz w:val="20"/>
          <w:szCs w:val="20"/>
          <w:color w:val="auto"/>
        </w:rPr>
      </w:pPr>
    </w:p>
    <w:p>
      <w:pPr>
        <w:jc w:val="both"/>
        <w:ind w:left="2" w:hanging="2"/>
        <w:spacing w:after="0" w:line="234" w:lineRule="auto"/>
        <w:tabs>
          <w:tab w:leader="none" w:pos="155" w:val="left"/>
        </w:tabs>
        <w:numPr>
          <w:ilvl w:val="0"/>
          <w:numId w:val="1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Times New Roman" w:cs="Times New Roman" w:eastAsia="Times New Roman" w:hAnsi="Times New Roman"/>
          <w:sz w:val="15"/>
          <w:szCs w:val="15"/>
          <w:i w:val="1"/>
          <w:iCs w:val="1"/>
          <w:color w:val="auto"/>
        </w:rPr>
        <w:t>Risk Factors”.</w:t>
      </w:r>
    </w:p>
    <w:p>
      <w:pPr>
        <w:spacing w:after="0" w:line="200" w:lineRule="exact"/>
        <w:rPr>
          <w:sz w:val="20"/>
          <w:szCs w:val="20"/>
          <w:color w:val="auto"/>
        </w:rPr>
      </w:pPr>
    </w:p>
    <w:p>
      <w:pPr>
        <w:spacing w:after="0" w:line="34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2"/>
          </w:cols>
          <w:pgMar w:left="318" w:top="705" w:right="339" w:bottom="1440" w:gutter="0" w:footer="0" w:header="0"/>
        </w:sectPr>
      </w:pPr>
    </w:p>
    <w:bookmarkStart w:id="177" w:name="page178"/>
    <w:bookmarkEnd w:id="177"/>
    <w:p>
      <w:pPr>
        <w:ind w:left="2"/>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10" w:lineRule="exact"/>
        <w:rPr>
          <w:sz w:val="20"/>
          <w:szCs w:val="20"/>
          <w:color w:val="auto"/>
        </w:rPr>
      </w:pPr>
    </w:p>
    <w:p>
      <w:pPr>
        <w:jc w:val="both"/>
        <w:ind w:left="2" w:right="100"/>
        <w:spacing w:after="0" w:line="263" w:lineRule="auto"/>
        <w:rPr>
          <w:sz w:val="20"/>
          <w:szCs w:val="20"/>
          <w:color w:val="auto"/>
        </w:rPr>
      </w:pPr>
      <w:r>
        <w:rPr>
          <w:rFonts w:ascii="Times New Roman" w:cs="Times New Roman" w:eastAsia="Times New Roman" w:hAnsi="Times New Roman"/>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59" w:lineRule="exact"/>
        <w:rPr>
          <w:sz w:val="20"/>
          <w:szCs w:val="20"/>
          <w:color w:val="auto"/>
        </w:rPr>
      </w:pPr>
    </w:p>
    <w:p>
      <w:pPr>
        <w:jc w:val="both"/>
        <w:ind w:left="2" w:right="100"/>
        <w:spacing w:after="0" w:line="265" w:lineRule="auto"/>
        <w:rPr>
          <w:sz w:val="20"/>
          <w:szCs w:val="20"/>
          <w:color w:val="auto"/>
        </w:rPr>
      </w:pPr>
      <w:r>
        <w:rPr>
          <w:rFonts w:ascii="Times New Roman" w:cs="Times New Roman" w:eastAsia="Times New Roman" w:hAnsi="Times New Roman"/>
          <w:sz w:val="18"/>
          <w:szCs w:val="18"/>
          <w:color w:val="auto"/>
        </w:rPr>
        <w:t>The main UK controlled drugs legislation is the Misuse of Drugs Act 1971 (the “</w:t>
      </w:r>
      <w:r>
        <w:rPr>
          <w:rFonts w:ascii="Times New Roman" w:cs="Times New Roman" w:eastAsia="Times New Roman" w:hAnsi="Times New Roman"/>
          <w:sz w:val="18"/>
          <w:szCs w:val="18"/>
          <w:b w:val="1"/>
          <w:bCs w:val="1"/>
          <w:color w:val="auto"/>
        </w:rPr>
        <w:t>MDA</w:t>
      </w:r>
      <w:r>
        <w:rPr>
          <w:rFonts w:ascii="Times New Roman" w:cs="Times New Roman" w:eastAsia="Times New Roman" w:hAnsi="Times New Roman"/>
          <w:sz w:val="18"/>
          <w:szCs w:val="18"/>
          <w:color w:val="auto"/>
        </w:rPr>
        <w:t>”) and the Misuse of Drugs Regulations 2001 (the “</w:t>
      </w:r>
      <w:r>
        <w:rPr>
          <w:rFonts w:ascii="Times New Roman" w:cs="Times New Roman" w:eastAsia="Times New Roman" w:hAnsi="Times New Roman"/>
          <w:sz w:val="18"/>
          <w:szCs w:val="18"/>
          <w:b w:val="1"/>
          <w:bCs w:val="1"/>
          <w:color w:val="auto"/>
        </w:rPr>
        <w:t>MDR</w:t>
      </w:r>
      <w:r>
        <w:rPr>
          <w:rFonts w:ascii="Times New Roman" w:cs="Times New Roman" w:eastAsia="Times New Roman" w:hAnsi="Times New Roman"/>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49" w:lineRule="exact"/>
        <w:rPr>
          <w:sz w:val="20"/>
          <w:szCs w:val="20"/>
          <w:color w:val="auto"/>
        </w:rPr>
      </w:pPr>
    </w:p>
    <w:p>
      <w:pPr>
        <w:jc w:val="both"/>
        <w:ind w:left="2" w:right="100"/>
        <w:spacing w:after="0" w:line="270" w:lineRule="auto"/>
        <w:rPr>
          <w:sz w:val="20"/>
          <w:szCs w:val="20"/>
          <w:color w:val="auto"/>
        </w:rPr>
      </w:pPr>
      <w:r>
        <w:rPr>
          <w:rFonts w:ascii="Times New Roman" w:cs="Times New Roman" w:eastAsia="Times New Roman" w:hAnsi="Times New Roman"/>
          <w:sz w:val="18"/>
          <w:szCs w:val="18"/>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44" w:lineRule="exact"/>
        <w:rPr>
          <w:sz w:val="20"/>
          <w:szCs w:val="20"/>
          <w:color w:val="auto"/>
        </w:rPr>
      </w:pPr>
    </w:p>
    <w:p>
      <w:pPr>
        <w:jc w:val="both"/>
        <w:ind w:left="2" w:right="80"/>
        <w:spacing w:after="0" w:line="263" w:lineRule="auto"/>
        <w:rPr>
          <w:sz w:val="20"/>
          <w:szCs w:val="20"/>
          <w:color w:val="auto"/>
        </w:rPr>
      </w:pPr>
      <w:r>
        <w:rPr>
          <w:rFonts w:ascii="Times New Roman" w:cs="Times New Roman" w:eastAsia="Times New Roman" w:hAnsi="Times New Roman"/>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163" w:lineRule="exact"/>
        <w:rPr>
          <w:sz w:val="20"/>
          <w:szCs w:val="20"/>
          <w:color w:val="auto"/>
        </w:rPr>
      </w:pPr>
    </w:p>
    <w:p>
      <w:pPr>
        <w:jc w:val="both"/>
        <w:ind w:left="2" w:right="100"/>
        <w:spacing w:after="0" w:line="233" w:lineRule="auto"/>
        <w:rPr>
          <w:sz w:val="20"/>
          <w:szCs w:val="20"/>
          <w:color w:val="auto"/>
        </w:rPr>
      </w:pPr>
      <w:r>
        <w:rPr>
          <w:rFonts w:ascii="Times New Roman" w:cs="Times New Roman" w:eastAsia="Times New Roman" w:hAnsi="Times New Roman"/>
          <w:sz w:val="18"/>
          <w:szCs w:val="18"/>
          <w:color w:val="auto"/>
        </w:rPr>
        <w:t>The Company intends to file a clinical trial application with the MHRA related to the Deuterated Psilocybin Analog Program upon completion of its pre-clinical studies and CMC development</w:t>
      </w:r>
      <w:r>
        <w:rPr>
          <w:rFonts w:ascii="Times New Roman" w:cs="Times New Roman" w:eastAsia="Times New Roman" w:hAnsi="Times New Roman"/>
          <w:sz w:val="23"/>
          <w:szCs w:val="23"/>
          <w:color w:val="auto"/>
          <w:vertAlign w:val="superscript"/>
        </w:rPr>
        <w:t>24</w:t>
      </w:r>
      <w:r>
        <w:rPr>
          <w:rFonts w:ascii="Times New Roman" w:cs="Times New Roman" w:eastAsia="Times New Roman" w:hAnsi="Times New Roman"/>
          <w:sz w:val="18"/>
          <w:szCs w:val="18"/>
          <w:color w:val="auto"/>
        </w:rPr>
        <w:t>. Anticipated timelines related to regulatory filings are based on reasonable assumptions informed by current knowledge and information available to the Company.</w:t>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Licensing Requirements</w:t>
      </w:r>
    </w:p>
    <w:p>
      <w:pPr>
        <w:spacing w:after="0" w:line="208" w:lineRule="exact"/>
        <w:rPr>
          <w:sz w:val="20"/>
          <w:szCs w:val="20"/>
          <w:color w:val="auto"/>
        </w:rPr>
      </w:pPr>
    </w:p>
    <w:p>
      <w:pPr>
        <w:jc w:val="both"/>
        <w:ind w:left="2" w:right="100"/>
        <w:spacing w:after="0" w:line="263" w:lineRule="auto"/>
        <w:rPr>
          <w:sz w:val="20"/>
          <w:szCs w:val="20"/>
          <w:color w:val="auto"/>
        </w:rPr>
      </w:pPr>
      <w:r>
        <w:rPr>
          <w:rFonts w:ascii="Times New Roman" w:cs="Times New Roman" w:eastAsia="Times New Roman" w:hAnsi="Times New Roman"/>
          <w:sz w:val="18"/>
          <w:szCs w:val="18"/>
          <w:color w:val="auto"/>
        </w:rPr>
        <w:t>The Company obtains API from the pharmaceutical ingredient provider who is based in the United States. The API itself is expected to be manufactured and packaged in FDA-registered facilities in the United Kingdom. The API is expected to be sent directly to the Company’s partners for research and development purposes in the United States, Canada and the UK.</w:t>
      </w:r>
    </w:p>
    <w:p>
      <w:pPr>
        <w:spacing w:after="0" w:line="150" w:lineRule="exact"/>
        <w:rPr>
          <w:sz w:val="20"/>
          <w:szCs w:val="20"/>
          <w:color w:val="auto"/>
        </w:rPr>
      </w:pPr>
    </w:p>
    <w:p>
      <w:pPr>
        <w:jc w:val="both"/>
        <w:ind w:left="2" w:right="80"/>
        <w:spacing w:after="0" w:line="255" w:lineRule="auto"/>
        <w:rPr>
          <w:sz w:val="20"/>
          <w:szCs w:val="20"/>
          <w:color w:val="auto"/>
        </w:rPr>
      </w:pPr>
      <w:r>
        <w:rPr>
          <w:rFonts w:ascii="Times New Roman" w:cs="Times New Roman" w:eastAsia="Times New Roman" w:hAnsi="Times New Roman"/>
          <w:sz w:val="18"/>
          <w:szCs w:val="18"/>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spacing w:after="0" w:line="171" w:lineRule="exact"/>
        <w:rPr>
          <w:sz w:val="20"/>
          <w:szCs w:val="20"/>
          <w:color w:val="auto"/>
        </w:rPr>
      </w:pPr>
    </w:p>
    <w:p>
      <w:pPr>
        <w:jc w:val="both"/>
        <w:ind w:left="2" w:right="100"/>
        <w:spacing w:after="0" w:line="280" w:lineRule="auto"/>
        <w:rPr>
          <w:sz w:val="20"/>
          <w:szCs w:val="20"/>
          <w:color w:val="auto"/>
        </w:rPr>
      </w:pPr>
      <w:r>
        <w:rPr>
          <w:rFonts w:ascii="Times New Roman" w:cs="Times New Roman" w:eastAsia="Times New Roman" w:hAnsi="Times New Roman"/>
          <w:sz w:val="18"/>
          <w:szCs w:val="18"/>
          <w:color w:val="auto"/>
        </w:rPr>
        <w:t>All premises that are licensed in connection with the possession, supply, manufacture and/or production of controlled drugs are required to adhere to detailed security standards.</w:t>
      </w:r>
      <w:r>
        <w:rPr>
          <w:rFonts w:ascii="Times New Roman" w:cs="Times New Roman" w:eastAsia="Times New Roman" w:hAnsi="Times New Roman"/>
          <w:sz w:val="23"/>
          <w:szCs w:val="23"/>
          <w:color w:val="auto"/>
          <w:vertAlign w:val="superscript"/>
        </w:rPr>
        <w:t>25</w:t>
      </w:r>
    </w:p>
    <w:p>
      <w:pPr>
        <w:spacing w:after="0" w:line="73" w:lineRule="exact"/>
        <w:rPr>
          <w:sz w:val="20"/>
          <w:szCs w:val="20"/>
          <w:color w:val="auto"/>
        </w:rPr>
      </w:pPr>
    </w:p>
    <w:p>
      <w:pPr>
        <w:jc w:val="both"/>
        <w:ind w:left="2" w:right="100"/>
        <w:spacing w:after="0" w:line="263" w:lineRule="auto"/>
        <w:rPr>
          <w:sz w:val="20"/>
          <w:szCs w:val="20"/>
          <w:color w:val="auto"/>
        </w:rPr>
      </w:pPr>
      <w:r>
        <w:rPr>
          <w:rFonts w:ascii="Times New Roman" w:cs="Times New Roman" w:eastAsia="Times New Roman" w:hAnsi="Times New Roman"/>
          <w:sz w:val="18"/>
          <w:szCs w:val="18"/>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155194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49" w:lineRule="exact"/>
        <w:rPr>
          <w:sz w:val="20"/>
          <w:szCs w:val="20"/>
          <w:color w:val="auto"/>
        </w:rPr>
      </w:pPr>
    </w:p>
    <w:p>
      <w:pPr>
        <w:jc w:val="both"/>
        <w:ind w:left="2" w:right="100" w:hanging="2"/>
        <w:spacing w:after="0" w:line="234" w:lineRule="auto"/>
        <w:tabs>
          <w:tab w:leader="none" w:pos="155" w:val="left"/>
        </w:tabs>
        <w:numPr>
          <w:ilvl w:val="0"/>
          <w:numId w:val="1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Times New Roman" w:cs="Times New Roman" w:eastAsia="Times New Roman" w:hAnsi="Times New Roman"/>
          <w:sz w:val="15"/>
          <w:szCs w:val="15"/>
          <w:i w:val="1"/>
          <w:iCs w:val="1"/>
          <w:color w:val="auto"/>
        </w:rPr>
        <w:t>Risk Factors”.</w:t>
      </w:r>
    </w:p>
    <w:p>
      <w:pPr>
        <w:spacing w:after="0" w:line="1" w:lineRule="exact"/>
        <w:rPr>
          <w:rFonts w:ascii="Times New Roman" w:cs="Times New Roman" w:eastAsia="Times New Roman" w:hAnsi="Times New Roman"/>
          <w:sz w:val="19"/>
          <w:szCs w:val="19"/>
          <w:color w:val="auto"/>
          <w:vertAlign w:val="superscript"/>
        </w:rPr>
      </w:pPr>
    </w:p>
    <w:p>
      <w:pPr>
        <w:ind w:left="2" w:hanging="2"/>
        <w:spacing w:after="0" w:line="288" w:lineRule="auto"/>
        <w:tabs>
          <w:tab w:leader="none" w:pos="123" w:val="left"/>
        </w:tabs>
        <w:numPr>
          <w:ilvl w:val="0"/>
          <w:numId w:val="114"/>
        </w:numPr>
        <w:rPr>
          <w:rFonts w:ascii="Times New Roman" w:cs="Times New Roman" w:eastAsia="Times New Roman" w:hAnsi="Times New Roman"/>
          <w:sz w:val="8"/>
          <w:szCs w:val="8"/>
          <w:color w:val="auto"/>
        </w:rPr>
      </w:pPr>
      <w:r>
        <w:rPr>
          <w:rFonts w:ascii="Times New Roman" w:cs="Times New Roman" w:eastAsia="Times New Roman" w:hAnsi="Times New Roman"/>
          <w:sz w:val="14"/>
          <w:szCs w:val="14"/>
          <w:color w:val="auto"/>
        </w:rPr>
        <w:t>Home Office guidance; Security guidance for all existing or prospective Home Office Controlled Drug Licensees and/or Precursor Chemical Licensees or Registrants; 2020</w:t>
      </w:r>
      <w:r>
        <w:rPr>
          <w:rFonts w:ascii="Times New Roman" w:cs="Times New Roman" w:eastAsia="Times New Roman" w:hAnsi="Times New Roman"/>
          <w:sz w:val="14"/>
          <w:szCs w:val="14"/>
          <w:u w:val="single" w:color="auto"/>
          <w:color w:val="3051F2"/>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3051F2"/>
        </w:rPr>
        <w:t>https://assets.publishing.service.gov.uk/government/uploads/system/uploads/attachment_data/file/857591/Security_Guidance_for_all_Businesses_and_Other_Organisations_v1.4_Jan_2020.pdf.</w:t>
      </w:r>
    </w:p>
    <w:p>
      <w:pPr>
        <w:spacing w:after="0" w:line="200" w:lineRule="exact"/>
        <w:rPr>
          <w:sz w:val="20"/>
          <w:szCs w:val="20"/>
          <w:color w:val="auto"/>
        </w:rPr>
      </w:pPr>
    </w:p>
    <w:p>
      <w:pPr>
        <w:spacing w:after="0" w:line="314"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2"/>
          </w:cols>
          <w:pgMar w:left="318" w:top="923" w:right="239" w:bottom="1440" w:gutter="0" w:footer="0" w:header="0"/>
        </w:sectPr>
      </w:pPr>
    </w:p>
    <w:bookmarkStart w:id="178" w:name="page179"/>
    <w:bookmarkEnd w:id="178"/>
    <w:p>
      <w:pPr>
        <w:jc w:val="both"/>
        <w:ind w:left="2"/>
        <w:spacing w:after="0" w:line="269" w:lineRule="auto"/>
        <w:rPr>
          <w:sz w:val="20"/>
          <w:szCs w:val="20"/>
          <w:color w:val="auto"/>
        </w:rPr>
      </w:pPr>
      <w:r>
        <w:rPr>
          <w:rFonts w:ascii="Times New Roman" w:cs="Times New Roman" w:eastAsia="Times New Roman" w:hAnsi="Times New Roman"/>
          <w:sz w:val="18"/>
          <w:szCs w:val="18"/>
          <w:color w:val="auto"/>
        </w:rPr>
        <w:t>are not the legal owners, this party also carries responsibility for their security by virtue of being ‘in possession’ of them. Under the Home Office guidance, each organization involved in the movement of controlled drugs should have a standard operating procedure covering their responsibilities, record keeping, reconciliation and reporting of thefts/losses.</w:t>
      </w:r>
      <w:r>
        <w:rPr>
          <w:rFonts w:ascii="Times New Roman" w:cs="Times New Roman" w:eastAsia="Times New Roman" w:hAnsi="Times New Roman"/>
          <w:sz w:val="23"/>
          <w:szCs w:val="23"/>
          <w:color w:val="auto"/>
          <w:vertAlign w:val="superscript"/>
        </w:rPr>
        <w:t>26</w:t>
      </w:r>
    </w:p>
    <w:p>
      <w:pPr>
        <w:spacing w:after="0" w:line="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Pharmaceutical Products</w:t>
      </w:r>
    </w:p>
    <w:p>
      <w:pPr>
        <w:spacing w:after="0" w:line="208"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8"/>
          <w:szCs w:val="18"/>
          <w:color w:val="auto"/>
        </w:rPr>
        <w:t>Products are regulated as “medicinal products” under UK legislation (the Human Medicines Regulations 2012) if (i) they are presented as a substance or combination of substances having properties for treating or preventing disease in human beings having a medicinal effect (e.g., in marketing claims) or (ii) have a medicinal effect (i.e., even if no claims are made about the product).</w:t>
      </w:r>
    </w:p>
    <w:p>
      <w:pPr>
        <w:spacing w:after="0" w:line="150" w:lineRule="exact"/>
        <w:rPr>
          <w:sz w:val="20"/>
          <w:szCs w:val="20"/>
          <w:color w:val="auto"/>
        </w:rPr>
      </w:pPr>
    </w:p>
    <w:p>
      <w:pPr>
        <w:jc w:val="both"/>
        <w:ind w:left="2" w:right="20"/>
        <w:spacing w:after="0" w:line="270" w:lineRule="auto"/>
        <w:rPr>
          <w:sz w:val="20"/>
          <w:szCs w:val="20"/>
          <w:color w:val="auto"/>
        </w:rPr>
      </w:pPr>
      <w:r>
        <w:rPr>
          <w:rFonts w:ascii="Times New Roman" w:cs="Times New Roman" w:eastAsia="Times New Roman" w:hAnsi="Times New Roman"/>
          <w:sz w:val="18"/>
          <w:szCs w:val="18"/>
          <w:color w:val="auto"/>
        </w:rPr>
        <w:t>A product has a “medicinal effect” if it has a pharmacological, immunological or metabolic effect on the body that restores, corrects or modifies a physiological function. Whether this is the case for a specific product will depend on factors such as the concentration of the psilocybin/psilocin and the mode of action of any psilocybin/psilocin absorbed in the body.</w:t>
      </w:r>
    </w:p>
    <w:p>
      <w:pPr>
        <w:spacing w:after="0" w:line="144"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(Good Manufacturing Practices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and/or Good Distribution Practice (“</w:t>
      </w:r>
      <w:r>
        <w:rPr>
          <w:rFonts w:ascii="Times New Roman" w:cs="Times New Roman" w:eastAsia="Times New Roman" w:hAnsi="Times New Roman"/>
          <w:sz w:val="18"/>
          <w:szCs w:val="18"/>
          <w:b w:val="1"/>
          <w:bCs w:val="1"/>
          <w:color w:val="auto"/>
        </w:rPr>
        <w:t>GDP</w:t>
      </w:r>
      <w:r>
        <w:rPr>
          <w:rFonts w:ascii="Times New Roman" w:cs="Times New Roman" w:eastAsia="Times New Roman" w:hAnsi="Times New Roman"/>
          <w:sz w:val="18"/>
          <w:szCs w:val="18"/>
          <w:color w:val="auto"/>
        </w:rPr>
        <w:t>”) and to hold a related licence from the MHRA.</w:t>
      </w:r>
    </w:p>
    <w:p>
      <w:pPr>
        <w:spacing w:after="0" w:line="171" w:lineRule="exact"/>
        <w:rPr>
          <w:sz w:val="20"/>
          <w:szCs w:val="20"/>
          <w:color w:val="auto"/>
        </w:rPr>
      </w:pPr>
    </w:p>
    <w:p>
      <w:pPr>
        <w:jc w:val="both"/>
        <w:ind w:left="2"/>
        <w:spacing w:after="0" w:line="263" w:lineRule="auto"/>
        <w:rPr>
          <w:sz w:val="20"/>
          <w:szCs w:val="20"/>
          <w:color w:val="auto"/>
        </w:rPr>
      </w:pPr>
      <w:r>
        <w:rPr>
          <w:rFonts w:ascii="Times New Roman" w:cs="Times New Roman" w:eastAsia="Times New Roman" w:hAnsi="Times New Roman"/>
          <w:sz w:val="18"/>
          <w:szCs w:val="18"/>
          <w:color w:val="auto"/>
        </w:rPr>
        <w:t>As mentioned above, once the API has been made in the UK, it is expected to be sent directly to the Company’s partners for research and development purposes in the UK, United States or Canada. How the API is subsequently processed will determine the licences that the UK-based facility must hold. In particular:</w:t>
      </w:r>
    </w:p>
    <w:p>
      <w:pPr>
        <w:spacing w:after="0" w:line="159" w:lineRule="exact"/>
        <w:rPr>
          <w:sz w:val="20"/>
          <w:szCs w:val="20"/>
          <w:color w:val="auto"/>
        </w:rPr>
      </w:pPr>
    </w:p>
    <w:p>
      <w:pPr>
        <w:jc w:val="both"/>
        <w:ind w:left="582" w:right="20" w:hanging="289"/>
        <w:spacing w:after="0" w:line="257" w:lineRule="auto"/>
        <w:tabs>
          <w:tab w:leader="none" w:pos="57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API is just one ‘ingredient’ of the investigational medicinal product (the “</w:t>
      </w:r>
      <w:r>
        <w:rPr>
          <w:rFonts w:ascii="Times New Roman" w:cs="Times New Roman" w:eastAsia="Times New Roman" w:hAnsi="Times New Roman"/>
          <w:sz w:val="18"/>
          <w:szCs w:val="18"/>
          <w:b w:val="1"/>
          <w:bCs w:val="1"/>
          <w:color w:val="auto"/>
        </w:rPr>
        <w:t>IMP</w:t>
      </w:r>
      <w:r>
        <w:rPr>
          <w:rFonts w:ascii="Times New Roman" w:cs="Times New Roman" w:eastAsia="Times New Roman" w:hAnsi="Times New Roman"/>
          <w:sz w:val="18"/>
          <w:szCs w:val="18"/>
          <w:color w:val="auto"/>
        </w:rPr>
        <w:t>”) which is used in the clinical trial then the UK-based facility must register with the MHRA and provide the MHRA with 60 days’ notice of the intended start of manufacture/distribution of the API, and comply with GMP and GDP for active substances; and</w:t>
      </w:r>
    </w:p>
    <w:p>
      <w:pPr>
        <w:jc w:val="both"/>
        <w:ind w:left="582" w:right="20" w:hanging="289"/>
        <w:spacing w:after="0" w:line="255" w:lineRule="auto"/>
        <w:tabs>
          <w:tab w:leader="none" w:pos="57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conversely, if the API will itself constitute the IMP, the manufacturer must hold a Manufacturer’s Authorizations for IMPs licence (“</w:t>
      </w:r>
      <w:r>
        <w:rPr>
          <w:rFonts w:ascii="Times New Roman" w:cs="Times New Roman" w:eastAsia="Times New Roman" w:hAnsi="Times New Roman"/>
          <w:sz w:val="18"/>
          <w:szCs w:val="18"/>
          <w:b w:val="1"/>
          <w:bCs w:val="1"/>
          <w:color w:val="auto"/>
        </w:rPr>
        <w:t>MIA(IMP</w:t>
      </w:r>
      <w:r>
        <w:rPr>
          <w:rFonts w:ascii="Times New Roman" w:cs="Times New Roman" w:eastAsia="Times New Roman" w:hAnsi="Times New Roman"/>
          <w:sz w:val="18"/>
          <w:szCs w:val="18"/>
          <w:color w:val="auto"/>
        </w:rPr>
        <w:t>)”). In this scenario, an MIA(IMP) would be required regardless of whether the IMP is for use in the UK, an EEA Member State or a third country (such as the United States or Canada).</w:t>
      </w:r>
    </w:p>
    <w:p>
      <w:pPr>
        <w:spacing w:after="0" w:line="182" w:lineRule="exact"/>
        <w:rPr>
          <w:sz w:val="20"/>
          <w:szCs w:val="20"/>
          <w:color w:val="auto"/>
        </w:rPr>
      </w:pPr>
    </w:p>
    <w:p>
      <w:pPr>
        <w:jc w:val="both"/>
        <w:ind w:left="2" w:right="20"/>
        <w:spacing w:after="0" w:line="260" w:lineRule="auto"/>
        <w:rPr>
          <w:sz w:val="20"/>
          <w:szCs w:val="20"/>
          <w:color w:val="auto"/>
        </w:rPr>
      </w:pPr>
      <w:r>
        <w:rPr>
          <w:rFonts w:ascii="Times New Roman" w:cs="Times New Roman" w:eastAsia="Times New Roman" w:hAnsi="Times New Roman"/>
          <w:sz w:val="18"/>
          <w:szCs w:val="18"/>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0" w:lineRule="exact"/>
        <w:rPr>
          <w:sz w:val="20"/>
          <w:szCs w:val="20"/>
          <w:color w:val="auto"/>
        </w:rPr>
      </w:pPr>
    </w:p>
    <w:p>
      <w:pPr>
        <w:jc w:val="both"/>
        <w:ind w:left="2" w:right="20"/>
        <w:spacing w:after="0" w:line="255" w:lineRule="auto"/>
        <w:rPr>
          <w:sz w:val="20"/>
          <w:szCs w:val="20"/>
          <w:color w:val="auto"/>
        </w:rPr>
      </w:pPr>
      <w:r>
        <w:rPr>
          <w:rFonts w:ascii="Times New Roman" w:cs="Times New Roman" w:eastAsia="Times New Roman" w:hAnsi="Times New Roman"/>
          <w:sz w:val="18"/>
          <w:szCs w:val="18"/>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71" w:lineRule="exact"/>
        <w:rPr>
          <w:sz w:val="20"/>
          <w:szCs w:val="20"/>
          <w:color w:val="auto"/>
        </w:rPr>
      </w:pPr>
    </w:p>
    <w:p>
      <w:pPr>
        <w:jc w:val="both"/>
        <w:ind w:left="2" w:right="20"/>
        <w:spacing w:after="0" w:line="285" w:lineRule="auto"/>
        <w:rPr>
          <w:sz w:val="20"/>
          <w:szCs w:val="20"/>
          <w:color w:val="auto"/>
        </w:rPr>
      </w:pPr>
      <w:r>
        <w:rPr>
          <w:rFonts w:ascii="Times New Roman" w:cs="Times New Roman" w:eastAsia="Times New Roman" w:hAnsi="Times New Roman"/>
          <w:sz w:val="18"/>
          <w:szCs w:val="18"/>
          <w:color w:val="auto"/>
        </w:rPr>
        <w:t>As a result of COVID-19, certain institutions have implemented certain facility procedures and are utilizing technology in an effort to mitigate the effects of the pandemic, specifically by moving patient interactions to remote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155194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18" w:lineRule="exact"/>
        <w:rPr>
          <w:sz w:val="20"/>
          <w:szCs w:val="20"/>
          <w:color w:val="auto"/>
        </w:rPr>
      </w:pPr>
    </w:p>
    <w:p>
      <w:pPr>
        <w:ind w:left="2" w:right="3460" w:hanging="2"/>
        <w:spacing w:after="0" w:line="317" w:lineRule="auto"/>
        <w:tabs>
          <w:tab w:leader="none" w:pos="123" w:val="left"/>
        </w:tabs>
        <w:numPr>
          <w:ilvl w:val="0"/>
          <w:numId w:val="116"/>
        </w:numPr>
        <w:rPr>
          <w:rFonts w:ascii="Times New Roman" w:cs="Times New Roman" w:eastAsia="Times New Roman" w:hAnsi="Times New Roman"/>
          <w:sz w:val="8"/>
          <w:szCs w:val="8"/>
          <w:color w:val="auto"/>
        </w:rPr>
      </w:pPr>
      <w:r>
        <w:rPr>
          <w:rFonts w:ascii="Times New Roman" w:cs="Times New Roman" w:eastAsia="Times New Roman" w:hAnsi="Times New Roman"/>
          <w:sz w:val="14"/>
          <w:szCs w:val="14"/>
          <w:color w:val="auto"/>
        </w:rPr>
        <w:t xml:space="preserve">Home Office guidance; Guidelines for Standard Operating Procedures (SOPs); </w:t>
      </w:r>
      <w:r>
        <w:rPr>
          <w:rFonts w:ascii="Times New Roman" w:cs="Times New Roman" w:eastAsia="Times New Roman" w:hAnsi="Times New Roman"/>
          <w:sz w:val="14"/>
          <w:szCs w:val="14"/>
          <w:u w:val="single" w:color="auto"/>
          <w:color w:val="3051F2"/>
        </w:rPr>
        <w:t>https://assets.publishing.service.gov.uk/government/uploads/system/uploads/attachment_data/file/480572/StandardOpProcedure.pdf.</w:t>
      </w:r>
    </w:p>
    <w:p>
      <w:pPr>
        <w:spacing w:after="0" w:line="200" w:lineRule="exact"/>
        <w:rPr>
          <w:sz w:val="20"/>
          <w:szCs w:val="20"/>
          <w:color w:val="auto"/>
        </w:rPr>
      </w:pPr>
    </w:p>
    <w:p>
      <w:pPr>
        <w:spacing w:after="0" w:line="29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62"/>
          </w:cols>
          <w:pgMar w:left="318" w:top="705" w:right="319" w:bottom="1440" w:gutter="0" w:footer="0" w:header="0"/>
        </w:sectPr>
      </w:pPr>
    </w:p>
    <w:bookmarkStart w:id="179" w:name="page180"/>
    <w:bookmarkEnd w:id="179"/>
    <w:p>
      <w:pPr>
        <w:jc w:val="both"/>
        <w:spacing w:after="0" w:line="285" w:lineRule="auto"/>
        <w:rPr>
          <w:sz w:val="20"/>
          <w:szCs w:val="20"/>
          <w:color w:val="auto"/>
        </w:rPr>
      </w:pPr>
      <w:r>
        <w:rPr>
          <w:rFonts w:ascii="Times New Roman" w:cs="Times New Roman" w:eastAsia="Times New Roman" w:hAnsi="Times New Roman"/>
          <w:sz w:val="18"/>
          <w:szCs w:val="18"/>
          <w:color w:val="auto"/>
        </w:rPr>
        <w:t>status wherever possible. The Company cannot guarantee that the continued effects of COVID-19 will not impact patient recruiting for clinical trials and institutional processes at institutions involved in pharmaceutical product development.</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18"/>
          <w:szCs w:val="18"/>
          <w:i w:val="1"/>
          <w:iCs w:val="1"/>
          <w:color w:val="auto"/>
        </w:rPr>
        <w:t>Psilocybe</w:t>
      </w:r>
      <w:r>
        <w:rPr>
          <w:rFonts w:ascii="Times New Roman" w:cs="Times New Roman" w:eastAsia="Times New Roman" w:hAnsi="Times New Roman"/>
          <w:sz w:val="18"/>
          <w:szCs w:val="18"/>
          <w:color w:val="auto"/>
        </w:rPr>
        <w:t xml:space="preserve">, such as </w:t>
      </w:r>
      <w:r>
        <w:rPr>
          <w:rFonts w:ascii="Times New Roman" w:cs="Times New Roman" w:eastAsia="Times New Roman" w:hAnsi="Times New Roman"/>
          <w:sz w:val="18"/>
          <w:szCs w:val="18"/>
          <w:i w:val="1"/>
          <w:iCs w:val="1"/>
          <w:color w:val="auto"/>
        </w:rPr>
        <w:t>P. azurescens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 semilanceata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 cyanescens</w:t>
      </w:r>
      <w:r>
        <w:rPr>
          <w:rFonts w:ascii="Times New Roman" w:cs="Times New Roman" w:eastAsia="Times New Roman" w:hAnsi="Times New Roman"/>
          <w:sz w:val="18"/>
          <w:szCs w:val="18"/>
          <w:color w:val="auto"/>
        </w:rPr>
        <w:t>, but psilocybin has also been isolated from about a dozen other genera. As a prodrug, psilocybin is quickly converted by the body to psilocin, which has mind-altering effects.</w:t>
      </w:r>
    </w:p>
    <w:p>
      <w:pPr>
        <w:spacing w:after="0" w:line="15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Cybin has commenced research and development on the delivery of synthetic psilocybin and other psychedelics through mechanisms such as sublingual film delivery, ODT, IV, and by way of inhalation.</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Research and development is led by the Company’s North American Chief Research and Development Officer, Dr. Michael G. Palfreyman. Dr. Palfreyman, who holds a PhD in Neuroscience and Neuropharmacology from the University of Nottingham, United Kingdom, is an accomplished pharmaceutical industry veteran responsible for more than 30 successful clinical programs.</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Canada generally involves:</w:t>
      </w:r>
    </w:p>
    <w:p>
      <w:pPr>
        <w:spacing w:after="0" w:line="206" w:lineRule="exact"/>
        <w:rPr>
          <w:sz w:val="20"/>
          <w:szCs w:val="20"/>
          <w:color w:val="auto"/>
        </w:rPr>
      </w:pPr>
    </w:p>
    <w:p>
      <w:pPr>
        <w:ind w:left="580" w:hanging="289"/>
        <w:spacing w:after="0" w:line="273" w:lineRule="auto"/>
        <w:tabs>
          <w:tab w:leader="none" w:pos="56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Chemical and Biological Research – </w:t>
      </w:r>
      <w:r>
        <w:rPr>
          <w:rFonts w:ascii="Times New Roman" w:cs="Times New Roman" w:eastAsia="Times New Roman" w:hAnsi="Times New Roman"/>
          <w:sz w:val="18"/>
          <w:szCs w:val="18"/>
          <w:color w:val="auto"/>
        </w:rPr>
        <w:t>Laboratory tests are carried out on tissue cultures and with a variety of small animals to determine the effects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drug. If the results are promising, the manufacturer will proceed to the next step of development.</w:t>
      </w:r>
    </w:p>
    <w:p>
      <w:pPr>
        <w:spacing w:after="0" w:line="176" w:lineRule="exact"/>
        <w:rPr>
          <w:rFonts w:ascii="Times New Roman" w:cs="Times New Roman" w:eastAsia="Times New Roman" w:hAnsi="Times New Roman"/>
          <w:sz w:val="18"/>
          <w:szCs w:val="18"/>
          <w:color w:val="auto"/>
        </w:rPr>
      </w:pPr>
    </w:p>
    <w:p>
      <w:pPr>
        <w:ind w:left="580" w:hanging="289"/>
        <w:spacing w:after="0" w:line="273" w:lineRule="auto"/>
        <w:tabs>
          <w:tab w:leader="none" w:pos="56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Pre-Clinical Development – </w:t>
      </w:r>
      <w:r>
        <w:rPr>
          <w:rFonts w:ascii="Times New Roman" w:cs="Times New Roman" w:eastAsia="Times New Roman" w:hAnsi="Times New Roman"/>
          <w:sz w:val="18"/>
          <w:szCs w:val="18"/>
          <w:color w:val="auto"/>
        </w:rPr>
        <w:t>Animals are given the drug in varying amounts over differing periods of time. If it can be shown that the drug causes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serious or unexpected harm at the doses required to have an effect, the manufacturer will proceed to clinical trials.</w:t>
      </w:r>
    </w:p>
    <w:p>
      <w:pPr>
        <w:spacing w:after="0" w:line="176" w:lineRule="exact"/>
        <w:rPr>
          <w:rFonts w:ascii="Times New Roman" w:cs="Times New Roman" w:eastAsia="Times New Roman" w:hAnsi="Times New Roman"/>
          <w:sz w:val="18"/>
          <w:szCs w:val="18"/>
          <w:color w:val="auto"/>
        </w:rPr>
      </w:pPr>
    </w:p>
    <w:p>
      <w:pPr>
        <w:jc w:val="both"/>
        <w:ind w:left="580" w:hanging="289"/>
        <w:spacing w:after="0" w:line="261" w:lineRule="auto"/>
        <w:tabs>
          <w:tab w:leader="none" w:pos="56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I - </w:t>
      </w:r>
      <w:r>
        <w:rPr>
          <w:rFonts w:ascii="Times New Roman" w:cs="Times New Roman" w:eastAsia="Times New Roman" w:hAnsi="Times New Roman"/>
          <w:sz w:val="18"/>
          <w:szCs w:val="18"/>
          <w:color w:val="auto"/>
        </w:rPr>
        <w:t>The first administration in humans is to test if people can tolerate the drug. If this testing is to take place in Canada,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 must prepare a clinical trial application for the Therapeutic Products Directorate of Health Canada (the “</w:t>
      </w:r>
      <w:r>
        <w:rPr>
          <w:rFonts w:ascii="Times New Roman" w:cs="Times New Roman" w:eastAsia="Times New Roman" w:hAnsi="Times New Roman"/>
          <w:sz w:val="18"/>
          <w:szCs w:val="18"/>
          <w:b w:val="1"/>
          <w:bCs w:val="1"/>
          <w:color w:val="auto"/>
        </w:rPr>
        <w:t>TPD</w:t>
      </w:r>
      <w:r>
        <w:rPr>
          <w:rFonts w:ascii="Times New Roman" w:cs="Times New Roman" w:eastAsia="Times New Roman" w:hAnsi="Times New Roman"/>
          <w:sz w:val="18"/>
          <w:szCs w:val="18"/>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18"/>
          <w:szCs w:val="18"/>
          <w:b w:val="1"/>
          <w:bCs w:val="1"/>
          <w:color w:val="auto"/>
        </w:rPr>
        <w:t>HPFB</w:t>
      </w:r>
      <w:r>
        <w:rPr>
          <w:rFonts w:ascii="Times New Roman" w:cs="Times New Roman" w:eastAsia="Times New Roman" w:hAnsi="Times New Roman"/>
          <w:sz w:val="18"/>
          <w:szCs w:val="18"/>
          <w:color w:val="auto"/>
        </w:rPr>
        <w:t>”) grants permission to start testing the drug, generally first on healthy volunteers.</w:t>
      </w:r>
    </w:p>
    <w:p>
      <w:pPr>
        <w:spacing w:after="0" w:line="174" w:lineRule="exact"/>
        <w:rPr>
          <w:rFonts w:ascii="Times New Roman" w:cs="Times New Roman" w:eastAsia="Times New Roman" w:hAnsi="Times New Roman"/>
          <w:sz w:val="18"/>
          <w:szCs w:val="18"/>
          <w:color w:val="auto"/>
        </w:rPr>
      </w:pPr>
    </w:p>
    <w:p>
      <w:pPr>
        <w:jc w:val="both"/>
        <w:ind w:left="580" w:hanging="289"/>
        <w:spacing w:after="0" w:line="271" w:lineRule="auto"/>
        <w:tabs>
          <w:tab w:leader="none" w:pos="56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II - </w:t>
      </w:r>
      <w:r>
        <w:rPr>
          <w:rFonts w:ascii="Times New Roman" w:cs="Times New Roman" w:eastAsia="Times New Roman" w:hAnsi="Times New Roman"/>
          <w:sz w:val="18"/>
          <w:szCs w:val="18"/>
          <w:color w:val="auto"/>
        </w:rPr>
        <w:t>Phase II trials are carried out on people with the target condition, who are usually otherwise healthy, with no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condition. Trials carried out in Canada must be approved by the TPD. In phase II, the objective of the trials is to continue to gather information on the safety of the drug and begin to determine its effectiveness.</w:t>
      </w:r>
    </w:p>
    <w:p>
      <w:pPr>
        <w:spacing w:after="0" w:line="166" w:lineRule="exact"/>
        <w:rPr>
          <w:rFonts w:ascii="Times New Roman" w:cs="Times New Roman" w:eastAsia="Times New Roman" w:hAnsi="Times New Roman"/>
          <w:sz w:val="18"/>
          <w:szCs w:val="18"/>
          <w:color w:val="auto"/>
        </w:rPr>
      </w:pPr>
    </w:p>
    <w:p>
      <w:pPr>
        <w:jc w:val="both"/>
        <w:ind w:left="580" w:hanging="289"/>
        <w:spacing w:after="0" w:line="264" w:lineRule="auto"/>
        <w:tabs>
          <w:tab w:leader="none" w:pos="56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III - </w:t>
      </w:r>
      <w:r>
        <w:rPr>
          <w:rFonts w:ascii="Times New Roman" w:cs="Times New Roman" w:eastAsia="Times New Roman" w:hAnsi="Times New Roman"/>
          <w:sz w:val="18"/>
          <w:szCs w:val="18"/>
          <w:color w:val="auto"/>
        </w:rPr>
        <w:t>If the results from phase II show promise, the manufacturer provides an updated clinical trial application to the TPD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III trials. The objectives of phase III include determining whether the drug can be shown to be effective, and have an acceptable side effect profile, in people who better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705" w:right="339" w:bottom="1440" w:gutter="0" w:footer="0" w:header="0"/>
        </w:sectPr>
      </w:pPr>
    </w:p>
    <w:bookmarkStart w:id="180" w:name="page181"/>
    <w:bookmarkEnd w:id="180"/>
    <w:p>
      <w:pPr>
        <w:ind w:left="580" w:right="20"/>
        <w:spacing w:after="0" w:line="285" w:lineRule="auto"/>
        <w:rPr>
          <w:sz w:val="20"/>
          <w:szCs w:val="20"/>
          <w:color w:val="auto"/>
        </w:rPr>
      </w:pPr>
      <w:r>
        <w:rPr>
          <w:rFonts w:ascii="Times New Roman" w:cs="Times New Roman" w:eastAsia="Times New Roman" w:hAnsi="Times New Roman"/>
          <w:sz w:val="18"/>
          <w:szCs w:val="18"/>
          <w:color w:val="auto"/>
        </w:rPr>
        <w:t>represent the general population. Further information will also be obtained on how the drug should be used, the optimal dosage regimen and the possible side effects.</w:t>
      </w:r>
    </w:p>
    <w:p>
      <w:pPr>
        <w:spacing w:after="0" w:line="152" w:lineRule="exact"/>
        <w:rPr>
          <w:sz w:val="20"/>
          <w:szCs w:val="20"/>
          <w:color w:val="auto"/>
        </w:rPr>
      </w:pPr>
    </w:p>
    <w:p>
      <w:pPr>
        <w:jc w:val="both"/>
        <w:ind w:left="580" w:right="20" w:hanging="289"/>
        <w:spacing w:after="0" w:line="260" w:lineRule="auto"/>
        <w:tabs>
          <w:tab w:leader="none" w:pos="56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Drug Submission – </w:t>
      </w:r>
      <w:r>
        <w:rPr>
          <w:rFonts w:ascii="Times New Roman" w:cs="Times New Roman" w:eastAsia="Times New Roman" w:hAnsi="Times New Roman"/>
          <w:sz w:val="18"/>
          <w:szCs w:val="18"/>
          <w:color w:val="auto"/>
        </w:rPr>
        <w:t>If the results from phase III continue to be favourable, the drug manufacturer can submit a new drug submission (“</w:t>
      </w:r>
      <w:r>
        <w:rPr>
          <w:rFonts w:ascii="Times New Roman" w:cs="Times New Roman" w:eastAsia="Times New Roman" w:hAnsi="Times New Roman"/>
          <w:sz w:val="18"/>
          <w:szCs w:val="18"/>
          <w:b w:val="1"/>
          <w:bCs w:val="1"/>
          <w:color w:val="auto"/>
        </w:rPr>
        <w:t>NDS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35"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7"/>
          <w:szCs w:val="17"/>
          <w:color w:val="auto"/>
        </w:rPr>
        <w:t>Because psilocybin and psilocin are listed as Schedule I substances under the CSA, for any product containing psilocybin to be available for commercial marketing in the United States, psilocybin and psilocin must be rescheduled, or the product itself must be scheduled, by the DEA to Schedule II, III, IV or V.</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the United States generally involves:</w:t>
      </w:r>
    </w:p>
    <w:p>
      <w:pPr>
        <w:spacing w:after="0" w:line="27" w:lineRule="exact"/>
        <w:rPr>
          <w:sz w:val="20"/>
          <w:szCs w:val="20"/>
          <w:color w:val="auto"/>
        </w:rPr>
      </w:pPr>
    </w:p>
    <w:p>
      <w:pPr>
        <w:ind w:left="580" w:right="20" w:hanging="289"/>
        <w:spacing w:after="0" w:line="251" w:lineRule="auto"/>
        <w:tabs>
          <w:tab w:leader="none" w:pos="56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laboratory tests, animal studies and formulation studies, all performed in accordance with the FDA’s Good Laboratory, Good Clinical and/or Good Manufacturing Practice regulations;</w:t>
      </w:r>
    </w:p>
    <w:p>
      <w:pPr>
        <w:spacing w:after="0" w:line="1" w:lineRule="exact"/>
        <w:rPr>
          <w:rFonts w:ascii="Times New Roman" w:cs="Times New Roman" w:eastAsia="Times New Roman" w:hAnsi="Times New Roman"/>
          <w:sz w:val="18"/>
          <w:szCs w:val="18"/>
          <w:color w:val="auto"/>
        </w:rPr>
      </w:pPr>
    </w:p>
    <w:p>
      <w:pPr>
        <w:ind w:left="580" w:hanging="289"/>
        <w:spacing w:after="0"/>
        <w:tabs>
          <w:tab w:leader="none" w:pos="5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the FDA must approve before human clinical trials may begin;</w:t>
      </w:r>
    </w:p>
    <w:p>
      <w:pPr>
        <w:spacing w:after="0" w:line="6" w:lineRule="exact"/>
        <w:rPr>
          <w:rFonts w:ascii="Times New Roman" w:cs="Times New Roman" w:eastAsia="Times New Roman" w:hAnsi="Times New Roman"/>
          <w:sz w:val="18"/>
          <w:szCs w:val="18"/>
          <w:color w:val="auto"/>
        </w:rPr>
      </w:pPr>
    </w:p>
    <w:p>
      <w:pPr>
        <w:ind w:left="580" w:hanging="289"/>
        <w:spacing w:after="0"/>
        <w:tabs>
          <w:tab w:leader="none" w:pos="5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independent ethics committee at each clinical trial site before each trial may be initiated;</w:t>
      </w:r>
    </w:p>
    <w:p>
      <w:pPr>
        <w:spacing w:after="0" w:line="12" w:lineRule="exact"/>
        <w:rPr>
          <w:rFonts w:ascii="Times New Roman" w:cs="Times New Roman" w:eastAsia="Times New Roman" w:hAnsi="Times New Roman"/>
          <w:sz w:val="18"/>
          <w:szCs w:val="18"/>
          <w:color w:val="auto"/>
        </w:rPr>
      </w:pPr>
    </w:p>
    <w:p>
      <w:pPr>
        <w:ind w:left="580" w:right="20" w:hanging="289"/>
        <w:spacing w:after="0" w:line="247" w:lineRule="auto"/>
        <w:tabs>
          <w:tab w:leader="none" w:pos="56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1" w:lineRule="exact"/>
        <w:rPr>
          <w:rFonts w:ascii="Times New Roman" w:cs="Times New Roman" w:eastAsia="Times New Roman" w:hAnsi="Times New Roman"/>
          <w:sz w:val="18"/>
          <w:szCs w:val="18"/>
          <w:color w:val="auto"/>
        </w:rPr>
      </w:pPr>
    </w:p>
    <w:p>
      <w:pPr>
        <w:ind w:left="580" w:hanging="289"/>
        <w:spacing w:after="0"/>
        <w:tabs>
          <w:tab w:leader="none" w:pos="5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w:t>
      </w:r>
    </w:p>
    <w:p>
      <w:pPr>
        <w:spacing w:after="0" w:line="7" w:lineRule="exact"/>
        <w:rPr>
          <w:rFonts w:ascii="Times New Roman" w:cs="Times New Roman" w:eastAsia="Times New Roman" w:hAnsi="Times New Roman"/>
          <w:sz w:val="18"/>
          <w:szCs w:val="18"/>
          <w:color w:val="auto"/>
        </w:rPr>
      </w:pPr>
    </w:p>
    <w:p>
      <w:pPr>
        <w:jc w:val="both"/>
        <w:ind w:left="580" w:right="20" w:hanging="289"/>
        <w:spacing w:after="0" w:line="250" w:lineRule="auto"/>
        <w:tabs>
          <w:tab w:leader="none" w:pos="56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ind w:left="580" w:hanging="289"/>
        <w:spacing w:after="0"/>
        <w:tabs>
          <w:tab w:leader="none" w:pos="5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sale or shipment of the drug.</w:t>
      </w:r>
    </w:p>
    <w:p>
      <w:pPr>
        <w:spacing w:after="0" w:line="21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Company cannot be certain that any approvals for its prescription drug product candidates will be granted on a timely basis, if at all.</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7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Company may need to rely upon in order to receive timely approval or to be competitive.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60"/>
          </w:cols>
          <w:pgMar w:left="320" w:top="705" w:right="319" w:bottom="1440" w:gutter="0" w:footer="0" w:header="0"/>
        </w:sectPr>
      </w:pPr>
    </w:p>
    <w:bookmarkStart w:id="181" w:name="page182"/>
    <w:bookmarkEnd w:id="181"/>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7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6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5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19"/>
          <w:szCs w:val="19"/>
          <w:i w:val="1"/>
          <w:iCs w:val="1"/>
          <w:color w:val="auto"/>
        </w:rPr>
        <w:t>False Claims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9"/>
          <w:szCs w:val="19"/>
          <w:b w:val="1"/>
          <w:bCs w:val="1"/>
          <w:color w:val="auto"/>
        </w:rPr>
        <w:t>FCA</w:t>
      </w:r>
      <w:r>
        <w:rPr>
          <w:rFonts w:ascii="Times New Roman" w:cs="Times New Roman" w:eastAsia="Times New Roman" w:hAnsi="Times New Roman"/>
          <w:sz w:val="18"/>
          <w:szCs w:val="18"/>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60"/>
          </w:cols>
          <w:pgMar w:left="320" w:top="705" w:right="319" w:bottom="1440" w:gutter="0" w:footer="0" w:header="0"/>
        </w:sectPr>
      </w:pPr>
    </w:p>
    <w:bookmarkStart w:id="182" w:name="page183"/>
    <w:bookmarkEnd w:id="182"/>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0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Controlled Substances</w:t>
      </w:r>
    </w:p>
    <w:p>
      <w:pPr>
        <w:spacing w:after="0" w:line="2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Because psilocybin and psilocin are listed as Schedule I substances under the CSA, for any product containing psilocybin to be available for commercial marketing in the United States, psilocybin and psilocin must be rescheduled, or the product itself must be scheduled, by the DEA to Schedule II, III, IV or V. Scheduling determinations by the DEA are dependent on FDA approval of a substance or a specific formulation of a substance.</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63"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8"/>
          <w:szCs w:val="18"/>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9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60"/>
          </w:cols>
          <w:pgMar w:left="320" w:top="706" w:right="319" w:bottom="1440" w:gutter="0" w:footer="0" w:header="0"/>
        </w:sectPr>
      </w:pPr>
    </w:p>
    <w:bookmarkStart w:id="183" w:name="page184"/>
    <w:bookmarkEnd w:id="183"/>
    <w:p>
      <w:pPr>
        <w:jc w:val="both"/>
        <w:spacing w:after="0" w:line="285" w:lineRule="auto"/>
        <w:rPr>
          <w:sz w:val="20"/>
          <w:szCs w:val="20"/>
          <w:color w:val="auto"/>
        </w:rPr>
      </w:pPr>
      <w:r>
        <w:rPr>
          <w:rFonts w:ascii="Times New Roman" w:cs="Times New Roman" w:eastAsia="Times New Roman" w:hAnsi="Times New Roman"/>
          <w:sz w:val="18"/>
          <w:szCs w:val="18"/>
          <w:color w:val="auto"/>
        </w:rPr>
        <w:t>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Company’s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Patent Cooperation Treaty</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PCT facilitates filing for patent recognition in multiple jurisdictions simultaneously using a single uniform patent application. 193 countries, including Canada and the United States have ratified the PCT.</w:t>
      </w:r>
    </w:p>
    <w:p>
      <w:pPr>
        <w:spacing w:after="0" w:line="1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5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Within 12 months of filing a provisional patent application at the United States Patent and Trademark Office,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Ireland</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Ireland, psilocin is a controlled substance under the </w:t>
      </w:r>
      <w:r>
        <w:rPr>
          <w:rFonts w:ascii="Times New Roman" w:cs="Times New Roman" w:eastAsia="Times New Roman" w:hAnsi="Times New Roman"/>
          <w:sz w:val="18"/>
          <w:szCs w:val="18"/>
          <w:i w:val="1"/>
          <w:iCs w:val="1"/>
          <w:color w:val="auto"/>
        </w:rPr>
        <w:t>Misuse of Drugs Act, 1977, 1984 and 2015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Ireland MDA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Misuse of Drugs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2017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Ireland MDR</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Criminal Justice (Psychoactive Substances) Act 2010</w:t>
      </w:r>
      <w:r>
        <w:rPr>
          <w:rFonts w:ascii="Times New Roman" w:cs="Times New Roman" w:eastAsia="Times New Roman" w:hAnsi="Times New Roman"/>
          <w:sz w:val="18"/>
          <w:szCs w:val="18"/>
          <w:color w:val="auto"/>
        </w:rPr>
        <w:t>. These are the primary legislative instruments which govern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substances in Ireland. This legislation regulates the use, possession, supply, licensing, and administration of listed scheduled substances and establishes the offences and penalties for anything done contrary to the legislation.</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705" w:right="339" w:bottom="1440" w:gutter="0" w:footer="0" w:header="0"/>
        </w:sectPr>
      </w:pPr>
    </w:p>
    <w:bookmarkStart w:id="184" w:name="page185"/>
    <w:bookmarkEnd w:id="184"/>
    <w:p>
      <w:pPr>
        <w:jc w:val="both"/>
        <w:spacing w:after="0" w:line="260" w:lineRule="auto"/>
        <w:rPr>
          <w:sz w:val="20"/>
          <w:szCs w:val="20"/>
          <w:color w:val="auto"/>
        </w:rPr>
      </w:pPr>
      <w:r>
        <w:rPr>
          <w:rFonts w:ascii="Times New Roman" w:cs="Times New Roman" w:eastAsia="Times New Roman" w:hAnsi="Times New Roman"/>
          <w:sz w:val="18"/>
          <w:szCs w:val="18"/>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Applicable Laws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6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705"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Quarterly Information</w:t>
      </w:r>
    </w:p>
    <w:p>
      <w:pPr>
        <w:spacing w:after="0" w:line="21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table sets forth selected consolidated financial information for the periods indicated that are derived from, and should be read in conjunction with, the Financial Statements and related notes thereto.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(Canadian dollars in thousands,</w:t>
            </w:r>
          </w:p>
        </w:tc>
        <w:tc>
          <w:tcPr>
            <w:tcW w:w="1160" w:type="dxa"/>
            <w:vAlign w:val="bottom"/>
            <w:tcBorders>
              <w:right w:val="single" w:sz="8" w:color="DBDBDB"/>
            </w:tcBorders>
            <w:shd w:val="clear" w:color="auto" w:fill="DBDBDB"/>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except per share and share</w:t>
            </w:r>
          </w:p>
        </w:tc>
        <w:tc>
          <w:tcPr>
            <w:tcW w:w="1160" w:type="dxa"/>
            <w:vAlign w:val="bottom"/>
            <w:tcBorders>
              <w:right w:val="single" w:sz="8" w:color="DBDBDB"/>
            </w:tcBorders>
            <w:shd w:val="clear" w:color="auto" w:fill="DBDBDB"/>
          </w:tcPr>
          <w:p>
            <w:pPr>
              <w:spacing w:after="0"/>
              <w:rPr>
                <w:sz w:val="14"/>
                <w:szCs w:val="14"/>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figures)</w:t>
            </w:r>
          </w:p>
        </w:tc>
        <w:tc>
          <w:tcPr>
            <w:tcW w:w="116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201"/>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Revenues ($)</w:t>
            </w:r>
          </w:p>
        </w:tc>
        <w:tc>
          <w:tcPr>
            <w:tcW w:w="1160" w:type="dxa"/>
            <w:vAlign w:val="bottom"/>
            <w:tcBorders>
              <w:right w:val="single" w:sz="8" w:color="DBDBDB"/>
            </w:tcBorders>
            <w:shd w:val="clear" w:color="auto" w:fill="DBDBDB"/>
          </w:tcPr>
          <w:p>
            <w:pPr>
              <w:jc w:val="right"/>
              <w:spacing w:after="0" w:line="169" w:lineRule="exact"/>
              <w:rPr>
                <w:sz w:val="20"/>
                <w:szCs w:val="20"/>
                <w:color w:val="auto"/>
              </w:rPr>
            </w:pPr>
            <w:r>
              <w:rPr>
                <w:rFonts w:ascii="Calibri" w:cs="Calibri" w:eastAsia="Calibri" w:hAnsi="Calibri"/>
                <w:sz w:val="14"/>
                <w:szCs w:val="14"/>
                <w:b w:val="1"/>
                <w:bCs w:val="1"/>
                <w:color w:val="auto"/>
              </w:rPr>
              <w:t>—</w:t>
            </w:r>
          </w:p>
        </w:tc>
        <w:tc>
          <w:tcPr>
            <w:tcW w:w="126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ind w:right="71"/>
              <w:spacing w:after="0" w:line="169" w:lineRule="exact"/>
              <w:rPr>
                <w:sz w:val="20"/>
                <w:szCs w:val="20"/>
                <w:color w:val="auto"/>
              </w:rPr>
            </w:pPr>
            <w:r>
              <w:rPr>
                <w:rFonts w:ascii="Calibri" w:cs="Calibri" w:eastAsia="Calibri" w:hAnsi="Calibri"/>
                <w:sz w:val="14"/>
                <w:szCs w:val="14"/>
                <w:color w:val="auto"/>
              </w:rPr>
              <w:t>—</w:t>
            </w:r>
          </w:p>
        </w:tc>
        <w:tc>
          <w:tcPr>
            <w:tcW w:w="120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w:t>
            </w:r>
          </w:p>
        </w:tc>
        <w:tc>
          <w:tcPr>
            <w:tcW w:w="1120" w:type="dxa"/>
            <w:vAlign w:val="bottom"/>
          </w:tcPr>
          <w:p>
            <w:pPr>
              <w:jc w:val="right"/>
              <w:ind w:right="91"/>
              <w:spacing w:after="0" w:line="169" w:lineRule="exact"/>
              <w:rPr>
                <w:sz w:val="20"/>
                <w:szCs w:val="20"/>
                <w:color w:val="auto"/>
              </w:rPr>
            </w:pPr>
            <w:r>
              <w:rPr>
                <w:rFonts w:ascii="Calibri" w:cs="Calibri" w:eastAsia="Calibri" w:hAnsi="Calibri"/>
                <w:sz w:val="14"/>
                <w:szCs w:val="14"/>
                <w:color w:val="auto"/>
              </w:rPr>
              <w:t>—</w:t>
            </w:r>
          </w:p>
        </w:tc>
        <w:tc>
          <w:tcPr>
            <w:tcW w:w="1180" w:type="dxa"/>
            <w:vAlign w:val="bottom"/>
          </w:tcPr>
          <w:p>
            <w:pPr>
              <w:jc w:val="right"/>
              <w:ind w:right="131"/>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Pr>
          <w:p>
            <w:pPr>
              <w:jc w:val="right"/>
              <w:spacing w:after="0" w:line="169" w:lineRule="exact"/>
              <w:rPr>
                <w:sz w:val="20"/>
                <w:szCs w:val="20"/>
                <w:color w:val="auto"/>
              </w:rPr>
            </w:pPr>
            <w:r>
              <w:rPr>
                <w:rFonts w:ascii="Calibri" w:cs="Calibri" w:eastAsia="Calibri" w:hAnsi="Calibri"/>
                <w:sz w:val="14"/>
                <w:szCs w:val="14"/>
                <w:color w:val="auto"/>
              </w:rPr>
              <w:t>864</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Expenses ($)</w:t>
            </w:r>
          </w:p>
        </w:tc>
        <w:tc>
          <w:tcPr>
            <w:tcW w:w="1160" w:type="dxa"/>
            <w:vAlign w:val="bottom"/>
            <w:tcBorders>
              <w:right w:val="single" w:sz="8" w:color="DBDBDB"/>
            </w:tcBorders>
            <w:shd w:val="clear" w:color="auto" w:fill="DBDBDB"/>
          </w:tcPr>
          <w:p>
            <w:pPr>
              <w:jc w:val="right"/>
              <w:spacing w:after="0"/>
              <w:rPr>
                <w:sz w:val="20"/>
                <w:szCs w:val="20"/>
                <w:color w:val="auto"/>
              </w:rPr>
            </w:pPr>
            <w:r>
              <w:rPr>
                <w:rFonts w:ascii="Calibri" w:cs="Calibri" w:eastAsia="Calibri" w:hAnsi="Calibri"/>
                <w:sz w:val="14"/>
                <w:szCs w:val="14"/>
                <w:b w:val="1"/>
                <w:bCs w:val="1"/>
                <w:color w:val="auto"/>
              </w:rPr>
              <w:t>16,338</w:t>
            </w:r>
          </w:p>
        </w:tc>
        <w:tc>
          <w:tcPr>
            <w:tcW w:w="1260" w:type="dxa"/>
            <w:vAlign w:val="bottom"/>
          </w:tcPr>
          <w:p>
            <w:pPr>
              <w:jc w:val="right"/>
              <w:ind w:right="111"/>
              <w:spacing w:after="0"/>
              <w:rPr>
                <w:sz w:val="20"/>
                <w:szCs w:val="20"/>
                <w:color w:val="auto"/>
              </w:rPr>
            </w:pPr>
            <w:r>
              <w:rPr>
                <w:rFonts w:ascii="Calibri" w:cs="Calibri" w:eastAsia="Calibri" w:hAnsi="Calibri"/>
                <w:sz w:val="14"/>
                <w:szCs w:val="14"/>
                <w:color w:val="auto"/>
              </w:rPr>
              <w:t>16,455</w:t>
            </w:r>
          </w:p>
        </w:tc>
        <w:tc>
          <w:tcPr>
            <w:tcW w:w="1160" w:type="dxa"/>
            <w:vAlign w:val="bottom"/>
          </w:tcPr>
          <w:p>
            <w:pPr>
              <w:jc w:val="right"/>
              <w:ind w:right="111"/>
              <w:spacing w:after="0"/>
              <w:rPr>
                <w:sz w:val="20"/>
                <w:szCs w:val="20"/>
                <w:color w:val="auto"/>
              </w:rPr>
            </w:pPr>
            <w:r>
              <w:rPr>
                <w:rFonts w:ascii="Calibri" w:cs="Calibri" w:eastAsia="Calibri" w:hAnsi="Calibri"/>
                <w:sz w:val="14"/>
                <w:szCs w:val="14"/>
                <w:color w:val="auto"/>
              </w:rPr>
              <w:t>17,106</w:t>
            </w:r>
          </w:p>
        </w:tc>
        <w:tc>
          <w:tcPr>
            <w:tcW w:w="1100" w:type="dxa"/>
            <w:vAlign w:val="bottom"/>
          </w:tcPr>
          <w:p>
            <w:pPr>
              <w:jc w:val="right"/>
              <w:ind w:right="71"/>
              <w:spacing w:after="0"/>
              <w:rPr>
                <w:sz w:val="20"/>
                <w:szCs w:val="20"/>
                <w:color w:val="auto"/>
              </w:rPr>
            </w:pPr>
            <w:r>
              <w:rPr>
                <w:rFonts w:ascii="Calibri" w:cs="Calibri" w:eastAsia="Calibri" w:hAnsi="Calibri"/>
                <w:sz w:val="14"/>
                <w:szCs w:val="14"/>
                <w:color w:val="auto"/>
              </w:rPr>
              <w:t>13,939</w:t>
            </w:r>
          </w:p>
        </w:tc>
        <w:tc>
          <w:tcPr>
            <w:tcW w:w="1200" w:type="dxa"/>
            <w:vAlign w:val="bottom"/>
          </w:tcPr>
          <w:p>
            <w:pPr>
              <w:jc w:val="right"/>
              <w:ind w:right="111"/>
              <w:spacing w:after="0"/>
              <w:rPr>
                <w:sz w:val="20"/>
                <w:szCs w:val="20"/>
                <w:color w:val="auto"/>
              </w:rPr>
            </w:pPr>
            <w:r>
              <w:rPr>
                <w:rFonts w:ascii="Calibri" w:cs="Calibri" w:eastAsia="Calibri" w:hAnsi="Calibri"/>
                <w:sz w:val="14"/>
                <w:szCs w:val="14"/>
                <w:color w:val="auto"/>
              </w:rPr>
              <w:t>12,363</w:t>
            </w:r>
          </w:p>
        </w:tc>
        <w:tc>
          <w:tcPr>
            <w:tcW w:w="1120" w:type="dxa"/>
            <w:vAlign w:val="bottom"/>
          </w:tcPr>
          <w:p>
            <w:pPr>
              <w:jc w:val="right"/>
              <w:ind w:right="91"/>
              <w:spacing w:after="0"/>
              <w:rPr>
                <w:sz w:val="20"/>
                <w:szCs w:val="20"/>
                <w:color w:val="auto"/>
              </w:rPr>
            </w:pPr>
            <w:r>
              <w:rPr>
                <w:rFonts w:ascii="Calibri" w:cs="Calibri" w:eastAsia="Calibri" w:hAnsi="Calibri"/>
                <w:sz w:val="14"/>
                <w:szCs w:val="14"/>
                <w:color w:val="auto"/>
              </w:rPr>
              <w:t>11,379</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2,561</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4,420</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Net loss ($)</w:t>
            </w:r>
          </w:p>
        </w:tc>
        <w:tc>
          <w:tcPr>
            <w:tcW w:w="1160" w:type="dxa"/>
            <w:vAlign w:val="bottom"/>
            <w:tcBorders>
              <w:right w:val="single" w:sz="8" w:color="DBDBDB"/>
            </w:tcBorders>
            <w:shd w:val="clear" w:color="auto" w:fill="DBDBDB"/>
          </w:tcPr>
          <w:p>
            <w:pPr>
              <w:jc w:val="right"/>
              <w:spacing w:after="0"/>
              <w:rPr>
                <w:sz w:val="20"/>
                <w:szCs w:val="20"/>
                <w:color w:val="auto"/>
              </w:rPr>
            </w:pPr>
            <w:r>
              <w:rPr>
                <w:rFonts w:ascii="Calibri" w:cs="Calibri" w:eastAsia="Calibri" w:hAnsi="Calibri"/>
                <w:sz w:val="14"/>
                <w:szCs w:val="14"/>
                <w:b w:val="1"/>
                <w:bCs w:val="1"/>
                <w:color w:val="auto"/>
              </w:rPr>
              <w:t>(18,097)</w:t>
            </w:r>
          </w:p>
        </w:tc>
        <w:tc>
          <w:tcPr>
            <w:tcW w:w="1260" w:type="dxa"/>
            <w:vAlign w:val="bottom"/>
          </w:tcPr>
          <w:p>
            <w:pPr>
              <w:jc w:val="right"/>
              <w:ind w:right="71"/>
              <w:spacing w:after="0"/>
              <w:rPr>
                <w:sz w:val="20"/>
                <w:szCs w:val="20"/>
                <w:color w:val="auto"/>
              </w:rPr>
            </w:pPr>
            <w:r>
              <w:rPr>
                <w:rFonts w:ascii="Calibri" w:cs="Calibri" w:eastAsia="Calibri" w:hAnsi="Calibri"/>
                <w:sz w:val="14"/>
                <w:szCs w:val="14"/>
                <w:color w:val="auto"/>
              </w:rPr>
              <w:t>(17,210)</w:t>
            </w:r>
          </w:p>
        </w:tc>
        <w:tc>
          <w:tcPr>
            <w:tcW w:w="1160" w:type="dxa"/>
            <w:vAlign w:val="bottom"/>
          </w:tcPr>
          <w:p>
            <w:pPr>
              <w:jc w:val="right"/>
              <w:ind w:right="91"/>
              <w:spacing w:after="0"/>
              <w:rPr>
                <w:sz w:val="20"/>
                <w:szCs w:val="20"/>
                <w:color w:val="auto"/>
              </w:rPr>
            </w:pPr>
            <w:r>
              <w:rPr>
                <w:rFonts w:ascii="Calibri" w:cs="Calibri" w:eastAsia="Calibri" w:hAnsi="Calibri"/>
                <w:sz w:val="14"/>
                <w:szCs w:val="14"/>
                <w:color w:val="auto"/>
              </w:rPr>
              <w:t>(17,607)</w:t>
            </w:r>
          </w:p>
        </w:tc>
        <w:tc>
          <w:tcPr>
            <w:tcW w:w="1100" w:type="dxa"/>
            <w:vAlign w:val="bottom"/>
          </w:tcPr>
          <w:p>
            <w:pPr>
              <w:jc w:val="right"/>
              <w:ind w:right="31"/>
              <w:spacing w:after="0"/>
              <w:rPr>
                <w:sz w:val="20"/>
                <w:szCs w:val="20"/>
                <w:color w:val="auto"/>
              </w:rPr>
            </w:pPr>
            <w:r>
              <w:rPr>
                <w:rFonts w:ascii="Calibri" w:cs="Calibri" w:eastAsia="Calibri" w:hAnsi="Calibri"/>
                <w:sz w:val="14"/>
                <w:szCs w:val="14"/>
                <w:color w:val="auto"/>
              </w:rPr>
              <w:t>(14,717)</w:t>
            </w:r>
          </w:p>
        </w:tc>
        <w:tc>
          <w:tcPr>
            <w:tcW w:w="1200" w:type="dxa"/>
            <w:vAlign w:val="bottom"/>
          </w:tcPr>
          <w:p>
            <w:pPr>
              <w:jc w:val="right"/>
              <w:ind w:right="91"/>
              <w:spacing w:after="0"/>
              <w:rPr>
                <w:sz w:val="20"/>
                <w:szCs w:val="20"/>
                <w:color w:val="auto"/>
              </w:rPr>
            </w:pPr>
            <w:r>
              <w:rPr>
                <w:rFonts w:ascii="Calibri" w:cs="Calibri" w:eastAsia="Calibri" w:hAnsi="Calibri"/>
                <w:sz w:val="14"/>
                <w:szCs w:val="14"/>
                <w:color w:val="auto"/>
              </w:rPr>
              <w:t>(13,777)</w:t>
            </w:r>
          </w:p>
        </w:tc>
        <w:tc>
          <w:tcPr>
            <w:tcW w:w="1120" w:type="dxa"/>
            <w:vAlign w:val="bottom"/>
          </w:tcPr>
          <w:p>
            <w:pPr>
              <w:jc w:val="right"/>
              <w:ind w:right="51"/>
              <w:spacing w:after="0"/>
              <w:rPr>
                <w:sz w:val="20"/>
                <w:szCs w:val="20"/>
                <w:color w:val="auto"/>
              </w:rPr>
            </w:pPr>
            <w:r>
              <w:rPr>
                <w:rFonts w:ascii="Calibri" w:cs="Calibri" w:eastAsia="Calibri" w:hAnsi="Calibri"/>
                <w:sz w:val="14"/>
                <w:szCs w:val="14"/>
                <w:color w:val="auto"/>
              </w:rPr>
              <w:t>(11,419)</w:t>
            </w:r>
          </w:p>
        </w:tc>
        <w:tc>
          <w:tcPr>
            <w:tcW w:w="1180" w:type="dxa"/>
            <w:vAlign w:val="bottom"/>
          </w:tcPr>
          <w:p>
            <w:pPr>
              <w:jc w:val="right"/>
              <w:ind w:right="91"/>
              <w:spacing w:after="0"/>
              <w:rPr>
                <w:sz w:val="20"/>
                <w:szCs w:val="20"/>
                <w:color w:val="auto"/>
              </w:rPr>
            </w:pPr>
            <w:r>
              <w:rPr>
                <w:rFonts w:ascii="Calibri" w:cs="Calibri" w:eastAsia="Calibri" w:hAnsi="Calibri"/>
                <w:sz w:val="14"/>
                <w:szCs w:val="14"/>
                <w:color w:val="auto"/>
              </w:rPr>
              <w:t>(2,660)</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(4,364)</w:t>
            </w:r>
          </w:p>
        </w:tc>
        <w:tc>
          <w:tcPr>
            <w:tcW w:w="0" w:type="dxa"/>
            <w:vAlign w:val="bottom"/>
          </w:tcPr>
          <w:p>
            <w:pPr>
              <w:spacing w:after="0"/>
              <w:rPr>
                <w:sz w:val="1"/>
                <w:szCs w:val="1"/>
                <w:color w:val="auto"/>
              </w:rPr>
            </w:pPr>
          </w:p>
        </w:tc>
      </w:tr>
      <w:tr>
        <w:trPr>
          <w:trHeight w:val="452"/>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Shares -</w:t>
            </w:r>
          </w:p>
        </w:tc>
        <w:tc>
          <w:tcPr>
            <w:tcW w:w="1160" w:type="dxa"/>
            <w:vAlign w:val="bottom"/>
            <w:tcBorders>
              <w:right w:val="single" w:sz="8" w:color="DBDBDB"/>
            </w:tcBorders>
            <w:vMerge w:val="restart"/>
            <w:shd w:val="clear" w:color="auto" w:fill="DBDBDB"/>
          </w:tcPr>
          <w:p>
            <w:pPr>
              <w:jc w:val="right"/>
              <w:spacing w:after="0"/>
              <w:rPr>
                <w:sz w:val="20"/>
                <w:szCs w:val="20"/>
                <w:color w:val="auto"/>
              </w:rPr>
            </w:pPr>
            <w:r>
              <w:rPr>
                <w:rFonts w:ascii="Calibri" w:cs="Calibri" w:eastAsia="Calibri" w:hAnsi="Calibri"/>
                <w:sz w:val="14"/>
                <w:szCs w:val="14"/>
                <w:b w:val="1"/>
                <w:bCs w:val="1"/>
                <w:color w:val="auto"/>
              </w:rPr>
              <w:t>173,873,017</w:t>
            </w:r>
          </w:p>
        </w:tc>
        <w:tc>
          <w:tcPr>
            <w:tcW w:w="1260" w:type="dxa"/>
            <w:vAlign w:val="bottom"/>
            <w:vMerge w:val="restart"/>
          </w:tcPr>
          <w:p>
            <w:pPr>
              <w:jc w:val="right"/>
              <w:ind w:right="111"/>
              <w:spacing w:after="0"/>
              <w:rPr>
                <w:sz w:val="20"/>
                <w:szCs w:val="20"/>
                <w:color w:val="auto"/>
              </w:rPr>
            </w:pPr>
            <w:r>
              <w:rPr>
                <w:rFonts w:ascii="Calibri" w:cs="Calibri" w:eastAsia="Calibri" w:hAnsi="Calibri"/>
                <w:sz w:val="14"/>
                <w:szCs w:val="14"/>
                <w:color w:val="auto"/>
              </w:rPr>
              <w:t>171,833,544</w:t>
            </w:r>
          </w:p>
        </w:tc>
        <w:tc>
          <w:tcPr>
            <w:tcW w:w="1160" w:type="dxa"/>
            <w:vAlign w:val="bottom"/>
            <w:vMerge w:val="restart"/>
          </w:tcPr>
          <w:p>
            <w:pPr>
              <w:jc w:val="right"/>
              <w:ind w:right="111"/>
              <w:spacing w:after="0"/>
              <w:rPr>
                <w:sz w:val="20"/>
                <w:szCs w:val="20"/>
                <w:color w:val="auto"/>
              </w:rPr>
            </w:pPr>
            <w:r>
              <w:rPr>
                <w:rFonts w:ascii="Calibri" w:cs="Calibri" w:eastAsia="Calibri" w:hAnsi="Calibri"/>
                <w:sz w:val="14"/>
                <w:szCs w:val="14"/>
                <w:color w:val="auto"/>
              </w:rPr>
              <w:t>165,783,294</w:t>
            </w:r>
          </w:p>
        </w:tc>
        <w:tc>
          <w:tcPr>
            <w:tcW w:w="1100" w:type="dxa"/>
            <w:vAlign w:val="bottom"/>
            <w:vMerge w:val="restart"/>
          </w:tcPr>
          <w:p>
            <w:pPr>
              <w:jc w:val="right"/>
              <w:ind w:right="71"/>
              <w:spacing w:after="0"/>
              <w:rPr>
                <w:sz w:val="20"/>
                <w:szCs w:val="20"/>
                <w:color w:val="auto"/>
              </w:rPr>
            </w:pPr>
            <w:r>
              <w:rPr>
                <w:rFonts w:ascii="Calibri" w:cs="Calibri" w:eastAsia="Calibri" w:hAnsi="Calibri"/>
                <w:sz w:val="14"/>
                <w:szCs w:val="14"/>
                <w:color w:val="auto"/>
              </w:rPr>
              <w:t>157,711,518</w:t>
            </w:r>
          </w:p>
        </w:tc>
        <w:tc>
          <w:tcPr>
            <w:tcW w:w="1200" w:type="dxa"/>
            <w:vAlign w:val="bottom"/>
            <w:vMerge w:val="restart"/>
          </w:tcPr>
          <w:p>
            <w:pPr>
              <w:jc w:val="right"/>
              <w:ind w:right="111"/>
              <w:spacing w:after="0"/>
              <w:rPr>
                <w:sz w:val="20"/>
                <w:szCs w:val="20"/>
                <w:color w:val="auto"/>
              </w:rPr>
            </w:pPr>
            <w:r>
              <w:rPr>
                <w:rFonts w:ascii="Calibri" w:cs="Calibri" w:eastAsia="Calibri" w:hAnsi="Calibri"/>
                <w:sz w:val="14"/>
                <w:szCs w:val="14"/>
                <w:color w:val="auto"/>
              </w:rPr>
              <w:t>150,494,164</w:t>
            </w:r>
          </w:p>
        </w:tc>
        <w:tc>
          <w:tcPr>
            <w:tcW w:w="1120" w:type="dxa"/>
            <w:vAlign w:val="bottom"/>
            <w:vMerge w:val="restart"/>
          </w:tcPr>
          <w:p>
            <w:pPr>
              <w:jc w:val="right"/>
              <w:ind w:right="91"/>
              <w:spacing w:after="0"/>
              <w:rPr>
                <w:sz w:val="20"/>
                <w:szCs w:val="20"/>
                <w:color w:val="auto"/>
              </w:rPr>
            </w:pPr>
            <w:r>
              <w:rPr>
                <w:rFonts w:ascii="Calibri" w:cs="Calibri" w:eastAsia="Calibri" w:hAnsi="Calibri"/>
                <w:sz w:val="14"/>
                <w:szCs w:val="14"/>
                <w:color w:val="auto"/>
              </w:rPr>
              <w:t>110,223,000</w:t>
            </w:r>
          </w:p>
        </w:tc>
        <w:tc>
          <w:tcPr>
            <w:tcW w:w="1180" w:type="dxa"/>
            <w:vAlign w:val="bottom"/>
            <w:vMerge w:val="restart"/>
          </w:tcPr>
          <w:p>
            <w:pPr>
              <w:jc w:val="right"/>
              <w:ind w:right="131"/>
              <w:spacing w:after="0"/>
              <w:rPr>
                <w:sz w:val="20"/>
                <w:szCs w:val="20"/>
                <w:color w:val="auto"/>
              </w:rPr>
            </w:pPr>
            <w:r>
              <w:rPr>
                <w:rFonts w:ascii="Calibri" w:cs="Calibri" w:eastAsia="Calibri" w:hAnsi="Calibri"/>
                <w:sz w:val="14"/>
                <w:szCs w:val="14"/>
                <w:color w:val="auto"/>
              </w:rPr>
              <w:t>69,150,124</w:t>
            </w:r>
          </w:p>
        </w:tc>
        <w:tc>
          <w:tcPr>
            <w:tcW w:w="1020" w:type="dxa"/>
            <w:vAlign w:val="bottom"/>
            <w:vMerge w:val="restart"/>
          </w:tcPr>
          <w:p>
            <w:pPr>
              <w:jc w:val="right"/>
              <w:spacing w:after="0"/>
              <w:rPr>
                <w:sz w:val="20"/>
                <w:szCs w:val="20"/>
                <w:color w:val="auto"/>
              </w:rPr>
            </w:pPr>
            <w:r>
              <w:rPr>
                <w:rFonts w:ascii="Calibri" w:cs="Calibri" w:eastAsia="Calibri" w:hAnsi="Calibri"/>
                <w:sz w:val="14"/>
                <w:szCs w:val="14"/>
                <w:color w:val="auto"/>
              </w:rPr>
              <w:t>60,703,392</w:t>
            </w:r>
          </w:p>
        </w:tc>
        <w:tc>
          <w:tcPr>
            <w:tcW w:w="0" w:type="dxa"/>
            <w:vAlign w:val="bottom"/>
          </w:tcPr>
          <w:p>
            <w:pPr>
              <w:spacing w:after="0"/>
              <w:rPr>
                <w:sz w:val="1"/>
                <w:szCs w:val="1"/>
                <w:color w:val="auto"/>
              </w:rPr>
            </w:pPr>
          </w:p>
        </w:tc>
      </w:tr>
      <w:tr>
        <w:trPr>
          <w:trHeight w:val="183"/>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160" w:type="dxa"/>
            <w:vAlign w:val="bottom"/>
            <w:tcBorders>
              <w:right w:val="single" w:sz="8" w:color="DBDBDB"/>
            </w:tcBorders>
            <w:vMerge w:val="continue"/>
            <w:shd w:val="clear" w:color="auto" w:fill="DBDBDB"/>
          </w:tcPr>
          <w:p>
            <w:pPr>
              <w:spacing w:after="0"/>
              <w:rPr>
                <w:sz w:val="15"/>
                <w:szCs w:val="15"/>
                <w:color w:val="auto"/>
              </w:rPr>
            </w:pPr>
          </w:p>
        </w:tc>
        <w:tc>
          <w:tcPr>
            <w:tcW w:w="12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($'s)</w:t>
            </w:r>
          </w:p>
        </w:tc>
        <w:tc>
          <w:tcPr>
            <w:tcW w:w="1160" w:type="dxa"/>
            <w:vAlign w:val="bottom"/>
            <w:tcBorders>
              <w:right w:val="single" w:sz="8" w:color="DBDBDB"/>
            </w:tcBorders>
            <w:shd w:val="clear" w:color="auto" w:fill="DBDBDB"/>
          </w:tcPr>
          <w:p>
            <w:pPr>
              <w:jc w:val="right"/>
              <w:spacing w:after="0"/>
              <w:rPr>
                <w:sz w:val="20"/>
                <w:szCs w:val="20"/>
                <w:color w:val="auto"/>
              </w:rPr>
            </w:pPr>
            <w:r>
              <w:rPr>
                <w:rFonts w:ascii="Calibri" w:cs="Calibri" w:eastAsia="Calibri" w:hAnsi="Calibri"/>
                <w:sz w:val="14"/>
                <w:szCs w:val="14"/>
                <w:b w:val="1"/>
                <w:bCs w:val="1"/>
                <w:color w:val="auto"/>
              </w:rPr>
              <w:t>(0.10)</w:t>
            </w:r>
          </w:p>
        </w:tc>
        <w:tc>
          <w:tcPr>
            <w:tcW w:w="1260" w:type="dxa"/>
            <w:vAlign w:val="bottom"/>
          </w:tcPr>
          <w:p>
            <w:pPr>
              <w:jc w:val="right"/>
              <w:ind w:right="71"/>
              <w:spacing w:after="0"/>
              <w:rPr>
                <w:sz w:val="20"/>
                <w:szCs w:val="20"/>
                <w:color w:val="auto"/>
              </w:rPr>
            </w:pPr>
            <w:r>
              <w:rPr>
                <w:rFonts w:ascii="Calibri" w:cs="Calibri" w:eastAsia="Calibri" w:hAnsi="Calibri"/>
                <w:sz w:val="14"/>
                <w:szCs w:val="14"/>
                <w:color w:val="auto"/>
              </w:rPr>
              <w:t>(0.10)</w:t>
            </w:r>
          </w:p>
        </w:tc>
        <w:tc>
          <w:tcPr>
            <w:tcW w:w="1160" w:type="dxa"/>
            <w:vAlign w:val="bottom"/>
          </w:tcPr>
          <w:p>
            <w:pPr>
              <w:jc w:val="right"/>
              <w:ind w:right="91"/>
              <w:spacing w:after="0"/>
              <w:rPr>
                <w:sz w:val="20"/>
                <w:szCs w:val="20"/>
                <w:color w:val="auto"/>
              </w:rPr>
            </w:pPr>
            <w:r>
              <w:rPr>
                <w:rFonts w:ascii="Calibri" w:cs="Calibri" w:eastAsia="Calibri" w:hAnsi="Calibri"/>
                <w:sz w:val="14"/>
                <w:szCs w:val="14"/>
                <w:color w:val="auto"/>
              </w:rPr>
              <w:t>(0.11)</w:t>
            </w:r>
          </w:p>
        </w:tc>
        <w:tc>
          <w:tcPr>
            <w:tcW w:w="1100" w:type="dxa"/>
            <w:vAlign w:val="bottom"/>
          </w:tcPr>
          <w:p>
            <w:pPr>
              <w:jc w:val="right"/>
              <w:ind w:right="31"/>
              <w:spacing w:after="0"/>
              <w:rPr>
                <w:sz w:val="20"/>
                <w:szCs w:val="20"/>
                <w:color w:val="auto"/>
              </w:rPr>
            </w:pPr>
            <w:r>
              <w:rPr>
                <w:rFonts w:ascii="Calibri" w:cs="Calibri" w:eastAsia="Calibri" w:hAnsi="Calibri"/>
                <w:sz w:val="14"/>
                <w:szCs w:val="14"/>
                <w:color w:val="auto"/>
              </w:rPr>
              <w:t>(0.09)</w:t>
            </w:r>
          </w:p>
        </w:tc>
        <w:tc>
          <w:tcPr>
            <w:tcW w:w="1200" w:type="dxa"/>
            <w:vAlign w:val="bottom"/>
          </w:tcPr>
          <w:p>
            <w:pPr>
              <w:jc w:val="right"/>
              <w:ind w:right="91"/>
              <w:spacing w:after="0"/>
              <w:rPr>
                <w:sz w:val="20"/>
                <w:szCs w:val="20"/>
                <w:color w:val="auto"/>
              </w:rPr>
            </w:pPr>
            <w:r>
              <w:rPr>
                <w:rFonts w:ascii="Calibri" w:cs="Calibri" w:eastAsia="Calibri" w:hAnsi="Calibri"/>
                <w:sz w:val="14"/>
                <w:szCs w:val="14"/>
                <w:color w:val="auto"/>
              </w:rPr>
              <w:t>(0.09)</w:t>
            </w:r>
          </w:p>
        </w:tc>
        <w:tc>
          <w:tcPr>
            <w:tcW w:w="1120" w:type="dxa"/>
            <w:vAlign w:val="bottom"/>
          </w:tcPr>
          <w:p>
            <w:pPr>
              <w:jc w:val="right"/>
              <w:ind w:right="51"/>
              <w:spacing w:after="0"/>
              <w:rPr>
                <w:sz w:val="20"/>
                <w:szCs w:val="20"/>
                <w:color w:val="auto"/>
              </w:rPr>
            </w:pPr>
            <w:r>
              <w:rPr>
                <w:rFonts w:ascii="Calibri" w:cs="Calibri" w:eastAsia="Calibri" w:hAnsi="Calibri"/>
                <w:sz w:val="14"/>
                <w:szCs w:val="14"/>
                <w:color w:val="auto"/>
              </w:rPr>
              <w:t>(0.10)</w:t>
            </w:r>
          </w:p>
        </w:tc>
        <w:tc>
          <w:tcPr>
            <w:tcW w:w="1180" w:type="dxa"/>
            <w:vAlign w:val="bottom"/>
          </w:tcPr>
          <w:p>
            <w:pPr>
              <w:jc w:val="right"/>
              <w:ind w:right="91"/>
              <w:spacing w:after="0"/>
              <w:rPr>
                <w:sz w:val="20"/>
                <w:szCs w:val="20"/>
                <w:color w:val="auto"/>
              </w:rPr>
            </w:pPr>
            <w:r>
              <w:rPr>
                <w:rFonts w:ascii="Calibri" w:cs="Calibri" w:eastAsia="Calibri" w:hAnsi="Calibri"/>
                <w:sz w:val="14"/>
                <w:szCs w:val="14"/>
                <w:color w:val="auto"/>
              </w:rPr>
              <w:t>(0.04)</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(0.07)</w:t>
            </w:r>
          </w:p>
        </w:tc>
        <w:tc>
          <w:tcPr>
            <w:tcW w:w="0" w:type="dxa"/>
            <w:vAlign w:val="bottom"/>
          </w:tcPr>
          <w:p>
            <w:pPr>
              <w:spacing w:after="0"/>
              <w:rPr>
                <w:sz w:val="1"/>
                <w:szCs w:val="1"/>
                <w:color w:val="auto"/>
              </w:rPr>
            </w:pPr>
          </w:p>
        </w:tc>
      </w:tr>
      <w:tr>
        <w:trPr>
          <w:trHeight w:val="452"/>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Shares -</w:t>
            </w:r>
          </w:p>
        </w:tc>
        <w:tc>
          <w:tcPr>
            <w:tcW w:w="1160" w:type="dxa"/>
            <w:vAlign w:val="bottom"/>
            <w:tcBorders>
              <w:right w:val="single" w:sz="8" w:color="DBDBDB"/>
            </w:tcBorders>
            <w:vMerge w:val="restart"/>
            <w:shd w:val="clear" w:color="auto" w:fill="DBDBDB"/>
          </w:tcPr>
          <w:p>
            <w:pPr>
              <w:jc w:val="right"/>
              <w:spacing w:after="0"/>
              <w:rPr>
                <w:sz w:val="20"/>
                <w:szCs w:val="20"/>
                <w:color w:val="auto"/>
              </w:rPr>
            </w:pPr>
            <w:r>
              <w:rPr>
                <w:rFonts w:ascii="Calibri" w:cs="Calibri" w:eastAsia="Calibri" w:hAnsi="Calibri"/>
                <w:sz w:val="14"/>
                <w:szCs w:val="14"/>
                <w:b w:val="1"/>
                <w:bCs w:val="1"/>
                <w:color w:val="auto"/>
              </w:rPr>
              <w:t>173,873,017</w:t>
            </w:r>
          </w:p>
        </w:tc>
        <w:tc>
          <w:tcPr>
            <w:tcW w:w="1260" w:type="dxa"/>
            <w:vAlign w:val="bottom"/>
            <w:vMerge w:val="restart"/>
          </w:tcPr>
          <w:p>
            <w:pPr>
              <w:jc w:val="right"/>
              <w:ind w:right="111"/>
              <w:spacing w:after="0"/>
              <w:rPr>
                <w:sz w:val="20"/>
                <w:szCs w:val="20"/>
                <w:color w:val="auto"/>
              </w:rPr>
            </w:pPr>
            <w:r>
              <w:rPr>
                <w:rFonts w:ascii="Calibri" w:cs="Calibri" w:eastAsia="Calibri" w:hAnsi="Calibri"/>
                <w:sz w:val="14"/>
                <w:szCs w:val="14"/>
                <w:color w:val="auto"/>
              </w:rPr>
              <w:t>171,833,544</w:t>
            </w:r>
          </w:p>
        </w:tc>
        <w:tc>
          <w:tcPr>
            <w:tcW w:w="1160" w:type="dxa"/>
            <w:vAlign w:val="bottom"/>
            <w:vMerge w:val="restart"/>
          </w:tcPr>
          <w:p>
            <w:pPr>
              <w:jc w:val="right"/>
              <w:ind w:right="111"/>
              <w:spacing w:after="0"/>
              <w:rPr>
                <w:sz w:val="20"/>
                <w:szCs w:val="20"/>
                <w:color w:val="auto"/>
              </w:rPr>
            </w:pPr>
            <w:r>
              <w:rPr>
                <w:rFonts w:ascii="Calibri" w:cs="Calibri" w:eastAsia="Calibri" w:hAnsi="Calibri"/>
                <w:sz w:val="14"/>
                <w:szCs w:val="14"/>
                <w:color w:val="auto"/>
              </w:rPr>
              <w:t>165,783,294</w:t>
            </w:r>
          </w:p>
        </w:tc>
        <w:tc>
          <w:tcPr>
            <w:tcW w:w="1100" w:type="dxa"/>
            <w:vAlign w:val="bottom"/>
            <w:vMerge w:val="restart"/>
          </w:tcPr>
          <w:p>
            <w:pPr>
              <w:jc w:val="right"/>
              <w:ind w:right="71"/>
              <w:spacing w:after="0"/>
              <w:rPr>
                <w:sz w:val="20"/>
                <w:szCs w:val="20"/>
                <w:color w:val="auto"/>
              </w:rPr>
            </w:pPr>
            <w:r>
              <w:rPr>
                <w:rFonts w:ascii="Calibri" w:cs="Calibri" w:eastAsia="Calibri" w:hAnsi="Calibri"/>
                <w:sz w:val="14"/>
                <w:szCs w:val="14"/>
                <w:color w:val="auto"/>
              </w:rPr>
              <w:t>157,711,518</w:t>
            </w:r>
          </w:p>
        </w:tc>
        <w:tc>
          <w:tcPr>
            <w:tcW w:w="1200" w:type="dxa"/>
            <w:vAlign w:val="bottom"/>
            <w:vMerge w:val="restart"/>
          </w:tcPr>
          <w:p>
            <w:pPr>
              <w:jc w:val="right"/>
              <w:ind w:right="111"/>
              <w:spacing w:after="0"/>
              <w:rPr>
                <w:sz w:val="20"/>
                <w:szCs w:val="20"/>
                <w:color w:val="auto"/>
              </w:rPr>
            </w:pPr>
            <w:r>
              <w:rPr>
                <w:rFonts w:ascii="Calibri" w:cs="Calibri" w:eastAsia="Calibri" w:hAnsi="Calibri"/>
                <w:sz w:val="14"/>
                <w:szCs w:val="14"/>
                <w:color w:val="auto"/>
              </w:rPr>
              <w:t>150,494,164</w:t>
            </w:r>
          </w:p>
        </w:tc>
        <w:tc>
          <w:tcPr>
            <w:tcW w:w="1120" w:type="dxa"/>
            <w:vAlign w:val="bottom"/>
            <w:vMerge w:val="restart"/>
          </w:tcPr>
          <w:p>
            <w:pPr>
              <w:jc w:val="right"/>
              <w:ind w:right="91"/>
              <w:spacing w:after="0"/>
              <w:rPr>
                <w:sz w:val="20"/>
                <w:szCs w:val="20"/>
                <w:color w:val="auto"/>
              </w:rPr>
            </w:pPr>
            <w:r>
              <w:rPr>
                <w:rFonts w:ascii="Calibri" w:cs="Calibri" w:eastAsia="Calibri" w:hAnsi="Calibri"/>
                <w:sz w:val="14"/>
                <w:szCs w:val="14"/>
                <w:color w:val="auto"/>
              </w:rPr>
              <w:t>110,223,000</w:t>
            </w:r>
          </w:p>
        </w:tc>
        <w:tc>
          <w:tcPr>
            <w:tcW w:w="1180" w:type="dxa"/>
            <w:vAlign w:val="bottom"/>
            <w:vMerge w:val="restart"/>
          </w:tcPr>
          <w:p>
            <w:pPr>
              <w:jc w:val="right"/>
              <w:ind w:right="131"/>
              <w:spacing w:after="0"/>
              <w:rPr>
                <w:sz w:val="20"/>
                <w:szCs w:val="20"/>
                <w:color w:val="auto"/>
              </w:rPr>
            </w:pPr>
            <w:r>
              <w:rPr>
                <w:rFonts w:ascii="Calibri" w:cs="Calibri" w:eastAsia="Calibri" w:hAnsi="Calibri"/>
                <w:sz w:val="14"/>
                <w:szCs w:val="14"/>
                <w:color w:val="auto"/>
              </w:rPr>
              <w:t>69,150,124</w:t>
            </w:r>
          </w:p>
        </w:tc>
        <w:tc>
          <w:tcPr>
            <w:tcW w:w="1020" w:type="dxa"/>
            <w:vAlign w:val="bottom"/>
            <w:vMerge w:val="restart"/>
          </w:tcPr>
          <w:p>
            <w:pPr>
              <w:jc w:val="right"/>
              <w:spacing w:after="0"/>
              <w:rPr>
                <w:sz w:val="20"/>
                <w:szCs w:val="20"/>
                <w:color w:val="auto"/>
              </w:rPr>
            </w:pPr>
            <w:r>
              <w:rPr>
                <w:rFonts w:ascii="Calibri" w:cs="Calibri" w:eastAsia="Calibri" w:hAnsi="Calibri"/>
                <w:sz w:val="14"/>
                <w:szCs w:val="14"/>
                <w:color w:val="auto"/>
              </w:rPr>
              <w:t>60,703,392</w:t>
            </w:r>
          </w:p>
        </w:tc>
        <w:tc>
          <w:tcPr>
            <w:tcW w:w="0" w:type="dxa"/>
            <w:vAlign w:val="bottom"/>
          </w:tcPr>
          <w:p>
            <w:pPr>
              <w:spacing w:after="0"/>
              <w:rPr>
                <w:sz w:val="1"/>
                <w:szCs w:val="1"/>
                <w:color w:val="auto"/>
              </w:rPr>
            </w:pPr>
          </w:p>
        </w:tc>
      </w:tr>
      <w:tr>
        <w:trPr>
          <w:trHeight w:val="183"/>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160" w:type="dxa"/>
            <w:vAlign w:val="bottom"/>
            <w:tcBorders>
              <w:right w:val="single" w:sz="8" w:color="DBDBDB"/>
            </w:tcBorders>
            <w:vMerge w:val="continue"/>
            <w:shd w:val="clear" w:color="auto" w:fill="DBDBDB"/>
          </w:tcPr>
          <w:p>
            <w:pPr>
              <w:spacing w:after="0"/>
              <w:rPr>
                <w:sz w:val="15"/>
                <w:szCs w:val="15"/>
                <w:color w:val="auto"/>
              </w:rPr>
            </w:pPr>
          </w:p>
        </w:tc>
        <w:tc>
          <w:tcPr>
            <w:tcW w:w="12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($'s)</w:t>
            </w:r>
          </w:p>
        </w:tc>
        <w:tc>
          <w:tcPr>
            <w:tcW w:w="1160" w:type="dxa"/>
            <w:vAlign w:val="bottom"/>
            <w:tcBorders>
              <w:right w:val="single" w:sz="8" w:color="DBDBDB"/>
            </w:tcBorders>
            <w:shd w:val="clear" w:color="auto" w:fill="DBDBDB"/>
          </w:tcPr>
          <w:p>
            <w:pPr>
              <w:jc w:val="right"/>
              <w:spacing w:after="0"/>
              <w:rPr>
                <w:sz w:val="20"/>
                <w:szCs w:val="20"/>
                <w:color w:val="auto"/>
              </w:rPr>
            </w:pPr>
            <w:r>
              <w:rPr>
                <w:rFonts w:ascii="Calibri" w:cs="Calibri" w:eastAsia="Calibri" w:hAnsi="Calibri"/>
                <w:sz w:val="14"/>
                <w:szCs w:val="14"/>
                <w:b w:val="1"/>
                <w:bCs w:val="1"/>
                <w:color w:val="auto"/>
              </w:rPr>
              <w:t>(0.10)</w:t>
            </w:r>
          </w:p>
        </w:tc>
        <w:tc>
          <w:tcPr>
            <w:tcW w:w="1260" w:type="dxa"/>
            <w:vAlign w:val="bottom"/>
          </w:tcPr>
          <w:p>
            <w:pPr>
              <w:jc w:val="right"/>
              <w:ind w:right="71"/>
              <w:spacing w:after="0"/>
              <w:rPr>
                <w:sz w:val="20"/>
                <w:szCs w:val="20"/>
                <w:color w:val="auto"/>
              </w:rPr>
            </w:pPr>
            <w:r>
              <w:rPr>
                <w:rFonts w:ascii="Calibri" w:cs="Calibri" w:eastAsia="Calibri" w:hAnsi="Calibri"/>
                <w:sz w:val="14"/>
                <w:szCs w:val="14"/>
                <w:color w:val="auto"/>
              </w:rPr>
              <w:t>(0.10)</w:t>
            </w:r>
          </w:p>
        </w:tc>
        <w:tc>
          <w:tcPr>
            <w:tcW w:w="1160" w:type="dxa"/>
            <w:vAlign w:val="bottom"/>
          </w:tcPr>
          <w:p>
            <w:pPr>
              <w:jc w:val="right"/>
              <w:ind w:right="91"/>
              <w:spacing w:after="0"/>
              <w:rPr>
                <w:sz w:val="20"/>
                <w:szCs w:val="20"/>
                <w:color w:val="auto"/>
              </w:rPr>
            </w:pPr>
            <w:r>
              <w:rPr>
                <w:rFonts w:ascii="Calibri" w:cs="Calibri" w:eastAsia="Calibri" w:hAnsi="Calibri"/>
                <w:sz w:val="14"/>
                <w:szCs w:val="14"/>
                <w:color w:val="auto"/>
              </w:rPr>
              <w:t>(0.11)</w:t>
            </w:r>
          </w:p>
        </w:tc>
        <w:tc>
          <w:tcPr>
            <w:tcW w:w="1100" w:type="dxa"/>
            <w:vAlign w:val="bottom"/>
          </w:tcPr>
          <w:p>
            <w:pPr>
              <w:jc w:val="right"/>
              <w:ind w:right="31"/>
              <w:spacing w:after="0"/>
              <w:rPr>
                <w:sz w:val="20"/>
                <w:szCs w:val="20"/>
                <w:color w:val="auto"/>
              </w:rPr>
            </w:pPr>
            <w:r>
              <w:rPr>
                <w:rFonts w:ascii="Calibri" w:cs="Calibri" w:eastAsia="Calibri" w:hAnsi="Calibri"/>
                <w:sz w:val="14"/>
                <w:szCs w:val="14"/>
                <w:color w:val="auto"/>
              </w:rPr>
              <w:t>(0.09)</w:t>
            </w:r>
          </w:p>
        </w:tc>
        <w:tc>
          <w:tcPr>
            <w:tcW w:w="1200" w:type="dxa"/>
            <w:vAlign w:val="bottom"/>
          </w:tcPr>
          <w:p>
            <w:pPr>
              <w:jc w:val="right"/>
              <w:ind w:right="91"/>
              <w:spacing w:after="0"/>
              <w:rPr>
                <w:sz w:val="20"/>
                <w:szCs w:val="20"/>
                <w:color w:val="auto"/>
              </w:rPr>
            </w:pPr>
            <w:r>
              <w:rPr>
                <w:rFonts w:ascii="Calibri" w:cs="Calibri" w:eastAsia="Calibri" w:hAnsi="Calibri"/>
                <w:sz w:val="14"/>
                <w:szCs w:val="14"/>
                <w:color w:val="auto"/>
              </w:rPr>
              <w:t>(0.09)</w:t>
            </w:r>
          </w:p>
        </w:tc>
        <w:tc>
          <w:tcPr>
            <w:tcW w:w="1120" w:type="dxa"/>
            <w:vAlign w:val="bottom"/>
          </w:tcPr>
          <w:p>
            <w:pPr>
              <w:jc w:val="right"/>
              <w:ind w:right="51"/>
              <w:spacing w:after="0"/>
              <w:rPr>
                <w:sz w:val="20"/>
                <w:szCs w:val="20"/>
                <w:color w:val="auto"/>
              </w:rPr>
            </w:pPr>
            <w:r>
              <w:rPr>
                <w:rFonts w:ascii="Calibri" w:cs="Calibri" w:eastAsia="Calibri" w:hAnsi="Calibri"/>
                <w:sz w:val="14"/>
                <w:szCs w:val="14"/>
                <w:color w:val="auto"/>
              </w:rPr>
              <w:t>(0.10)</w:t>
            </w:r>
          </w:p>
        </w:tc>
        <w:tc>
          <w:tcPr>
            <w:tcW w:w="1180" w:type="dxa"/>
            <w:vAlign w:val="bottom"/>
          </w:tcPr>
          <w:p>
            <w:pPr>
              <w:jc w:val="right"/>
              <w:ind w:right="91"/>
              <w:spacing w:after="0"/>
              <w:rPr>
                <w:sz w:val="20"/>
                <w:szCs w:val="20"/>
                <w:color w:val="auto"/>
              </w:rPr>
            </w:pPr>
            <w:r>
              <w:rPr>
                <w:rFonts w:ascii="Calibri" w:cs="Calibri" w:eastAsia="Calibri" w:hAnsi="Calibri"/>
                <w:sz w:val="14"/>
                <w:szCs w:val="14"/>
                <w:color w:val="auto"/>
              </w:rPr>
              <w:t>(0.04)</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(0.07)</w:t>
            </w:r>
          </w:p>
        </w:tc>
        <w:tc>
          <w:tcPr>
            <w:tcW w:w="0" w:type="dxa"/>
            <w:vAlign w:val="bottom"/>
          </w:tcPr>
          <w:p>
            <w:pPr>
              <w:spacing w:after="0"/>
              <w:rPr>
                <w:sz w:val="1"/>
                <w:szCs w:val="1"/>
                <w:color w:val="auto"/>
              </w:rPr>
            </w:pPr>
          </w:p>
        </w:tc>
      </w:tr>
      <w:tr>
        <w:trPr>
          <w:trHeight w:val="464"/>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160" w:type="dxa"/>
            <w:vAlign w:val="bottom"/>
            <w:tcBorders>
              <w:right w:val="single" w:sz="8" w:color="DBDBDB"/>
            </w:tcBorders>
            <w:shd w:val="clear" w:color="auto" w:fill="DBDBDB"/>
          </w:tcPr>
          <w:p>
            <w:pPr>
              <w:jc w:val="right"/>
              <w:spacing w:after="0"/>
              <w:rPr>
                <w:sz w:val="20"/>
                <w:szCs w:val="20"/>
                <w:color w:val="auto"/>
              </w:rPr>
            </w:pPr>
            <w:r>
              <w:rPr>
                <w:rFonts w:ascii="Calibri" w:cs="Calibri" w:eastAsia="Calibri" w:hAnsi="Calibri"/>
                <w:sz w:val="14"/>
                <w:szCs w:val="14"/>
                <w:b w:val="1"/>
                <w:bCs w:val="1"/>
                <w:color w:val="auto"/>
              </w:rPr>
              <w:t>53,641</w:t>
            </w:r>
          </w:p>
        </w:tc>
        <w:tc>
          <w:tcPr>
            <w:tcW w:w="1260" w:type="dxa"/>
            <w:vAlign w:val="bottom"/>
          </w:tcPr>
          <w:p>
            <w:pPr>
              <w:jc w:val="right"/>
              <w:ind w:right="111"/>
              <w:spacing w:after="0"/>
              <w:rPr>
                <w:sz w:val="20"/>
                <w:szCs w:val="20"/>
                <w:color w:val="auto"/>
              </w:rPr>
            </w:pPr>
            <w:r>
              <w:rPr>
                <w:rFonts w:ascii="Calibri" w:cs="Calibri" w:eastAsia="Calibri" w:hAnsi="Calibri"/>
                <w:sz w:val="14"/>
                <w:szCs w:val="14"/>
                <w:color w:val="auto"/>
              </w:rPr>
              <w:t>63,580</w:t>
            </w:r>
          </w:p>
        </w:tc>
        <w:tc>
          <w:tcPr>
            <w:tcW w:w="1160" w:type="dxa"/>
            <w:vAlign w:val="bottom"/>
          </w:tcPr>
          <w:p>
            <w:pPr>
              <w:jc w:val="right"/>
              <w:ind w:right="111"/>
              <w:spacing w:after="0"/>
              <w:rPr>
                <w:sz w:val="20"/>
                <w:szCs w:val="20"/>
                <w:color w:val="auto"/>
              </w:rPr>
            </w:pPr>
            <w:r>
              <w:rPr>
                <w:rFonts w:ascii="Calibri" w:cs="Calibri" w:eastAsia="Calibri" w:hAnsi="Calibri"/>
                <w:sz w:val="14"/>
                <w:szCs w:val="14"/>
                <w:color w:val="auto"/>
              </w:rPr>
              <w:t>75,179</w:t>
            </w:r>
          </w:p>
        </w:tc>
        <w:tc>
          <w:tcPr>
            <w:tcW w:w="1100" w:type="dxa"/>
            <w:vAlign w:val="bottom"/>
          </w:tcPr>
          <w:p>
            <w:pPr>
              <w:jc w:val="right"/>
              <w:ind w:right="71"/>
              <w:spacing w:after="0"/>
              <w:rPr>
                <w:sz w:val="20"/>
                <w:szCs w:val="20"/>
                <w:color w:val="auto"/>
              </w:rPr>
            </w:pPr>
            <w:r>
              <w:rPr>
                <w:rFonts w:ascii="Calibri" w:cs="Calibri" w:eastAsia="Calibri" w:hAnsi="Calibri"/>
                <w:sz w:val="14"/>
                <w:szCs w:val="14"/>
                <w:color w:val="auto"/>
              </w:rPr>
              <w:t>55,075</w:t>
            </w:r>
          </w:p>
        </w:tc>
        <w:tc>
          <w:tcPr>
            <w:tcW w:w="1200" w:type="dxa"/>
            <w:vAlign w:val="bottom"/>
          </w:tcPr>
          <w:p>
            <w:pPr>
              <w:jc w:val="right"/>
              <w:ind w:right="111"/>
              <w:spacing w:after="0"/>
              <w:rPr>
                <w:sz w:val="20"/>
                <w:szCs w:val="20"/>
                <w:color w:val="auto"/>
              </w:rPr>
            </w:pPr>
            <w:r>
              <w:rPr>
                <w:rFonts w:ascii="Calibri" w:cs="Calibri" w:eastAsia="Calibri" w:hAnsi="Calibri"/>
                <w:sz w:val="14"/>
                <w:szCs w:val="14"/>
                <w:color w:val="auto"/>
              </w:rPr>
              <w:t>64,026</w:t>
            </w:r>
          </w:p>
        </w:tc>
        <w:tc>
          <w:tcPr>
            <w:tcW w:w="1120" w:type="dxa"/>
            <w:vAlign w:val="bottom"/>
          </w:tcPr>
          <w:p>
            <w:pPr>
              <w:jc w:val="right"/>
              <w:ind w:right="91"/>
              <w:spacing w:after="0"/>
              <w:rPr>
                <w:sz w:val="20"/>
                <w:szCs w:val="20"/>
                <w:color w:val="auto"/>
              </w:rPr>
            </w:pPr>
            <w:r>
              <w:rPr>
                <w:rFonts w:ascii="Calibri" w:cs="Calibri" w:eastAsia="Calibri" w:hAnsi="Calibri"/>
                <w:sz w:val="14"/>
                <w:szCs w:val="14"/>
                <w:color w:val="auto"/>
              </w:rPr>
              <w:t>40,028</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3,868</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7,679</w:t>
            </w:r>
          </w:p>
        </w:tc>
        <w:tc>
          <w:tcPr>
            <w:tcW w:w="0" w:type="dxa"/>
            <w:vAlign w:val="bottom"/>
          </w:tcPr>
          <w:p>
            <w:pPr>
              <w:spacing w:after="0"/>
              <w:rPr>
                <w:sz w:val="1"/>
                <w:szCs w:val="1"/>
                <w:color w:val="auto"/>
              </w:rPr>
            </w:pPr>
          </w:p>
        </w:tc>
      </w:tr>
      <w:tr>
        <w:trPr>
          <w:trHeight w:val="220"/>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Assets ($)</w:t>
            </w:r>
          </w:p>
        </w:tc>
        <w:tc>
          <w:tcPr>
            <w:tcW w:w="1160" w:type="dxa"/>
            <w:vAlign w:val="bottom"/>
            <w:tcBorders>
              <w:right w:val="single" w:sz="8" w:color="DBDBDB"/>
            </w:tcBorders>
            <w:shd w:val="clear" w:color="auto" w:fill="DBDBDB"/>
          </w:tcPr>
          <w:p>
            <w:pPr>
              <w:jc w:val="right"/>
              <w:spacing w:after="0"/>
              <w:rPr>
                <w:sz w:val="20"/>
                <w:szCs w:val="20"/>
                <w:color w:val="auto"/>
              </w:rPr>
            </w:pPr>
            <w:r>
              <w:rPr>
                <w:rFonts w:ascii="Calibri" w:cs="Calibri" w:eastAsia="Calibri" w:hAnsi="Calibri"/>
                <w:sz w:val="14"/>
                <w:szCs w:val="14"/>
                <w:b w:val="1"/>
                <w:bCs w:val="1"/>
                <w:color w:val="auto"/>
              </w:rPr>
              <w:t>84,063</w:t>
            </w:r>
          </w:p>
        </w:tc>
        <w:tc>
          <w:tcPr>
            <w:tcW w:w="1260" w:type="dxa"/>
            <w:vAlign w:val="bottom"/>
          </w:tcPr>
          <w:p>
            <w:pPr>
              <w:jc w:val="right"/>
              <w:ind w:right="111"/>
              <w:spacing w:after="0"/>
              <w:rPr>
                <w:sz w:val="20"/>
                <w:szCs w:val="20"/>
                <w:color w:val="auto"/>
              </w:rPr>
            </w:pPr>
            <w:r>
              <w:rPr>
                <w:rFonts w:ascii="Calibri" w:cs="Calibri" w:eastAsia="Calibri" w:hAnsi="Calibri"/>
                <w:sz w:val="14"/>
                <w:szCs w:val="14"/>
                <w:color w:val="auto"/>
              </w:rPr>
              <w:t>95,161</w:t>
            </w:r>
          </w:p>
        </w:tc>
        <w:tc>
          <w:tcPr>
            <w:tcW w:w="1160" w:type="dxa"/>
            <w:vAlign w:val="bottom"/>
          </w:tcPr>
          <w:p>
            <w:pPr>
              <w:jc w:val="right"/>
              <w:ind w:right="111"/>
              <w:spacing w:after="0"/>
              <w:rPr>
                <w:sz w:val="20"/>
                <w:szCs w:val="20"/>
                <w:color w:val="auto"/>
              </w:rPr>
            </w:pPr>
            <w:r>
              <w:rPr>
                <w:rFonts w:ascii="Calibri" w:cs="Calibri" w:eastAsia="Calibri" w:hAnsi="Calibri"/>
                <w:sz w:val="14"/>
                <w:szCs w:val="14"/>
                <w:color w:val="auto"/>
              </w:rPr>
              <w:t>105,465</w:t>
            </w:r>
          </w:p>
        </w:tc>
        <w:tc>
          <w:tcPr>
            <w:tcW w:w="1100" w:type="dxa"/>
            <w:vAlign w:val="bottom"/>
          </w:tcPr>
          <w:p>
            <w:pPr>
              <w:jc w:val="right"/>
              <w:ind w:right="71"/>
              <w:spacing w:after="0"/>
              <w:rPr>
                <w:sz w:val="20"/>
                <w:szCs w:val="20"/>
                <w:color w:val="auto"/>
              </w:rPr>
            </w:pPr>
            <w:r>
              <w:rPr>
                <w:rFonts w:ascii="Calibri" w:cs="Calibri" w:eastAsia="Calibri" w:hAnsi="Calibri"/>
                <w:sz w:val="14"/>
                <w:szCs w:val="14"/>
                <w:color w:val="auto"/>
              </w:rPr>
              <w:t>82,837</w:t>
            </w:r>
          </w:p>
        </w:tc>
        <w:tc>
          <w:tcPr>
            <w:tcW w:w="1200" w:type="dxa"/>
            <w:vAlign w:val="bottom"/>
          </w:tcPr>
          <w:p>
            <w:pPr>
              <w:jc w:val="right"/>
              <w:ind w:right="111"/>
              <w:spacing w:after="0"/>
              <w:rPr>
                <w:sz w:val="20"/>
                <w:szCs w:val="20"/>
                <w:color w:val="auto"/>
              </w:rPr>
            </w:pPr>
            <w:r>
              <w:rPr>
                <w:rFonts w:ascii="Calibri" w:cs="Calibri" w:eastAsia="Calibri" w:hAnsi="Calibri"/>
                <w:sz w:val="14"/>
                <w:szCs w:val="14"/>
                <w:color w:val="auto"/>
              </w:rPr>
              <w:t>92,112</w:t>
            </w:r>
          </w:p>
        </w:tc>
        <w:tc>
          <w:tcPr>
            <w:tcW w:w="1120" w:type="dxa"/>
            <w:vAlign w:val="bottom"/>
          </w:tcPr>
          <w:p>
            <w:pPr>
              <w:jc w:val="right"/>
              <w:ind w:right="91"/>
              <w:spacing w:after="0"/>
              <w:rPr>
                <w:sz w:val="20"/>
                <w:szCs w:val="20"/>
                <w:color w:val="auto"/>
              </w:rPr>
            </w:pPr>
            <w:r>
              <w:rPr>
                <w:rFonts w:ascii="Calibri" w:cs="Calibri" w:eastAsia="Calibri" w:hAnsi="Calibri"/>
                <w:sz w:val="14"/>
                <w:szCs w:val="14"/>
                <w:color w:val="auto"/>
              </w:rPr>
              <w:t>61,254</w:t>
            </w:r>
          </w:p>
        </w:tc>
        <w:tc>
          <w:tcPr>
            <w:tcW w:w="1180" w:type="dxa"/>
            <w:vAlign w:val="bottom"/>
          </w:tcPr>
          <w:p>
            <w:pPr>
              <w:jc w:val="right"/>
              <w:ind w:right="131"/>
              <w:spacing w:after="0"/>
              <w:rPr>
                <w:sz w:val="20"/>
                <w:szCs w:val="20"/>
                <w:color w:val="auto"/>
              </w:rPr>
            </w:pPr>
            <w:r>
              <w:rPr>
                <w:rFonts w:ascii="Calibri" w:cs="Calibri" w:eastAsia="Calibri" w:hAnsi="Calibri"/>
                <w:sz w:val="14"/>
                <w:szCs w:val="14"/>
                <w:color w:val="auto"/>
              </w:rPr>
              <w:t>5,789</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8,891</w:t>
            </w:r>
          </w:p>
        </w:tc>
        <w:tc>
          <w:tcPr>
            <w:tcW w:w="0" w:type="dxa"/>
            <w:vAlign w:val="bottom"/>
          </w:tcPr>
          <w:p>
            <w:pPr>
              <w:spacing w:after="0"/>
              <w:rPr>
                <w:sz w:val="1"/>
                <w:szCs w:val="1"/>
                <w:color w:val="auto"/>
              </w:rPr>
            </w:pPr>
          </w:p>
        </w:tc>
      </w:tr>
      <w:tr>
        <w:trPr>
          <w:trHeight w:val="208"/>
        </w:trPr>
        <w:tc>
          <w:tcPr>
            <w:tcW w:w="1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160" w:type="dxa"/>
            <w:vAlign w:val="bottom"/>
            <w:tcBorders>
              <w:right w:val="single" w:sz="8" w:color="DBDBDB"/>
            </w:tcBorders>
            <w:vMerge w:val="restart"/>
            <w:shd w:val="clear" w:color="auto" w:fill="DBDBDB"/>
          </w:tcPr>
          <w:p>
            <w:pPr>
              <w:jc w:val="right"/>
              <w:spacing w:after="0"/>
              <w:rPr>
                <w:sz w:val="20"/>
                <w:szCs w:val="20"/>
                <w:color w:val="auto"/>
              </w:rPr>
            </w:pPr>
            <w:r>
              <w:rPr>
                <w:rFonts w:ascii="Calibri" w:cs="Calibri" w:eastAsia="Calibri" w:hAnsi="Calibri"/>
                <w:sz w:val="14"/>
                <w:szCs w:val="14"/>
                <w:b w:val="1"/>
                <w:bCs w:val="1"/>
                <w:color w:val="auto"/>
              </w:rPr>
              <w:t>—</w:t>
            </w:r>
          </w:p>
        </w:tc>
        <w:tc>
          <w:tcPr>
            <w:tcW w:w="1260" w:type="dxa"/>
            <w:vAlign w:val="bottom"/>
            <w:vMerge w:val="restart"/>
          </w:tcPr>
          <w:p>
            <w:pPr>
              <w:jc w:val="right"/>
              <w:ind w:right="111"/>
              <w:spacing w:after="0"/>
              <w:rPr>
                <w:sz w:val="20"/>
                <w:szCs w:val="20"/>
                <w:color w:val="auto"/>
              </w:rPr>
            </w:pPr>
            <w:r>
              <w:rPr>
                <w:rFonts w:ascii="Calibri" w:cs="Calibri" w:eastAsia="Calibri" w:hAnsi="Calibri"/>
                <w:sz w:val="14"/>
                <w:szCs w:val="14"/>
                <w:color w:val="auto"/>
              </w:rPr>
              <w:t>—</w:t>
            </w:r>
          </w:p>
        </w:tc>
        <w:tc>
          <w:tcPr>
            <w:tcW w:w="1160" w:type="dxa"/>
            <w:vAlign w:val="bottom"/>
            <w:vMerge w:val="restart"/>
          </w:tcPr>
          <w:p>
            <w:pPr>
              <w:jc w:val="right"/>
              <w:ind w:right="111"/>
              <w:spacing w:after="0"/>
              <w:rPr>
                <w:sz w:val="20"/>
                <w:szCs w:val="20"/>
                <w:color w:val="auto"/>
              </w:rPr>
            </w:pPr>
            <w:r>
              <w:rPr>
                <w:rFonts w:ascii="Calibri" w:cs="Calibri" w:eastAsia="Calibri" w:hAnsi="Calibri"/>
                <w:sz w:val="14"/>
                <w:szCs w:val="14"/>
                <w:color w:val="auto"/>
              </w:rPr>
              <w:t>363</w:t>
            </w:r>
          </w:p>
        </w:tc>
        <w:tc>
          <w:tcPr>
            <w:tcW w:w="1100" w:type="dxa"/>
            <w:vAlign w:val="bottom"/>
            <w:vMerge w:val="restart"/>
          </w:tcPr>
          <w:p>
            <w:pPr>
              <w:jc w:val="right"/>
              <w:ind w:right="71"/>
              <w:spacing w:after="0"/>
              <w:rPr>
                <w:sz w:val="20"/>
                <w:szCs w:val="20"/>
                <w:color w:val="auto"/>
              </w:rPr>
            </w:pPr>
            <w:r>
              <w:rPr>
                <w:rFonts w:ascii="Calibri" w:cs="Calibri" w:eastAsia="Calibri" w:hAnsi="Calibri"/>
                <w:sz w:val="14"/>
                <w:szCs w:val="14"/>
                <w:color w:val="auto"/>
              </w:rPr>
              <w:t>770</w:t>
            </w:r>
          </w:p>
        </w:tc>
        <w:tc>
          <w:tcPr>
            <w:tcW w:w="1200" w:type="dxa"/>
            <w:vAlign w:val="bottom"/>
            <w:vMerge w:val="restart"/>
          </w:tcPr>
          <w:p>
            <w:pPr>
              <w:jc w:val="right"/>
              <w:ind w:right="111"/>
              <w:spacing w:after="0"/>
              <w:rPr>
                <w:sz w:val="20"/>
                <w:szCs w:val="20"/>
                <w:color w:val="auto"/>
              </w:rPr>
            </w:pPr>
            <w:r>
              <w:rPr>
                <w:rFonts w:ascii="Calibri" w:cs="Calibri" w:eastAsia="Calibri" w:hAnsi="Calibri"/>
                <w:sz w:val="14"/>
                <w:szCs w:val="14"/>
                <w:color w:val="auto"/>
              </w:rPr>
              <w:t>1,094</w:t>
            </w:r>
          </w:p>
        </w:tc>
        <w:tc>
          <w:tcPr>
            <w:tcW w:w="1120" w:type="dxa"/>
            <w:vAlign w:val="bottom"/>
            <w:vMerge w:val="restart"/>
          </w:tcPr>
          <w:p>
            <w:pPr>
              <w:jc w:val="right"/>
              <w:ind w:right="91"/>
              <w:spacing w:after="0"/>
              <w:rPr>
                <w:sz w:val="20"/>
                <w:szCs w:val="20"/>
                <w:color w:val="auto"/>
              </w:rPr>
            </w:pPr>
            <w:r>
              <w:rPr>
                <w:rFonts w:ascii="Calibri" w:cs="Calibri" w:eastAsia="Calibri" w:hAnsi="Calibri"/>
                <w:sz w:val="14"/>
                <w:szCs w:val="14"/>
                <w:color w:val="auto"/>
              </w:rPr>
              <w:t>3,442</w:t>
            </w:r>
          </w:p>
        </w:tc>
        <w:tc>
          <w:tcPr>
            <w:tcW w:w="1180" w:type="dxa"/>
            <w:vAlign w:val="bottom"/>
            <w:vMerge w:val="restart"/>
          </w:tcPr>
          <w:p>
            <w:pPr>
              <w:jc w:val="right"/>
              <w:ind w:right="131"/>
              <w:spacing w:after="0"/>
              <w:rPr>
                <w:sz w:val="20"/>
                <w:szCs w:val="20"/>
                <w:color w:val="auto"/>
              </w:rPr>
            </w:pPr>
            <w:r>
              <w:rPr>
                <w:rFonts w:ascii="Calibri" w:cs="Calibri" w:eastAsia="Calibri" w:hAnsi="Calibri"/>
                <w:sz w:val="14"/>
                <w:szCs w:val="14"/>
                <w:color w:val="auto"/>
              </w:rPr>
              <w:t>—</w:t>
            </w:r>
          </w:p>
        </w:tc>
        <w:tc>
          <w:tcPr>
            <w:tcW w:w="102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95"/>
        </w:trPr>
        <w:tc>
          <w:tcPr>
            <w:tcW w:w="1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right w:val="single" w:sz="8" w:color="DBDBDB"/>
            </w:tcBorders>
            <w:vMerge w:val="continue"/>
            <w:shd w:val="clear" w:color="auto" w:fill="DBDBDB"/>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Annual Information</w:t>
      </w:r>
    </w:p>
    <w:p>
      <w:pPr>
        <w:spacing w:after="0" w:line="2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table presenting the Company’s results of operations as at and for the three most recently completed financial years ending March 31 should be read in conjunction with the Financial Statements and related notes thereto.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selected financial information as at and for the three most recently completed financial years ended March 31, are summarized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tcPr>
          <w:p>
            <w:pPr>
              <w:spacing w:after="0"/>
              <w:rPr>
                <w:sz w:val="16"/>
                <w:szCs w:val="16"/>
                <w:color w:val="auto"/>
              </w:rPr>
            </w:pPr>
          </w:p>
        </w:tc>
        <w:tc>
          <w:tcPr>
            <w:tcW w:w="1940" w:type="dxa"/>
            <w:vAlign w:val="bottom"/>
            <w:shd w:val="clear" w:color="auto" w:fill="DBDBDB"/>
          </w:tcPr>
          <w:p>
            <w:pPr>
              <w:spacing w:after="0"/>
              <w:rPr>
                <w:sz w:val="16"/>
                <w:szCs w:val="16"/>
                <w:color w:val="auto"/>
              </w:rPr>
            </w:pPr>
          </w:p>
        </w:tc>
        <w:tc>
          <w:tcPr>
            <w:tcW w:w="2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From Incorporation</w:t>
            </w:r>
          </w:p>
        </w:tc>
      </w:tr>
      <w:tr>
        <w:trPr>
          <w:trHeight w:val="183"/>
        </w:trPr>
        <w:tc>
          <w:tcPr>
            <w:tcW w:w="5420" w:type="dxa"/>
            <w:vAlign w:val="bottom"/>
          </w:tcPr>
          <w:p>
            <w:pPr>
              <w:spacing w:after="0"/>
              <w:rPr>
                <w:sz w:val="15"/>
                <w:szCs w:val="15"/>
                <w:color w:val="auto"/>
              </w:rPr>
            </w:pPr>
          </w:p>
        </w:tc>
        <w:tc>
          <w:tcPr>
            <w:tcW w:w="19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For the year ended</w:t>
            </w:r>
          </w:p>
        </w:tc>
        <w:tc>
          <w:tcPr>
            <w:tcW w:w="2200" w:type="dxa"/>
            <w:vAlign w:val="bottom"/>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For the year ended</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(October 22, 2019) to</w:t>
            </w:r>
          </w:p>
        </w:tc>
      </w:tr>
      <w:tr>
        <w:trPr>
          <w:trHeight w:val="222"/>
        </w:trPr>
        <w:tc>
          <w:tcPr>
            <w:tcW w:w="5420" w:type="dxa"/>
            <w:vAlign w:val="bottom"/>
          </w:tcPr>
          <w:p>
            <w:pPr>
              <w:ind w:left="60"/>
              <w:spacing w:after="0"/>
              <w:rPr>
                <w:sz w:val="20"/>
                <w:szCs w:val="20"/>
                <w:color w:val="auto"/>
              </w:rPr>
            </w:pPr>
            <w:r>
              <w:rPr>
                <w:rFonts w:ascii="Times New Roman" w:cs="Times New Roman" w:eastAsia="Times New Roman" w:hAnsi="Times New Roman"/>
                <w:sz w:val="15"/>
                <w:szCs w:val="15"/>
                <w:i w:val="1"/>
                <w:iCs w:val="1"/>
                <w:color w:val="auto"/>
              </w:rPr>
              <w:t>(Canadian dollars in thousands, except per share and share figures)</w:t>
            </w:r>
          </w:p>
        </w:tc>
        <w:tc>
          <w:tcPr>
            <w:tcW w:w="1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2022</w:t>
            </w:r>
          </w:p>
        </w:tc>
        <w:tc>
          <w:tcPr>
            <w:tcW w:w="2200" w:type="dxa"/>
            <w:vAlign w:val="bottom"/>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March 31, 2021</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2020</w:t>
            </w:r>
          </w:p>
        </w:tc>
      </w:tr>
      <w:tr>
        <w:trPr>
          <w:trHeight w:val="195"/>
        </w:trPr>
        <w:tc>
          <w:tcPr>
            <w:tcW w:w="54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Revenues ($)</w:t>
            </w:r>
          </w:p>
        </w:tc>
        <w:tc>
          <w:tcPr>
            <w:tcW w:w="1940" w:type="dxa"/>
            <w:vAlign w:val="bottom"/>
            <w:tcBorders>
              <w:top w:val="single" w:sz="8" w:color="auto"/>
            </w:tcBorders>
            <w:shd w:val="clear" w:color="auto" w:fill="DBDBDB"/>
          </w:tcPr>
          <w:p>
            <w:pPr>
              <w:jc w:val="right"/>
              <w:spacing w:after="0" w:line="175" w:lineRule="exact"/>
              <w:rPr>
                <w:sz w:val="20"/>
                <w:szCs w:val="20"/>
                <w:color w:val="auto"/>
              </w:rPr>
            </w:pPr>
            <w:r>
              <w:rPr>
                <w:rFonts w:ascii="Calibri" w:cs="Calibri" w:eastAsia="Calibri" w:hAnsi="Calibri"/>
                <w:sz w:val="15"/>
                <w:szCs w:val="15"/>
                <w:b w:val="1"/>
                <w:bCs w:val="1"/>
                <w:color w:val="auto"/>
              </w:rPr>
              <w:t>—</w:t>
            </w:r>
          </w:p>
        </w:tc>
        <w:tc>
          <w:tcPr>
            <w:tcW w:w="2200" w:type="dxa"/>
            <w:vAlign w:val="bottom"/>
            <w:tcBorders>
              <w:top w:val="single" w:sz="8" w:color="auto"/>
            </w:tcBorders>
          </w:tcPr>
          <w:p>
            <w:pPr>
              <w:jc w:val="right"/>
              <w:ind w:right="247"/>
              <w:spacing w:after="0" w:line="175" w:lineRule="exact"/>
              <w:rPr>
                <w:sz w:val="20"/>
                <w:szCs w:val="20"/>
                <w:color w:val="auto"/>
              </w:rPr>
            </w:pPr>
            <w:r>
              <w:rPr>
                <w:rFonts w:ascii="Calibri" w:cs="Calibri" w:eastAsia="Calibri" w:hAnsi="Calibri"/>
                <w:sz w:val="15"/>
                <w:szCs w:val="15"/>
                <w:color w:val="auto"/>
              </w:rPr>
              <w:t>864</w:t>
            </w:r>
          </w:p>
        </w:tc>
        <w:tc>
          <w:tcPr>
            <w:tcW w:w="1680" w:type="dxa"/>
            <w:vAlign w:val="bottom"/>
            <w:tcBorders>
              <w:top w:val="single" w:sz="8" w:color="auto"/>
            </w:tcBorders>
          </w:tcPr>
          <w:p>
            <w:pPr>
              <w:jc w:val="right"/>
              <w:spacing w:after="0" w:line="175" w:lineRule="exact"/>
              <w:rPr>
                <w:sz w:val="20"/>
                <w:szCs w:val="20"/>
                <w:color w:val="auto"/>
              </w:rPr>
            </w:pPr>
            <w:r>
              <w:rPr>
                <w:rFonts w:ascii="Calibri" w:cs="Calibri" w:eastAsia="Calibri" w:hAnsi="Calibri"/>
                <w:sz w:val="15"/>
                <w:szCs w:val="15"/>
                <w:color w:val="auto"/>
              </w:rPr>
              <w:t>—</w:t>
            </w:r>
          </w:p>
        </w:tc>
      </w:tr>
      <w:tr>
        <w:trPr>
          <w:trHeight w:val="232"/>
        </w:trPr>
        <w:tc>
          <w:tcPr>
            <w:tcW w:w="54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Operating Expenses ($)</w:t>
            </w:r>
          </w:p>
        </w:tc>
        <w:tc>
          <w:tcPr>
            <w:tcW w:w="1940" w:type="dxa"/>
            <w:vAlign w:val="bottom"/>
            <w:shd w:val="clear" w:color="auto" w:fill="DBDBDB"/>
          </w:tcPr>
          <w:p>
            <w:pPr>
              <w:jc w:val="right"/>
              <w:spacing w:after="0"/>
              <w:rPr>
                <w:sz w:val="20"/>
                <w:szCs w:val="20"/>
                <w:color w:val="auto"/>
              </w:rPr>
            </w:pPr>
            <w:r>
              <w:rPr>
                <w:rFonts w:ascii="Calibri" w:cs="Calibri" w:eastAsia="Calibri" w:hAnsi="Calibri"/>
                <w:sz w:val="15"/>
                <w:szCs w:val="15"/>
                <w:b w:val="1"/>
                <w:bCs w:val="1"/>
                <w:color w:val="auto"/>
              </w:rPr>
              <w:t>63,838</w:t>
            </w:r>
          </w:p>
        </w:tc>
        <w:tc>
          <w:tcPr>
            <w:tcW w:w="2200" w:type="dxa"/>
            <w:vAlign w:val="bottom"/>
          </w:tcPr>
          <w:p>
            <w:pPr>
              <w:jc w:val="right"/>
              <w:ind w:right="247"/>
              <w:spacing w:after="0"/>
              <w:rPr>
                <w:sz w:val="20"/>
                <w:szCs w:val="20"/>
                <w:color w:val="auto"/>
              </w:rPr>
            </w:pPr>
            <w:r>
              <w:rPr>
                <w:rFonts w:ascii="Calibri" w:cs="Calibri" w:eastAsia="Calibri" w:hAnsi="Calibri"/>
                <w:sz w:val="15"/>
                <w:szCs w:val="15"/>
                <w:color w:val="auto"/>
              </w:rPr>
              <w:t>30,724</w:t>
            </w:r>
          </w:p>
        </w:tc>
        <w:tc>
          <w:tcPr>
            <w:tcW w:w="1680" w:type="dxa"/>
            <w:vAlign w:val="bottom"/>
          </w:tcPr>
          <w:p>
            <w:pPr>
              <w:jc w:val="right"/>
              <w:spacing w:after="0"/>
              <w:rPr>
                <w:sz w:val="20"/>
                <w:szCs w:val="20"/>
                <w:color w:val="auto"/>
              </w:rPr>
            </w:pPr>
            <w:r>
              <w:rPr>
                <w:rFonts w:ascii="Calibri" w:cs="Calibri" w:eastAsia="Calibri" w:hAnsi="Calibri"/>
                <w:sz w:val="15"/>
                <w:szCs w:val="15"/>
                <w:color w:val="auto"/>
              </w:rPr>
              <w:t>814</w:t>
            </w:r>
          </w:p>
        </w:tc>
      </w:tr>
      <w:tr>
        <w:trPr>
          <w:trHeight w:val="232"/>
        </w:trPr>
        <w:tc>
          <w:tcPr>
            <w:tcW w:w="54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Net loss ($)</w:t>
            </w:r>
          </w:p>
        </w:tc>
        <w:tc>
          <w:tcPr>
            <w:tcW w:w="1940" w:type="dxa"/>
            <w:vAlign w:val="bottom"/>
            <w:shd w:val="clear" w:color="auto" w:fill="DBDBDB"/>
          </w:tcPr>
          <w:p>
            <w:pPr>
              <w:jc w:val="right"/>
              <w:spacing w:after="0"/>
              <w:rPr>
                <w:sz w:val="20"/>
                <w:szCs w:val="20"/>
                <w:color w:val="auto"/>
              </w:rPr>
            </w:pPr>
            <w:r>
              <w:rPr>
                <w:rFonts w:ascii="Calibri" w:cs="Calibri" w:eastAsia="Calibri" w:hAnsi="Calibri"/>
                <w:sz w:val="15"/>
                <w:szCs w:val="15"/>
                <w:b w:val="1"/>
                <w:bCs w:val="1"/>
                <w:color w:val="auto"/>
              </w:rPr>
              <w:t>(67,631)</w:t>
            </w:r>
          </w:p>
        </w:tc>
        <w:tc>
          <w:tcPr>
            <w:tcW w:w="2200" w:type="dxa"/>
            <w:vAlign w:val="bottom"/>
          </w:tcPr>
          <w:p>
            <w:pPr>
              <w:jc w:val="right"/>
              <w:ind w:right="207"/>
              <w:spacing w:after="0"/>
              <w:rPr>
                <w:sz w:val="20"/>
                <w:szCs w:val="20"/>
                <w:color w:val="auto"/>
              </w:rPr>
            </w:pPr>
            <w:r>
              <w:rPr>
                <w:rFonts w:ascii="Calibri" w:cs="Calibri" w:eastAsia="Calibri" w:hAnsi="Calibri"/>
                <w:sz w:val="15"/>
                <w:szCs w:val="15"/>
                <w:color w:val="auto"/>
              </w:rPr>
              <w:t>(32,220)</w:t>
            </w:r>
          </w:p>
        </w:tc>
        <w:tc>
          <w:tcPr>
            <w:tcW w:w="1680" w:type="dxa"/>
            <w:vAlign w:val="bottom"/>
          </w:tcPr>
          <w:p>
            <w:pPr>
              <w:jc w:val="right"/>
              <w:spacing w:after="0"/>
              <w:rPr>
                <w:sz w:val="20"/>
                <w:szCs w:val="20"/>
                <w:color w:val="auto"/>
              </w:rPr>
            </w:pPr>
            <w:r>
              <w:rPr>
                <w:rFonts w:ascii="Calibri" w:cs="Calibri" w:eastAsia="Calibri" w:hAnsi="Calibri"/>
                <w:sz w:val="15"/>
                <w:szCs w:val="15"/>
                <w:color w:val="auto"/>
              </w:rPr>
              <w:t>(810)</w:t>
            </w:r>
          </w:p>
        </w:tc>
      </w:tr>
      <w:tr>
        <w:trPr>
          <w:trHeight w:val="476"/>
        </w:trPr>
        <w:tc>
          <w:tcPr>
            <w:tcW w:w="54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Weighted Average Shares - Basic</w:t>
            </w:r>
          </w:p>
        </w:tc>
        <w:tc>
          <w:tcPr>
            <w:tcW w:w="1940" w:type="dxa"/>
            <w:vAlign w:val="bottom"/>
            <w:shd w:val="clear" w:color="auto" w:fill="DBDBDB"/>
          </w:tcPr>
          <w:p>
            <w:pPr>
              <w:jc w:val="right"/>
              <w:spacing w:after="0"/>
              <w:rPr>
                <w:sz w:val="20"/>
                <w:szCs w:val="20"/>
                <w:color w:val="auto"/>
              </w:rPr>
            </w:pPr>
            <w:r>
              <w:rPr>
                <w:rFonts w:ascii="Calibri" w:cs="Calibri" w:eastAsia="Calibri" w:hAnsi="Calibri"/>
                <w:sz w:val="15"/>
                <w:szCs w:val="15"/>
                <w:b w:val="1"/>
                <w:bCs w:val="1"/>
                <w:color w:val="auto"/>
              </w:rPr>
              <w:t>167,287,240</w:t>
            </w:r>
          </w:p>
        </w:tc>
        <w:tc>
          <w:tcPr>
            <w:tcW w:w="2200" w:type="dxa"/>
            <w:vAlign w:val="bottom"/>
          </w:tcPr>
          <w:p>
            <w:pPr>
              <w:jc w:val="right"/>
              <w:ind w:right="247"/>
              <w:spacing w:after="0"/>
              <w:rPr>
                <w:sz w:val="20"/>
                <w:szCs w:val="20"/>
                <w:color w:val="auto"/>
              </w:rPr>
            </w:pPr>
            <w:r>
              <w:rPr>
                <w:rFonts w:ascii="Calibri" w:cs="Calibri" w:eastAsia="Calibri" w:hAnsi="Calibri"/>
                <w:sz w:val="15"/>
                <w:szCs w:val="15"/>
                <w:color w:val="auto"/>
              </w:rPr>
              <w:t>100,010,864</w:t>
            </w:r>
          </w:p>
        </w:tc>
        <w:tc>
          <w:tcPr>
            <w:tcW w:w="1680" w:type="dxa"/>
            <w:vAlign w:val="bottom"/>
          </w:tcPr>
          <w:p>
            <w:pPr>
              <w:jc w:val="right"/>
              <w:spacing w:after="0"/>
              <w:rPr>
                <w:sz w:val="20"/>
                <w:szCs w:val="20"/>
                <w:color w:val="auto"/>
              </w:rPr>
            </w:pPr>
            <w:r>
              <w:rPr>
                <w:rFonts w:ascii="Calibri" w:cs="Calibri" w:eastAsia="Calibri" w:hAnsi="Calibri"/>
                <w:sz w:val="15"/>
                <w:szCs w:val="15"/>
                <w:color w:val="auto"/>
              </w:rPr>
              <w:t>49,976,788</w:t>
            </w:r>
          </w:p>
        </w:tc>
      </w:tr>
      <w:tr>
        <w:trPr>
          <w:trHeight w:val="232"/>
        </w:trPr>
        <w:tc>
          <w:tcPr>
            <w:tcW w:w="54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Loss per share ($'s)</w:t>
            </w:r>
          </w:p>
        </w:tc>
        <w:tc>
          <w:tcPr>
            <w:tcW w:w="1940" w:type="dxa"/>
            <w:vAlign w:val="bottom"/>
            <w:shd w:val="clear" w:color="auto" w:fill="DBDBDB"/>
          </w:tcPr>
          <w:p>
            <w:pPr>
              <w:jc w:val="right"/>
              <w:spacing w:after="0"/>
              <w:rPr>
                <w:sz w:val="20"/>
                <w:szCs w:val="20"/>
                <w:color w:val="auto"/>
              </w:rPr>
            </w:pPr>
            <w:r>
              <w:rPr>
                <w:rFonts w:ascii="Calibri" w:cs="Calibri" w:eastAsia="Calibri" w:hAnsi="Calibri"/>
                <w:sz w:val="15"/>
                <w:szCs w:val="15"/>
                <w:b w:val="1"/>
                <w:bCs w:val="1"/>
                <w:color w:val="auto"/>
              </w:rPr>
              <w:t>(0.40)</w:t>
            </w:r>
          </w:p>
        </w:tc>
        <w:tc>
          <w:tcPr>
            <w:tcW w:w="2200" w:type="dxa"/>
            <w:vAlign w:val="bottom"/>
          </w:tcPr>
          <w:p>
            <w:pPr>
              <w:jc w:val="right"/>
              <w:ind w:right="207"/>
              <w:spacing w:after="0"/>
              <w:rPr>
                <w:sz w:val="20"/>
                <w:szCs w:val="20"/>
                <w:color w:val="auto"/>
              </w:rPr>
            </w:pPr>
            <w:r>
              <w:rPr>
                <w:rFonts w:ascii="Calibri" w:cs="Calibri" w:eastAsia="Calibri" w:hAnsi="Calibri"/>
                <w:sz w:val="15"/>
                <w:szCs w:val="15"/>
                <w:color w:val="auto"/>
              </w:rPr>
              <w:t>(0.32)</w:t>
            </w:r>
          </w:p>
        </w:tc>
        <w:tc>
          <w:tcPr>
            <w:tcW w:w="1680" w:type="dxa"/>
            <w:vAlign w:val="bottom"/>
          </w:tcPr>
          <w:p>
            <w:pPr>
              <w:jc w:val="right"/>
              <w:spacing w:after="0"/>
              <w:rPr>
                <w:sz w:val="20"/>
                <w:szCs w:val="20"/>
                <w:color w:val="auto"/>
              </w:rPr>
            </w:pPr>
            <w:r>
              <w:rPr>
                <w:rFonts w:ascii="Calibri" w:cs="Calibri" w:eastAsia="Calibri" w:hAnsi="Calibri"/>
                <w:sz w:val="15"/>
                <w:szCs w:val="15"/>
                <w:color w:val="auto"/>
              </w:rPr>
              <w:t>(0.02)</w:t>
            </w:r>
          </w:p>
        </w:tc>
      </w:tr>
      <w:tr>
        <w:trPr>
          <w:trHeight w:val="476"/>
        </w:trPr>
        <w:tc>
          <w:tcPr>
            <w:tcW w:w="54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Weighted Average Shares - Diluted</w:t>
            </w:r>
          </w:p>
        </w:tc>
        <w:tc>
          <w:tcPr>
            <w:tcW w:w="1940" w:type="dxa"/>
            <w:vAlign w:val="bottom"/>
            <w:shd w:val="clear" w:color="auto" w:fill="DBDBDB"/>
          </w:tcPr>
          <w:p>
            <w:pPr>
              <w:jc w:val="right"/>
              <w:spacing w:after="0"/>
              <w:rPr>
                <w:sz w:val="20"/>
                <w:szCs w:val="20"/>
                <w:color w:val="auto"/>
              </w:rPr>
            </w:pPr>
            <w:r>
              <w:rPr>
                <w:rFonts w:ascii="Calibri" w:cs="Calibri" w:eastAsia="Calibri" w:hAnsi="Calibri"/>
                <w:sz w:val="15"/>
                <w:szCs w:val="15"/>
                <w:b w:val="1"/>
                <w:bCs w:val="1"/>
                <w:color w:val="auto"/>
              </w:rPr>
              <w:t>167,287,240</w:t>
            </w:r>
          </w:p>
        </w:tc>
        <w:tc>
          <w:tcPr>
            <w:tcW w:w="2200" w:type="dxa"/>
            <w:vAlign w:val="bottom"/>
          </w:tcPr>
          <w:p>
            <w:pPr>
              <w:jc w:val="right"/>
              <w:ind w:right="247"/>
              <w:spacing w:after="0"/>
              <w:rPr>
                <w:sz w:val="20"/>
                <w:szCs w:val="20"/>
                <w:color w:val="auto"/>
              </w:rPr>
            </w:pPr>
            <w:r>
              <w:rPr>
                <w:rFonts w:ascii="Calibri" w:cs="Calibri" w:eastAsia="Calibri" w:hAnsi="Calibri"/>
                <w:sz w:val="15"/>
                <w:szCs w:val="15"/>
                <w:color w:val="auto"/>
              </w:rPr>
              <w:t>100,010,864</w:t>
            </w:r>
          </w:p>
        </w:tc>
        <w:tc>
          <w:tcPr>
            <w:tcW w:w="1680" w:type="dxa"/>
            <w:vAlign w:val="bottom"/>
          </w:tcPr>
          <w:p>
            <w:pPr>
              <w:jc w:val="right"/>
              <w:spacing w:after="0"/>
              <w:rPr>
                <w:sz w:val="20"/>
                <w:szCs w:val="20"/>
                <w:color w:val="auto"/>
              </w:rPr>
            </w:pPr>
            <w:r>
              <w:rPr>
                <w:rFonts w:ascii="Calibri" w:cs="Calibri" w:eastAsia="Calibri" w:hAnsi="Calibri"/>
                <w:sz w:val="15"/>
                <w:szCs w:val="15"/>
                <w:color w:val="auto"/>
              </w:rPr>
              <w:t>49,976,788</w:t>
            </w:r>
          </w:p>
        </w:tc>
      </w:tr>
      <w:tr>
        <w:trPr>
          <w:trHeight w:val="232"/>
        </w:trPr>
        <w:tc>
          <w:tcPr>
            <w:tcW w:w="54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Loss per share ($'s)</w:t>
            </w:r>
          </w:p>
        </w:tc>
        <w:tc>
          <w:tcPr>
            <w:tcW w:w="1940" w:type="dxa"/>
            <w:vAlign w:val="bottom"/>
            <w:shd w:val="clear" w:color="auto" w:fill="DBDBDB"/>
          </w:tcPr>
          <w:p>
            <w:pPr>
              <w:jc w:val="right"/>
              <w:spacing w:after="0"/>
              <w:rPr>
                <w:sz w:val="20"/>
                <w:szCs w:val="20"/>
                <w:color w:val="auto"/>
              </w:rPr>
            </w:pPr>
            <w:r>
              <w:rPr>
                <w:rFonts w:ascii="Calibri" w:cs="Calibri" w:eastAsia="Calibri" w:hAnsi="Calibri"/>
                <w:sz w:val="15"/>
                <w:szCs w:val="15"/>
                <w:b w:val="1"/>
                <w:bCs w:val="1"/>
                <w:color w:val="auto"/>
              </w:rPr>
              <w:t>(0.40)</w:t>
            </w:r>
          </w:p>
        </w:tc>
        <w:tc>
          <w:tcPr>
            <w:tcW w:w="2200" w:type="dxa"/>
            <w:vAlign w:val="bottom"/>
          </w:tcPr>
          <w:p>
            <w:pPr>
              <w:jc w:val="right"/>
              <w:ind w:right="207"/>
              <w:spacing w:after="0"/>
              <w:rPr>
                <w:sz w:val="20"/>
                <w:szCs w:val="20"/>
                <w:color w:val="auto"/>
              </w:rPr>
            </w:pPr>
            <w:r>
              <w:rPr>
                <w:rFonts w:ascii="Calibri" w:cs="Calibri" w:eastAsia="Calibri" w:hAnsi="Calibri"/>
                <w:sz w:val="15"/>
                <w:szCs w:val="15"/>
                <w:color w:val="auto"/>
              </w:rPr>
              <w:t>(0.32)</w:t>
            </w:r>
          </w:p>
        </w:tc>
        <w:tc>
          <w:tcPr>
            <w:tcW w:w="1680" w:type="dxa"/>
            <w:vAlign w:val="bottom"/>
          </w:tcPr>
          <w:p>
            <w:pPr>
              <w:jc w:val="right"/>
              <w:spacing w:after="0"/>
              <w:rPr>
                <w:sz w:val="20"/>
                <w:szCs w:val="20"/>
                <w:color w:val="auto"/>
              </w:rPr>
            </w:pPr>
            <w:r>
              <w:rPr>
                <w:rFonts w:ascii="Calibri" w:cs="Calibri" w:eastAsia="Calibri" w:hAnsi="Calibri"/>
                <w:sz w:val="15"/>
                <w:szCs w:val="15"/>
                <w:color w:val="auto"/>
              </w:rPr>
              <w:t>(0.02)</w:t>
            </w:r>
          </w:p>
        </w:tc>
      </w:tr>
      <w:tr>
        <w:trPr>
          <w:trHeight w:val="476"/>
        </w:trPr>
        <w:tc>
          <w:tcPr>
            <w:tcW w:w="54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Cash and cash equivalents</w:t>
            </w:r>
          </w:p>
        </w:tc>
        <w:tc>
          <w:tcPr>
            <w:tcW w:w="1940" w:type="dxa"/>
            <w:vAlign w:val="bottom"/>
            <w:shd w:val="clear" w:color="auto" w:fill="DBDBDB"/>
          </w:tcPr>
          <w:p>
            <w:pPr>
              <w:jc w:val="right"/>
              <w:spacing w:after="0"/>
              <w:rPr>
                <w:sz w:val="20"/>
                <w:szCs w:val="20"/>
                <w:color w:val="auto"/>
              </w:rPr>
            </w:pPr>
            <w:r>
              <w:rPr>
                <w:rFonts w:ascii="Calibri" w:cs="Calibri" w:eastAsia="Calibri" w:hAnsi="Calibri"/>
                <w:sz w:val="15"/>
                <w:szCs w:val="15"/>
                <w:b w:val="1"/>
                <w:bCs w:val="1"/>
                <w:color w:val="auto"/>
              </w:rPr>
              <w:t>53,641</w:t>
            </w:r>
          </w:p>
        </w:tc>
        <w:tc>
          <w:tcPr>
            <w:tcW w:w="2200" w:type="dxa"/>
            <w:vAlign w:val="bottom"/>
          </w:tcPr>
          <w:p>
            <w:pPr>
              <w:jc w:val="right"/>
              <w:ind w:right="247"/>
              <w:spacing w:after="0"/>
              <w:rPr>
                <w:sz w:val="20"/>
                <w:szCs w:val="20"/>
                <w:color w:val="auto"/>
              </w:rPr>
            </w:pPr>
            <w:r>
              <w:rPr>
                <w:rFonts w:ascii="Calibri" w:cs="Calibri" w:eastAsia="Calibri" w:hAnsi="Calibri"/>
                <w:sz w:val="15"/>
                <w:szCs w:val="15"/>
                <w:color w:val="auto"/>
              </w:rPr>
              <w:t>64,026</w:t>
            </w:r>
          </w:p>
        </w:tc>
        <w:tc>
          <w:tcPr>
            <w:tcW w:w="1680" w:type="dxa"/>
            <w:vAlign w:val="bottom"/>
          </w:tcPr>
          <w:p>
            <w:pPr>
              <w:jc w:val="right"/>
              <w:spacing w:after="0"/>
              <w:rPr>
                <w:sz w:val="20"/>
                <w:szCs w:val="20"/>
                <w:color w:val="auto"/>
              </w:rPr>
            </w:pPr>
            <w:r>
              <w:rPr>
                <w:rFonts w:ascii="Calibri" w:cs="Calibri" w:eastAsia="Calibri" w:hAnsi="Calibri"/>
                <w:sz w:val="15"/>
                <w:szCs w:val="15"/>
                <w:color w:val="auto"/>
              </w:rPr>
              <w:t>1,545</w:t>
            </w:r>
          </w:p>
        </w:tc>
      </w:tr>
      <w:tr>
        <w:trPr>
          <w:trHeight w:val="232"/>
        </w:trPr>
        <w:tc>
          <w:tcPr>
            <w:tcW w:w="54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Total Assets ($)</w:t>
            </w:r>
          </w:p>
        </w:tc>
        <w:tc>
          <w:tcPr>
            <w:tcW w:w="1940" w:type="dxa"/>
            <w:vAlign w:val="bottom"/>
            <w:shd w:val="clear" w:color="auto" w:fill="DBDBDB"/>
          </w:tcPr>
          <w:p>
            <w:pPr>
              <w:jc w:val="right"/>
              <w:spacing w:after="0"/>
              <w:rPr>
                <w:sz w:val="20"/>
                <w:szCs w:val="20"/>
                <w:color w:val="auto"/>
              </w:rPr>
            </w:pPr>
            <w:r>
              <w:rPr>
                <w:rFonts w:ascii="Calibri" w:cs="Calibri" w:eastAsia="Calibri" w:hAnsi="Calibri"/>
                <w:sz w:val="15"/>
                <w:szCs w:val="15"/>
                <w:b w:val="1"/>
                <w:bCs w:val="1"/>
                <w:color w:val="auto"/>
              </w:rPr>
              <w:t>84,063</w:t>
            </w:r>
          </w:p>
        </w:tc>
        <w:tc>
          <w:tcPr>
            <w:tcW w:w="2200" w:type="dxa"/>
            <w:vAlign w:val="bottom"/>
          </w:tcPr>
          <w:p>
            <w:pPr>
              <w:jc w:val="right"/>
              <w:ind w:right="247"/>
              <w:spacing w:after="0"/>
              <w:rPr>
                <w:sz w:val="20"/>
                <w:szCs w:val="20"/>
                <w:color w:val="auto"/>
              </w:rPr>
            </w:pPr>
            <w:r>
              <w:rPr>
                <w:rFonts w:ascii="Calibri" w:cs="Calibri" w:eastAsia="Calibri" w:hAnsi="Calibri"/>
                <w:sz w:val="15"/>
                <w:szCs w:val="15"/>
                <w:color w:val="auto"/>
              </w:rPr>
              <w:t>92,112</w:t>
            </w:r>
          </w:p>
        </w:tc>
        <w:tc>
          <w:tcPr>
            <w:tcW w:w="1680" w:type="dxa"/>
            <w:vAlign w:val="bottom"/>
          </w:tcPr>
          <w:p>
            <w:pPr>
              <w:jc w:val="right"/>
              <w:spacing w:after="0"/>
              <w:rPr>
                <w:sz w:val="20"/>
                <w:szCs w:val="20"/>
                <w:color w:val="auto"/>
              </w:rPr>
            </w:pPr>
            <w:r>
              <w:rPr>
                <w:rFonts w:ascii="Calibri" w:cs="Calibri" w:eastAsia="Calibri" w:hAnsi="Calibri"/>
                <w:sz w:val="15"/>
                <w:szCs w:val="15"/>
                <w:color w:val="auto"/>
              </w:rPr>
              <w:t>1,711</w:t>
            </w:r>
          </w:p>
        </w:tc>
      </w:tr>
      <w:tr>
        <w:trPr>
          <w:trHeight w:val="241"/>
        </w:trPr>
        <w:tc>
          <w:tcPr>
            <w:tcW w:w="54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Total Non-Current Liabilities ($)</w:t>
            </w:r>
          </w:p>
        </w:tc>
        <w:tc>
          <w:tcPr>
            <w:tcW w:w="19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5"/>
                <w:szCs w:val="15"/>
                <w:b w:val="1"/>
                <w:bCs w:val="1"/>
                <w:color w:val="auto"/>
              </w:rPr>
              <w:t>—</w:t>
            </w:r>
          </w:p>
        </w:tc>
        <w:tc>
          <w:tcPr>
            <w:tcW w:w="2200" w:type="dxa"/>
            <w:vAlign w:val="bottom"/>
          </w:tcPr>
          <w:p>
            <w:pPr>
              <w:jc w:val="right"/>
              <w:ind w:right="247"/>
              <w:spacing w:after="0"/>
              <w:rPr>
                <w:sz w:val="20"/>
                <w:szCs w:val="20"/>
                <w:color w:val="auto"/>
              </w:rPr>
            </w:pPr>
            <w:r>
              <w:rPr>
                <w:rFonts w:ascii="Calibri" w:cs="Calibri" w:eastAsia="Calibri" w:hAnsi="Calibri"/>
                <w:sz w:val="15"/>
                <w:szCs w:val="15"/>
                <w:color w:val="auto"/>
              </w:rPr>
              <w:t>1,094</w:t>
            </w:r>
          </w:p>
        </w:tc>
        <w:tc>
          <w:tcPr>
            <w:tcW w:w="1680" w:type="dxa"/>
            <w:vAlign w:val="bottom"/>
          </w:tcPr>
          <w:p>
            <w:pPr>
              <w:jc w:val="right"/>
              <w:spacing w:after="0"/>
              <w:rPr>
                <w:sz w:val="20"/>
                <w:szCs w:val="20"/>
                <w:color w:val="auto"/>
              </w:rPr>
            </w:pPr>
            <w:r>
              <w:rPr>
                <w:rFonts w:ascii="Calibri" w:cs="Calibri" w:eastAsia="Calibri" w:hAnsi="Calibri"/>
                <w:sz w:val="15"/>
                <w:szCs w:val="15"/>
                <w:color w:val="auto"/>
              </w:rPr>
              <w:t>—</w:t>
            </w:r>
          </w:p>
        </w:tc>
      </w:tr>
      <w:tr>
        <w:trPr>
          <w:trHeight w:val="20"/>
        </w:trPr>
        <w:tc>
          <w:tcPr>
            <w:tcW w:w="54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paid dividends on the Common Shares and does not anticipate declaring any dividends in the near future.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702"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3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Total assets decreased by $8,049 from March 31, 2021 to March 31, 2022 mainly as a result in a decrease in cash as the Company continues to progress its operations. The decrease is partially offset by an increase in accounts receivable and other assets.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Non-current liabilities as at March 31, 2021 represented contingent consideration payable to the Adelia Shareholders based on milestone achievements, as defined in the Contribution Agreement. As at March 31, 2022, the balance was presented as current due to the anticipated timeline of the milestone achievements.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3500" w:type="dxa"/>
            <w:vAlign w:val="bottom"/>
            <w:gridSpan w:val="2"/>
          </w:tcPr>
          <w:p>
            <w:pPr>
              <w:jc w:val="right"/>
              <w:ind w:right="987"/>
              <w:spacing w:after="0"/>
              <w:rPr>
                <w:sz w:val="20"/>
                <w:szCs w:val="20"/>
                <w:color w:val="auto"/>
              </w:rPr>
            </w:pPr>
            <w:r>
              <w:rPr>
                <w:rFonts w:ascii="Calibri" w:cs="Calibri" w:eastAsia="Calibri" w:hAnsi="Calibri"/>
                <w:sz w:val="16"/>
                <w:szCs w:val="16"/>
                <w:b w:val="1"/>
                <w:bCs w:val="1"/>
                <w:color w:val="auto"/>
              </w:rPr>
              <w:t>Three months ended March 31,</w:t>
            </w:r>
          </w:p>
        </w:tc>
        <w:tc>
          <w:tcPr>
            <w:tcW w:w="2080" w:type="dxa"/>
            <w:vAlign w:val="bottom"/>
          </w:tcPr>
          <w:p>
            <w:pPr>
              <w:jc w:val="right"/>
              <w:ind w:right="26"/>
              <w:spacing w:after="0"/>
              <w:rPr>
                <w:sz w:val="20"/>
                <w:szCs w:val="20"/>
                <w:color w:val="auto"/>
              </w:rPr>
            </w:pPr>
            <w:r>
              <w:rPr>
                <w:rFonts w:ascii="Calibri" w:cs="Calibri" w:eastAsia="Calibri" w:hAnsi="Calibri"/>
                <w:sz w:val="16"/>
                <w:szCs w:val="16"/>
                <w:b w:val="1"/>
                <w:bCs w:val="1"/>
                <w:color w:val="auto"/>
              </w:rPr>
              <w:t>Year ended March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478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820" w:type="dxa"/>
            <w:vAlign w:val="bottom"/>
          </w:tcPr>
          <w:p>
            <w:pPr>
              <w:jc w:val="right"/>
              <w:ind w:right="406"/>
              <w:spacing w:after="0" w:line="175" w:lineRule="exact"/>
              <w:rPr>
                <w:sz w:val="20"/>
                <w:szCs w:val="20"/>
                <w:color w:val="auto"/>
              </w:rPr>
            </w:pPr>
            <w:r>
              <w:rPr>
                <w:rFonts w:ascii="Calibri" w:cs="Calibri" w:eastAsia="Calibri" w:hAnsi="Calibri"/>
                <w:sz w:val="15"/>
                <w:szCs w:val="15"/>
                <w:b w:val="1"/>
                <w:bCs w:val="1"/>
                <w:color w:val="auto"/>
              </w:rPr>
              <w:t>2022</w:t>
            </w:r>
          </w:p>
        </w:tc>
        <w:tc>
          <w:tcPr>
            <w:tcW w:w="1680" w:type="dxa"/>
            <w:vAlign w:val="bottom"/>
          </w:tcPr>
          <w:p>
            <w:pPr>
              <w:jc w:val="right"/>
              <w:ind w:right="407"/>
              <w:spacing w:after="0" w:line="175" w:lineRule="exact"/>
              <w:rPr>
                <w:sz w:val="20"/>
                <w:szCs w:val="20"/>
                <w:color w:val="auto"/>
              </w:rPr>
            </w:pPr>
            <w:r>
              <w:rPr>
                <w:rFonts w:ascii="Calibri" w:cs="Calibri" w:eastAsia="Calibri" w:hAnsi="Calibri"/>
                <w:sz w:val="15"/>
                <w:szCs w:val="15"/>
                <w:b w:val="1"/>
                <w:bCs w:val="1"/>
                <w:color w:val="auto"/>
              </w:rPr>
              <w:t>2021</w:t>
            </w:r>
          </w:p>
        </w:tc>
        <w:tc>
          <w:tcPr>
            <w:tcW w:w="2080" w:type="dxa"/>
            <w:vAlign w:val="bottom"/>
          </w:tcPr>
          <w:p>
            <w:pPr>
              <w:jc w:val="right"/>
              <w:ind w:right="786"/>
              <w:spacing w:after="0" w:line="175" w:lineRule="exact"/>
              <w:rPr>
                <w:sz w:val="20"/>
                <w:szCs w:val="20"/>
                <w:color w:val="auto"/>
              </w:rPr>
            </w:pPr>
            <w:r>
              <w:rPr>
                <w:rFonts w:ascii="Calibri" w:cs="Calibri" w:eastAsia="Calibri" w:hAnsi="Calibri"/>
                <w:sz w:val="15"/>
                <w:szCs w:val="15"/>
                <w:b w:val="1"/>
                <w:bCs w:val="1"/>
                <w:color w:val="auto"/>
              </w:rPr>
              <w:t>2022</w:t>
            </w:r>
          </w:p>
        </w:tc>
        <w:tc>
          <w:tcPr>
            <w:tcW w:w="880" w:type="dxa"/>
            <w:vAlign w:val="bottom"/>
          </w:tcPr>
          <w:p>
            <w:pPr>
              <w:jc w:val="right"/>
              <w:spacing w:after="0" w:line="175" w:lineRule="exact"/>
              <w:rPr>
                <w:sz w:val="20"/>
                <w:szCs w:val="20"/>
                <w:color w:val="auto"/>
              </w:rPr>
            </w:pPr>
            <w:r>
              <w:rPr>
                <w:rFonts w:ascii="Calibri" w:cs="Calibri" w:eastAsia="Calibri" w:hAnsi="Calibri"/>
                <w:sz w:val="15"/>
                <w:szCs w:val="15"/>
                <w:b w:val="1"/>
                <w:bCs w:val="1"/>
                <w:color w:val="auto"/>
              </w:rPr>
              <w:t>2021</w:t>
            </w:r>
          </w:p>
        </w:tc>
        <w:tc>
          <w:tcPr>
            <w:tcW w:w="0" w:type="dxa"/>
            <w:vAlign w:val="bottom"/>
          </w:tcPr>
          <w:p>
            <w:pPr>
              <w:spacing w:after="0"/>
              <w:rPr>
                <w:sz w:val="1"/>
                <w:szCs w:val="1"/>
                <w:color w:val="auto"/>
              </w:rPr>
            </w:pPr>
          </w:p>
        </w:tc>
      </w:tr>
      <w:tr>
        <w:trPr>
          <w:trHeight w:val="50"/>
        </w:trPr>
        <w:tc>
          <w:tcPr>
            <w:tcW w:w="47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4"/>
        </w:trPr>
        <w:tc>
          <w:tcPr>
            <w:tcW w:w="4780" w:type="dxa"/>
            <w:vAlign w:val="bottom"/>
          </w:tcPr>
          <w:p>
            <w:pPr>
              <w:ind w:left="60"/>
              <w:spacing w:after="0"/>
              <w:rPr>
                <w:sz w:val="20"/>
                <w:szCs w:val="20"/>
                <w:color w:val="auto"/>
              </w:rPr>
            </w:pPr>
            <w:r>
              <w:rPr>
                <w:rFonts w:ascii="Calibri" w:cs="Calibri" w:eastAsia="Calibri" w:hAnsi="Calibri"/>
                <w:sz w:val="15"/>
                <w:szCs w:val="15"/>
                <w:b w:val="1"/>
                <w:bCs w:val="1"/>
                <w:color w:val="auto"/>
              </w:rPr>
              <w:t>REVENUE</w:t>
            </w:r>
          </w:p>
        </w:tc>
        <w:tc>
          <w:tcPr>
            <w:tcW w:w="1820" w:type="dxa"/>
            <w:vAlign w:val="bottom"/>
          </w:tcPr>
          <w:p>
            <w:pPr>
              <w:jc w:val="right"/>
              <w:ind w:right="406"/>
              <w:spacing w:after="0"/>
              <w:rPr>
                <w:sz w:val="20"/>
                <w:szCs w:val="20"/>
                <w:color w:val="auto"/>
              </w:rPr>
            </w:pPr>
            <w:r>
              <w:rPr>
                <w:rFonts w:ascii="Calibri" w:cs="Calibri" w:eastAsia="Calibri" w:hAnsi="Calibri"/>
                <w:sz w:val="15"/>
                <w:szCs w:val="15"/>
                <w:color w:val="auto"/>
              </w:rPr>
              <w:t>—</w:t>
            </w:r>
          </w:p>
        </w:tc>
        <w:tc>
          <w:tcPr>
            <w:tcW w:w="1680" w:type="dxa"/>
            <w:vAlign w:val="bottom"/>
          </w:tcPr>
          <w:p>
            <w:pPr>
              <w:jc w:val="right"/>
              <w:ind w:right="407"/>
              <w:spacing w:after="0"/>
              <w:rPr>
                <w:sz w:val="20"/>
                <w:szCs w:val="20"/>
                <w:color w:val="auto"/>
              </w:rPr>
            </w:pPr>
            <w:r>
              <w:rPr>
                <w:rFonts w:ascii="Calibri" w:cs="Calibri" w:eastAsia="Calibri" w:hAnsi="Calibri"/>
                <w:sz w:val="15"/>
                <w:szCs w:val="15"/>
                <w:color w:val="auto"/>
              </w:rPr>
              <w:t>—</w:t>
            </w:r>
          </w:p>
        </w:tc>
        <w:tc>
          <w:tcPr>
            <w:tcW w:w="2080" w:type="dxa"/>
            <w:vAlign w:val="bottom"/>
          </w:tcPr>
          <w:p>
            <w:pPr>
              <w:jc w:val="right"/>
              <w:ind w:right="786"/>
              <w:spacing w:after="0"/>
              <w:rPr>
                <w:sz w:val="20"/>
                <w:szCs w:val="20"/>
                <w:color w:val="auto"/>
              </w:rPr>
            </w:pPr>
            <w:r>
              <w:rPr>
                <w:rFonts w:ascii="Calibri" w:cs="Calibri" w:eastAsia="Calibri" w:hAnsi="Calibri"/>
                <w:sz w:val="15"/>
                <w:szCs w:val="15"/>
                <w:b w:val="1"/>
                <w:bCs w:val="1"/>
                <w:color w:val="auto"/>
              </w:rPr>
              <w:t>—</w:t>
            </w:r>
          </w:p>
        </w:tc>
        <w:tc>
          <w:tcPr>
            <w:tcW w:w="880" w:type="dxa"/>
            <w:vAlign w:val="bottom"/>
          </w:tcPr>
          <w:p>
            <w:pPr>
              <w:jc w:val="right"/>
              <w:spacing w:after="0"/>
              <w:rPr>
                <w:sz w:val="20"/>
                <w:szCs w:val="20"/>
                <w:color w:val="auto"/>
              </w:rPr>
            </w:pPr>
            <w:r>
              <w:rPr>
                <w:rFonts w:ascii="Calibri" w:cs="Calibri" w:eastAsia="Calibri" w:hAnsi="Calibri"/>
                <w:sz w:val="15"/>
                <w:szCs w:val="15"/>
                <w:color w:val="auto"/>
              </w:rPr>
              <w:t>864</w:t>
            </w:r>
          </w:p>
        </w:tc>
        <w:tc>
          <w:tcPr>
            <w:tcW w:w="0" w:type="dxa"/>
            <w:vAlign w:val="bottom"/>
          </w:tcPr>
          <w:p>
            <w:pPr>
              <w:spacing w:after="0"/>
              <w:rPr>
                <w:sz w:val="1"/>
                <w:szCs w:val="1"/>
                <w:color w:val="auto"/>
              </w:rPr>
            </w:pPr>
          </w:p>
        </w:tc>
      </w:tr>
      <w:tr>
        <w:trPr>
          <w:trHeight w:val="232"/>
        </w:trPr>
        <w:tc>
          <w:tcPr>
            <w:tcW w:w="4780" w:type="dxa"/>
            <w:vAlign w:val="bottom"/>
          </w:tcPr>
          <w:p>
            <w:pPr>
              <w:ind w:left="60"/>
              <w:spacing w:after="0"/>
              <w:rPr>
                <w:sz w:val="20"/>
                <w:szCs w:val="20"/>
                <w:color w:val="auto"/>
              </w:rPr>
            </w:pPr>
            <w:r>
              <w:rPr>
                <w:rFonts w:ascii="Calibri" w:cs="Calibri" w:eastAsia="Calibri" w:hAnsi="Calibri"/>
                <w:sz w:val="15"/>
                <w:szCs w:val="15"/>
                <w:b w:val="1"/>
                <w:bCs w:val="1"/>
                <w:color w:val="auto"/>
              </w:rPr>
              <w:t>COST OF GOODS SOLD</w:t>
            </w:r>
          </w:p>
        </w:tc>
        <w:tc>
          <w:tcPr>
            <w:tcW w:w="1820" w:type="dxa"/>
            <w:vAlign w:val="bottom"/>
          </w:tcPr>
          <w:p>
            <w:pPr>
              <w:jc w:val="right"/>
              <w:ind w:right="406"/>
              <w:spacing w:after="0"/>
              <w:rPr>
                <w:sz w:val="20"/>
                <w:szCs w:val="20"/>
                <w:color w:val="auto"/>
              </w:rPr>
            </w:pPr>
            <w:r>
              <w:rPr>
                <w:rFonts w:ascii="Calibri" w:cs="Calibri" w:eastAsia="Calibri" w:hAnsi="Calibri"/>
                <w:sz w:val="15"/>
                <w:szCs w:val="15"/>
                <w:color w:val="auto"/>
              </w:rPr>
              <w:t>—</w:t>
            </w:r>
          </w:p>
        </w:tc>
        <w:tc>
          <w:tcPr>
            <w:tcW w:w="1680" w:type="dxa"/>
            <w:vAlign w:val="bottom"/>
          </w:tcPr>
          <w:p>
            <w:pPr>
              <w:jc w:val="right"/>
              <w:ind w:right="407"/>
              <w:spacing w:after="0"/>
              <w:rPr>
                <w:sz w:val="20"/>
                <w:szCs w:val="20"/>
                <w:color w:val="auto"/>
              </w:rPr>
            </w:pPr>
            <w:r>
              <w:rPr>
                <w:rFonts w:ascii="Calibri" w:cs="Calibri" w:eastAsia="Calibri" w:hAnsi="Calibri"/>
                <w:sz w:val="15"/>
                <w:szCs w:val="15"/>
                <w:color w:val="auto"/>
              </w:rPr>
              <w:t>—</w:t>
            </w:r>
          </w:p>
        </w:tc>
        <w:tc>
          <w:tcPr>
            <w:tcW w:w="2080" w:type="dxa"/>
            <w:vAlign w:val="bottom"/>
          </w:tcPr>
          <w:p>
            <w:pPr>
              <w:jc w:val="right"/>
              <w:ind w:right="786"/>
              <w:spacing w:after="0"/>
              <w:rPr>
                <w:sz w:val="20"/>
                <w:szCs w:val="20"/>
                <w:color w:val="auto"/>
              </w:rPr>
            </w:pPr>
            <w:r>
              <w:rPr>
                <w:rFonts w:ascii="Calibri" w:cs="Calibri" w:eastAsia="Calibri" w:hAnsi="Calibri"/>
                <w:sz w:val="15"/>
                <w:szCs w:val="15"/>
                <w:b w:val="1"/>
                <w:bCs w:val="1"/>
                <w:color w:val="auto"/>
              </w:rPr>
              <w:t>—</w:t>
            </w:r>
          </w:p>
        </w:tc>
        <w:tc>
          <w:tcPr>
            <w:tcW w:w="880" w:type="dxa"/>
            <w:vAlign w:val="bottom"/>
          </w:tcPr>
          <w:p>
            <w:pPr>
              <w:jc w:val="right"/>
              <w:spacing w:after="0"/>
              <w:rPr>
                <w:sz w:val="20"/>
                <w:szCs w:val="20"/>
                <w:color w:val="auto"/>
              </w:rPr>
            </w:pPr>
            <w:r>
              <w:rPr>
                <w:rFonts w:ascii="Calibri" w:cs="Calibri" w:eastAsia="Calibri" w:hAnsi="Calibri"/>
                <w:sz w:val="15"/>
                <w:szCs w:val="15"/>
                <w:color w:val="auto"/>
              </w:rPr>
              <w:t>664</w:t>
            </w:r>
          </w:p>
        </w:tc>
        <w:tc>
          <w:tcPr>
            <w:tcW w:w="0" w:type="dxa"/>
            <w:vAlign w:val="bottom"/>
          </w:tcPr>
          <w:p>
            <w:pPr>
              <w:spacing w:after="0"/>
              <w:rPr>
                <w:sz w:val="1"/>
                <w:szCs w:val="1"/>
                <w:color w:val="auto"/>
              </w:rPr>
            </w:pPr>
          </w:p>
        </w:tc>
      </w:tr>
      <w:tr>
        <w:trPr>
          <w:trHeight w:val="50"/>
        </w:trPr>
        <w:tc>
          <w:tcPr>
            <w:tcW w:w="47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60"/>
              <w:spacing w:after="0" w:line="175" w:lineRule="exact"/>
              <w:rPr>
                <w:sz w:val="20"/>
                <w:szCs w:val="20"/>
                <w:color w:val="auto"/>
              </w:rPr>
            </w:pPr>
            <w:r>
              <w:rPr>
                <w:rFonts w:ascii="Calibri" w:cs="Calibri" w:eastAsia="Calibri" w:hAnsi="Calibri"/>
                <w:sz w:val="15"/>
                <w:szCs w:val="15"/>
                <w:b w:val="1"/>
                <w:bCs w:val="1"/>
                <w:color w:val="auto"/>
              </w:rPr>
              <w:t>GROSS PROFIT</w:t>
            </w:r>
          </w:p>
        </w:tc>
        <w:tc>
          <w:tcPr>
            <w:tcW w:w="1820" w:type="dxa"/>
            <w:vAlign w:val="bottom"/>
          </w:tcPr>
          <w:p>
            <w:pPr>
              <w:jc w:val="right"/>
              <w:ind w:right="406"/>
              <w:spacing w:after="0" w:line="175" w:lineRule="exact"/>
              <w:rPr>
                <w:sz w:val="20"/>
                <w:szCs w:val="20"/>
                <w:color w:val="auto"/>
              </w:rPr>
            </w:pPr>
            <w:r>
              <w:rPr>
                <w:rFonts w:ascii="Calibri" w:cs="Calibri" w:eastAsia="Calibri" w:hAnsi="Calibri"/>
                <w:sz w:val="15"/>
                <w:szCs w:val="15"/>
                <w:color w:val="auto"/>
              </w:rPr>
              <w:t>—</w:t>
            </w:r>
          </w:p>
        </w:tc>
        <w:tc>
          <w:tcPr>
            <w:tcW w:w="1680" w:type="dxa"/>
            <w:vAlign w:val="bottom"/>
          </w:tcPr>
          <w:p>
            <w:pPr>
              <w:jc w:val="right"/>
              <w:ind w:right="407"/>
              <w:spacing w:after="0" w:line="175" w:lineRule="exact"/>
              <w:rPr>
                <w:sz w:val="20"/>
                <w:szCs w:val="20"/>
                <w:color w:val="auto"/>
              </w:rPr>
            </w:pPr>
            <w:r>
              <w:rPr>
                <w:rFonts w:ascii="Calibri" w:cs="Calibri" w:eastAsia="Calibri" w:hAnsi="Calibri"/>
                <w:sz w:val="15"/>
                <w:szCs w:val="15"/>
                <w:color w:val="auto"/>
              </w:rPr>
              <w:t>—</w:t>
            </w:r>
          </w:p>
        </w:tc>
        <w:tc>
          <w:tcPr>
            <w:tcW w:w="2080" w:type="dxa"/>
            <w:vAlign w:val="bottom"/>
          </w:tcPr>
          <w:p>
            <w:pPr>
              <w:jc w:val="right"/>
              <w:ind w:right="786"/>
              <w:spacing w:after="0" w:line="175" w:lineRule="exact"/>
              <w:rPr>
                <w:sz w:val="20"/>
                <w:szCs w:val="20"/>
                <w:color w:val="auto"/>
              </w:rPr>
            </w:pPr>
            <w:r>
              <w:rPr>
                <w:rFonts w:ascii="Calibri" w:cs="Calibri" w:eastAsia="Calibri" w:hAnsi="Calibri"/>
                <w:sz w:val="15"/>
                <w:szCs w:val="15"/>
                <w:b w:val="1"/>
                <w:bCs w:val="1"/>
                <w:color w:val="auto"/>
              </w:rPr>
              <w:t>—</w:t>
            </w:r>
          </w:p>
        </w:tc>
        <w:tc>
          <w:tcPr>
            <w:tcW w:w="880" w:type="dxa"/>
            <w:vAlign w:val="bottom"/>
          </w:tcPr>
          <w:p>
            <w:pPr>
              <w:jc w:val="right"/>
              <w:spacing w:after="0" w:line="175" w:lineRule="exact"/>
              <w:rPr>
                <w:sz w:val="20"/>
                <w:szCs w:val="20"/>
                <w:color w:val="auto"/>
              </w:rPr>
            </w:pPr>
            <w:r>
              <w:rPr>
                <w:rFonts w:ascii="Calibri" w:cs="Calibri" w:eastAsia="Calibri" w:hAnsi="Calibri"/>
                <w:sz w:val="15"/>
                <w:szCs w:val="15"/>
                <w:color w:val="auto"/>
              </w:rPr>
              <w:t>200</w:t>
            </w:r>
          </w:p>
        </w:tc>
        <w:tc>
          <w:tcPr>
            <w:tcW w:w="0" w:type="dxa"/>
            <w:vAlign w:val="bottom"/>
          </w:tcPr>
          <w:p>
            <w:pPr>
              <w:spacing w:after="0"/>
              <w:rPr>
                <w:sz w:val="1"/>
                <w:szCs w:val="1"/>
                <w:color w:val="auto"/>
              </w:rPr>
            </w:pPr>
          </w:p>
        </w:tc>
      </w:tr>
      <w:tr>
        <w:trPr>
          <w:trHeight w:val="50"/>
        </w:trPr>
        <w:tc>
          <w:tcPr>
            <w:tcW w:w="47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4780" w:type="dxa"/>
            <w:vAlign w:val="bottom"/>
          </w:tcPr>
          <w:p>
            <w:pPr>
              <w:ind w:left="60"/>
              <w:spacing w:after="0"/>
              <w:rPr>
                <w:sz w:val="20"/>
                <w:szCs w:val="20"/>
                <w:color w:val="auto"/>
              </w:rPr>
            </w:pPr>
            <w:r>
              <w:rPr>
                <w:rFonts w:ascii="Calibri" w:cs="Calibri" w:eastAsia="Calibri" w:hAnsi="Calibri"/>
                <w:sz w:val="15"/>
                <w:szCs w:val="15"/>
                <w:b w:val="1"/>
                <w:bCs w:val="1"/>
                <w:color w:val="auto"/>
              </w:rPr>
              <w:t>EXPENSES</w:t>
            </w:r>
          </w:p>
        </w:tc>
        <w:tc>
          <w:tcPr>
            <w:tcW w:w="18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780" w:type="dxa"/>
            <w:vAlign w:val="bottom"/>
          </w:tcPr>
          <w:p>
            <w:pPr>
              <w:ind w:left="200"/>
              <w:spacing w:after="0"/>
              <w:rPr>
                <w:sz w:val="20"/>
                <w:szCs w:val="20"/>
                <w:color w:val="auto"/>
              </w:rPr>
            </w:pPr>
            <w:r>
              <w:rPr>
                <w:rFonts w:ascii="Calibri" w:cs="Calibri" w:eastAsia="Calibri" w:hAnsi="Calibri"/>
                <w:sz w:val="15"/>
                <w:szCs w:val="15"/>
                <w:color w:val="auto"/>
              </w:rPr>
              <w:t>Share-based compensaton</w:t>
            </w:r>
          </w:p>
        </w:tc>
        <w:tc>
          <w:tcPr>
            <w:tcW w:w="1820" w:type="dxa"/>
            <w:vAlign w:val="bottom"/>
          </w:tcPr>
          <w:p>
            <w:pPr>
              <w:jc w:val="right"/>
              <w:ind w:right="406"/>
              <w:spacing w:after="0"/>
              <w:rPr>
                <w:sz w:val="20"/>
                <w:szCs w:val="20"/>
                <w:color w:val="auto"/>
              </w:rPr>
            </w:pPr>
            <w:r>
              <w:rPr>
                <w:rFonts w:ascii="Calibri" w:cs="Calibri" w:eastAsia="Calibri" w:hAnsi="Calibri"/>
                <w:sz w:val="15"/>
                <w:szCs w:val="15"/>
                <w:b w:val="1"/>
                <w:bCs w:val="1"/>
                <w:color w:val="auto"/>
              </w:rPr>
              <w:t>3,343</w:t>
            </w:r>
          </w:p>
        </w:tc>
        <w:tc>
          <w:tcPr>
            <w:tcW w:w="1680" w:type="dxa"/>
            <w:vAlign w:val="bottom"/>
          </w:tcPr>
          <w:p>
            <w:pPr>
              <w:jc w:val="right"/>
              <w:ind w:right="407"/>
              <w:spacing w:after="0"/>
              <w:rPr>
                <w:sz w:val="20"/>
                <w:szCs w:val="20"/>
                <w:color w:val="auto"/>
              </w:rPr>
            </w:pPr>
            <w:r>
              <w:rPr>
                <w:rFonts w:ascii="Calibri" w:cs="Calibri" w:eastAsia="Calibri" w:hAnsi="Calibri"/>
                <w:sz w:val="15"/>
                <w:szCs w:val="15"/>
                <w:color w:val="auto"/>
              </w:rPr>
              <w:t>4,068</w:t>
            </w:r>
          </w:p>
        </w:tc>
        <w:tc>
          <w:tcPr>
            <w:tcW w:w="2080" w:type="dxa"/>
            <w:vAlign w:val="bottom"/>
          </w:tcPr>
          <w:p>
            <w:pPr>
              <w:jc w:val="right"/>
              <w:ind w:right="786"/>
              <w:spacing w:after="0"/>
              <w:rPr>
                <w:sz w:val="20"/>
                <w:szCs w:val="20"/>
                <w:color w:val="auto"/>
              </w:rPr>
            </w:pPr>
            <w:r>
              <w:rPr>
                <w:rFonts w:ascii="Calibri" w:cs="Calibri" w:eastAsia="Calibri" w:hAnsi="Calibri"/>
                <w:sz w:val="15"/>
                <w:szCs w:val="15"/>
                <w:b w:val="1"/>
                <w:bCs w:val="1"/>
                <w:color w:val="auto"/>
              </w:rPr>
              <w:t>18,030</w:t>
            </w:r>
          </w:p>
        </w:tc>
        <w:tc>
          <w:tcPr>
            <w:tcW w:w="880" w:type="dxa"/>
            <w:vAlign w:val="bottom"/>
          </w:tcPr>
          <w:p>
            <w:pPr>
              <w:jc w:val="right"/>
              <w:spacing w:after="0"/>
              <w:rPr>
                <w:sz w:val="20"/>
                <w:szCs w:val="20"/>
                <w:color w:val="auto"/>
              </w:rPr>
            </w:pPr>
            <w:r>
              <w:rPr>
                <w:rFonts w:ascii="Calibri" w:cs="Calibri" w:eastAsia="Calibri" w:hAnsi="Calibri"/>
                <w:sz w:val="15"/>
                <w:szCs w:val="15"/>
                <w:color w:val="auto"/>
              </w:rPr>
              <w:t>11,554</w:t>
            </w:r>
          </w:p>
        </w:tc>
        <w:tc>
          <w:tcPr>
            <w:tcW w:w="0" w:type="dxa"/>
            <w:vAlign w:val="bottom"/>
          </w:tcPr>
          <w:p>
            <w:pPr>
              <w:spacing w:after="0"/>
              <w:rPr>
                <w:sz w:val="1"/>
                <w:szCs w:val="1"/>
                <w:color w:val="auto"/>
              </w:rPr>
            </w:pPr>
          </w:p>
        </w:tc>
      </w:tr>
      <w:tr>
        <w:trPr>
          <w:trHeight w:val="232"/>
        </w:trPr>
        <w:tc>
          <w:tcPr>
            <w:tcW w:w="4780" w:type="dxa"/>
            <w:vAlign w:val="bottom"/>
          </w:tcPr>
          <w:p>
            <w:pPr>
              <w:ind w:left="200"/>
              <w:spacing w:after="0"/>
              <w:rPr>
                <w:sz w:val="20"/>
                <w:szCs w:val="20"/>
                <w:color w:val="auto"/>
              </w:rPr>
            </w:pPr>
            <w:r>
              <w:rPr>
                <w:rFonts w:ascii="Calibri" w:cs="Calibri" w:eastAsia="Calibri" w:hAnsi="Calibri"/>
                <w:sz w:val="15"/>
                <w:szCs w:val="15"/>
                <w:color w:val="auto"/>
              </w:rPr>
              <w:t>General and administratve costs</w:t>
            </w:r>
          </w:p>
        </w:tc>
        <w:tc>
          <w:tcPr>
            <w:tcW w:w="1820" w:type="dxa"/>
            <w:vAlign w:val="bottom"/>
          </w:tcPr>
          <w:p>
            <w:pPr>
              <w:jc w:val="right"/>
              <w:ind w:right="406"/>
              <w:spacing w:after="0"/>
              <w:rPr>
                <w:sz w:val="20"/>
                <w:szCs w:val="20"/>
                <w:color w:val="auto"/>
              </w:rPr>
            </w:pPr>
            <w:r>
              <w:rPr>
                <w:rFonts w:ascii="Calibri" w:cs="Calibri" w:eastAsia="Calibri" w:hAnsi="Calibri"/>
                <w:sz w:val="15"/>
                <w:szCs w:val="15"/>
                <w:b w:val="1"/>
                <w:bCs w:val="1"/>
                <w:color w:val="auto"/>
              </w:rPr>
              <w:t>7,166</w:t>
            </w:r>
          </w:p>
        </w:tc>
        <w:tc>
          <w:tcPr>
            <w:tcW w:w="1680" w:type="dxa"/>
            <w:vAlign w:val="bottom"/>
          </w:tcPr>
          <w:p>
            <w:pPr>
              <w:jc w:val="right"/>
              <w:ind w:right="407"/>
              <w:spacing w:after="0"/>
              <w:rPr>
                <w:sz w:val="20"/>
                <w:szCs w:val="20"/>
                <w:color w:val="auto"/>
              </w:rPr>
            </w:pPr>
            <w:r>
              <w:rPr>
                <w:rFonts w:ascii="Calibri" w:cs="Calibri" w:eastAsia="Calibri" w:hAnsi="Calibri"/>
                <w:sz w:val="15"/>
                <w:szCs w:val="15"/>
                <w:color w:val="auto"/>
              </w:rPr>
              <w:t>6,882</w:t>
            </w:r>
          </w:p>
        </w:tc>
        <w:tc>
          <w:tcPr>
            <w:tcW w:w="2080" w:type="dxa"/>
            <w:vAlign w:val="bottom"/>
          </w:tcPr>
          <w:p>
            <w:pPr>
              <w:jc w:val="right"/>
              <w:ind w:right="786"/>
              <w:spacing w:after="0"/>
              <w:rPr>
                <w:sz w:val="20"/>
                <w:szCs w:val="20"/>
                <w:color w:val="auto"/>
              </w:rPr>
            </w:pPr>
            <w:r>
              <w:rPr>
                <w:rFonts w:ascii="Calibri" w:cs="Calibri" w:eastAsia="Calibri" w:hAnsi="Calibri"/>
                <w:sz w:val="15"/>
                <w:szCs w:val="15"/>
                <w:b w:val="1"/>
                <w:bCs w:val="1"/>
                <w:color w:val="auto"/>
              </w:rPr>
              <w:t>28,222</w:t>
            </w:r>
          </w:p>
        </w:tc>
        <w:tc>
          <w:tcPr>
            <w:tcW w:w="880" w:type="dxa"/>
            <w:vAlign w:val="bottom"/>
          </w:tcPr>
          <w:p>
            <w:pPr>
              <w:jc w:val="right"/>
              <w:spacing w:after="0"/>
              <w:rPr>
                <w:sz w:val="20"/>
                <w:szCs w:val="20"/>
                <w:color w:val="auto"/>
              </w:rPr>
            </w:pPr>
            <w:r>
              <w:rPr>
                <w:rFonts w:ascii="Calibri" w:cs="Calibri" w:eastAsia="Calibri" w:hAnsi="Calibri"/>
                <w:sz w:val="15"/>
                <w:szCs w:val="15"/>
                <w:color w:val="auto"/>
              </w:rPr>
              <w:t>15,870</w:t>
            </w:r>
          </w:p>
        </w:tc>
        <w:tc>
          <w:tcPr>
            <w:tcW w:w="0" w:type="dxa"/>
            <w:vAlign w:val="bottom"/>
          </w:tcPr>
          <w:p>
            <w:pPr>
              <w:spacing w:after="0"/>
              <w:rPr>
                <w:sz w:val="1"/>
                <w:szCs w:val="1"/>
                <w:color w:val="auto"/>
              </w:rPr>
            </w:pPr>
          </w:p>
        </w:tc>
      </w:tr>
      <w:tr>
        <w:trPr>
          <w:trHeight w:val="232"/>
        </w:trPr>
        <w:tc>
          <w:tcPr>
            <w:tcW w:w="4780" w:type="dxa"/>
            <w:vAlign w:val="bottom"/>
          </w:tcPr>
          <w:p>
            <w:pPr>
              <w:ind w:left="200"/>
              <w:spacing w:after="0"/>
              <w:rPr>
                <w:sz w:val="20"/>
                <w:szCs w:val="20"/>
                <w:color w:val="auto"/>
              </w:rPr>
            </w:pPr>
            <w:r>
              <w:rPr>
                <w:rFonts w:ascii="Calibri" w:cs="Calibri" w:eastAsia="Calibri" w:hAnsi="Calibri"/>
                <w:sz w:val="15"/>
                <w:szCs w:val="15"/>
                <w:color w:val="auto"/>
              </w:rPr>
              <w:t>Research</w:t>
            </w:r>
          </w:p>
        </w:tc>
        <w:tc>
          <w:tcPr>
            <w:tcW w:w="1820" w:type="dxa"/>
            <w:vAlign w:val="bottom"/>
          </w:tcPr>
          <w:p>
            <w:pPr>
              <w:jc w:val="right"/>
              <w:ind w:right="406"/>
              <w:spacing w:after="0"/>
              <w:rPr>
                <w:sz w:val="20"/>
                <w:szCs w:val="20"/>
                <w:color w:val="auto"/>
              </w:rPr>
            </w:pPr>
            <w:r>
              <w:rPr>
                <w:rFonts w:ascii="Calibri" w:cs="Calibri" w:eastAsia="Calibri" w:hAnsi="Calibri"/>
                <w:sz w:val="15"/>
                <w:szCs w:val="15"/>
                <w:b w:val="1"/>
                <w:bCs w:val="1"/>
                <w:color w:val="auto"/>
              </w:rPr>
              <w:t>5,829</w:t>
            </w:r>
          </w:p>
        </w:tc>
        <w:tc>
          <w:tcPr>
            <w:tcW w:w="1680" w:type="dxa"/>
            <w:vAlign w:val="bottom"/>
          </w:tcPr>
          <w:p>
            <w:pPr>
              <w:jc w:val="right"/>
              <w:ind w:right="407"/>
              <w:spacing w:after="0"/>
              <w:rPr>
                <w:sz w:val="20"/>
                <w:szCs w:val="20"/>
                <w:color w:val="auto"/>
              </w:rPr>
            </w:pPr>
            <w:r>
              <w:rPr>
                <w:rFonts w:ascii="Calibri" w:cs="Calibri" w:eastAsia="Calibri" w:hAnsi="Calibri"/>
                <w:sz w:val="15"/>
                <w:szCs w:val="15"/>
                <w:color w:val="auto"/>
              </w:rPr>
              <w:t>1,413</w:t>
            </w:r>
          </w:p>
        </w:tc>
        <w:tc>
          <w:tcPr>
            <w:tcW w:w="2080" w:type="dxa"/>
            <w:vAlign w:val="bottom"/>
          </w:tcPr>
          <w:p>
            <w:pPr>
              <w:jc w:val="right"/>
              <w:ind w:right="786"/>
              <w:spacing w:after="0"/>
              <w:rPr>
                <w:sz w:val="20"/>
                <w:szCs w:val="20"/>
                <w:color w:val="auto"/>
              </w:rPr>
            </w:pPr>
            <w:r>
              <w:rPr>
                <w:rFonts w:ascii="Calibri" w:cs="Calibri" w:eastAsia="Calibri" w:hAnsi="Calibri"/>
                <w:sz w:val="15"/>
                <w:szCs w:val="15"/>
                <w:b w:val="1"/>
                <w:bCs w:val="1"/>
                <w:color w:val="auto"/>
              </w:rPr>
              <w:t>17,586</w:t>
            </w:r>
          </w:p>
        </w:tc>
        <w:tc>
          <w:tcPr>
            <w:tcW w:w="880" w:type="dxa"/>
            <w:vAlign w:val="bottom"/>
          </w:tcPr>
          <w:p>
            <w:pPr>
              <w:jc w:val="right"/>
              <w:spacing w:after="0"/>
              <w:rPr>
                <w:sz w:val="20"/>
                <w:szCs w:val="20"/>
                <w:color w:val="auto"/>
              </w:rPr>
            </w:pPr>
            <w:r>
              <w:rPr>
                <w:rFonts w:ascii="Calibri" w:cs="Calibri" w:eastAsia="Calibri" w:hAnsi="Calibri"/>
                <w:sz w:val="15"/>
                <w:szCs w:val="15"/>
                <w:color w:val="auto"/>
              </w:rPr>
              <w:t>3,300</w:t>
            </w:r>
          </w:p>
        </w:tc>
        <w:tc>
          <w:tcPr>
            <w:tcW w:w="0" w:type="dxa"/>
            <w:vAlign w:val="bottom"/>
          </w:tcPr>
          <w:p>
            <w:pPr>
              <w:spacing w:after="0"/>
              <w:rPr>
                <w:sz w:val="1"/>
                <w:szCs w:val="1"/>
                <w:color w:val="auto"/>
              </w:rPr>
            </w:pPr>
          </w:p>
        </w:tc>
      </w:tr>
      <w:tr>
        <w:trPr>
          <w:trHeight w:val="135"/>
        </w:trPr>
        <w:tc>
          <w:tcPr>
            <w:tcW w:w="47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60"/>
              <w:spacing w:after="0" w:line="175" w:lineRule="exact"/>
              <w:rPr>
                <w:sz w:val="20"/>
                <w:szCs w:val="20"/>
                <w:color w:val="auto"/>
              </w:rPr>
            </w:pPr>
            <w:r>
              <w:rPr>
                <w:rFonts w:ascii="Calibri" w:cs="Calibri" w:eastAsia="Calibri" w:hAnsi="Calibri"/>
                <w:sz w:val="15"/>
                <w:szCs w:val="15"/>
                <w:b w:val="1"/>
                <w:bCs w:val="1"/>
                <w:color w:val="auto"/>
              </w:rPr>
              <w:t>TOTAL EXPENSES</w:t>
            </w:r>
          </w:p>
        </w:tc>
        <w:tc>
          <w:tcPr>
            <w:tcW w:w="1820" w:type="dxa"/>
            <w:vAlign w:val="bottom"/>
          </w:tcPr>
          <w:p>
            <w:pPr>
              <w:jc w:val="right"/>
              <w:ind w:right="406"/>
              <w:spacing w:after="0" w:line="175" w:lineRule="exact"/>
              <w:rPr>
                <w:sz w:val="20"/>
                <w:szCs w:val="20"/>
                <w:color w:val="auto"/>
              </w:rPr>
            </w:pPr>
            <w:r>
              <w:rPr>
                <w:rFonts w:ascii="Calibri" w:cs="Calibri" w:eastAsia="Calibri" w:hAnsi="Calibri"/>
                <w:sz w:val="15"/>
                <w:szCs w:val="15"/>
                <w:b w:val="1"/>
                <w:bCs w:val="1"/>
                <w:color w:val="auto"/>
              </w:rPr>
              <w:t>16,338</w:t>
            </w:r>
          </w:p>
        </w:tc>
        <w:tc>
          <w:tcPr>
            <w:tcW w:w="1680" w:type="dxa"/>
            <w:vAlign w:val="bottom"/>
          </w:tcPr>
          <w:p>
            <w:pPr>
              <w:jc w:val="right"/>
              <w:ind w:right="407"/>
              <w:spacing w:after="0" w:line="175" w:lineRule="exact"/>
              <w:rPr>
                <w:sz w:val="20"/>
                <w:szCs w:val="20"/>
                <w:color w:val="auto"/>
              </w:rPr>
            </w:pPr>
            <w:r>
              <w:rPr>
                <w:rFonts w:ascii="Calibri" w:cs="Calibri" w:eastAsia="Calibri" w:hAnsi="Calibri"/>
                <w:sz w:val="15"/>
                <w:szCs w:val="15"/>
                <w:color w:val="auto"/>
              </w:rPr>
              <w:t>12,363</w:t>
            </w:r>
          </w:p>
        </w:tc>
        <w:tc>
          <w:tcPr>
            <w:tcW w:w="2080" w:type="dxa"/>
            <w:vAlign w:val="bottom"/>
          </w:tcPr>
          <w:p>
            <w:pPr>
              <w:jc w:val="right"/>
              <w:ind w:right="786"/>
              <w:spacing w:after="0" w:line="175" w:lineRule="exact"/>
              <w:rPr>
                <w:sz w:val="20"/>
                <w:szCs w:val="20"/>
                <w:color w:val="auto"/>
              </w:rPr>
            </w:pPr>
            <w:r>
              <w:rPr>
                <w:rFonts w:ascii="Calibri" w:cs="Calibri" w:eastAsia="Calibri" w:hAnsi="Calibri"/>
                <w:sz w:val="15"/>
                <w:szCs w:val="15"/>
                <w:b w:val="1"/>
                <w:bCs w:val="1"/>
                <w:color w:val="auto"/>
              </w:rPr>
              <w:t>63,838</w:t>
            </w:r>
          </w:p>
        </w:tc>
        <w:tc>
          <w:tcPr>
            <w:tcW w:w="880" w:type="dxa"/>
            <w:vAlign w:val="bottom"/>
          </w:tcPr>
          <w:p>
            <w:pPr>
              <w:jc w:val="right"/>
              <w:spacing w:after="0" w:line="175" w:lineRule="exact"/>
              <w:rPr>
                <w:sz w:val="20"/>
                <w:szCs w:val="20"/>
                <w:color w:val="auto"/>
              </w:rPr>
            </w:pPr>
            <w:r>
              <w:rPr>
                <w:rFonts w:ascii="Calibri" w:cs="Calibri" w:eastAsia="Calibri" w:hAnsi="Calibri"/>
                <w:sz w:val="15"/>
                <w:szCs w:val="15"/>
                <w:color w:val="auto"/>
              </w:rPr>
              <w:t>30,724</w:t>
            </w:r>
          </w:p>
        </w:tc>
        <w:tc>
          <w:tcPr>
            <w:tcW w:w="0" w:type="dxa"/>
            <w:vAlign w:val="bottom"/>
          </w:tcPr>
          <w:p>
            <w:pPr>
              <w:spacing w:after="0"/>
              <w:rPr>
                <w:sz w:val="1"/>
                <w:szCs w:val="1"/>
                <w:color w:val="auto"/>
              </w:rPr>
            </w:pPr>
          </w:p>
        </w:tc>
      </w:tr>
      <w:tr>
        <w:trPr>
          <w:trHeight w:val="50"/>
        </w:trPr>
        <w:tc>
          <w:tcPr>
            <w:tcW w:w="47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4780" w:type="dxa"/>
            <w:vAlign w:val="bottom"/>
          </w:tcPr>
          <w:p>
            <w:pPr>
              <w:ind w:left="60"/>
              <w:spacing w:after="0"/>
              <w:rPr>
                <w:sz w:val="20"/>
                <w:szCs w:val="20"/>
                <w:color w:val="auto"/>
              </w:rPr>
            </w:pPr>
            <w:r>
              <w:rPr>
                <w:rFonts w:ascii="Calibri" w:cs="Calibri" w:eastAsia="Calibri" w:hAnsi="Calibri"/>
                <w:sz w:val="15"/>
                <w:szCs w:val="15"/>
                <w:b w:val="1"/>
                <w:bCs w:val="1"/>
                <w:color w:val="auto"/>
              </w:rPr>
              <w:t>OTHER INCOME (EXPENSES)</w:t>
            </w:r>
          </w:p>
        </w:tc>
        <w:tc>
          <w:tcPr>
            <w:tcW w:w="18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780" w:type="dxa"/>
            <w:vAlign w:val="bottom"/>
          </w:tcPr>
          <w:p>
            <w:pPr>
              <w:ind w:left="200"/>
              <w:spacing w:after="0"/>
              <w:rPr>
                <w:sz w:val="20"/>
                <w:szCs w:val="20"/>
                <w:color w:val="auto"/>
              </w:rPr>
            </w:pPr>
            <w:r>
              <w:rPr>
                <w:rFonts w:ascii="Calibri" w:cs="Calibri" w:eastAsia="Calibri" w:hAnsi="Calibri"/>
                <w:sz w:val="15"/>
                <w:szCs w:val="15"/>
                <w:color w:val="auto"/>
              </w:rPr>
              <w:t>Interest income</w:t>
            </w:r>
          </w:p>
        </w:tc>
        <w:tc>
          <w:tcPr>
            <w:tcW w:w="1820" w:type="dxa"/>
            <w:vAlign w:val="bottom"/>
          </w:tcPr>
          <w:p>
            <w:pPr>
              <w:jc w:val="right"/>
              <w:ind w:right="406"/>
              <w:spacing w:after="0"/>
              <w:rPr>
                <w:sz w:val="20"/>
                <w:szCs w:val="20"/>
                <w:color w:val="auto"/>
              </w:rPr>
            </w:pPr>
            <w:r>
              <w:rPr>
                <w:rFonts w:ascii="Calibri" w:cs="Calibri" w:eastAsia="Calibri" w:hAnsi="Calibri"/>
                <w:sz w:val="15"/>
                <w:szCs w:val="15"/>
                <w:b w:val="1"/>
                <w:bCs w:val="1"/>
                <w:color w:val="auto"/>
              </w:rPr>
              <w:t>83</w:t>
            </w:r>
          </w:p>
        </w:tc>
        <w:tc>
          <w:tcPr>
            <w:tcW w:w="1680" w:type="dxa"/>
            <w:vAlign w:val="bottom"/>
          </w:tcPr>
          <w:p>
            <w:pPr>
              <w:jc w:val="right"/>
              <w:ind w:right="407"/>
              <w:spacing w:after="0"/>
              <w:rPr>
                <w:sz w:val="20"/>
                <w:szCs w:val="20"/>
                <w:color w:val="auto"/>
              </w:rPr>
            </w:pPr>
            <w:r>
              <w:rPr>
                <w:rFonts w:ascii="Calibri" w:cs="Calibri" w:eastAsia="Calibri" w:hAnsi="Calibri"/>
                <w:sz w:val="15"/>
                <w:szCs w:val="15"/>
                <w:color w:val="auto"/>
              </w:rPr>
              <w:t>46</w:t>
            </w:r>
          </w:p>
        </w:tc>
        <w:tc>
          <w:tcPr>
            <w:tcW w:w="2080" w:type="dxa"/>
            <w:vAlign w:val="bottom"/>
          </w:tcPr>
          <w:p>
            <w:pPr>
              <w:jc w:val="right"/>
              <w:ind w:right="786"/>
              <w:spacing w:after="0"/>
              <w:rPr>
                <w:sz w:val="20"/>
                <w:szCs w:val="20"/>
                <w:color w:val="auto"/>
              </w:rPr>
            </w:pPr>
            <w:r>
              <w:rPr>
                <w:rFonts w:ascii="Calibri" w:cs="Calibri" w:eastAsia="Calibri" w:hAnsi="Calibri"/>
                <w:sz w:val="15"/>
                <w:szCs w:val="15"/>
                <w:b w:val="1"/>
                <w:bCs w:val="1"/>
                <w:color w:val="auto"/>
              </w:rPr>
              <w:t>241</w:t>
            </w:r>
          </w:p>
        </w:tc>
        <w:tc>
          <w:tcPr>
            <w:tcW w:w="880" w:type="dxa"/>
            <w:vAlign w:val="bottom"/>
          </w:tcPr>
          <w:p>
            <w:pPr>
              <w:jc w:val="right"/>
              <w:spacing w:after="0"/>
              <w:rPr>
                <w:sz w:val="20"/>
                <w:szCs w:val="20"/>
                <w:color w:val="auto"/>
              </w:rPr>
            </w:pPr>
            <w:r>
              <w:rPr>
                <w:rFonts w:ascii="Calibri" w:cs="Calibri" w:eastAsia="Calibri" w:hAnsi="Calibri"/>
                <w:sz w:val="15"/>
                <w:szCs w:val="15"/>
                <w:color w:val="auto"/>
              </w:rPr>
              <w:t>60</w:t>
            </w:r>
          </w:p>
        </w:tc>
        <w:tc>
          <w:tcPr>
            <w:tcW w:w="0" w:type="dxa"/>
            <w:vAlign w:val="bottom"/>
          </w:tcPr>
          <w:p>
            <w:pPr>
              <w:spacing w:after="0"/>
              <w:rPr>
                <w:sz w:val="1"/>
                <w:szCs w:val="1"/>
                <w:color w:val="auto"/>
              </w:rPr>
            </w:pPr>
          </w:p>
        </w:tc>
      </w:tr>
      <w:tr>
        <w:trPr>
          <w:trHeight w:val="232"/>
        </w:trPr>
        <w:tc>
          <w:tcPr>
            <w:tcW w:w="4780" w:type="dxa"/>
            <w:vAlign w:val="bottom"/>
          </w:tcPr>
          <w:p>
            <w:pPr>
              <w:ind w:left="200"/>
              <w:spacing w:after="0"/>
              <w:rPr>
                <w:sz w:val="20"/>
                <w:szCs w:val="20"/>
                <w:color w:val="auto"/>
              </w:rPr>
            </w:pPr>
            <w:r>
              <w:rPr>
                <w:rFonts w:ascii="Calibri" w:cs="Calibri" w:eastAsia="Calibri" w:hAnsi="Calibri"/>
                <w:sz w:val="15"/>
                <w:szCs w:val="15"/>
                <w:color w:val="auto"/>
              </w:rPr>
              <w:t>Accreton on convertble debt</w:t>
            </w:r>
          </w:p>
        </w:tc>
        <w:tc>
          <w:tcPr>
            <w:tcW w:w="1820" w:type="dxa"/>
            <w:vAlign w:val="bottom"/>
          </w:tcPr>
          <w:p>
            <w:pPr>
              <w:jc w:val="right"/>
              <w:ind w:right="406"/>
              <w:spacing w:after="0"/>
              <w:rPr>
                <w:sz w:val="20"/>
                <w:szCs w:val="20"/>
                <w:color w:val="auto"/>
              </w:rPr>
            </w:pPr>
            <w:r>
              <w:rPr>
                <w:rFonts w:ascii="Calibri" w:cs="Calibri" w:eastAsia="Calibri" w:hAnsi="Calibri"/>
                <w:sz w:val="15"/>
                <w:szCs w:val="15"/>
                <w:color w:val="auto"/>
              </w:rPr>
              <w:t>—</w:t>
            </w:r>
          </w:p>
        </w:tc>
        <w:tc>
          <w:tcPr>
            <w:tcW w:w="1680" w:type="dxa"/>
            <w:vAlign w:val="bottom"/>
          </w:tcPr>
          <w:p>
            <w:pPr>
              <w:jc w:val="right"/>
              <w:ind w:right="407"/>
              <w:spacing w:after="0"/>
              <w:rPr>
                <w:sz w:val="20"/>
                <w:szCs w:val="20"/>
                <w:color w:val="auto"/>
              </w:rPr>
            </w:pPr>
            <w:r>
              <w:rPr>
                <w:rFonts w:ascii="Calibri" w:cs="Calibri" w:eastAsia="Calibri" w:hAnsi="Calibri"/>
                <w:sz w:val="15"/>
                <w:szCs w:val="15"/>
                <w:color w:val="auto"/>
              </w:rPr>
              <w:t>—</w:t>
            </w:r>
          </w:p>
        </w:tc>
        <w:tc>
          <w:tcPr>
            <w:tcW w:w="2080" w:type="dxa"/>
            <w:vAlign w:val="bottom"/>
          </w:tcPr>
          <w:p>
            <w:pPr>
              <w:jc w:val="right"/>
              <w:ind w:right="786"/>
              <w:spacing w:after="0"/>
              <w:rPr>
                <w:sz w:val="20"/>
                <w:szCs w:val="20"/>
                <w:color w:val="auto"/>
              </w:rPr>
            </w:pPr>
            <w:r>
              <w:rPr>
                <w:rFonts w:ascii="Calibri" w:cs="Calibri" w:eastAsia="Calibri" w:hAnsi="Calibri"/>
                <w:sz w:val="15"/>
                <w:szCs w:val="15"/>
                <w:b w:val="1"/>
                <w:bCs w:val="1"/>
                <w:color w:val="auto"/>
              </w:rPr>
              <w:t>—</w:t>
            </w:r>
          </w:p>
        </w:tc>
        <w:tc>
          <w:tcPr>
            <w:tcW w:w="880" w:type="dxa"/>
            <w:vAlign w:val="bottom"/>
          </w:tcPr>
          <w:p>
            <w:pPr>
              <w:jc w:val="right"/>
              <w:spacing w:after="0"/>
              <w:rPr>
                <w:sz w:val="20"/>
                <w:szCs w:val="20"/>
                <w:color w:val="auto"/>
              </w:rPr>
            </w:pPr>
            <w:r>
              <w:rPr>
                <w:rFonts w:ascii="Calibri" w:cs="Calibri" w:eastAsia="Calibri" w:hAnsi="Calibri"/>
                <w:sz w:val="15"/>
                <w:szCs w:val="15"/>
                <w:color w:val="auto"/>
              </w:rPr>
              <w:t>(10)</w:t>
            </w:r>
          </w:p>
        </w:tc>
        <w:tc>
          <w:tcPr>
            <w:tcW w:w="0" w:type="dxa"/>
            <w:vAlign w:val="bottom"/>
          </w:tcPr>
          <w:p>
            <w:pPr>
              <w:spacing w:after="0"/>
              <w:rPr>
                <w:sz w:val="1"/>
                <w:szCs w:val="1"/>
                <w:color w:val="auto"/>
              </w:rPr>
            </w:pPr>
          </w:p>
        </w:tc>
      </w:tr>
      <w:tr>
        <w:trPr>
          <w:trHeight w:val="232"/>
        </w:trPr>
        <w:tc>
          <w:tcPr>
            <w:tcW w:w="4780" w:type="dxa"/>
            <w:vAlign w:val="bottom"/>
          </w:tcPr>
          <w:p>
            <w:pPr>
              <w:ind w:left="200"/>
              <w:spacing w:after="0"/>
              <w:rPr>
                <w:sz w:val="20"/>
                <w:szCs w:val="20"/>
                <w:color w:val="auto"/>
              </w:rPr>
            </w:pPr>
            <w:r>
              <w:rPr>
                <w:rFonts w:ascii="Calibri" w:cs="Calibri" w:eastAsia="Calibri" w:hAnsi="Calibri"/>
                <w:sz w:val="15"/>
                <w:szCs w:val="15"/>
                <w:color w:val="auto"/>
              </w:rPr>
              <w:t>Impairment of investment</w:t>
            </w:r>
          </w:p>
        </w:tc>
        <w:tc>
          <w:tcPr>
            <w:tcW w:w="1820" w:type="dxa"/>
            <w:vAlign w:val="bottom"/>
          </w:tcPr>
          <w:p>
            <w:pPr>
              <w:jc w:val="right"/>
              <w:ind w:right="406"/>
              <w:spacing w:after="0"/>
              <w:rPr>
                <w:sz w:val="20"/>
                <w:szCs w:val="20"/>
                <w:color w:val="auto"/>
              </w:rPr>
            </w:pPr>
            <w:r>
              <w:rPr>
                <w:rFonts w:ascii="Calibri" w:cs="Calibri" w:eastAsia="Calibri" w:hAnsi="Calibri"/>
                <w:sz w:val="15"/>
                <w:szCs w:val="15"/>
                <w:b w:val="1"/>
                <w:bCs w:val="1"/>
                <w:color w:val="auto"/>
              </w:rPr>
              <w:t>—</w:t>
            </w:r>
          </w:p>
        </w:tc>
        <w:tc>
          <w:tcPr>
            <w:tcW w:w="1680" w:type="dxa"/>
            <w:vAlign w:val="bottom"/>
          </w:tcPr>
          <w:p>
            <w:pPr>
              <w:jc w:val="right"/>
              <w:ind w:right="407"/>
              <w:spacing w:after="0"/>
              <w:rPr>
                <w:sz w:val="20"/>
                <w:szCs w:val="20"/>
                <w:color w:val="auto"/>
              </w:rPr>
            </w:pPr>
            <w:r>
              <w:rPr>
                <w:rFonts w:ascii="Calibri" w:cs="Calibri" w:eastAsia="Calibri" w:hAnsi="Calibri"/>
                <w:sz w:val="15"/>
                <w:szCs w:val="15"/>
                <w:color w:val="auto"/>
              </w:rPr>
              <w:t>(63)</w:t>
            </w:r>
          </w:p>
        </w:tc>
        <w:tc>
          <w:tcPr>
            <w:tcW w:w="2080" w:type="dxa"/>
            <w:vAlign w:val="bottom"/>
          </w:tcPr>
          <w:p>
            <w:pPr>
              <w:jc w:val="right"/>
              <w:ind w:right="786"/>
              <w:spacing w:after="0"/>
              <w:rPr>
                <w:sz w:val="20"/>
                <w:szCs w:val="20"/>
                <w:color w:val="auto"/>
              </w:rPr>
            </w:pPr>
            <w:r>
              <w:rPr>
                <w:rFonts w:ascii="Calibri" w:cs="Calibri" w:eastAsia="Calibri" w:hAnsi="Calibri"/>
                <w:sz w:val="15"/>
                <w:szCs w:val="15"/>
                <w:b w:val="1"/>
                <w:bCs w:val="1"/>
                <w:color w:val="auto"/>
              </w:rPr>
              <w:t>—</w:t>
            </w:r>
          </w:p>
        </w:tc>
        <w:tc>
          <w:tcPr>
            <w:tcW w:w="880" w:type="dxa"/>
            <w:vAlign w:val="bottom"/>
          </w:tcPr>
          <w:p>
            <w:pPr>
              <w:jc w:val="right"/>
              <w:spacing w:after="0"/>
              <w:rPr>
                <w:sz w:val="20"/>
                <w:szCs w:val="20"/>
                <w:color w:val="auto"/>
              </w:rPr>
            </w:pPr>
            <w:r>
              <w:rPr>
                <w:rFonts w:ascii="Calibri" w:cs="Calibri" w:eastAsia="Calibri" w:hAnsi="Calibri"/>
                <w:sz w:val="15"/>
                <w:szCs w:val="15"/>
                <w:color w:val="auto"/>
              </w:rPr>
              <w:t>(63)</w:t>
            </w:r>
          </w:p>
        </w:tc>
        <w:tc>
          <w:tcPr>
            <w:tcW w:w="0" w:type="dxa"/>
            <w:vAlign w:val="bottom"/>
          </w:tcPr>
          <w:p>
            <w:pPr>
              <w:spacing w:after="0"/>
              <w:rPr>
                <w:sz w:val="1"/>
                <w:szCs w:val="1"/>
                <w:color w:val="auto"/>
              </w:rPr>
            </w:pPr>
          </w:p>
        </w:tc>
      </w:tr>
      <w:tr>
        <w:trPr>
          <w:trHeight w:val="232"/>
        </w:trPr>
        <w:tc>
          <w:tcPr>
            <w:tcW w:w="4780" w:type="dxa"/>
            <w:vAlign w:val="bottom"/>
          </w:tcPr>
          <w:p>
            <w:pPr>
              <w:ind w:left="200"/>
              <w:spacing w:after="0"/>
              <w:rPr>
                <w:sz w:val="20"/>
                <w:szCs w:val="20"/>
                <w:color w:val="auto"/>
              </w:rPr>
            </w:pPr>
            <w:r>
              <w:rPr>
                <w:rFonts w:ascii="Calibri" w:cs="Calibri" w:eastAsia="Calibri" w:hAnsi="Calibri"/>
                <w:sz w:val="15"/>
                <w:szCs w:val="15"/>
                <w:color w:val="auto"/>
              </w:rPr>
              <w:t>Impairment of promissory note</w:t>
            </w:r>
          </w:p>
        </w:tc>
        <w:tc>
          <w:tcPr>
            <w:tcW w:w="1820" w:type="dxa"/>
            <w:vAlign w:val="bottom"/>
          </w:tcPr>
          <w:p>
            <w:pPr>
              <w:jc w:val="right"/>
              <w:ind w:right="406"/>
              <w:spacing w:after="0"/>
              <w:rPr>
                <w:sz w:val="20"/>
                <w:szCs w:val="20"/>
                <w:color w:val="auto"/>
              </w:rPr>
            </w:pPr>
            <w:r>
              <w:rPr>
                <w:rFonts w:ascii="Calibri" w:cs="Calibri" w:eastAsia="Calibri" w:hAnsi="Calibri"/>
                <w:sz w:val="15"/>
                <w:szCs w:val="15"/>
                <w:b w:val="1"/>
                <w:bCs w:val="1"/>
                <w:color w:val="auto"/>
              </w:rPr>
              <w:t>—</w:t>
            </w:r>
          </w:p>
        </w:tc>
        <w:tc>
          <w:tcPr>
            <w:tcW w:w="1680" w:type="dxa"/>
            <w:vAlign w:val="bottom"/>
          </w:tcPr>
          <w:p>
            <w:pPr>
              <w:jc w:val="right"/>
              <w:ind w:right="407"/>
              <w:spacing w:after="0"/>
              <w:rPr>
                <w:sz w:val="20"/>
                <w:szCs w:val="20"/>
                <w:color w:val="auto"/>
              </w:rPr>
            </w:pPr>
            <w:r>
              <w:rPr>
                <w:rFonts w:ascii="Calibri" w:cs="Calibri" w:eastAsia="Calibri" w:hAnsi="Calibri"/>
                <w:sz w:val="15"/>
                <w:szCs w:val="15"/>
                <w:color w:val="auto"/>
              </w:rPr>
              <w:t>(230)</w:t>
            </w:r>
          </w:p>
        </w:tc>
        <w:tc>
          <w:tcPr>
            <w:tcW w:w="2080" w:type="dxa"/>
            <w:vAlign w:val="bottom"/>
          </w:tcPr>
          <w:p>
            <w:pPr>
              <w:jc w:val="right"/>
              <w:ind w:right="786"/>
              <w:spacing w:after="0"/>
              <w:rPr>
                <w:sz w:val="20"/>
                <w:szCs w:val="20"/>
                <w:color w:val="auto"/>
              </w:rPr>
            </w:pPr>
            <w:r>
              <w:rPr>
                <w:rFonts w:ascii="Calibri" w:cs="Calibri" w:eastAsia="Calibri" w:hAnsi="Calibri"/>
                <w:sz w:val="15"/>
                <w:szCs w:val="15"/>
                <w:b w:val="1"/>
                <w:bCs w:val="1"/>
                <w:color w:val="auto"/>
              </w:rPr>
              <w:t>—</w:t>
            </w:r>
          </w:p>
        </w:tc>
        <w:tc>
          <w:tcPr>
            <w:tcW w:w="880" w:type="dxa"/>
            <w:vAlign w:val="bottom"/>
          </w:tcPr>
          <w:p>
            <w:pPr>
              <w:jc w:val="right"/>
              <w:spacing w:after="0"/>
              <w:rPr>
                <w:sz w:val="20"/>
                <w:szCs w:val="20"/>
                <w:color w:val="auto"/>
              </w:rPr>
            </w:pPr>
            <w:r>
              <w:rPr>
                <w:rFonts w:ascii="Calibri" w:cs="Calibri" w:eastAsia="Calibri" w:hAnsi="Calibri"/>
                <w:sz w:val="15"/>
                <w:szCs w:val="15"/>
                <w:color w:val="auto"/>
              </w:rPr>
              <w:t>(230)</w:t>
            </w:r>
          </w:p>
        </w:tc>
        <w:tc>
          <w:tcPr>
            <w:tcW w:w="0" w:type="dxa"/>
            <w:vAlign w:val="bottom"/>
          </w:tcPr>
          <w:p>
            <w:pPr>
              <w:spacing w:after="0"/>
              <w:rPr>
                <w:sz w:val="1"/>
                <w:szCs w:val="1"/>
                <w:color w:val="auto"/>
              </w:rPr>
            </w:pPr>
          </w:p>
        </w:tc>
      </w:tr>
      <w:tr>
        <w:trPr>
          <w:trHeight w:val="232"/>
        </w:trPr>
        <w:tc>
          <w:tcPr>
            <w:tcW w:w="4780" w:type="dxa"/>
            <w:vAlign w:val="bottom"/>
          </w:tcPr>
          <w:p>
            <w:pPr>
              <w:ind w:left="200"/>
              <w:spacing w:after="0"/>
              <w:rPr>
                <w:sz w:val="20"/>
                <w:szCs w:val="20"/>
                <w:color w:val="auto"/>
              </w:rPr>
            </w:pPr>
            <w:r>
              <w:rPr>
                <w:rFonts w:ascii="Calibri" w:cs="Calibri" w:eastAsia="Calibri" w:hAnsi="Calibri"/>
                <w:sz w:val="15"/>
                <w:szCs w:val="15"/>
                <w:color w:val="auto"/>
              </w:rPr>
              <w:t>Impairment of inventory</w:t>
            </w:r>
          </w:p>
        </w:tc>
        <w:tc>
          <w:tcPr>
            <w:tcW w:w="1820" w:type="dxa"/>
            <w:vAlign w:val="bottom"/>
          </w:tcPr>
          <w:p>
            <w:pPr>
              <w:jc w:val="right"/>
              <w:ind w:right="406"/>
              <w:spacing w:after="0"/>
              <w:rPr>
                <w:sz w:val="20"/>
                <w:szCs w:val="20"/>
                <w:color w:val="auto"/>
              </w:rPr>
            </w:pPr>
            <w:r>
              <w:rPr>
                <w:rFonts w:ascii="Calibri" w:cs="Calibri" w:eastAsia="Calibri" w:hAnsi="Calibri"/>
                <w:sz w:val="15"/>
                <w:szCs w:val="15"/>
                <w:b w:val="1"/>
                <w:bCs w:val="1"/>
                <w:color w:val="auto"/>
              </w:rPr>
              <w:t>—</w:t>
            </w:r>
          </w:p>
        </w:tc>
        <w:tc>
          <w:tcPr>
            <w:tcW w:w="1680" w:type="dxa"/>
            <w:vAlign w:val="bottom"/>
          </w:tcPr>
          <w:p>
            <w:pPr>
              <w:jc w:val="right"/>
              <w:ind w:right="407"/>
              <w:spacing w:after="0"/>
              <w:rPr>
                <w:sz w:val="20"/>
                <w:szCs w:val="20"/>
                <w:color w:val="auto"/>
              </w:rPr>
            </w:pPr>
            <w:r>
              <w:rPr>
                <w:rFonts w:ascii="Calibri" w:cs="Calibri" w:eastAsia="Calibri" w:hAnsi="Calibri"/>
                <w:sz w:val="15"/>
                <w:szCs w:val="15"/>
                <w:color w:val="auto"/>
              </w:rPr>
              <w:t>(511)</w:t>
            </w:r>
          </w:p>
        </w:tc>
        <w:tc>
          <w:tcPr>
            <w:tcW w:w="2080" w:type="dxa"/>
            <w:vAlign w:val="bottom"/>
          </w:tcPr>
          <w:p>
            <w:pPr>
              <w:jc w:val="right"/>
              <w:ind w:right="786"/>
              <w:spacing w:after="0"/>
              <w:rPr>
                <w:sz w:val="20"/>
                <w:szCs w:val="20"/>
                <w:color w:val="auto"/>
              </w:rPr>
            </w:pPr>
            <w:r>
              <w:rPr>
                <w:rFonts w:ascii="Calibri" w:cs="Calibri" w:eastAsia="Calibri" w:hAnsi="Calibri"/>
                <w:sz w:val="15"/>
                <w:szCs w:val="15"/>
                <w:b w:val="1"/>
                <w:bCs w:val="1"/>
                <w:color w:val="auto"/>
              </w:rPr>
              <w:t>—</w:t>
            </w:r>
          </w:p>
        </w:tc>
        <w:tc>
          <w:tcPr>
            <w:tcW w:w="880" w:type="dxa"/>
            <w:vAlign w:val="bottom"/>
          </w:tcPr>
          <w:p>
            <w:pPr>
              <w:jc w:val="right"/>
              <w:spacing w:after="0"/>
              <w:rPr>
                <w:sz w:val="20"/>
                <w:szCs w:val="20"/>
                <w:color w:val="auto"/>
              </w:rPr>
            </w:pPr>
            <w:r>
              <w:rPr>
                <w:rFonts w:ascii="Calibri" w:cs="Calibri" w:eastAsia="Calibri" w:hAnsi="Calibri"/>
                <w:sz w:val="15"/>
                <w:szCs w:val="15"/>
                <w:color w:val="auto"/>
              </w:rPr>
              <w:t>(511)</w:t>
            </w:r>
          </w:p>
        </w:tc>
        <w:tc>
          <w:tcPr>
            <w:tcW w:w="0" w:type="dxa"/>
            <w:vAlign w:val="bottom"/>
          </w:tcPr>
          <w:p>
            <w:pPr>
              <w:spacing w:after="0"/>
              <w:rPr>
                <w:sz w:val="1"/>
                <w:szCs w:val="1"/>
                <w:color w:val="auto"/>
              </w:rPr>
            </w:pPr>
          </w:p>
        </w:tc>
      </w:tr>
      <w:tr>
        <w:trPr>
          <w:trHeight w:val="232"/>
        </w:trPr>
        <w:tc>
          <w:tcPr>
            <w:tcW w:w="4780" w:type="dxa"/>
            <w:vAlign w:val="bottom"/>
          </w:tcPr>
          <w:p>
            <w:pPr>
              <w:ind w:left="200"/>
              <w:spacing w:after="0"/>
              <w:rPr>
                <w:sz w:val="20"/>
                <w:szCs w:val="20"/>
                <w:color w:val="auto"/>
              </w:rPr>
            </w:pPr>
            <w:r>
              <w:rPr>
                <w:rFonts w:ascii="Calibri" w:cs="Calibri" w:eastAsia="Calibri" w:hAnsi="Calibri"/>
                <w:sz w:val="15"/>
                <w:szCs w:val="15"/>
                <w:color w:val="auto"/>
              </w:rPr>
              <w:t>Change in fair value of investments measured at</w:t>
            </w:r>
          </w:p>
        </w:tc>
        <w:tc>
          <w:tcPr>
            <w:tcW w:w="1820" w:type="dxa"/>
            <w:vAlign w:val="bottom"/>
            <w:vMerge w:val="restart"/>
          </w:tcPr>
          <w:p>
            <w:pPr>
              <w:jc w:val="right"/>
              <w:ind w:right="406"/>
              <w:spacing w:after="0"/>
              <w:rPr>
                <w:sz w:val="20"/>
                <w:szCs w:val="20"/>
                <w:color w:val="auto"/>
              </w:rPr>
            </w:pPr>
            <w:r>
              <w:rPr>
                <w:rFonts w:ascii="Calibri" w:cs="Calibri" w:eastAsia="Calibri" w:hAnsi="Calibri"/>
                <w:sz w:val="15"/>
                <w:szCs w:val="15"/>
                <w:b w:val="1"/>
                <w:bCs w:val="1"/>
                <w:color w:val="auto"/>
              </w:rPr>
              <w:t>(29)</w:t>
            </w:r>
          </w:p>
        </w:tc>
        <w:tc>
          <w:tcPr>
            <w:tcW w:w="1680" w:type="dxa"/>
            <w:vAlign w:val="bottom"/>
            <w:vMerge w:val="restart"/>
          </w:tcPr>
          <w:p>
            <w:pPr>
              <w:jc w:val="right"/>
              <w:ind w:right="407"/>
              <w:spacing w:after="0"/>
              <w:rPr>
                <w:sz w:val="20"/>
                <w:szCs w:val="20"/>
                <w:color w:val="auto"/>
              </w:rPr>
            </w:pPr>
            <w:r>
              <w:rPr>
                <w:rFonts w:ascii="Calibri" w:cs="Calibri" w:eastAsia="Calibri" w:hAnsi="Calibri"/>
                <w:sz w:val="15"/>
                <w:szCs w:val="15"/>
                <w:color w:val="auto"/>
              </w:rPr>
              <w:t>—</w:t>
            </w:r>
          </w:p>
        </w:tc>
        <w:tc>
          <w:tcPr>
            <w:tcW w:w="2080" w:type="dxa"/>
            <w:vAlign w:val="bottom"/>
            <w:vMerge w:val="restart"/>
          </w:tcPr>
          <w:p>
            <w:pPr>
              <w:jc w:val="right"/>
              <w:ind w:right="786"/>
              <w:spacing w:after="0"/>
              <w:rPr>
                <w:sz w:val="20"/>
                <w:szCs w:val="20"/>
                <w:color w:val="auto"/>
              </w:rPr>
            </w:pPr>
            <w:r>
              <w:rPr>
                <w:rFonts w:ascii="Calibri" w:cs="Calibri" w:eastAsia="Calibri" w:hAnsi="Calibri"/>
                <w:sz w:val="15"/>
                <w:szCs w:val="15"/>
                <w:b w:val="1"/>
                <w:bCs w:val="1"/>
                <w:color w:val="auto"/>
              </w:rPr>
              <w:t>(29)</w:t>
            </w:r>
          </w:p>
        </w:tc>
        <w:tc>
          <w:tcPr>
            <w:tcW w:w="880" w:type="dxa"/>
            <w:vAlign w:val="bottom"/>
            <w:vMerge w:val="restart"/>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86"/>
        </w:trPr>
        <w:tc>
          <w:tcPr>
            <w:tcW w:w="4780" w:type="dxa"/>
            <w:vAlign w:val="bottom"/>
            <w:vMerge w:val="restart"/>
          </w:tcPr>
          <w:p>
            <w:pPr>
              <w:ind w:left="200"/>
              <w:spacing w:after="0"/>
              <w:rPr>
                <w:sz w:val="20"/>
                <w:szCs w:val="20"/>
                <w:color w:val="auto"/>
              </w:rPr>
            </w:pPr>
            <w:r>
              <w:rPr>
                <w:rFonts w:ascii="Calibri" w:cs="Calibri" w:eastAsia="Calibri" w:hAnsi="Calibri"/>
                <w:sz w:val="15"/>
                <w:szCs w:val="15"/>
                <w:color w:val="auto"/>
              </w:rPr>
              <w:t>fair value through proft or loss</w:t>
            </w:r>
          </w:p>
        </w:tc>
        <w:tc>
          <w:tcPr>
            <w:tcW w:w="182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780" w:type="dxa"/>
            <w:vAlign w:val="bottom"/>
            <w:vMerge w:val="continue"/>
          </w:tcPr>
          <w:p>
            <w:pPr>
              <w:spacing w:after="0"/>
              <w:rPr>
                <w:sz w:val="8"/>
                <w:szCs w:val="8"/>
                <w:color w:val="auto"/>
              </w:rPr>
            </w:pPr>
          </w:p>
        </w:tc>
        <w:tc>
          <w:tcPr>
            <w:tcW w:w="18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4780" w:type="dxa"/>
            <w:vAlign w:val="bottom"/>
          </w:tcPr>
          <w:p>
            <w:pPr>
              <w:ind w:left="200"/>
              <w:spacing w:after="0"/>
              <w:rPr>
                <w:sz w:val="20"/>
                <w:szCs w:val="20"/>
                <w:color w:val="auto"/>
              </w:rPr>
            </w:pPr>
            <w:r>
              <w:rPr>
                <w:rFonts w:ascii="Calibri" w:cs="Calibri" w:eastAsia="Calibri" w:hAnsi="Calibri"/>
                <w:sz w:val="15"/>
                <w:szCs w:val="15"/>
                <w:color w:val="auto"/>
              </w:rPr>
              <w:t>Foreign currency translaton loss</w:t>
            </w:r>
          </w:p>
        </w:tc>
        <w:tc>
          <w:tcPr>
            <w:tcW w:w="1820" w:type="dxa"/>
            <w:vAlign w:val="bottom"/>
          </w:tcPr>
          <w:p>
            <w:pPr>
              <w:jc w:val="right"/>
              <w:ind w:right="406"/>
              <w:spacing w:after="0"/>
              <w:rPr>
                <w:sz w:val="20"/>
                <w:szCs w:val="20"/>
                <w:color w:val="auto"/>
              </w:rPr>
            </w:pPr>
            <w:r>
              <w:rPr>
                <w:rFonts w:ascii="Calibri" w:cs="Calibri" w:eastAsia="Calibri" w:hAnsi="Calibri"/>
                <w:sz w:val="15"/>
                <w:szCs w:val="15"/>
                <w:b w:val="1"/>
                <w:bCs w:val="1"/>
                <w:color w:val="auto"/>
              </w:rPr>
              <w:t>(351)</w:t>
            </w:r>
          </w:p>
        </w:tc>
        <w:tc>
          <w:tcPr>
            <w:tcW w:w="1680" w:type="dxa"/>
            <w:vAlign w:val="bottom"/>
          </w:tcPr>
          <w:p>
            <w:pPr>
              <w:jc w:val="right"/>
              <w:ind w:right="407"/>
              <w:spacing w:after="0"/>
              <w:rPr>
                <w:sz w:val="20"/>
                <w:szCs w:val="20"/>
                <w:color w:val="auto"/>
              </w:rPr>
            </w:pPr>
            <w:r>
              <w:rPr>
                <w:rFonts w:ascii="Calibri" w:cs="Calibri" w:eastAsia="Calibri" w:hAnsi="Calibri"/>
                <w:sz w:val="15"/>
                <w:szCs w:val="15"/>
                <w:color w:val="auto"/>
              </w:rPr>
              <w:t>(174)</w:t>
            </w:r>
          </w:p>
        </w:tc>
        <w:tc>
          <w:tcPr>
            <w:tcW w:w="2080" w:type="dxa"/>
            <w:vAlign w:val="bottom"/>
          </w:tcPr>
          <w:p>
            <w:pPr>
              <w:jc w:val="right"/>
              <w:ind w:right="786"/>
              <w:spacing w:after="0"/>
              <w:rPr>
                <w:sz w:val="20"/>
                <w:szCs w:val="20"/>
                <w:color w:val="auto"/>
              </w:rPr>
            </w:pPr>
            <w:r>
              <w:rPr>
                <w:rFonts w:ascii="Calibri" w:cs="Calibri" w:eastAsia="Calibri" w:hAnsi="Calibri"/>
                <w:sz w:val="15"/>
                <w:szCs w:val="15"/>
                <w:b w:val="1"/>
                <w:bCs w:val="1"/>
                <w:color w:val="auto"/>
              </w:rPr>
              <w:t>(309)</w:t>
            </w:r>
          </w:p>
        </w:tc>
        <w:tc>
          <w:tcPr>
            <w:tcW w:w="880" w:type="dxa"/>
            <w:vAlign w:val="bottom"/>
          </w:tcPr>
          <w:p>
            <w:pPr>
              <w:jc w:val="right"/>
              <w:spacing w:after="0"/>
              <w:rPr>
                <w:sz w:val="20"/>
                <w:szCs w:val="20"/>
                <w:color w:val="auto"/>
              </w:rPr>
            </w:pPr>
            <w:r>
              <w:rPr>
                <w:rFonts w:ascii="Calibri" w:cs="Calibri" w:eastAsia="Calibri" w:hAnsi="Calibri"/>
                <w:sz w:val="15"/>
                <w:szCs w:val="15"/>
                <w:color w:val="auto"/>
              </w:rPr>
              <w:t>(460)</w:t>
            </w:r>
          </w:p>
        </w:tc>
        <w:tc>
          <w:tcPr>
            <w:tcW w:w="0" w:type="dxa"/>
            <w:vAlign w:val="bottom"/>
          </w:tcPr>
          <w:p>
            <w:pPr>
              <w:spacing w:after="0"/>
              <w:rPr>
                <w:sz w:val="1"/>
                <w:szCs w:val="1"/>
                <w:color w:val="auto"/>
              </w:rPr>
            </w:pPr>
          </w:p>
        </w:tc>
      </w:tr>
      <w:tr>
        <w:trPr>
          <w:trHeight w:val="232"/>
        </w:trPr>
        <w:tc>
          <w:tcPr>
            <w:tcW w:w="4780" w:type="dxa"/>
            <w:vAlign w:val="bottom"/>
          </w:tcPr>
          <w:p>
            <w:pPr>
              <w:ind w:left="220"/>
              <w:spacing w:after="0"/>
              <w:rPr>
                <w:sz w:val="20"/>
                <w:szCs w:val="20"/>
                <w:color w:val="auto"/>
              </w:rPr>
            </w:pPr>
            <w:r>
              <w:rPr>
                <w:rFonts w:ascii="Calibri" w:cs="Calibri" w:eastAsia="Calibri" w:hAnsi="Calibri"/>
                <w:sz w:val="15"/>
                <w:szCs w:val="15"/>
                <w:color w:val="auto"/>
              </w:rPr>
              <w:t>Contngent consideraton accreton</w:t>
            </w:r>
          </w:p>
        </w:tc>
        <w:tc>
          <w:tcPr>
            <w:tcW w:w="1820" w:type="dxa"/>
            <w:vAlign w:val="bottom"/>
          </w:tcPr>
          <w:p>
            <w:pPr>
              <w:jc w:val="right"/>
              <w:ind w:right="406"/>
              <w:spacing w:after="0"/>
              <w:rPr>
                <w:sz w:val="20"/>
                <w:szCs w:val="20"/>
                <w:color w:val="auto"/>
              </w:rPr>
            </w:pPr>
            <w:r>
              <w:rPr>
                <w:rFonts w:ascii="Calibri" w:cs="Calibri" w:eastAsia="Calibri" w:hAnsi="Calibri"/>
                <w:sz w:val="15"/>
                <w:szCs w:val="15"/>
                <w:b w:val="1"/>
                <w:bCs w:val="1"/>
                <w:color w:val="auto"/>
              </w:rPr>
              <w:t>(26)</w:t>
            </w:r>
          </w:p>
        </w:tc>
        <w:tc>
          <w:tcPr>
            <w:tcW w:w="1680" w:type="dxa"/>
            <w:vAlign w:val="bottom"/>
          </w:tcPr>
          <w:p>
            <w:pPr>
              <w:jc w:val="right"/>
              <w:ind w:right="407"/>
              <w:spacing w:after="0"/>
              <w:rPr>
                <w:sz w:val="20"/>
                <w:szCs w:val="20"/>
                <w:color w:val="auto"/>
              </w:rPr>
            </w:pPr>
            <w:r>
              <w:rPr>
                <w:rFonts w:ascii="Calibri" w:cs="Calibri" w:eastAsia="Calibri" w:hAnsi="Calibri"/>
                <w:sz w:val="15"/>
                <w:szCs w:val="15"/>
                <w:color w:val="auto"/>
              </w:rPr>
              <w:t>(482)</w:t>
            </w:r>
          </w:p>
        </w:tc>
        <w:tc>
          <w:tcPr>
            <w:tcW w:w="2080" w:type="dxa"/>
            <w:vAlign w:val="bottom"/>
          </w:tcPr>
          <w:p>
            <w:pPr>
              <w:jc w:val="right"/>
              <w:ind w:right="786"/>
              <w:spacing w:after="0"/>
              <w:rPr>
                <w:sz w:val="20"/>
                <w:szCs w:val="20"/>
                <w:color w:val="auto"/>
              </w:rPr>
            </w:pPr>
            <w:r>
              <w:rPr>
                <w:rFonts w:ascii="Calibri" w:cs="Calibri" w:eastAsia="Calibri" w:hAnsi="Calibri"/>
                <w:sz w:val="15"/>
                <w:szCs w:val="15"/>
                <w:b w:val="1"/>
                <w:bCs w:val="1"/>
                <w:color w:val="auto"/>
              </w:rPr>
              <w:t>(316)</w:t>
            </w:r>
          </w:p>
        </w:tc>
        <w:tc>
          <w:tcPr>
            <w:tcW w:w="880" w:type="dxa"/>
            <w:vAlign w:val="bottom"/>
          </w:tcPr>
          <w:p>
            <w:pPr>
              <w:jc w:val="right"/>
              <w:spacing w:after="0"/>
              <w:rPr>
                <w:sz w:val="20"/>
                <w:szCs w:val="20"/>
                <w:color w:val="auto"/>
              </w:rPr>
            </w:pPr>
            <w:r>
              <w:rPr>
                <w:rFonts w:ascii="Calibri" w:cs="Calibri" w:eastAsia="Calibri" w:hAnsi="Calibri"/>
                <w:sz w:val="15"/>
                <w:szCs w:val="15"/>
                <w:color w:val="auto"/>
              </w:rPr>
              <w:t>(482)</w:t>
            </w:r>
          </w:p>
        </w:tc>
        <w:tc>
          <w:tcPr>
            <w:tcW w:w="0" w:type="dxa"/>
            <w:vAlign w:val="bottom"/>
          </w:tcPr>
          <w:p>
            <w:pPr>
              <w:spacing w:after="0"/>
              <w:rPr>
                <w:sz w:val="1"/>
                <w:szCs w:val="1"/>
                <w:color w:val="auto"/>
              </w:rPr>
            </w:pPr>
          </w:p>
        </w:tc>
      </w:tr>
      <w:tr>
        <w:trPr>
          <w:trHeight w:val="232"/>
        </w:trPr>
        <w:tc>
          <w:tcPr>
            <w:tcW w:w="4780" w:type="dxa"/>
            <w:vAlign w:val="bottom"/>
          </w:tcPr>
          <w:p>
            <w:pPr>
              <w:ind w:left="240"/>
              <w:spacing w:after="0"/>
              <w:rPr>
                <w:sz w:val="20"/>
                <w:szCs w:val="20"/>
                <w:color w:val="auto"/>
              </w:rPr>
            </w:pPr>
            <w:r>
              <w:rPr>
                <w:rFonts w:ascii="Calibri" w:cs="Calibri" w:eastAsia="Calibri" w:hAnsi="Calibri"/>
                <w:sz w:val="15"/>
                <w:szCs w:val="15"/>
                <w:color w:val="auto"/>
              </w:rPr>
              <w:t>Change in fair value of contngent consideraton</w:t>
            </w:r>
          </w:p>
        </w:tc>
        <w:tc>
          <w:tcPr>
            <w:tcW w:w="1820" w:type="dxa"/>
            <w:vAlign w:val="bottom"/>
          </w:tcPr>
          <w:p>
            <w:pPr>
              <w:jc w:val="right"/>
              <w:ind w:right="406"/>
              <w:spacing w:after="0"/>
              <w:rPr>
                <w:sz w:val="20"/>
                <w:szCs w:val="20"/>
                <w:color w:val="auto"/>
              </w:rPr>
            </w:pPr>
            <w:r>
              <w:rPr>
                <w:rFonts w:ascii="Calibri" w:cs="Calibri" w:eastAsia="Calibri" w:hAnsi="Calibri"/>
                <w:sz w:val="15"/>
                <w:szCs w:val="15"/>
                <w:b w:val="1"/>
                <w:bCs w:val="1"/>
                <w:color w:val="auto"/>
              </w:rPr>
              <w:t>(1,436)</w:t>
            </w:r>
          </w:p>
        </w:tc>
        <w:tc>
          <w:tcPr>
            <w:tcW w:w="1680" w:type="dxa"/>
            <w:vAlign w:val="bottom"/>
          </w:tcPr>
          <w:p>
            <w:pPr>
              <w:jc w:val="right"/>
              <w:ind w:right="407"/>
              <w:spacing w:after="0"/>
              <w:rPr>
                <w:sz w:val="20"/>
                <w:szCs w:val="20"/>
                <w:color w:val="auto"/>
              </w:rPr>
            </w:pPr>
            <w:r>
              <w:rPr>
                <w:rFonts w:ascii="Calibri" w:cs="Calibri" w:eastAsia="Calibri" w:hAnsi="Calibri"/>
                <w:sz w:val="15"/>
                <w:szCs w:val="15"/>
                <w:color w:val="auto"/>
              </w:rPr>
              <w:t>—</w:t>
            </w:r>
          </w:p>
        </w:tc>
        <w:tc>
          <w:tcPr>
            <w:tcW w:w="2080" w:type="dxa"/>
            <w:vAlign w:val="bottom"/>
          </w:tcPr>
          <w:p>
            <w:pPr>
              <w:jc w:val="right"/>
              <w:ind w:right="786"/>
              <w:spacing w:after="0"/>
              <w:rPr>
                <w:sz w:val="20"/>
                <w:szCs w:val="20"/>
                <w:color w:val="auto"/>
              </w:rPr>
            </w:pPr>
            <w:r>
              <w:rPr>
                <w:rFonts w:ascii="Calibri" w:cs="Calibri" w:eastAsia="Calibri" w:hAnsi="Calibri"/>
                <w:sz w:val="15"/>
                <w:szCs w:val="15"/>
                <w:b w:val="1"/>
                <w:bCs w:val="1"/>
                <w:color w:val="auto"/>
              </w:rPr>
              <w:t>(3,380)</w:t>
            </w:r>
          </w:p>
        </w:tc>
        <w:tc>
          <w:tcPr>
            <w:tcW w:w="88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35"/>
        </w:trPr>
        <w:tc>
          <w:tcPr>
            <w:tcW w:w="47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60"/>
              <w:spacing w:after="0" w:line="175" w:lineRule="exact"/>
              <w:rPr>
                <w:sz w:val="20"/>
                <w:szCs w:val="20"/>
                <w:color w:val="auto"/>
              </w:rPr>
            </w:pPr>
            <w:r>
              <w:rPr>
                <w:rFonts w:ascii="Calibri" w:cs="Calibri" w:eastAsia="Calibri" w:hAnsi="Calibri"/>
                <w:sz w:val="15"/>
                <w:szCs w:val="15"/>
                <w:b w:val="1"/>
                <w:bCs w:val="1"/>
                <w:color w:val="auto"/>
              </w:rPr>
              <w:t>TOTAL OTHER EXPENSES</w:t>
            </w:r>
          </w:p>
        </w:tc>
        <w:tc>
          <w:tcPr>
            <w:tcW w:w="1820" w:type="dxa"/>
            <w:vAlign w:val="bottom"/>
          </w:tcPr>
          <w:p>
            <w:pPr>
              <w:jc w:val="right"/>
              <w:ind w:right="406"/>
              <w:spacing w:after="0" w:line="175" w:lineRule="exact"/>
              <w:rPr>
                <w:sz w:val="20"/>
                <w:szCs w:val="20"/>
                <w:color w:val="auto"/>
              </w:rPr>
            </w:pPr>
            <w:r>
              <w:rPr>
                <w:rFonts w:ascii="Calibri" w:cs="Calibri" w:eastAsia="Calibri" w:hAnsi="Calibri"/>
                <w:sz w:val="15"/>
                <w:szCs w:val="15"/>
                <w:b w:val="1"/>
                <w:bCs w:val="1"/>
                <w:color w:val="auto"/>
              </w:rPr>
              <w:t>(1,759)</w:t>
            </w:r>
          </w:p>
        </w:tc>
        <w:tc>
          <w:tcPr>
            <w:tcW w:w="1680" w:type="dxa"/>
            <w:vAlign w:val="bottom"/>
          </w:tcPr>
          <w:p>
            <w:pPr>
              <w:jc w:val="right"/>
              <w:ind w:right="407"/>
              <w:spacing w:after="0" w:line="175" w:lineRule="exact"/>
              <w:rPr>
                <w:sz w:val="20"/>
                <w:szCs w:val="20"/>
                <w:color w:val="auto"/>
              </w:rPr>
            </w:pPr>
            <w:r>
              <w:rPr>
                <w:rFonts w:ascii="Calibri" w:cs="Calibri" w:eastAsia="Calibri" w:hAnsi="Calibri"/>
                <w:sz w:val="15"/>
                <w:szCs w:val="15"/>
                <w:color w:val="auto"/>
              </w:rPr>
              <w:t>(1,414)</w:t>
            </w:r>
          </w:p>
        </w:tc>
        <w:tc>
          <w:tcPr>
            <w:tcW w:w="2080" w:type="dxa"/>
            <w:vAlign w:val="bottom"/>
          </w:tcPr>
          <w:p>
            <w:pPr>
              <w:jc w:val="right"/>
              <w:ind w:right="786"/>
              <w:spacing w:after="0" w:line="175" w:lineRule="exact"/>
              <w:rPr>
                <w:sz w:val="20"/>
                <w:szCs w:val="20"/>
                <w:color w:val="auto"/>
              </w:rPr>
            </w:pPr>
            <w:r>
              <w:rPr>
                <w:rFonts w:ascii="Calibri" w:cs="Calibri" w:eastAsia="Calibri" w:hAnsi="Calibri"/>
                <w:sz w:val="15"/>
                <w:szCs w:val="15"/>
                <w:b w:val="1"/>
                <w:bCs w:val="1"/>
                <w:color w:val="auto"/>
              </w:rPr>
              <w:t>(3,793)</w:t>
            </w:r>
          </w:p>
        </w:tc>
        <w:tc>
          <w:tcPr>
            <w:tcW w:w="880" w:type="dxa"/>
            <w:vAlign w:val="bottom"/>
          </w:tcPr>
          <w:p>
            <w:pPr>
              <w:jc w:val="right"/>
              <w:spacing w:after="0" w:line="175" w:lineRule="exact"/>
              <w:rPr>
                <w:sz w:val="20"/>
                <w:szCs w:val="20"/>
                <w:color w:val="auto"/>
              </w:rPr>
            </w:pPr>
            <w:r>
              <w:rPr>
                <w:rFonts w:ascii="Calibri" w:cs="Calibri" w:eastAsia="Calibri" w:hAnsi="Calibri"/>
                <w:sz w:val="15"/>
                <w:szCs w:val="15"/>
                <w:color w:val="auto"/>
              </w:rPr>
              <w:t>(1,696)</w:t>
            </w:r>
          </w:p>
        </w:tc>
        <w:tc>
          <w:tcPr>
            <w:tcW w:w="0" w:type="dxa"/>
            <w:vAlign w:val="bottom"/>
          </w:tcPr>
          <w:p>
            <w:pPr>
              <w:spacing w:after="0"/>
              <w:rPr>
                <w:sz w:val="1"/>
                <w:szCs w:val="1"/>
                <w:color w:val="auto"/>
              </w:rPr>
            </w:pPr>
          </w:p>
        </w:tc>
      </w:tr>
      <w:tr>
        <w:trPr>
          <w:trHeight w:val="50"/>
        </w:trPr>
        <w:tc>
          <w:tcPr>
            <w:tcW w:w="47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47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D9D9D9"/>
            </w:tcBorders>
            <w:shd w:val="clear" w:color="auto" w:fill="D9D9D9"/>
          </w:tcPr>
          <w:p>
            <w:pPr>
              <w:ind w:left="60"/>
              <w:spacing w:after="0" w:line="175" w:lineRule="exact"/>
              <w:rPr>
                <w:sz w:val="20"/>
                <w:szCs w:val="20"/>
                <w:color w:val="auto"/>
              </w:rPr>
            </w:pPr>
            <w:r>
              <w:rPr>
                <w:rFonts w:ascii="Calibri" w:cs="Calibri" w:eastAsia="Calibri" w:hAnsi="Calibri"/>
                <w:sz w:val="15"/>
                <w:szCs w:val="15"/>
                <w:b w:val="1"/>
                <w:bCs w:val="1"/>
                <w:color w:val="auto"/>
              </w:rPr>
              <w:t>NET LOSS FOR THE PERIOD</w:t>
            </w:r>
          </w:p>
        </w:tc>
        <w:tc>
          <w:tcPr>
            <w:tcW w:w="1820" w:type="dxa"/>
            <w:vAlign w:val="bottom"/>
            <w:tcBorders>
              <w:bottom w:val="single" w:sz="8" w:color="D9D9D9"/>
            </w:tcBorders>
            <w:shd w:val="clear" w:color="auto" w:fill="D9D9D9"/>
          </w:tcPr>
          <w:p>
            <w:pPr>
              <w:jc w:val="right"/>
              <w:ind w:right="406"/>
              <w:spacing w:after="0" w:line="175" w:lineRule="exact"/>
              <w:rPr>
                <w:sz w:val="20"/>
                <w:szCs w:val="20"/>
                <w:color w:val="auto"/>
              </w:rPr>
            </w:pPr>
            <w:r>
              <w:rPr>
                <w:rFonts w:ascii="Calibri" w:cs="Calibri" w:eastAsia="Calibri" w:hAnsi="Calibri"/>
                <w:sz w:val="15"/>
                <w:szCs w:val="15"/>
                <w:b w:val="1"/>
                <w:bCs w:val="1"/>
                <w:color w:val="auto"/>
              </w:rPr>
              <w:t>(18,097)</w:t>
            </w:r>
          </w:p>
        </w:tc>
        <w:tc>
          <w:tcPr>
            <w:tcW w:w="1680" w:type="dxa"/>
            <w:vAlign w:val="bottom"/>
            <w:tcBorders>
              <w:bottom w:val="single" w:sz="8" w:color="D9D9D9"/>
            </w:tcBorders>
            <w:shd w:val="clear" w:color="auto" w:fill="D9D9D9"/>
          </w:tcPr>
          <w:p>
            <w:pPr>
              <w:jc w:val="right"/>
              <w:ind w:right="407"/>
              <w:spacing w:after="0" w:line="175" w:lineRule="exact"/>
              <w:rPr>
                <w:sz w:val="20"/>
                <w:szCs w:val="20"/>
                <w:color w:val="auto"/>
              </w:rPr>
            </w:pPr>
            <w:r>
              <w:rPr>
                <w:rFonts w:ascii="Calibri" w:cs="Calibri" w:eastAsia="Calibri" w:hAnsi="Calibri"/>
                <w:sz w:val="15"/>
                <w:szCs w:val="15"/>
                <w:color w:val="auto"/>
              </w:rPr>
              <w:t>(13,777)</w:t>
            </w:r>
          </w:p>
        </w:tc>
        <w:tc>
          <w:tcPr>
            <w:tcW w:w="2080" w:type="dxa"/>
            <w:vAlign w:val="bottom"/>
            <w:tcBorders>
              <w:bottom w:val="single" w:sz="8" w:color="D9D9D9"/>
            </w:tcBorders>
            <w:shd w:val="clear" w:color="auto" w:fill="D9D9D9"/>
          </w:tcPr>
          <w:p>
            <w:pPr>
              <w:jc w:val="right"/>
              <w:ind w:right="786"/>
              <w:spacing w:after="0" w:line="175" w:lineRule="exact"/>
              <w:rPr>
                <w:sz w:val="20"/>
                <w:szCs w:val="20"/>
                <w:color w:val="auto"/>
              </w:rPr>
            </w:pPr>
            <w:r>
              <w:rPr>
                <w:rFonts w:ascii="Calibri" w:cs="Calibri" w:eastAsia="Calibri" w:hAnsi="Calibri"/>
                <w:sz w:val="15"/>
                <w:szCs w:val="15"/>
                <w:b w:val="1"/>
                <w:bCs w:val="1"/>
                <w:color w:val="auto"/>
              </w:rPr>
              <w:t>(67,631)</w:t>
            </w:r>
          </w:p>
        </w:tc>
        <w:tc>
          <w:tcPr>
            <w:tcW w:w="880" w:type="dxa"/>
            <w:vAlign w:val="bottom"/>
            <w:tcBorders>
              <w:bottom w:val="single" w:sz="8" w:color="D9D9D9"/>
            </w:tcBorders>
            <w:shd w:val="clear" w:color="auto" w:fill="D9D9D9"/>
          </w:tcPr>
          <w:p>
            <w:pPr>
              <w:jc w:val="right"/>
              <w:spacing w:after="0" w:line="175" w:lineRule="exact"/>
              <w:rPr>
                <w:sz w:val="20"/>
                <w:szCs w:val="20"/>
                <w:color w:val="auto"/>
              </w:rPr>
            </w:pPr>
            <w:r>
              <w:rPr>
                <w:rFonts w:ascii="Calibri" w:cs="Calibri" w:eastAsia="Calibri" w:hAnsi="Calibri"/>
                <w:sz w:val="15"/>
                <w:szCs w:val="15"/>
                <w:color w:val="auto"/>
              </w:rPr>
              <w:t>(32,220)</w:t>
            </w:r>
          </w:p>
        </w:tc>
        <w:tc>
          <w:tcPr>
            <w:tcW w:w="0" w:type="dxa"/>
            <w:vAlign w:val="bottom"/>
          </w:tcPr>
          <w:p>
            <w:pPr>
              <w:spacing w:after="0"/>
              <w:rPr>
                <w:sz w:val="1"/>
                <w:szCs w:val="1"/>
                <w:color w:val="auto"/>
              </w:rPr>
            </w:pPr>
          </w:p>
        </w:tc>
      </w:tr>
      <w:tr>
        <w:trPr>
          <w:trHeight w:val="395"/>
        </w:trPr>
        <w:tc>
          <w:tcPr>
            <w:tcW w:w="478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Basic loss per share for the period atributable to common shareholders</w:t>
            </w:r>
          </w:p>
        </w:tc>
        <w:tc>
          <w:tcPr>
            <w:tcW w:w="1820" w:type="dxa"/>
            <w:vAlign w:val="bottom"/>
            <w:tcBorders>
              <w:top w:val="single" w:sz="8" w:color="auto"/>
            </w:tcBorders>
          </w:tcPr>
          <w:p>
            <w:pPr>
              <w:jc w:val="right"/>
              <w:ind w:right="406"/>
              <w:spacing w:after="0"/>
              <w:rPr>
                <w:sz w:val="20"/>
                <w:szCs w:val="20"/>
                <w:color w:val="auto"/>
              </w:rPr>
            </w:pPr>
            <w:r>
              <w:rPr>
                <w:rFonts w:ascii="Calibri" w:cs="Calibri" w:eastAsia="Calibri" w:hAnsi="Calibri"/>
                <w:sz w:val="15"/>
                <w:szCs w:val="15"/>
                <w:b w:val="1"/>
                <w:bCs w:val="1"/>
                <w:color w:val="auto"/>
              </w:rPr>
              <w:t>(0.10)</w:t>
            </w:r>
          </w:p>
        </w:tc>
        <w:tc>
          <w:tcPr>
            <w:tcW w:w="1680" w:type="dxa"/>
            <w:vAlign w:val="bottom"/>
            <w:tcBorders>
              <w:top w:val="single" w:sz="8" w:color="auto"/>
            </w:tcBorders>
          </w:tcPr>
          <w:p>
            <w:pPr>
              <w:jc w:val="right"/>
              <w:ind w:right="407"/>
              <w:spacing w:after="0"/>
              <w:rPr>
                <w:sz w:val="20"/>
                <w:szCs w:val="20"/>
                <w:color w:val="auto"/>
              </w:rPr>
            </w:pPr>
            <w:r>
              <w:rPr>
                <w:rFonts w:ascii="Calibri" w:cs="Calibri" w:eastAsia="Calibri" w:hAnsi="Calibri"/>
                <w:sz w:val="15"/>
                <w:szCs w:val="15"/>
                <w:color w:val="auto"/>
              </w:rPr>
              <w:t>(0.09)</w:t>
            </w:r>
          </w:p>
        </w:tc>
        <w:tc>
          <w:tcPr>
            <w:tcW w:w="2080" w:type="dxa"/>
            <w:vAlign w:val="bottom"/>
            <w:tcBorders>
              <w:top w:val="single" w:sz="8" w:color="auto"/>
            </w:tcBorders>
          </w:tcPr>
          <w:p>
            <w:pPr>
              <w:jc w:val="right"/>
              <w:ind w:right="786"/>
              <w:spacing w:after="0"/>
              <w:rPr>
                <w:sz w:val="20"/>
                <w:szCs w:val="20"/>
                <w:color w:val="auto"/>
              </w:rPr>
            </w:pPr>
            <w:r>
              <w:rPr>
                <w:rFonts w:ascii="Calibri" w:cs="Calibri" w:eastAsia="Calibri" w:hAnsi="Calibri"/>
                <w:sz w:val="15"/>
                <w:szCs w:val="15"/>
                <w:b w:val="1"/>
                <w:bCs w:val="1"/>
                <w:color w:val="auto"/>
              </w:rPr>
              <w:t>(0.40)</w:t>
            </w:r>
          </w:p>
        </w:tc>
        <w:tc>
          <w:tcPr>
            <w:tcW w:w="88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(0.32)</w:t>
            </w:r>
          </w:p>
        </w:tc>
        <w:tc>
          <w:tcPr>
            <w:tcW w:w="0" w:type="dxa"/>
            <w:vAlign w:val="bottom"/>
          </w:tcPr>
          <w:p>
            <w:pPr>
              <w:spacing w:after="0"/>
              <w:rPr>
                <w:sz w:val="1"/>
                <w:szCs w:val="1"/>
                <w:color w:val="auto"/>
              </w:rPr>
            </w:pPr>
          </w:p>
        </w:tc>
      </w:tr>
      <w:tr>
        <w:trPr>
          <w:trHeight w:val="50"/>
        </w:trPr>
        <w:tc>
          <w:tcPr>
            <w:tcW w:w="47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60"/>
              <w:spacing w:after="0" w:line="175" w:lineRule="exact"/>
              <w:rPr>
                <w:sz w:val="20"/>
                <w:szCs w:val="20"/>
                <w:color w:val="auto"/>
              </w:rPr>
            </w:pPr>
            <w:r>
              <w:rPr>
                <w:rFonts w:ascii="Calibri" w:cs="Calibri" w:eastAsia="Calibri" w:hAnsi="Calibri"/>
                <w:sz w:val="15"/>
                <w:szCs w:val="15"/>
                <w:b w:val="1"/>
                <w:bCs w:val="1"/>
                <w:color w:val="auto"/>
              </w:rPr>
              <w:t>Weighted average number of common shares outstanding - basic</w:t>
            </w:r>
          </w:p>
        </w:tc>
        <w:tc>
          <w:tcPr>
            <w:tcW w:w="1820" w:type="dxa"/>
            <w:vAlign w:val="bottom"/>
          </w:tcPr>
          <w:p>
            <w:pPr>
              <w:jc w:val="right"/>
              <w:ind w:right="406"/>
              <w:spacing w:after="0" w:line="175" w:lineRule="exact"/>
              <w:rPr>
                <w:sz w:val="20"/>
                <w:szCs w:val="20"/>
                <w:color w:val="auto"/>
              </w:rPr>
            </w:pPr>
            <w:r>
              <w:rPr>
                <w:rFonts w:ascii="Calibri" w:cs="Calibri" w:eastAsia="Calibri" w:hAnsi="Calibri"/>
                <w:sz w:val="15"/>
                <w:szCs w:val="15"/>
                <w:b w:val="1"/>
                <w:bCs w:val="1"/>
                <w:color w:val="auto"/>
              </w:rPr>
              <w:t>173,873,017</w:t>
            </w:r>
          </w:p>
        </w:tc>
        <w:tc>
          <w:tcPr>
            <w:tcW w:w="1680" w:type="dxa"/>
            <w:vAlign w:val="bottom"/>
          </w:tcPr>
          <w:p>
            <w:pPr>
              <w:jc w:val="right"/>
              <w:ind w:right="407"/>
              <w:spacing w:after="0" w:line="175" w:lineRule="exact"/>
              <w:rPr>
                <w:sz w:val="20"/>
                <w:szCs w:val="20"/>
                <w:color w:val="auto"/>
              </w:rPr>
            </w:pPr>
            <w:r>
              <w:rPr>
                <w:rFonts w:ascii="Calibri" w:cs="Calibri" w:eastAsia="Calibri" w:hAnsi="Calibri"/>
                <w:sz w:val="15"/>
                <w:szCs w:val="15"/>
                <w:color w:val="auto"/>
              </w:rPr>
              <w:t>150,494,164</w:t>
            </w:r>
          </w:p>
        </w:tc>
        <w:tc>
          <w:tcPr>
            <w:tcW w:w="2080" w:type="dxa"/>
            <w:vAlign w:val="bottom"/>
          </w:tcPr>
          <w:p>
            <w:pPr>
              <w:jc w:val="right"/>
              <w:ind w:right="786"/>
              <w:spacing w:after="0" w:line="175" w:lineRule="exact"/>
              <w:rPr>
                <w:sz w:val="20"/>
                <w:szCs w:val="20"/>
                <w:color w:val="auto"/>
              </w:rPr>
            </w:pPr>
            <w:r>
              <w:rPr>
                <w:rFonts w:ascii="Calibri" w:cs="Calibri" w:eastAsia="Calibri" w:hAnsi="Calibri"/>
                <w:sz w:val="15"/>
                <w:szCs w:val="15"/>
                <w:b w:val="1"/>
                <w:bCs w:val="1"/>
                <w:color w:val="auto"/>
              </w:rPr>
              <w:t>167,287,240</w:t>
            </w:r>
          </w:p>
        </w:tc>
        <w:tc>
          <w:tcPr>
            <w:tcW w:w="880" w:type="dxa"/>
            <w:vAlign w:val="bottom"/>
          </w:tcPr>
          <w:p>
            <w:pPr>
              <w:jc w:val="right"/>
              <w:spacing w:after="0" w:line="175" w:lineRule="exact"/>
              <w:rPr>
                <w:sz w:val="20"/>
                <w:szCs w:val="20"/>
                <w:color w:val="auto"/>
              </w:rPr>
            </w:pPr>
            <w:r>
              <w:rPr>
                <w:rFonts w:ascii="Calibri" w:cs="Calibri" w:eastAsia="Calibri" w:hAnsi="Calibri"/>
                <w:sz w:val="15"/>
                <w:szCs w:val="15"/>
                <w:color w:val="auto"/>
              </w:rPr>
              <w:t>100,010,864</w:t>
            </w:r>
          </w:p>
        </w:tc>
        <w:tc>
          <w:tcPr>
            <w:tcW w:w="0" w:type="dxa"/>
            <w:vAlign w:val="bottom"/>
          </w:tcPr>
          <w:p>
            <w:pPr>
              <w:spacing w:after="0"/>
              <w:rPr>
                <w:sz w:val="1"/>
                <w:szCs w:val="1"/>
                <w:color w:val="auto"/>
              </w:rPr>
            </w:pPr>
          </w:p>
        </w:tc>
      </w:tr>
      <w:tr>
        <w:trPr>
          <w:trHeight w:val="50"/>
        </w:trPr>
        <w:tc>
          <w:tcPr>
            <w:tcW w:w="47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and twelve month periods ended March 31, 2022, Cybin incurred a net loss $18,097 and $67,631, respectively, compared to a net loss of $13,777 and $32,220 during the same periods in prior year. During the three and twelve month periods, the Company focused on progressing its various research programs and raising awareness of the Company and its industry. In August, the Company completed a public offering for aggregate gross proceeds of $34,502. During the year, the Company announced positive CYB003 data demonstrating significant advantages over oral psilocybin for the potential treatment of mental health and has been prioritizing the progression of this program.</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Both the quarter over quarter and year over year increase in net loss is due to overall growth of the Company and advances in its research and development activities.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921"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year ended March 31, 2022, the Company had revenue of $864 and cost of goods sold of $200, which originated from non-core, nutraceutical formulation which was purchased and formulated into finished goods and sold in the United States to one purchaser. The products will not be re-generated in the future and do not represent core sales of the Company and/or core products of the Company. The Company has discontinued its sales of such products as it is not in line with the Company’s core sales model.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7"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For the three-month period ended March 31, 2022, operating expenses totaled $16,338. The operating expenses include a non-cash component of $3,343 (2021 - $4,068) related to share-based compensation.</w:t>
      </w:r>
    </w:p>
    <w:p>
      <w:pPr>
        <w:spacing w:after="0" w:line="132"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For the twelve-month period ended March 31, 2022, operating expenses totaled $63,838. The operating expenses include a non-cash component of $18,030 (2021 - $11,554) related to share-based compensation.</w:t>
      </w:r>
    </w:p>
    <w:p>
      <w:pPr>
        <w:spacing w:after="0" w:line="16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For both the three and twelve-month periods ended March 31, 2022, the remaining operating expenses were incurred to support raising capital, research &amp; development and the overall development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1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During the three-month period ended March 31, 2022, Cybin issued warrants and options incurring share-based payment expense of $3,343 compared to $4,068 during the same period in prior year. The decrease is largely related to the timing of warrant and option grants.</w:t>
      </w:r>
    </w:p>
    <w:p>
      <w:pPr>
        <w:spacing w:after="0" w:line="15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During the twelve-month period ended March 31, 2022, Cybin issued warrants and options incurring share-based payment expense of $18,030 compared to $11,554 during the same period in prior year mainly as a result of the growth of the Company.</w:t>
      </w:r>
    </w:p>
    <w:p>
      <w:pPr>
        <w:spacing w:after="0" w:line="15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The share-based compensation expense was recorded based on the fair value using a Black Scholes Model. On exercise of these warrants and options the equity reserve balances will move to share capital.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administration costs</w:t>
      </w:r>
    </w:p>
    <w:p>
      <w:pPr>
        <w:spacing w:after="0" w:line="21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the three-month period ended March 31, 2022, general and administrative expenses were $7,166 compared to $6,882 during the same period in prior year. General and administrative expense for the three-month period are comprised of capital market expenses of $2,620 (2021 - $2,708), payroll related expenses of $1,915 (2021 - $1,685), office and administration expenses of $791 (2021 - $522), professional and consulting fees of $802 (2021 – $256), business development expenses of $177 (2021 - $907), investor relations expenses of $373 (2021 - $470), marketing media fees of $312 (2021 - $138), and listing fees of $176 (2021 – $196).</w:t>
      </w:r>
    </w:p>
    <w:p>
      <w:pPr>
        <w:spacing w:after="0" w:line="17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the twelve-month period ended March 31, 2022, general and administrative expenses were $28,222 compared to $15,870 during the same period in prior year. General and administrative expense for the twelve-month period are comprised of payroll related expenses of $7,468 (2021 - $4,867), capital market expenses of $7,277 (2021 - $2,118), office and administration expenses of $3,999 (2021 - $936), professional and consulting fees of $3,275 (2021 – $3,070), business development expenses of $2,223 (2021 - $907), investor relations expenses of $1,981 (2021 - $1,271), marketing media fees of $1,466 (2021 - $649), and listing fees of $533 (2021 – $2,052).</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For both the three and twelve-month periods ended March 31, 2022, the overall increase in general and administrative expenses relates to the overall growth of the Company as it continues to develop the business and promote awareness of the psychedelic industry. The Company has incurred some additional marketing expenses it considers a one-time event as it continues to raise awareness of the Company and its industry. The Company expects these expenses to decrease during the next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60"/>
          </w:cols>
          <w:pgMar w:left="320" w:top="958" w:right="31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color w:val="auto"/>
        </w:rPr>
        <w:t>Research</w:t>
      </w:r>
    </w:p>
    <w:p>
      <w:pPr>
        <w:spacing w:after="0" w:line="23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For the three-month period ended March 31, 2022, the Company’s research expenses totaled $5,829 compared to $1,413 during the same period in prior year.</w:t>
      </w:r>
    </w:p>
    <w:p>
      <w:pPr>
        <w:spacing w:after="0" w:line="13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For the twelve-month period ended March 31, 2022, the Company’s research expenses totaled $17,586 compared to $3,300 during the same period in prior year.</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research expenses relate to the advancement of the initial research and preliminary testing of future products. The increase in the research expense is also explained by growth in the scientific team and as well as product development and onboarding laboratories in preparation for testing. Cybin’s research and development team has completed over 140 in-vitro and in-vivo evaluations of Cybin’s expanding portfolio of psychedelic compounds being designed for potential therapeutic applications for several mental health conditions. To date, more than 50 novel compounds have been evaluated through collaborations with experienced contract research organizations for pharmacokinetic/pharmacodynamic profile, metabolic stability, receptor binding, and safety in order to identify preferred candidates for further development.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loss</w:t>
      </w:r>
    </w:p>
    <w:p>
      <w:pPr>
        <w:spacing w:after="0" w:line="20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For the three-month period ended March 31, 2022, the Company incurred a foreign currency translation loss from operations and revaluation of balance sheet assets held in U.S. dollars of $351. The U.S. dollar decreased $0.0182 from $1.2678 on December 31, 2021 to $1.2496 on March 31, 2022.</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For the twelve-month period ended March 31, 2022, the Company incurred a foreign currency translation loss from operations and revaluation of balance sheet assets held in U.S. dollars of $309. The U.S. dollar decreased $0.0079 from $1.2575 on March 31, 2021 to $1.2496 on March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liability accretion</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the three-month period ended March 31, 2022, the Company recorded an accretion expense of $26, and for the twelve-month period ended March 31, 2022, the Company recorded an accretion expense of $316, related to commitments to the former shareholders of Adelia based on milestone achievements (see “Acquisitions”).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consideration</w:t>
      </w:r>
    </w:p>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For the three-month period ended March 31, 2022, the Company recorded a change in fair value of $1,436 related to the achievement of certain milestones in connection with the Adelia Transaction (see “Acquisitions”). The amount recorded represents the difference between the fair value of the contingent consideration determined as at December 31, 2021 and the fair value on March 31, 2022.</w:t>
      </w:r>
    </w:p>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the twelve-month period ended March 31, 2022, the Company recorded a change in fair value of $3,380 related to the achievement of certain milestones in connection with the Adelia Transaction (see “Acquisitions”). The amount recorded represents the difference between the fair value of the contingent consideration determined as at March 31, 2021 and the fair value on March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COVID-19 a pandemic. Since the outbreak of COVID-19, the Company has focused its efforts on safeguarding the health and well-being of its employees, consultants and community members. To help slow the spread of COVID-19, the Company’s employees have been working remotely, where possible, and abiding by local and national guidance put in place in Canada, the United States, and the UK related to social distancing and restrictions on travel outside of the home. The Company has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701"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color w:val="auto"/>
        </w:rPr>
        <w:t>and will continue to abide by the protocols within Canada, the United States, and the UK regarding the performance of work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the Company</w:t>
      </w:r>
    </w:p>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During the three and twelve-month periods ended March 31, 2022, the Company has not experienced any material negative effect on its financial position as a result of COVID-19. Certain operating expenses of the Company, such as those relating to travel and office expenses, have been less than they would have been without the restrictions relating to COVID-19.</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duration and the eventual impact of the COVID-19 pandemic remains unknown. In particular, it is not possible to reliably estimate the length and severity of these developments and the impact on the financial results and condition of the Company. To date, a number of businesses have suspended or scaled back their operations and development as cases of COVID-19 have been confirmed, for precautionary purposes or as governments have declared a state of emergency or taken other actions. In the event that the operations or development of the Company are suspended or scaled back, or if the Company’s supply chains are disrupted, such events may have a material adverse effect on the Company. The Company may also experience delays in operation of its clinical trials due to slower administrative processes and response times, delayed patient recruitments, and delayed governmental approvals of import and export requests caused by the COVID-19 pandemic and the related restrictions. The breadth of the impact of the COVID-19 pandemic on investors, businesses, the global economy and financial and commodity markets may also have a material adverse effect on the Company.</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raised capital pursuant to the February 2021 Prospectus and July Prospectus Supplement (as defined below) to continue to support its strategic plan. 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to manage its short- and long-term cash flow needs as it continues to invest into its intellectual property.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Cash Flows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60" w:type="dxa"/>
            <w:vAlign w:val="bottom"/>
          </w:tcPr>
          <w:p>
            <w:pPr>
              <w:spacing w:after="0"/>
              <w:rPr>
                <w:sz w:val="15"/>
                <w:szCs w:val="15"/>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March</w:t>
            </w: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3"/>
        </w:trPr>
        <w:tc>
          <w:tcPr>
            <w:tcW w:w="3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31,</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Year ended March 31,</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9"/>
        </w:trPr>
        <w:tc>
          <w:tcPr>
            <w:tcW w:w="3860" w:type="dxa"/>
            <w:vAlign w:val="bottom"/>
          </w:tcPr>
          <w:p>
            <w:pPr>
              <w:spacing w:after="0"/>
              <w:rPr>
                <w:sz w:val="2"/>
                <w:szCs w:val="2"/>
                <w:color w:val="auto"/>
              </w:rPr>
            </w:pPr>
          </w:p>
        </w:tc>
        <w:tc>
          <w:tcPr>
            <w:tcW w:w="118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160" w:type="dxa"/>
            <w:vAlign w:val="bottom"/>
            <w:tcBorders>
              <w:bottom w:val="single" w:sz="8" w:color="929292"/>
            </w:tcBorders>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760" w:type="dxa"/>
            <w:vAlign w:val="bottom"/>
            <w:tcBorders>
              <w:bottom w:val="single" w:sz="8" w:color="929292"/>
            </w:tcBorders>
          </w:tcPr>
          <w:p>
            <w:pPr>
              <w:spacing w:after="0"/>
              <w:rPr>
                <w:sz w:val="2"/>
                <w:szCs w:val="2"/>
                <w:color w:val="auto"/>
              </w:rPr>
            </w:pPr>
          </w:p>
        </w:tc>
        <w:tc>
          <w:tcPr>
            <w:tcW w:w="1200" w:type="dxa"/>
            <w:vAlign w:val="bottom"/>
            <w:tcBorders>
              <w:bottom w:val="single" w:sz="8" w:color="929292"/>
            </w:tcBorders>
          </w:tcPr>
          <w:p>
            <w:pPr>
              <w:spacing w:after="0"/>
              <w:rPr>
                <w:sz w:val="2"/>
                <w:szCs w:val="2"/>
                <w:color w:val="auto"/>
              </w:rPr>
            </w:pPr>
          </w:p>
        </w:tc>
        <w:tc>
          <w:tcPr>
            <w:tcW w:w="460" w:type="dxa"/>
            <w:vAlign w:val="bottom"/>
            <w:tcBorders>
              <w:bottom w:val="single" w:sz="8" w:color="929292"/>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(Canadian dollars in thousands)</w:t>
            </w:r>
          </w:p>
        </w:tc>
        <w:tc>
          <w:tcPr>
            <w:tcW w:w="1180" w:type="dxa"/>
            <w:vAlign w:val="bottom"/>
          </w:tcPr>
          <w:p>
            <w:pPr>
              <w:jc w:val="right"/>
              <w:ind w:right="167"/>
              <w:spacing w:after="0"/>
              <w:rPr>
                <w:sz w:val="20"/>
                <w:szCs w:val="20"/>
                <w:color w:val="auto"/>
              </w:rPr>
            </w:pPr>
            <w:r>
              <w:rPr>
                <w:rFonts w:ascii="Times New Roman" w:cs="Times New Roman" w:eastAsia="Times New Roman" w:hAnsi="Times New Roman"/>
                <w:sz w:val="15"/>
                <w:szCs w:val="15"/>
                <w:b w:val="1"/>
                <w:bCs w:val="1"/>
                <w:color w:val="auto"/>
              </w:rPr>
              <w:t>2022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1160" w:type="dxa"/>
            <w:vAlign w:val="bottom"/>
          </w:tcPr>
          <w:p>
            <w:pPr>
              <w:jc w:val="right"/>
              <w:ind w:right="627"/>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Pr>
          <w:p>
            <w:pPr>
              <w:jc w:val="right"/>
              <w:ind w:right="167"/>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6"/>
                <w:szCs w:val="16"/>
                <w:color w:val="auto"/>
              </w:rPr>
            </w:pPr>
          </w:p>
        </w:tc>
        <w:tc>
          <w:tcPr>
            <w:tcW w:w="1160" w:type="dxa"/>
            <w:vAlign w:val="bottom"/>
          </w:tcPr>
          <w:p>
            <w:pPr>
              <w:jc w:val="right"/>
              <w:ind w:right="147"/>
              <w:spacing w:after="0"/>
              <w:rPr>
                <w:sz w:val="20"/>
                <w:szCs w:val="20"/>
                <w:color w:val="auto"/>
              </w:rPr>
            </w:pPr>
            <w:r>
              <w:rPr>
                <w:rFonts w:ascii="Times New Roman" w:cs="Times New Roman" w:eastAsia="Times New Roman" w:hAnsi="Times New Roman"/>
                <w:sz w:val="15"/>
                <w:szCs w:val="15"/>
                <w:b w:val="1"/>
                <w:bCs w:val="1"/>
                <w:color w:val="auto"/>
              </w:rPr>
              <w:t>2022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0" w:type="dxa"/>
            <w:vAlign w:val="bottom"/>
          </w:tcPr>
          <w:p>
            <w:pPr>
              <w:jc w:val="right"/>
              <w:ind w:right="667"/>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6"/>
                <w:szCs w:val="16"/>
                <w:color w:val="auto"/>
              </w:rPr>
            </w:pPr>
          </w:p>
        </w:tc>
      </w:tr>
      <w:tr>
        <w:trPr>
          <w:trHeight w:val="29"/>
        </w:trPr>
        <w:tc>
          <w:tcPr>
            <w:tcW w:w="3860" w:type="dxa"/>
            <w:vAlign w:val="bottom"/>
            <w:tcBorders>
              <w:bottom w:val="single" w:sz="8" w:color="B6B6B6"/>
            </w:tcBorders>
          </w:tcPr>
          <w:p>
            <w:pPr>
              <w:spacing w:after="0"/>
              <w:rPr>
                <w:sz w:val="2"/>
                <w:szCs w:val="2"/>
                <w:color w:val="auto"/>
              </w:rPr>
            </w:pPr>
          </w:p>
        </w:tc>
        <w:tc>
          <w:tcPr>
            <w:tcW w:w="1180" w:type="dxa"/>
            <w:vAlign w:val="bottom"/>
            <w:tcBorders>
              <w:bottom w:val="single" w:sz="8" w:color="B6B6B6"/>
            </w:tcBorders>
          </w:tcPr>
          <w:p>
            <w:pPr>
              <w:spacing w:after="0"/>
              <w:rPr>
                <w:sz w:val="2"/>
                <w:szCs w:val="2"/>
                <w:color w:val="auto"/>
              </w:rPr>
            </w:pPr>
          </w:p>
        </w:tc>
        <w:tc>
          <w:tcPr>
            <w:tcW w:w="720" w:type="dxa"/>
            <w:vAlign w:val="bottom"/>
            <w:tcBorders>
              <w:bottom w:val="single" w:sz="8" w:color="B6B6B6"/>
            </w:tcBorders>
          </w:tcPr>
          <w:p>
            <w:pPr>
              <w:spacing w:after="0"/>
              <w:rPr>
                <w:sz w:val="2"/>
                <w:szCs w:val="2"/>
                <w:color w:val="auto"/>
              </w:rPr>
            </w:pPr>
          </w:p>
        </w:tc>
        <w:tc>
          <w:tcPr>
            <w:tcW w:w="1160" w:type="dxa"/>
            <w:vAlign w:val="bottom"/>
            <w:tcBorders>
              <w:bottom w:val="single" w:sz="8" w:color="B6B6B6"/>
            </w:tcBorders>
          </w:tcPr>
          <w:p>
            <w:pPr>
              <w:spacing w:after="0"/>
              <w:rPr>
                <w:sz w:val="2"/>
                <w:szCs w:val="2"/>
                <w:color w:val="auto"/>
              </w:rPr>
            </w:pPr>
          </w:p>
        </w:tc>
        <w:tc>
          <w:tcPr>
            <w:tcW w:w="440" w:type="dxa"/>
            <w:vAlign w:val="bottom"/>
            <w:tcBorders>
              <w:bottom w:val="single" w:sz="8" w:color="B6B6B6"/>
            </w:tcBorders>
          </w:tcPr>
          <w:p>
            <w:pPr>
              <w:spacing w:after="0"/>
              <w:rPr>
                <w:sz w:val="2"/>
                <w:szCs w:val="2"/>
                <w:color w:val="auto"/>
              </w:rPr>
            </w:pPr>
          </w:p>
        </w:tc>
        <w:tc>
          <w:tcPr>
            <w:tcW w:w="160" w:type="dxa"/>
            <w:vAlign w:val="bottom"/>
            <w:tcBorders>
              <w:bottom w:val="single" w:sz="8" w:color="B6B6B6"/>
            </w:tcBorders>
          </w:tcPr>
          <w:p>
            <w:pPr>
              <w:spacing w:after="0"/>
              <w:rPr>
                <w:sz w:val="2"/>
                <w:szCs w:val="2"/>
                <w:color w:val="auto"/>
              </w:rPr>
            </w:pPr>
          </w:p>
        </w:tc>
        <w:tc>
          <w:tcPr>
            <w:tcW w:w="1160" w:type="dxa"/>
            <w:vAlign w:val="bottom"/>
            <w:tcBorders>
              <w:bottom w:val="single" w:sz="8" w:color="B6B6B6"/>
            </w:tcBorders>
          </w:tcPr>
          <w:p>
            <w:pPr>
              <w:spacing w:after="0"/>
              <w:rPr>
                <w:sz w:val="2"/>
                <w:szCs w:val="2"/>
                <w:color w:val="auto"/>
              </w:rPr>
            </w:pPr>
          </w:p>
        </w:tc>
        <w:tc>
          <w:tcPr>
            <w:tcW w:w="760" w:type="dxa"/>
            <w:vAlign w:val="bottom"/>
            <w:tcBorders>
              <w:bottom w:val="single" w:sz="8" w:color="B6B6B6"/>
            </w:tcBorders>
          </w:tcPr>
          <w:p>
            <w:pPr>
              <w:spacing w:after="0"/>
              <w:rPr>
                <w:sz w:val="2"/>
                <w:szCs w:val="2"/>
                <w:color w:val="auto"/>
              </w:rPr>
            </w:pPr>
          </w:p>
        </w:tc>
        <w:tc>
          <w:tcPr>
            <w:tcW w:w="1200" w:type="dxa"/>
            <w:vAlign w:val="bottom"/>
            <w:tcBorders>
              <w:bottom w:val="single" w:sz="8" w:color="B6B6B6"/>
            </w:tcBorders>
          </w:tcPr>
          <w:p>
            <w:pPr>
              <w:spacing w:after="0"/>
              <w:rPr>
                <w:sz w:val="2"/>
                <w:szCs w:val="2"/>
                <w:color w:val="auto"/>
              </w:rPr>
            </w:pPr>
          </w:p>
        </w:tc>
        <w:tc>
          <w:tcPr>
            <w:tcW w:w="460" w:type="dxa"/>
            <w:vAlign w:val="bottom"/>
            <w:tcBorders>
              <w:bottom w:val="single" w:sz="8" w:color="B6B6B6"/>
            </w:tcBorders>
          </w:tcPr>
          <w:p>
            <w:pPr>
              <w:spacing w:after="0"/>
              <w:rPr>
                <w:sz w:val="2"/>
                <w:szCs w:val="2"/>
                <w:color w:val="auto"/>
              </w:rPr>
            </w:pPr>
          </w:p>
        </w:tc>
        <w:tc>
          <w:tcPr>
            <w:tcW w:w="140" w:type="dxa"/>
            <w:vAlign w:val="bottom"/>
            <w:tcBorders>
              <w:bottom w:val="single" w:sz="8" w:color="B6B6B6"/>
            </w:tcBorders>
          </w:tcPr>
          <w:p>
            <w:pPr>
              <w:spacing w:after="0"/>
              <w:rPr>
                <w:sz w:val="2"/>
                <w:szCs w:val="2"/>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180" w:type="dxa"/>
            <w:vAlign w:val="bottom"/>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(9,721)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(6,569)</w:t>
            </w:r>
          </w:p>
        </w:tc>
        <w:tc>
          <w:tcPr>
            <w:tcW w:w="1160" w:type="dxa"/>
            <w:vAlign w:val="bottom"/>
            <w:shd w:val="clear" w:color="auto" w:fill="DBDBDB"/>
          </w:tcPr>
          <w:p>
            <w:pPr>
              <w:jc w:val="right"/>
              <w:ind w:right="287"/>
              <w:spacing w:after="0"/>
              <w:rPr>
                <w:sz w:val="20"/>
                <w:szCs w:val="20"/>
                <w:color w:val="auto"/>
              </w:rPr>
            </w:pPr>
            <w:r>
              <w:rPr>
                <w:rFonts w:ascii="Times New Roman" w:cs="Times New Roman" w:eastAsia="Times New Roman" w:hAnsi="Times New Roman"/>
                <w:sz w:val="15"/>
                <w:szCs w:val="15"/>
                <w:color w:val="auto"/>
              </w:rPr>
              <w:t>(3,152)</w:t>
            </w:r>
          </w:p>
        </w:tc>
        <w:tc>
          <w:tcPr>
            <w:tcW w:w="6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48 %</w:t>
            </w:r>
          </w:p>
        </w:tc>
        <w:tc>
          <w:tcPr>
            <w:tcW w:w="1160" w:type="dxa"/>
            <w:vAlign w:val="bottom"/>
          </w:tcPr>
          <w:p>
            <w:pPr>
              <w:jc w:val="right"/>
              <w:ind w:right="147"/>
              <w:spacing w:after="0"/>
              <w:rPr>
                <w:sz w:val="20"/>
                <w:szCs w:val="20"/>
                <w:color w:val="auto"/>
              </w:rPr>
            </w:pPr>
            <w:r>
              <w:rPr>
                <w:rFonts w:ascii="Times New Roman" w:cs="Times New Roman" w:eastAsia="Times New Roman" w:hAnsi="Times New Roman"/>
                <w:sz w:val="15"/>
                <w:szCs w:val="15"/>
                <w:b w:val="1"/>
                <w:bCs w:val="1"/>
                <w:color w:val="auto"/>
              </w:rPr>
              <w:t>(45,207)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(19,027)</w:t>
            </w:r>
          </w:p>
        </w:tc>
        <w:tc>
          <w:tcPr>
            <w:tcW w:w="1200" w:type="dxa"/>
            <w:vAlign w:val="bottom"/>
            <w:shd w:val="clear" w:color="auto" w:fill="DBDBDB"/>
          </w:tcPr>
          <w:p>
            <w:pPr>
              <w:jc w:val="right"/>
              <w:ind w:right="327"/>
              <w:spacing w:after="0"/>
              <w:rPr>
                <w:sz w:val="20"/>
                <w:szCs w:val="20"/>
                <w:color w:val="auto"/>
              </w:rPr>
            </w:pPr>
            <w:r>
              <w:rPr>
                <w:rFonts w:ascii="Times New Roman" w:cs="Times New Roman" w:eastAsia="Times New Roman" w:hAnsi="Times New Roman"/>
                <w:sz w:val="15"/>
                <w:szCs w:val="15"/>
                <w:color w:val="auto"/>
              </w:rPr>
              <w:t>(26,180)</w:t>
            </w:r>
          </w:p>
        </w:tc>
        <w:tc>
          <w:tcPr>
            <w:tcW w:w="6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138 %</w:t>
            </w:r>
          </w:p>
        </w:tc>
      </w:tr>
      <w:tr>
        <w:trPr>
          <w:trHeight w:val="232"/>
        </w:trPr>
        <w:tc>
          <w:tcPr>
            <w:tcW w:w="3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180" w:type="dxa"/>
            <w:vAlign w:val="bottom"/>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(121)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(1,440)</w:t>
            </w:r>
          </w:p>
        </w:tc>
        <w:tc>
          <w:tcPr>
            <w:tcW w:w="1160" w:type="dxa"/>
            <w:vAlign w:val="bottom"/>
            <w:shd w:val="clear" w:color="auto" w:fill="DBDBDB"/>
          </w:tcPr>
          <w:p>
            <w:pPr>
              <w:jc w:val="right"/>
              <w:ind w:right="327"/>
              <w:spacing w:after="0"/>
              <w:rPr>
                <w:sz w:val="20"/>
                <w:szCs w:val="20"/>
                <w:color w:val="auto"/>
              </w:rPr>
            </w:pPr>
            <w:r>
              <w:rPr>
                <w:rFonts w:ascii="Times New Roman" w:cs="Times New Roman" w:eastAsia="Times New Roman" w:hAnsi="Times New Roman"/>
                <w:sz w:val="15"/>
                <w:szCs w:val="15"/>
                <w:color w:val="auto"/>
              </w:rPr>
              <w:t>1,319</w:t>
            </w:r>
          </w:p>
        </w:tc>
        <w:tc>
          <w:tcPr>
            <w:tcW w:w="6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92 %</w:t>
            </w:r>
          </w:p>
        </w:tc>
        <w:tc>
          <w:tcPr>
            <w:tcW w:w="1160" w:type="dxa"/>
            <w:vAlign w:val="bottom"/>
          </w:tcPr>
          <w:p>
            <w:pPr>
              <w:jc w:val="right"/>
              <w:ind w:right="147"/>
              <w:spacing w:after="0"/>
              <w:rPr>
                <w:sz w:val="20"/>
                <w:szCs w:val="20"/>
                <w:color w:val="auto"/>
              </w:rPr>
            </w:pPr>
            <w:r>
              <w:rPr>
                <w:rFonts w:ascii="Times New Roman" w:cs="Times New Roman" w:eastAsia="Times New Roman" w:hAnsi="Times New Roman"/>
                <w:sz w:val="15"/>
                <w:szCs w:val="15"/>
                <w:b w:val="1"/>
                <w:bCs w:val="1"/>
                <w:color w:val="auto"/>
              </w:rPr>
              <w:t>(770)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(1,189)</w:t>
            </w:r>
          </w:p>
        </w:tc>
        <w:tc>
          <w:tcPr>
            <w:tcW w:w="1200" w:type="dxa"/>
            <w:vAlign w:val="bottom"/>
            <w:shd w:val="clear" w:color="auto" w:fill="DBDBDB"/>
          </w:tcPr>
          <w:p>
            <w:pPr>
              <w:jc w:val="right"/>
              <w:ind w:right="347"/>
              <w:spacing w:after="0"/>
              <w:rPr>
                <w:sz w:val="20"/>
                <w:szCs w:val="20"/>
                <w:color w:val="auto"/>
              </w:rPr>
            </w:pPr>
            <w:r>
              <w:rPr>
                <w:rFonts w:ascii="Times New Roman" w:cs="Times New Roman" w:eastAsia="Times New Roman" w:hAnsi="Times New Roman"/>
                <w:sz w:val="15"/>
                <w:szCs w:val="15"/>
                <w:color w:val="auto"/>
              </w:rPr>
              <w:t>419</w:t>
            </w:r>
          </w:p>
        </w:tc>
        <w:tc>
          <w:tcPr>
            <w:tcW w:w="6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35 %</w:t>
            </w:r>
          </w:p>
        </w:tc>
      </w:tr>
      <w:tr>
        <w:trPr>
          <w:trHeight w:val="261"/>
        </w:trPr>
        <w:tc>
          <w:tcPr>
            <w:tcW w:w="3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from (used in) financing activities</w:t>
            </w:r>
          </w:p>
        </w:tc>
        <w:tc>
          <w:tcPr>
            <w:tcW w:w="1180" w:type="dxa"/>
            <w:vAlign w:val="bottom"/>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32,043</w:t>
            </w:r>
          </w:p>
        </w:tc>
        <w:tc>
          <w:tcPr>
            <w:tcW w:w="1160" w:type="dxa"/>
            <w:vAlign w:val="bottom"/>
            <w:tcBorders>
              <w:bottom w:val="single" w:sz="8" w:color="DBDBDB"/>
            </w:tcBorders>
            <w:shd w:val="clear" w:color="auto" w:fill="DBDBDB"/>
          </w:tcPr>
          <w:p>
            <w:pPr>
              <w:jc w:val="right"/>
              <w:ind w:right="287"/>
              <w:spacing w:after="0"/>
              <w:rPr>
                <w:sz w:val="20"/>
                <w:szCs w:val="20"/>
                <w:color w:val="auto"/>
              </w:rPr>
            </w:pPr>
            <w:r>
              <w:rPr>
                <w:rFonts w:ascii="Times New Roman" w:cs="Times New Roman" w:eastAsia="Times New Roman" w:hAnsi="Times New Roman"/>
                <w:sz w:val="15"/>
                <w:szCs w:val="15"/>
                <w:color w:val="auto"/>
              </w:rPr>
              <w:t>(31,975)</w:t>
            </w:r>
          </w:p>
        </w:tc>
        <w:tc>
          <w:tcPr>
            <w:tcW w:w="4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5"/>
              </w:rPr>
              <w:t>%</w:t>
            </w:r>
          </w:p>
        </w:tc>
        <w:tc>
          <w:tcPr>
            <w:tcW w:w="1160" w:type="dxa"/>
            <w:vAlign w:val="bottom"/>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35,777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82,725</w:t>
            </w:r>
          </w:p>
        </w:tc>
        <w:tc>
          <w:tcPr>
            <w:tcW w:w="1200" w:type="dxa"/>
            <w:vAlign w:val="bottom"/>
            <w:tcBorders>
              <w:bottom w:val="single" w:sz="8" w:color="DBDBDB"/>
            </w:tcBorders>
            <w:shd w:val="clear" w:color="auto" w:fill="DBDBDB"/>
          </w:tcPr>
          <w:p>
            <w:pPr>
              <w:jc w:val="right"/>
              <w:ind w:right="327"/>
              <w:spacing w:after="0"/>
              <w:rPr>
                <w:sz w:val="20"/>
                <w:szCs w:val="20"/>
                <w:color w:val="auto"/>
              </w:rPr>
            </w:pPr>
            <w:r>
              <w:rPr>
                <w:rFonts w:ascii="Times New Roman" w:cs="Times New Roman" w:eastAsia="Times New Roman" w:hAnsi="Times New Roman"/>
                <w:sz w:val="15"/>
                <w:szCs w:val="15"/>
                <w:color w:val="auto"/>
              </w:rPr>
              <w:t>(46,948)</w:t>
            </w:r>
          </w:p>
        </w:tc>
        <w:tc>
          <w:tcPr>
            <w:tcW w:w="4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195"/>
        </w:trPr>
        <w:tc>
          <w:tcPr>
            <w:tcW w:w="3860" w:type="dxa"/>
            <w:vAlign w:val="bottom"/>
            <w:tcBorders>
              <w:top w:val="single" w:sz="8" w:color="929292"/>
            </w:tcBorders>
          </w:tcPr>
          <w:p>
            <w:pPr>
              <w:ind w:left="20"/>
              <w:spacing w:after="0"/>
              <w:rPr>
                <w:sz w:val="20"/>
                <w:szCs w:val="20"/>
                <w:color w:val="auto"/>
              </w:rPr>
            </w:pPr>
            <w:r>
              <w:rPr>
                <w:rFonts w:ascii="Times New Roman" w:cs="Times New Roman" w:eastAsia="Times New Roman" w:hAnsi="Times New Roman"/>
                <w:sz w:val="15"/>
                <w:szCs w:val="15"/>
                <w:color w:val="auto"/>
              </w:rPr>
              <w:t>Increase (decrease) in cash</w:t>
            </w:r>
          </w:p>
        </w:tc>
        <w:tc>
          <w:tcPr>
            <w:tcW w:w="1180" w:type="dxa"/>
            <w:vAlign w:val="bottom"/>
            <w:tcBorders>
              <w:top w:val="single" w:sz="8" w:color="929292"/>
            </w:tcBorders>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(9,774)</w:t>
            </w:r>
          </w:p>
        </w:tc>
        <w:tc>
          <w:tcPr>
            <w:tcW w:w="7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24,034</w:t>
            </w:r>
          </w:p>
        </w:tc>
        <w:tc>
          <w:tcPr>
            <w:tcW w:w="1160" w:type="dxa"/>
            <w:vAlign w:val="bottom"/>
            <w:tcBorders>
              <w:top w:val="single" w:sz="8" w:color="929292"/>
            </w:tcBorders>
            <w:shd w:val="clear" w:color="auto" w:fill="DBDBDB"/>
          </w:tcPr>
          <w:p>
            <w:pPr>
              <w:jc w:val="right"/>
              <w:ind w:right="287"/>
              <w:spacing w:after="0"/>
              <w:rPr>
                <w:sz w:val="20"/>
                <w:szCs w:val="20"/>
                <w:color w:val="auto"/>
              </w:rPr>
            </w:pPr>
            <w:r>
              <w:rPr>
                <w:rFonts w:ascii="Times New Roman" w:cs="Times New Roman" w:eastAsia="Times New Roman" w:hAnsi="Times New Roman"/>
                <w:sz w:val="15"/>
                <w:szCs w:val="15"/>
                <w:color w:val="auto"/>
              </w:rPr>
              <w:t>(33,808)</w:t>
            </w:r>
          </w:p>
        </w:tc>
        <w:tc>
          <w:tcPr>
            <w:tcW w:w="440" w:type="dxa"/>
            <w:vAlign w:val="bottom"/>
            <w:tcBorders>
              <w:top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160" w:type="dxa"/>
            <w:vAlign w:val="bottom"/>
            <w:tcBorders>
              <w:top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5"/>
              </w:rPr>
              <w:t>%</w:t>
            </w:r>
          </w:p>
        </w:tc>
        <w:tc>
          <w:tcPr>
            <w:tcW w:w="1160" w:type="dxa"/>
            <w:vAlign w:val="bottom"/>
            <w:tcBorders>
              <w:top w:val="single" w:sz="8" w:color="929292"/>
            </w:tcBorders>
          </w:tcPr>
          <w:p>
            <w:pPr>
              <w:jc w:val="right"/>
              <w:ind w:right="147"/>
              <w:spacing w:after="0"/>
              <w:rPr>
                <w:sz w:val="20"/>
                <w:szCs w:val="20"/>
                <w:color w:val="auto"/>
              </w:rPr>
            </w:pPr>
            <w:r>
              <w:rPr>
                <w:rFonts w:ascii="Times New Roman" w:cs="Times New Roman" w:eastAsia="Times New Roman" w:hAnsi="Times New Roman"/>
                <w:sz w:val="15"/>
                <w:szCs w:val="15"/>
                <w:b w:val="1"/>
                <w:bCs w:val="1"/>
                <w:color w:val="auto"/>
              </w:rPr>
              <w:t>(10,200)</w:t>
            </w:r>
          </w:p>
        </w:tc>
        <w:tc>
          <w:tcPr>
            <w:tcW w:w="76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62,509</w:t>
            </w:r>
          </w:p>
        </w:tc>
        <w:tc>
          <w:tcPr>
            <w:tcW w:w="1200" w:type="dxa"/>
            <w:vAlign w:val="bottom"/>
            <w:tcBorders>
              <w:top w:val="single" w:sz="8" w:color="929292"/>
            </w:tcBorders>
            <w:shd w:val="clear" w:color="auto" w:fill="DBDBDB"/>
          </w:tcPr>
          <w:p>
            <w:pPr>
              <w:jc w:val="right"/>
              <w:ind w:right="327"/>
              <w:spacing w:after="0"/>
              <w:rPr>
                <w:sz w:val="20"/>
                <w:szCs w:val="20"/>
                <w:color w:val="auto"/>
              </w:rPr>
            </w:pPr>
            <w:r>
              <w:rPr>
                <w:rFonts w:ascii="Times New Roman" w:cs="Times New Roman" w:eastAsia="Times New Roman" w:hAnsi="Times New Roman"/>
                <w:sz w:val="15"/>
                <w:szCs w:val="15"/>
                <w:color w:val="auto"/>
              </w:rPr>
              <w:t>(72,709)</w:t>
            </w:r>
          </w:p>
        </w:tc>
        <w:tc>
          <w:tcPr>
            <w:tcW w:w="460" w:type="dxa"/>
            <w:vAlign w:val="bottom"/>
            <w:tcBorders>
              <w:top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40" w:type="dxa"/>
            <w:vAlign w:val="bottom"/>
            <w:tcBorders>
              <w:top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32"/>
        </w:trPr>
        <w:tc>
          <w:tcPr>
            <w:tcW w:w="3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foreign exchange difference</w:t>
            </w:r>
          </w:p>
        </w:tc>
        <w:tc>
          <w:tcPr>
            <w:tcW w:w="1180" w:type="dxa"/>
            <w:vAlign w:val="bottom"/>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(165)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160" w:type="dxa"/>
            <w:vAlign w:val="bottom"/>
            <w:shd w:val="clear" w:color="auto" w:fill="DBDBDB"/>
          </w:tcPr>
          <w:p>
            <w:pPr>
              <w:jc w:val="right"/>
              <w:ind w:right="287"/>
              <w:spacing w:after="0"/>
              <w:rPr>
                <w:sz w:val="20"/>
                <w:szCs w:val="20"/>
                <w:color w:val="auto"/>
              </w:rPr>
            </w:pPr>
            <w:r>
              <w:rPr>
                <w:rFonts w:ascii="Times New Roman" w:cs="Times New Roman" w:eastAsia="Times New Roman" w:hAnsi="Times New Roman"/>
                <w:sz w:val="15"/>
                <w:szCs w:val="15"/>
                <w:color w:val="auto"/>
              </w:rPr>
              <w:t>(130)</w:t>
            </w:r>
          </w:p>
        </w:tc>
        <w:tc>
          <w:tcPr>
            <w:tcW w:w="4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371</w:t>
            </w:r>
          </w:p>
        </w:tc>
        <w:tc>
          <w:tcPr>
            <w:tcW w:w="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5"/>
              </w:rPr>
              <w:t>%</w:t>
            </w:r>
          </w:p>
        </w:tc>
        <w:tc>
          <w:tcPr>
            <w:tcW w:w="1160" w:type="dxa"/>
            <w:vAlign w:val="bottom"/>
          </w:tcPr>
          <w:p>
            <w:pPr>
              <w:jc w:val="right"/>
              <w:ind w:right="147"/>
              <w:spacing w:after="0"/>
              <w:rPr>
                <w:sz w:val="20"/>
                <w:szCs w:val="20"/>
                <w:color w:val="auto"/>
              </w:rPr>
            </w:pPr>
            <w:r>
              <w:rPr>
                <w:rFonts w:ascii="Times New Roman" w:cs="Times New Roman" w:eastAsia="Times New Roman" w:hAnsi="Times New Roman"/>
                <w:sz w:val="15"/>
                <w:szCs w:val="15"/>
                <w:b w:val="1"/>
                <w:bCs w:val="1"/>
                <w:color w:val="auto"/>
              </w:rPr>
              <w:t>(185)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200" w:type="dxa"/>
            <w:vAlign w:val="bottom"/>
            <w:shd w:val="clear" w:color="auto" w:fill="DBDBDB"/>
          </w:tcPr>
          <w:p>
            <w:pPr>
              <w:jc w:val="right"/>
              <w:ind w:right="327"/>
              <w:spacing w:after="0"/>
              <w:rPr>
                <w:sz w:val="20"/>
                <w:szCs w:val="20"/>
                <w:color w:val="auto"/>
              </w:rPr>
            </w:pPr>
            <w:r>
              <w:rPr>
                <w:rFonts w:ascii="Times New Roman" w:cs="Times New Roman" w:eastAsia="Times New Roman" w:hAnsi="Times New Roman"/>
                <w:sz w:val="15"/>
                <w:szCs w:val="15"/>
                <w:color w:val="auto"/>
              </w:rPr>
              <w:t>(157)</w:t>
            </w:r>
          </w:p>
        </w:tc>
        <w:tc>
          <w:tcPr>
            <w:tcW w:w="4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61"/>
        </w:trPr>
        <w:tc>
          <w:tcPr>
            <w:tcW w:w="3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1180" w:type="dxa"/>
            <w:vAlign w:val="bottom"/>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63,580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40,027</w:t>
            </w:r>
          </w:p>
        </w:tc>
        <w:tc>
          <w:tcPr>
            <w:tcW w:w="1160" w:type="dxa"/>
            <w:vAlign w:val="bottom"/>
            <w:tcBorders>
              <w:bottom w:val="single" w:sz="8" w:color="DBDBDB"/>
            </w:tcBorders>
            <w:shd w:val="clear" w:color="auto" w:fill="DBDBDB"/>
          </w:tcPr>
          <w:p>
            <w:pPr>
              <w:jc w:val="right"/>
              <w:ind w:right="327"/>
              <w:spacing w:after="0"/>
              <w:rPr>
                <w:sz w:val="20"/>
                <w:szCs w:val="20"/>
                <w:color w:val="auto"/>
              </w:rPr>
            </w:pPr>
            <w:r>
              <w:rPr>
                <w:rFonts w:ascii="Times New Roman" w:cs="Times New Roman" w:eastAsia="Times New Roman" w:hAnsi="Times New Roman"/>
                <w:sz w:val="15"/>
                <w:szCs w:val="15"/>
                <w:color w:val="auto"/>
              </w:rPr>
              <w:t>23,553</w:t>
            </w:r>
          </w:p>
        </w:tc>
        <w:tc>
          <w:tcPr>
            <w:tcW w:w="4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5"/>
              </w:rPr>
              <w:t>%</w:t>
            </w:r>
          </w:p>
        </w:tc>
        <w:tc>
          <w:tcPr>
            <w:tcW w:w="1160" w:type="dxa"/>
            <w:vAlign w:val="bottom"/>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64,026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1,545</w:t>
            </w:r>
          </w:p>
        </w:tc>
        <w:tc>
          <w:tcPr>
            <w:tcW w:w="1200" w:type="dxa"/>
            <w:vAlign w:val="bottom"/>
            <w:tcBorders>
              <w:bottom w:val="single" w:sz="8" w:color="DBDBDB"/>
            </w:tcBorders>
            <w:shd w:val="clear" w:color="auto" w:fill="DBDBDB"/>
          </w:tcPr>
          <w:p>
            <w:pPr>
              <w:jc w:val="right"/>
              <w:ind w:right="347"/>
              <w:spacing w:after="0"/>
              <w:rPr>
                <w:sz w:val="20"/>
                <w:szCs w:val="20"/>
                <w:color w:val="auto"/>
              </w:rPr>
            </w:pPr>
            <w:r>
              <w:rPr>
                <w:rFonts w:ascii="Times New Roman" w:cs="Times New Roman" w:eastAsia="Times New Roman" w:hAnsi="Times New Roman"/>
                <w:sz w:val="15"/>
                <w:szCs w:val="15"/>
                <w:color w:val="auto"/>
              </w:rPr>
              <w:t>62,481</w:t>
            </w:r>
          </w:p>
        </w:tc>
        <w:tc>
          <w:tcPr>
            <w:tcW w:w="4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4044</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04"/>
        </w:trPr>
        <w:tc>
          <w:tcPr>
            <w:tcW w:w="3860" w:type="dxa"/>
            <w:vAlign w:val="bottom"/>
            <w:tcBorders>
              <w:top w:val="single" w:sz="8" w:color="929292"/>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1180" w:type="dxa"/>
            <w:vAlign w:val="bottom"/>
            <w:tcBorders>
              <w:top w:val="single" w:sz="8" w:color="929292"/>
            </w:tcBorders>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53,641</w:t>
            </w:r>
          </w:p>
        </w:tc>
        <w:tc>
          <w:tcPr>
            <w:tcW w:w="7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64,026</w:t>
            </w:r>
          </w:p>
        </w:tc>
        <w:tc>
          <w:tcPr>
            <w:tcW w:w="1160" w:type="dxa"/>
            <w:vAlign w:val="bottom"/>
            <w:tcBorders>
              <w:top w:val="single" w:sz="8" w:color="929292"/>
              <w:bottom w:val="single" w:sz="8" w:color="DBDBDB"/>
            </w:tcBorders>
            <w:shd w:val="clear" w:color="auto" w:fill="DBDBDB"/>
          </w:tcPr>
          <w:p>
            <w:pPr>
              <w:jc w:val="right"/>
              <w:ind w:right="287"/>
              <w:spacing w:after="0"/>
              <w:rPr>
                <w:sz w:val="20"/>
                <w:szCs w:val="20"/>
                <w:color w:val="auto"/>
              </w:rPr>
            </w:pPr>
            <w:r>
              <w:rPr>
                <w:rFonts w:ascii="Times New Roman" w:cs="Times New Roman" w:eastAsia="Times New Roman" w:hAnsi="Times New Roman"/>
                <w:sz w:val="15"/>
                <w:szCs w:val="15"/>
                <w:color w:val="auto"/>
              </w:rPr>
              <w:t>(10,385)</w:t>
            </w:r>
          </w:p>
        </w:tc>
        <w:tc>
          <w:tcPr>
            <w:tcW w:w="44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6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5"/>
              </w:rPr>
              <w:t>%</w:t>
            </w:r>
          </w:p>
        </w:tc>
        <w:tc>
          <w:tcPr>
            <w:tcW w:w="1160" w:type="dxa"/>
            <w:vAlign w:val="bottom"/>
            <w:tcBorders>
              <w:top w:val="single" w:sz="8" w:color="929292"/>
            </w:tcBorders>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53,641</w:t>
            </w:r>
          </w:p>
        </w:tc>
        <w:tc>
          <w:tcPr>
            <w:tcW w:w="76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64,026</w:t>
            </w:r>
          </w:p>
        </w:tc>
        <w:tc>
          <w:tcPr>
            <w:tcW w:w="1200" w:type="dxa"/>
            <w:vAlign w:val="bottom"/>
            <w:tcBorders>
              <w:top w:val="single" w:sz="8" w:color="929292"/>
              <w:bottom w:val="single" w:sz="8" w:color="DBDBDB"/>
            </w:tcBorders>
            <w:shd w:val="clear" w:color="auto" w:fill="DBDBDB"/>
          </w:tcPr>
          <w:p>
            <w:pPr>
              <w:jc w:val="right"/>
              <w:ind w:right="327"/>
              <w:spacing w:after="0"/>
              <w:rPr>
                <w:sz w:val="20"/>
                <w:szCs w:val="20"/>
                <w:color w:val="auto"/>
              </w:rPr>
            </w:pPr>
            <w:r>
              <w:rPr>
                <w:rFonts w:ascii="Times New Roman" w:cs="Times New Roman" w:eastAsia="Times New Roman" w:hAnsi="Times New Roman"/>
                <w:sz w:val="15"/>
                <w:szCs w:val="15"/>
                <w:color w:val="auto"/>
              </w:rPr>
              <w:t>(10,385)</w:t>
            </w:r>
          </w:p>
        </w:tc>
        <w:tc>
          <w:tcPr>
            <w:tcW w:w="46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4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38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705" w:right="3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13"/>
        </w:trPr>
        <w:tc>
          <w:tcPr>
            <w:tcW w:w="3060" w:type="dxa"/>
            <w:vAlign w:val="bottom"/>
          </w:tcPr>
          <w:p>
            <w:pPr>
              <w:spacing w:after="0"/>
              <w:rPr>
                <w:sz w:val="18"/>
                <w:szCs w:val="18"/>
                <w:color w:val="auto"/>
              </w:rPr>
            </w:pPr>
          </w:p>
        </w:tc>
        <w:tc>
          <w:tcPr>
            <w:tcW w:w="3800" w:type="dxa"/>
            <w:vAlign w:val="bottom"/>
            <w:gridSpan w:val="3"/>
          </w:tcPr>
          <w:p>
            <w:pPr>
              <w:ind w:left="13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240" w:type="dxa"/>
            <w:vAlign w:val="bottom"/>
          </w:tcPr>
          <w:p>
            <w:pPr>
              <w:ind w:left="170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
        </w:trPr>
        <w:tc>
          <w:tcPr>
            <w:tcW w:w="3060" w:type="dxa"/>
            <w:vAlign w:val="bottom"/>
            <w:tcBorders>
              <w:bottom w:val="single" w:sz="8" w:color="auto"/>
            </w:tcBorders>
          </w:tcPr>
          <w:p>
            <w:pPr>
              <w:spacing w:after="0"/>
              <w:rPr>
                <w:sz w:val="3"/>
                <w:szCs w:val="3"/>
                <w:color w:val="auto"/>
              </w:rPr>
            </w:pPr>
          </w:p>
        </w:tc>
        <w:tc>
          <w:tcPr>
            <w:tcW w:w="8160" w:type="dxa"/>
            <w:vAlign w:val="bottom"/>
            <w:tcBorders>
              <w:bottom w:val="single" w:sz="8" w:color="auto"/>
            </w:tcBorders>
            <w:gridSpan w:val="6"/>
          </w:tcPr>
          <w:p>
            <w:pPr>
              <w:spacing w:after="0"/>
              <w:rPr>
                <w:sz w:val="3"/>
                <w:szCs w:val="3"/>
                <w:color w:val="auto"/>
              </w:rPr>
            </w:pPr>
          </w:p>
        </w:tc>
      </w:tr>
      <w:tr>
        <w:trPr>
          <w:trHeight w:val="208"/>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8160" w:type="dxa"/>
            <w:vAlign w:val="bottom"/>
            <w:gridSpan w:val="6"/>
          </w:tcPr>
          <w:p>
            <w:pPr>
              <w:ind w:left="540"/>
              <w:spacing w:after="0"/>
              <w:rPr>
                <w:sz w:val="20"/>
                <w:szCs w:val="20"/>
                <w:color w:val="auto"/>
              </w:rPr>
            </w:pPr>
            <w:r>
              <w:rPr>
                <w:rFonts w:ascii="Times New Roman" w:cs="Times New Roman" w:eastAsia="Times New Roman" w:hAnsi="Times New Roman"/>
                <w:sz w:val="16"/>
                <w:szCs w:val="16"/>
                <w:color w:val="auto"/>
              </w:rPr>
              <w:t>Primarily relates to cash used for operating expenses including research and development expenses, salaries, and</w:t>
            </w:r>
          </w:p>
        </w:tc>
      </w:tr>
      <w:tr>
        <w:trPr>
          <w:trHeight w:val="195"/>
        </w:trPr>
        <w:tc>
          <w:tcPr>
            <w:tcW w:w="3060" w:type="dxa"/>
            <w:vAlign w:val="bottom"/>
          </w:tcPr>
          <w:p>
            <w:pPr>
              <w:spacing w:after="0"/>
              <w:rPr>
                <w:sz w:val="17"/>
                <w:szCs w:val="17"/>
                <w:color w:val="auto"/>
              </w:rPr>
            </w:pPr>
          </w:p>
        </w:tc>
        <w:tc>
          <w:tcPr>
            <w:tcW w:w="8160" w:type="dxa"/>
            <w:vAlign w:val="bottom"/>
            <w:gridSpan w:val="6"/>
          </w:tcPr>
          <w:p>
            <w:pPr>
              <w:ind w:left="540"/>
              <w:spacing w:after="0"/>
              <w:rPr>
                <w:sz w:val="20"/>
                <w:szCs w:val="20"/>
                <w:color w:val="auto"/>
              </w:rPr>
            </w:pPr>
            <w:r>
              <w:rPr>
                <w:rFonts w:ascii="Times New Roman" w:cs="Times New Roman" w:eastAsia="Times New Roman" w:hAnsi="Times New Roman"/>
                <w:sz w:val="16"/>
                <w:szCs w:val="16"/>
                <w:color w:val="auto"/>
              </w:rPr>
              <w:t>other general and administration expenses. Cash flows from operating activities exclude expenses not affecting</w:t>
            </w:r>
          </w:p>
        </w:tc>
      </w:tr>
      <w:tr>
        <w:trPr>
          <w:trHeight w:val="208"/>
        </w:trPr>
        <w:tc>
          <w:tcPr>
            <w:tcW w:w="3060" w:type="dxa"/>
            <w:vAlign w:val="bottom"/>
          </w:tcPr>
          <w:p>
            <w:pPr>
              <w:spacing w:after="0"/>
              <w:rPr>
                <w:sz w:val="18"/>
                <w:szCs w:val="18"/>
                <w:color w:val="auto"/>
              </w:rPr>
            </w:pPr>
          </w:p>
        </w:tc>
        <w:tc>
          <w:tcPr>
            <w:tcW w:w="8160" w:type="dxa"/>
            <w:vAlign w:val="bottom"/>
            <w:gridSpan w:val="6"/>
          </w:tcPr>
          <w:p>
            <w:pPr>
              <w:ind w:left="540"/>
              <w:spacing w:after="0"/>
              <w:rPr>
                <w:sz w:val="20"/>
                <w:szCs w:val="20"/>
                <w:color w:val="auto"/>
              </w:rPr>
            </w:pPr>
            <w:r>
              <w:rPr>
                <w:rFonts w:ascii="Times New Roman" w:cs="Times New Roman" w:eastAsia="Times New Roman" w:hAnsi="Times New Roman"/>
                <w:sz w:val="16"/>
                <w:szCs w:val="16"/>
                <w:color w:val="auto"/>
              </w:rPr>
              <w:t>cash, such as share based compensation expense, depreciation, unrealized foreign exchange gains or losses, and net</w:t>
            </w:r>
          </w:p>
        </w:tc>
      </w:tr>
      <w:tr>
        <w:trPr>
          <w:trHeight w:val="211"/>
        </w:trPr>
        <w:tc>
          <w:tcPr>
            <w:tcW w:w="3060" w:type="dxa"/>
            <w:vAlign w:val="bottom"/>
          </w:tcPr>
          <w:p>
            <w:pPr>
              <w:spacing w:after="0"/>
              <w:rPr>
                <w:sz w:val="18"/>
                <w:szCs w:val="18"/>
                <w:color w:val="auto"/>
              </w:rPr>
            </w:pPr>
          </w:p>
        </w:tc>
        <w:tc>
          <w:tcPr>
            <w:tcW w:w="7040" w:type="dxa"/>
            <w:vAlign w:val="bottom"/>
            <w:gridSpan w:val="4"/>
          </w:tcPr>
          <w:p>
            <w:pPr>
              <w:ind w:left="540"/>
              <w:spacing w:after="0"/>
              <w:rPr>
                <w:sz w:val="20"/>
                <w:szCs w:val="20"/>
                <w:color w:val="auto"/>
              </w:rPr>
            </w:pPr>
            <w:r>
              <w:rPr>
                <w:rFonts w:ascii="Times New Roman" w:cs="Times New Roman" w:eastAsia="Times New Roman" w:hAnsi="Times New Roman"/>
                <w:sz w:val="16"/>
                <w:szCs w:val="16"/>
                <w:color w:val="auto"/>
              </w:rPr>
              <w:t>changes in non-cash balances relating to operations.</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41"/>
        </w:trPr>
        <w:tc>
          <w:tcPr>
            <w:tcW w:w="3060" w:type="dxa"/>
            <w:vAlign w:val="bottom"/>
          </w:tcPr>
          <w:p>
            <w:pPr>
              <w:spacing w:after="0"/>
              <w:rPr>
                <w:sz w:val="20"/>
                <w:szCs w:val="20"/>
                <w:color w:val="auto"/>
              </w:rPr>
            </w:pPr>
          </w:p>
        </w:tc>
        <w:tc>
          <w:tcPr>
            <w:tcW w:w="8160" w:type="dxa"/>
            <w:vAlign w:val="bottom"/>
            <w:gridSpan w:val="6"/>
          </w:tcPr>
          <w:p>
            <w:pPr>
              <w:ind w:left="540"/>
              <w:spacing w:after="0"/>
              <w:rPr>
                <w:sz w:val="20"/>
                <w:szCs w:val="20"/>
                <w:color w:val="auto"/>
              </w:rPr>
            </w:pPr>
            <w:r>
              <w:rPr>
                <w:rFonts w:ascii="Times New Roman" w:cs="Times New Roman" w:eastAsia="Times New Roman" w:hAnsi="Times New Roman"/>
                <w:sz w:val="16"/>
                <w:szCs w:val="16"/>
                <w:color w:val="auto"/>
              </w:rPr>
              <w:t>For the three-month period ended March 31, 2022, cash For  the  year  ended  March  31,  2022,  cash  used  in</w:t>
            </w:r>
          </w:p>
        </w:tc>
      </w:tr>
      <w:tr>
        <w:trPr>
          <w:trHeight w:val="195"/>
        </w:trPr>
        <w:tc>
          <w:tcPr>
            <w:tcW w:w="3060" w:type="dxa"/>
            <w:vAlign w:val="bottom"/>
          </w:tcPr>
          <w:p>
            <w:pPr>
              <w:spacing w:after="0"/>
              <w:rPr>
                <w:sz w:val="17"/>
                <w:szCs w:val="17"/>
                <w:color w:val="auto"/>
              </w:rPr>
            </w:pPr>
          </w:p>
        </w:tc>
        <w:tc>
          <w:tcPr>
            <w:tcW w:w="8160" w:type="dxa"/>
            <w:vAlign w:val="bottom"/>
            <w:gridSpan w:val="6"/>
          </w:tcPr>
          <w:p>
            <w:pPr>
              <w:ind w:left="540"/>
              <w:spacing w:after="0"/>
              <w:rPr>
                <w:sz w:val="20"/>
                <w:szCs w:val="20"/>
                <w:color w:val="auto"/>
              </w:rPr>
            </w:pPr>
            <w:r>
              <w:rPr>
                <w:rFonts w:ascii="Times New Roman" w:cs="Times New Roman" w:eastAsia="Times New Roman" w:hAnsi="Times New Roman"/>
                <w:sz w:val="16"/>
                <w:szCs w:val="16"/>
                <w:color w:val="auto"/>
              </w:rPr>
              <w:t>used in operating activities was $9,721 driven by a net operating activities was $45,207 driven by a net loss for</w:t>
            </w:r>
          </w:p>
        </w:tc>
      </w:tr>
      <w:tr>
        <w:trPr>
          <w:trHeight w:val="195"/>
        </w:trPr>
        <w:tc>
          <w:tcPr>
            <w:tcW w:w="3060" w:type="dxa"/>
            <w:vAlign w:val="bottom"/>
          </w:tcPr>
          <w:p>
            <w:pPr>
              <w:spacing w:after="0"/>
              <w:rPr>
                <w:sz w:val="17"/>
                <w:szCs w:val="17"/>
                <w:color w:val="auto"/>
              </w:rPr>
            </w:pPr>
          </w:p>
        </w:tc>
        <w:tc>
          <w:tcPr>
            <w:tcW w:w="38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loss for the period of $18,097 and non cash</w:t>
            </w:r>
          </w:p>
        </w:tc>
        <w:tc>
          <w:tcPr>
            <w:tcW w:w="4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interest the period of $67,631, and non cash interest income of</w:t>
            </w:r>
          </w:p>
        </w:tc>
      </w:tr>
      <w:tr>
        <w:trPr>
          <w:trHeight w:val="195"/>
        </w:trPr>
        <w:tc>
          <w:tcPr>
            <w:tcW w:w="3060" w:type="dxa"/>
            <w:vAlign w:val="bottom"/>
          </w:tcPr>
          <w:p>
            <w:pPr>
              <w:spacing w:after="0"/>
              <w:rPr>
                <w:sz w:val="17"/>
                <w:szCs w:val="17"/>
                <w:color w:val="auto"/>
              </w:rPr>
            </w:pPr>
          </w:p>
        </w:tc>
        <w:tc>
          <w:tcPr>
            <w:tcW w:w="7040" w:type="dxa"/>
            <w:vAlign w:val="bottom"/>
            <w:gridSpan w:val="4"/>
          </w:tcPr>
          <w:p>
            <w:pPr>
              <w:ind w:left="540"/>
              <w:spacing w:after="0"/>
              <w:rPr>
                <w:sz w:val="20"/>
                <w:szCs w:val="20"/>
                <w:color w:val="auto"/>
              </w:rPr>
            </w:pPr>
            <w:r>
              <w:rPr>
                <w:rFonts w:ascii="Times New Roman" w:cs="Times New Roman" w:eastAsia="Times New Roman" w:hAnsi="Times New Roman"/>
                <w:sz w:val="16"/>
                <w:szCs w:val="16"/>
                <w:color w:val="auto"/>
              </w:rPr>
              <w:t>income of $21, partially offset by the following non-cash $21, partially offset by the following</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non-cash</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items:</w:t>
            </w:r>
          </w:p>
        </w:tc>
      </w:tr>
      <w:tr>
        <w:trPr>
          <w:trHeight w:val="195"/>
        </w:trPr>
        <w:tc>
          <w:tcPr>
            <w:tcW w:w="3060" w:type="dxa"/>
            <w:vAlign w:val="bottom"/>
          </w:tcPr>
          <w:p>
            <w:pPr>
              <w:spacing w:after="0"/>
              <w:rPr>
                <w:sz w:val="17"/>
                <w:szCs w:val="17"/>
                <w:color w:val="auto"/>
              </w:rPr>
            </w:pPr>
          </w:p>
        </w:tc>
        <w:tc>
          <w:tcPr>
            <w:tcW w:w="7040" w:type="dxa"/>
            <w:vAlign w:val="bottom"/>
            <w:gridSpan w:val="4"/>
          </w:tcPr>
          <w:p>
            <w:pPr>
              <w:ind w:left="540"/>
              <w:spacing w:after="0"/>
              <w:rPr>
                <w:sz w:val="20"/>
                <w:szCs w:val="20"/>
                <w:color w:val="auto"/>
              </w:rPr>
            </w:pPr>
            <w:r>
              <w:rPr>
                <w:rFonts w:ascii="Times New Roman" w:cs="Times New Roman" w:eastAsia="Times New Roman" w:hAnsi="Times New Roman"/>
                <w:sz w:val="16"/>
                <w:szCs w:val="16"/>
                <w:color w:val="auto"/>
              </w:rPr>
              <w:t>items: share-based compensation of $3,343, a decrease in share-based compensation of $18,030,</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change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fair</w:t>
            </w:r>
          </w:p>
        </w:tc>
      </w:tr>
      <w:tr>
        <w:trPr>
          <w:trHeight w:val="195"/>
        </w:trPr>
        <w:tc>
          <w:tcPr>
            <w:tcW w:w="3060" w:type="dxa"/>
            <w:vAlign w:val="bottom"/>
          </w:tcPr>
          <w:p>
            <w:pPr>
              <w:spacing w:after="0"/>
              <w:rPr>
                <w:sz w:val="17"/>
                <w:szCs w:val="17"/>
                <w:color w:val="auto"/>
              </w:rPr>
            </w:pPr>
          </w:p>
        </w:tc>
        <w:tc>
          <w:tcPr>
            <w:tcW w:w="25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working  capital  of  $3,067,</w:t>
            </w: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w:t>
            </w:r>
          </w:p>
        </w:tc>
        <w:tc>
          <w:tcPr>
            <w:tcW w:w="4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fair  value  of value of contingent consideration of $3,380, contingent</w:t>
            </w:r>
          </w:p>
        </w:tc>
      </w:tr>
      <w:tr>
        <w:trPr>
          <w:trHeight w:val="195"/>
        </w:trPr>
        <w:tc>
          <w:tcPr>
            <w:tcW w:w="3060" w:type="dxa"/>
            <w:vAlign w:val="bottom"/>
          </w:tcPr>
          <w:p>
            <w:pPr>
              <w:spacing w:after="0"/>
              <w:rPr>
                <w:sz w:val="17"/>
                <w:szCs w:val="17"/>
                <w:color w:val="auto"/>
              </w:rPr>
            </w:pPr>
          </w:p>
        </w:tc>
        <w:tc>
          <w:tcPr>
            <w:tcW w:w="38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contingent consideration of $1,436, unrealized</w:t>
            </w:r>
          </w:p>
        </w:tc>
        <w:tc>
          <w:tcPr>
            <w:tcW w:w="4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foreign consideration  accretion  of  $316,  non-cash  unrealized</w:t>
            </w:r>
          </w:p>
        </w:tc>
      </w:tr>
      <w:tr>
        <w:trPr>
          <w:trHeight w:val="195"/>
        </w:trPr>
        <w:tc>
          <w:tcPr>
            <w:tcW w:w="3060" w:type="dxa"/>
            <w:vAlign w:val="bottom"/>
          </w:tcPr>
          <w:p>
            <w:pPr>
              <w:spacing w:after="0"/>
              <w:rPr>
                <w:sz w:val="17"/>
                <w:szCs w:val="17"/>
                <w:color w:val="auto"/>
              </w:rPr>
            </w:pPr>
          </w:p>
        </w:tc>
        <w:tc>
          <w:tcPr>
            <w:tcW w:w="8160" w:type="dxa"/>
            <w:vAlign w:val="bottom"/>
            <w:gridSpan w:val="6"/>
          </w:tcPr>
          <w:p>
            <w:pPr>
              <w:ind w:left="540"/>
              <w:spacing w:after="0"/>
              <w:rPr>
                <w:sz w:val="20"/>
                <w:szCs w:val="20"/>
                <w:color w:val="auto"/>
              </w:rPr>
            </w:pPr>
            <w:r>
              <w:rPr>
                <w:rFonts w:ascii="Times New Roman" w:cs="Times New Roman" w:eastAsia="Times New Roman" w:hAnsi="Times New Roman"/>
                <w:sz w:val="16"/>
                <w:szCs w:val="16"/>
                <w:color w:val="auto"/>
              </w:rPr>
              <w:t>exchange loss of $452, depreciation of $44, net loss on foreign exchange loss of $309, a decrease in working</w:t>
            </w:r>
          </w:p>
        </w:tc>
      </w:tr>
      <w:tr>
        <w:trPr>
          <w:trHeight w:val="195"/>
        </w:trPr>
        <w:tc>
          <w:tcPr>
            <w:tcW w:w="3060" w:type="dxa"/>
            <w:vAlign w:val="bottom"/>
          </w:tcPr>
          <w:p>
            <w:pPr>
              <w:spacing w:after="0"/>
              <w:rPr>
                <w:sz w:val="17"/>
                <w:szCs w:val="17"/>
                <w:color w:val="auto"/>
              </w:rPr>
            </w:pPr>
          </w:p>
        </w:tc>
        <w:tc>
          <w:tcPr>
            <w:tcW w:w="38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financial instruments measured at fair value</w:t>
            </w:r>
          </w:p>
        </w:tc>
        <w:tc>
          <w:tcPr>
            <w:tcW w:w="4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through capital of $213, depreciation of $168 and net loss on</w:t>
            </w:r>
          </w:p>
        </w:tc>
      </w:tr>
      <w:tr>
        <w:trPr>
          <w:trHeight w:val="195"/>
        </w:trPr>
        <w:tc>
          <w:tcPr>
            <w:tcW w:w="3060" w:type="dxa"/>
            <w:vAlign w:val="bottom"/>
          </w:tcPr>
          <w:p>
            <w:pPr>
              <w:spacing w:after="0"/>
              <w:rPr>
                <w:sz w:val="17"/>
                <w:szCs w:val="17"/>
                <w:color w:val="auto"/>
              </w:rPr>
            </w:pPr>
          </w:p>
        </w:tc>
        <w:tc>
          <w:tcPr>
            <w:tcW w:w="25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profit  or  loss  of  $29  and</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contingent</w:t>
            </w:r>
          </w:p>
        </w:tc>
        <w:tc>
          <w:tcPr>
            <w:tcW w:w="4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consideration financial instruments measured at fair value through</w:t>
            </w:r>
          </w:p>
        </w:tc>
      </w:tr>
      <w:tr>
        <w:trPr>
          <w:trHeight w:val="211"/>
        </w:trPr>
        <w:tc>
          <w:tcPr>
            <w:tcW w:w="3060" w:type="dxa"/>
            <w:vAlign w:val="bottom"/>
          </w:tcPr>
          <w:p>
            <w:pPr>
              <w:spacing w:after="0"/>
              <w:rPr>
                <w:sz w:val="18"/>
                <w:szCs w:val="18"/>
                <w:color w:val="auto"/>
              </w:rPr>
            </w:pPr>
          </w:p>
        </w:tc>
        <w:tc>
          <w:tcPr>
            <w:tcW w:w="25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accretion of $26.</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profit or loss of $29.</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-1938655</wp:posOffset>
            </wp:positionV>
            <wp:extent cx="7122160" cy="31654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22160" cy="316547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p>
      <w:pPr>
        <w:spacing w:after="0" w:line="43" w:lineRule="exact"/>
        <w:rPr>
          <w:sz w:val="20"/>
          <w:szCs w:val="20"/>
          <w:color w:val="auto"/>
        </w:rPr>
      </w:pPr>
    </w:p>
    <w:p>
      <w:pPr>
        <w:ind w:left="20"/>
        <w:spacing w:after="0"/>
        <w:tabs>
          <w:tab w:leader="none" w:pos="3580" w:val="left"/>
        </w:tabs>
        <w:rPr>
          <w:sz w:val="20"/>
          <w:szCs w:val="20"/>
          <w:color w:val="auto"/>
        </w:rPr>
      </w:pPr>
      <w:r>
        <w:rPr>
          <w:rFonts w:ascii="Times New Roman" w:cs="Times New Roman" w:eastAsia="Times New Roman" w:hAnsi="Times New Roman"/>
          <w:sz w:val="16"/>
          <w:szCs w:val="16"/>
          <w:b w:val="1"/>
          <w:bCs w:val="1"/>
          <w:color w:val="auto"/>
        </w:rPr>
        <w:t>Net cash used in investing activities</w:t>
      </w:r>
      <w:r>
        <w:rPr>
          <w:sz w:val="20"/>
          <w:szCs w:val="20"/>
          <w:color w:val="auto"/>
        </w:rPr>
        <w:tab/>
      </w:r>
      <w:r>
        <w:rPr>
          <w:rFonts w:ascii="Times New Roman" w:cs="Times New Roman" w:eastAsia="Times New Roman" w:hAnsi="Times New Roman"/>
          <w:sz w:val="16"/>
          <w:szCs w:val="16"/>
          <w:color w:val="auto"/>
        </w:rPr>
        <w:t>For the three-month period ended March 31, 2022, cash</w:t>
      </w:r>
    </w:p>
    <w:p>
      <w:pPr>
        <w:spacing w:after="0" w:line="2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color w:val="auto"/>
        </w:rPr>
        <w:t>flows were mainly driven by:</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 purchase of intangible assets of $108, and</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 purchase of equipment of $13.</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6"/>
          <w:szCs w:val="16"/>
          <w:color w:val="auto"/>
        </w:rPr>
        <w:t>For the year ended March 31, 2022, cash flows were mainly driven by:</w:t>
      </w:r>
    </w:p>
    <w:p>
      <w:pPr>
        <w:ind w:left="280" w:hanging="135"/>
        <w:spacing w:after="0"/>
        <w:tabs>
          <w:tab w:leader="none" w:pos="2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in RxLive Limited of $250,</w:t>
      </w:r>
    </w:p>
    <w:p>
      <w:pPr>
        <w:spacing w:after="0" w:line="1" w:lineRule="exact"/>
        <w:rPr>
          <w:rFonts w:ascii="Times New Roman" w:cs="Times New Roman" w:eastAsia="Times New Roman" w:hAnsi="Times New Roman"/>
          <w:sz w:val="16"/>
          <w:szCs w:val="16"/>
          <w:color w:val="auto"/>
        </w:rPr>
      </w:pPr>
    </w:p>
    <w:p>
      <w:pPr>
        <w:ind w:left="280" w:hanging="135"/>
        <w:spacing w:after="0"/>
        <w:tabs>
          <w:tab w:leader="none" w:pos="2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of intangible assets of $415, and</w:t>
      </w:r>
    </w:p>
    <w:p>
      <w:pPr>
        <w:spacing w:after="0" w:line="9" w:lineRule="exact"/>
        <w:rPr>
          <w:rFonts w:ascii="Times New Roman" w:cs="Times New Roman" w:eastAsia="Times New Roman" w:hAnsi="Times New Roman"/>
          <w:sz w:val="16"/>
          <w:szCs w:val="16"/>
          <w:color w:val="auto"/>
        </w:rPr>
      </w:pPr>
    </w:p>
    <w:p>
      <w:pPr>
        <w:ind w:left="280" w:hanging="135"/>
        <w:spacing w:after="0"/>
        <w:tabs>
          <w:tab w:leader="none" w:pos="2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of equipment of $105.</w:t>
      </w:r>
    </w:p>
    <w:p>
      <w:pPr>
        <w:spacing w:after="0" w:line="79" w:lineRule="exact"/>
        <w:rPr>
          <w:sz w:val="20"/>
          <w:szCs w:val="20"/>
          <w:color w:val="auto"/>
        </w:rPr>
      </w:pPr>
    </w:p>
    <w:p>
      <w:pPr>
        <w:sectPr>
          <w:pgSz w:w="11900" w:h="16838" w:orient="portrait"/>
          <w:cols w:equalWidth="0" w:num="2">
            <w:col w:w="7240" w:space="180"/>
            <w:col w:w="3840"/>
          </w:cols>
          <w:pgMar w:left="320" w:top="757" w:right="31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from (used in) financing activities</w:t>
            </w:r>
          </w:p>
        </w:tc>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 the year ended March 31, 2022, cash generated from financing activities were mainly related to the net proceeds</w:t>
            </w:r>
          </w:p>
        </w:tc>
      </w:tr>
      <w:tr>
        <w:trPr>
          <w:trHeight w:val="195"/>
        </w:trPr>
        <w:tc>
          <w:tcPr>
            <w:tcW w:w="3300" w:type="dxa"/>
            <w:vAlign w:val="bottom"/>
          </w:tcPr>
          <w:p>
            <w:pPr>
              <w:spacing w:after="0"/>
              <w:rPr>
                <w:sz w:val="17"/>
                <w:szCs w:val="17"/>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of $31,507 received as a result of the issuance of common shares completed in August. In addition, the Company</w:t>
            </w:r>
          </w:p>
        </w:tc>
      </w:tr>
      <w:tr>
        <w:trPr>
          <w:trHeight w:val="195"/>
        </w:trPr>
        <w:tc>
          <w:tcPr>
            <w:tcW w:w="3300" w:type="dxa"/>
            <w:vAlign w:val="bottom"/>
          </w:tcPr>
          <w:p>
            <w:pPr>
              <w:spacing w:after="0"/>
              <w:rPr>
                <w:sz w:val="17"/>
                <w:szCs w:val="17"/>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received $68 during the three-month period and $4,270 during the year, related to the exercise of warrants and</w:t>
            </w:r>
          </w:p>
        </w:tc>
      </w:tr>
      <w:tr>
        <w:trPr>
          <w:trHeight w:val="211"/>
        </w:trPr>
        <w:tc>
          <w:tcPr>
            <w:tcW w:w="330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options.</w:t>
            </w:r>
          </w:p>
        </w:tc>
      </w:tr>
      <w:tr>
        <w:trPr>
          <w:trHeight w:val="25"/>
        </w:trPr>
        <w:tc>
          <w:tcPr>
            <w:tcW w:w="330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3, 2021, the Company closed its overnight marketed Offering of 10,147,600 Common Shares at a price of $3.40 per Common Share (the “</w:t>
      </w:r>
      <w:r>
        <w:rPr>
          <w:rFonts w:ascii="Times New Roman" w:cs="Times New Roman" w:eastAsia="Times New Roman" w:hAnsi="Times New Roman"/>
          <w:sz w:val="18"/>
          <w:szCs w:val="18"/>
          <w:b w:val="1"/>
          <w:bCs w:val="1"/>
          <w:color w:val="auto"/>
        </w:rPr>
        <w:t>Issue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for aggregate gross proceeds of $34,502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pursuant to the Company’s prospectus supplement, to the July Base Shelf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July 28, 2021 (the “</w:t>
      </w:r>
      <w:r>
        <w:rPr>
          <w:rFonts w:ascii="Times New Roman" w:cs="Times New Roman" w:eastAsia="Times New Roman" w:hAnsi="Times New Roman"/>
          <w:sz w:val="18"/>
          <w:szCs w:val="18"/>
          <w:b w:val="1"/>
          <w:bCs w:val="1"/>
          <w:color w:val="auto"/>
        </w:rPr>
        <w:t>July Prospectus Supplement</w:t>
      </w:r>
      <w:r>
        <w:rPr>
          <w:rFonts w:ascii="Times New Roman" w:cs="Times New Roman" w:eastAsia="Times New Roman" w:hAnsi="Times New Roman"/>
          <w:sz w:val="18"/>
          <w:szCs w:val="18"/>
          <w:color w:val="auto"/>
        </w:rPr>
        <w:t>”). The Offering was co-led by Cantor Fitzgerald Canada Corporation and Canaccord Genuity Corp., as joint bookrunners, on behalf of a syndicate of underwriters, which included H.C. Wainwright &amp; Co., LLC, Roth Canada, ULC, and Stifel Nicolaus Canada Inc.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In consideration for their services, the Company paid to the Underwriters a cash commission equal to $2,240 and issued 658,860 compensation warrants of the Company (the “</w:t>
      </w:r>
      <w:r>
        <w:rPr>
          <w:rFonts w:ascii="Times New Roman" w:cs="Times New Roman" w:eastAsia="Times New Roman" w:hAnsi="Times New Roman"/>
          <w:sz w:val="18"/>
          <w:szCs w:val="18"/>
          <w:b w:val="1"/>
          <w:bCs w:val="1"/>
          <w:color w:val="auto"/>
        </w:rPr>
        <w:t>Compensation Warrants</w:t>
      </w:r>
      <w:r>
        <w:rPr>
          <w:rFonts w:ascii="Times New Roman" w:cs="Times New Roman" w:eastAsia="Times New Roman" w:hAnsi="Times New Roman"/>
          <w:sz w:val="18"/>
          <w:szCs w:val="18"/>
          <w:color w:val="auto"/>
        </w:rPr>
        <w:t>”), with each Compensation Warrant being exercisable to acquire one Common Share at the Issue Price for a period of 24 months from the closing date of the Offering.</w:t>
      </w:r>
    </w:p>
    <w:p>
      <w:pPr>
        <w:spacing w:after="0" w:line="19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spacing w:after="0" w:line="19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As at March 31, 2022, the Company had working capital of $50,447. The Company is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18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intends to continue its rapid growth and expand its operations in the next twelve to twenty-four months. This growth, along with the expectation of operating at a loss for at minimum the next 12 months, will diminish the Company’s working capital. As such, further financings may be required to develop the Company’s facility and products, make acquisitions, meet ongoing obligations, and discharge its liabilities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60"/>
          </w:cols>
          <w:pgMar w:left="320" w:top="757" w:right="319" w:bottom="1440" w:gutter="0" w:footer="0" w:header="0"/>
          <w:type w:val="continuous"/>
        </w:sectPr>
      </w:pPr>
    </w:p>
    <w:bookmarkStart w:id="191" w:name="page192"/>
    <w:bookmarkEnd w:id="191"/>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There is no assurance that additional funds can be raised upon terms acceptable to the Company, or at all, as funding for small companies remains challenging.</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current expenditure obligations include commitments for those projects described in the section entitled “</w:t>
      </w:r>
      <w:r>
        <w:rPr>
          <w:rFonts w:ascii="Times New Roman" w:cs="Times New Roman" w:eastAsia="Times New Roman" w:hAnsi="Times New Roman"/>
          <w:sz w:val="18"/>
          <w:szCs w:val="18"/>
          <w:i w:val="1"/>
          <w:iCs w:val="1"/>
          <w:color w:val="auto"/>
        </w:rPr>
        <w:t>Major Objectives</w:t>
      </w:r>
      <w:r>
        <w:rPr>
          <w:rFonts w:ascii="Times New Roman" w:cs="Times New Roman" w:eastAsia="Times New Roman" w:hAnsi="Times New Roman"/>
          <w:sz w:val="18"/>
          <w:szCs w:val="18"/>
          <w:color w:val="auto"/>
        </w:rPr>
        <w:t>” in this MD&amp;A. The Company expects to continue funding these projects with available cash and cash equivalents, and 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5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Company constantly monitors and manages its capital resources to assess the liquidity necessary to fund operations and capacity expansion. As at March 31, 2022, the Company had a cash balance of $53,641 and current liabilities of $7,908, of which $2,646 represent non-cash liabilities. The Company’s current resources are sufficient to settle its current liabilities.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continues to raise the capital necessary to become a fully operational enterprise.</w:t>
      </w:r>
    </w:p>
    <w:p>
      <w:pPr>
        <w:spacing w:after="0" w:line="20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As the Company has not yet achieved profitability, there are uncertainties regarding its ability to continue as a going concern.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“Risk Factors”.</w:t>
      </w:r>
    </w:p>
    <w:p>
      <w:pPr>
        <w:spacing w:after="0" w:line="16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Company raised capital pursuant to the February 2021 Prospectus, under which the Company issues 15,264,000 units of the Company (each, 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at a price of $2.25 per Unit for aggregate gross proceeds of $34,304, and pursuant to the July Prospectus Supplement to continue to support its strategic plan. 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to manage its short- and long-term cash flow needs as it continues to invest into its intellectual property.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60"/>
          </w:cols>
          <w:pgMar w:left="320" w:top="705" w:right="3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at March 31, 2022, the Company had also entered into agreements for various studies which may require the Company to spend up to an additional US$4,777. The Company expects to pay this amount within the next 12 - 18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has entered into agreements with certain consultants which requires the Company to spend $437 within the next 12 months.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out the outstanding share capital of the Company as at March 31, 2022 and as of the date of this MD&amp;A:</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280" w:type="dxa"/>
            <w:vAlign w:val="bottom"/>
            <w:tcBorders>
              <w:top w:val="single" w:sz="8" w:color="auto"/>
              <w:left w:val="single" w:sz="8" w:color="auto"/>
              <w:bottom w:val="single" w:sz="8" w:color="DBDBDB"/>
              <w:right w:val="single" w:sz="8" w:color="auto"/>
            </w:tcBorders>
            <w:shd w:val="clear" w:color="auto" w:fill="DBDBDB"/>
          </w:tcPr>
          <w:p>
            <w:pPr>
              <w:ind w:left="1560"/>
              <w:spacing w:after="0"/>
              <w:rPr>
                <w:sz w:val="20"/>
                <w:szCs w:val="20"/>
                <w:color w:val="auto"/>
              </w:rPr>
            </w:pPr>
            <w:r>
              <w:rPr>
                <w:rFonts w:ascii="Times New Roman" w:cs="Times New Roman" w:eastAsia="Times New Roman" w:hAnsi="Times New Roman"/>
                <w:sz w:val="16"/>
                <w:szCs w:val="16"/>
                <w:b w:val="1"/>
                <w:bCs w:val="1"/>
                <w:color w:val="auto"/>
              </w:rPr>
              <w:t>Class of Security</w:t>
            </w:r>
          </w:p>
        </w:tc>
        <w:tc>
          <w:tcPr>
            <w:tcW w:w="3220" w:type="dxa"/>
            <w:vAlign w:val="bottom"/>
            <w:tcBorders>
              <w:top w:val="single" w:sz="8" w:color="auto"/>
              <w:bottom w:val="single" w:sz="8" w:color="DBDBDB"/>
              <w:right w:val="single" w:sz="8" w:color="auto"/>
            </w:tcBorders>
            <w:shd w:val="clear" w:color="auto" w:fill="DBDBDB"/>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3660" w:type="dxa"/>
            <w:vAlign w:val="bottom"/>
            <w:tcBorders>
              <w:top w:val="single" w:sz="8" w:color="auto"/>
              <w:bottom w:val="single" w:sz="8" w:color="DBDBDB"/>
              <w:right w:val="single" w:sz="8" w:color="auto"/>
            </w:tcBorders>
            <w:shd w:val="clear" w:color="auto" w:fill="DBDBDB"/>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As of the date of this MD&amp;A</w:t>
            </w:r>
          </w:p>
        </w:tc>
      </w:tr>
      <w:tr>
        <w:trPr>
          <w:trHeight w:val="211"/>
        </w:trPr>
        <w:tc>
          <w:tcPr>
            <w:tcW w:w="42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3220" w:type="dxa"/>
            <w:vAlign w:val="bottom"/>
            <w:tcBorders>
              <w:top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164,640,303</w:t>
            </w:r>
          </w:p>
        </w:tc>
        <w:tc>
          <w:tcPr>
            <w:tcW w:w="36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166,020,533</w:t>
            </w:r>
          </w:p>
        </w:tc>
      </w:tr>
      <w:tr>
        <w:trPr>
          <w:trHeight w:val="38"/>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211"/>
        </w:trPr>
        <w:tc>
          <w:tcPr>
            <w:tcW w:w="4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3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28,885,002</w:t>
            </w:r>
          </w:p>
        </w:tc>
        <w:tc>
          <w:tcPr>
            <w:tcW w:w="3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28,837,502</w:t>
            </w:r>
          </w:p>
        </w:tc>
      </w:tr>
      <w:tr>
        <w:trPr>
          <w:trHeight w:val="38"/>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211"/>
        </w:trPr>
        <w:tc>
          <w:tcPr>
            <w:tcW w:w="4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Underwriters Warrants</w:t>
            </w:r>
          </w:p>
        </w:tc>
        <w:tc>
          <w:tcPr>
            <w:tcW w:w="3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868,740</w:t>
            </w:r>
          </w:p>
        </w:tc>
        <w:tc>
          <w:tcPr>
            <w:tcW w:w="3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868,740</w:t>
            </w:r>
          </w:p>
        </w:tc>
      </w:tr>
      <w:tr>
        <w:trPr>
          <w:trHeight w:val="38"/>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211"/>
        </w:trPr>
        <w:tc>
          <w:tcPr>
            <w:tcW w:w="4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Share purchase warrants</w:t>
            </w:r>
          </w:p>
        </w:tc>
        <w:tc>
          <w:tcPr>
            <w:tcW w:w="3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25,548,836</w:t>
            </w:r>
          </w:p>
        </w:tc>
        <w:tc>
          <w:tcPr>
            <w:tcW w:w="3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24,548,836</w:t>
            </w:r>
          </w:p>
        </w:tc>
      </w:tr>
      <w:tr>
        <w:trPr>
          <w:trHeight w:val="38"/>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276"/>
        </w:trPr>
        <w:tc>
          <w:tcPr>
            <w:tcW w:w="4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Class B Shares (as defined below) </w:t>
            </w:r>
            <w:r>
              <w:rPr>
                <w:rFonts w:ascii="Times New Roman" w:cs="Times New Roman" w:eastAsia="Times New Roman" w:hAnsi="Times New Roman"/>
                <w:sz w:val="21"/>
                <w:szCs w:val="21"/>
                <w:color w:val="auto"/>
                <w:vertAlign w:val="superscript"/>
              </w:rPr>
              <w:t>(1)</w:t>
            </w:r>
          </w:p>
        </w:tc>
        <w:tc>
          <w:tcPr>
            <w:tcW w:w="322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1,047,135.1</w:t>
            </w:r>
          </w:p>
        </w:tc>
        <w:tc>
          <w:tcPr>
            <w:tcW w:w="3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1,031,540.4</w:t>
            </w:r>
          </w:p>
        </w:tc>
      </w:tr>
      <w:tr>
        <w:trPr>
          <w:trHeight w:val="156"/>
        </w:trPr>
        <w:tc>
          <w:tcPr>
            <w:tcW w:w="4280" w:type="dxa"/>
            <w:vAlign w:val="bottom"/>
            <w:tcBorders>
              <w:left w:val="single" w:sz="8" w:color="auto"/>
              <w:bottom w:val="single" w:sz="8" w:color="auto"/>
              <w:right w:val="single" w:sz="8" w:color="auto"/>
            </w:tcBorders>
          </w:tcPr>
          <w:p>
            <w:pPr>
              <w:spacing w:after="0"/>
              <w:rPr>
                <w:sz w:val="13"/>
                <w:szCs w:val="13"/>
                <w:color w:val="auto"/>
              </w:rPr>
            </w:pPr>
          </w:p>
        </w:tc>
        <w:tc>
          <w:tcPr>
            <w:tcW w:w="3220" w:type="dxa"/>
            <w:vAlign w:val="bottom"/>
            <w:tcBorders>
              <w:bottom w:val="single" w:sz="8" w:color="auto"/>
              <w:right w:val="single" w:sz="8" w:color="auto"/>
            </w:tcBorders>
          </w:tcPr>
          <w:p>
            <w:pPr>
              <w:spacing w:after="0"/>
              <w:rPr>
                <w:sz w:val="13"/>
                <w:szCs w:val="13"/>
                <w:color w:val="auto"/>
              </w:rPr>
            </w:pPr>
          </w:p>
        </w:tc>
        <w:tc>
          <w:tcPr>
            <w:tcW w:w="3660" w:type="dxa"/>
            <w:vAlign w:val="bottom"/>
            <w:tcBorders>
              <w:bottom w:val="single" w:sz="8" w:color="auto"/>
              <w:right w:val="single" w:sz="8" w:color="auto"/>
            </w:tcBorders>
          </w:tcPr>
          <w:p>
            <w:pPr>
              <w:spacing w:after="0"/>
              <w:rPr>
                <w:sz w:val="13"/>
                <w:szCs w:val="13"/>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w:t>
      </w:r>
    </w:p>
    <w:p>
      <w:pPr>
        <w:spacing w:after="0" w:line="60" w:lineRule="exact"/>
        <w:rPr>
          <w:sz w:val="20"/>
          <w:szCs w:val="20"/>
          <w:color w:val="auto"/>
        </w:rPr>
      </w:pPr>
    </w:p>
    <w:p>
      <w:pPr>
        <w:ind w:left="580" w:right="20" w:firstLine="4"/>
        <w:spacing w:after="0" w:line="280" w:lineRule="auto"/>
        <w:tabs>
          <w:tab w:leader="none" w:pos="8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B Shares are exchangeable for Common Shares, on the basis of 10 Common Shares for each Class B Share, at the option of the holder thereof, subject to customary adjustments.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Shares</w:t>
      </w:r>
    </w:p>
    <w:p>
      <w:pPr>
        <w:spacing w:after="0" w:line="21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without par value and an unlimited number of preferred shares. As of March 31, 2022, 164,640,303 Common Shares were outstanding and no preferred shares are issued and outstanding. As of the date of this MD&amp;A, 166,020,533 Common Shares are outstanding (see “Subsequent Events”).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98"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As of March 31, 2022, options to purchase up to 28,885,002 Common Shares were outstanding under Cybin’s equity incentive plan. As of the date of this MD&amp;A, options to purchase up to 28,837,502 Common Shares are outstanding.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Underwriter’s Warrants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of March 31, 2022 and as of the date of this MD&amp;A, underwriter’s warrants to purchase up to 868,740 units of the Company at an exercise price of $2.25 per unit are outstanding, with each unit consisting of one Common Share and one half of one Common Share purchase warrants, with each Common Share purchase warrant being exercisable to acquire one Common Share at an exercise price of $3.25 per Common Share for a period of 36 months.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 Purchase Warrants</w:t>
      </w:r>
    </w:p>
    <w:p>
      <w:pPr>
        <w:spacing w:after="0" w:line="19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As of March 31, 2022, warrants to purchase up to 25,548,836 Common Shares were outstanding, exercisable at weighted average exercise price of $1.22 per Common Share. As of the date of this MD&amp;A, warrants to purchase up to 24,548,836 Common Shares were outstanding, exercisable at a weighted average exercise price of $1.26 per Common Share.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B Shares</w:t>
      </w:r>
    </w:p>
    <w:p>
      <w:pPr>
        <w:spacing w:after="0" w:line="23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In connection with the Adelia Transaction (see “Acquisitions”), Cybin U.S. (a subsidiary of the Company) has issued 868,833 Class B Shares. The Class B Shares are exchangeable at the holder’s option for Common Shares on the basis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60"/>
          </w:cols>
          <w:pgMar w:left="320" w:top="703" w:right="319" w:bottom="1440" w:gutter="0" w:footer="0" w:header="0"/>
        </w:sectPr>
      </w:pPr>
    </w:p>
    <w:bookmarkStart w:id="193" w:name="page194"/>
    <w:bookmarkEnd w:id="193"/>
    <w:p>
      <w:pPr>
        <w:jc w:val="both"/>
        <w:spacing w:after="0" w:line="285" w:lineRule="auto"/>
        <w:rPr>
          <w:sz w:val="20"/>
          <w:szCs w:val="20"/>
          <w:color w:val="auto"/>
        </w:rPr>
      </w:pPr>
      <w:r>
        <w:rPr>
          <w:rFonts w:ascii="Times New Roman" w:cs="Times New Roman" w:eastAsia="Times New Roman" w:hAnsi="Times New Roman"/>
          <w:sz w:val="18"/>
          <w:szCs w:val="18"/>
          <w:color w:val="auto"/>
        </w:rPr>
        <w:t>of 10 Common Shares for 1 Class B Share, subject to customary adjustments. As of March 31, 2022 1,047,135.1 Class B Shares were outstanding and as of the date of this MD&amp;A, 1,031,540.4 Class B Shares were outstanding.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4, 2020, Cybin entered into a contribution agreement, as amended on September 24, 2021, (the “</w:t>
      </w:r>
      <w:r>
        <w:rPr>
          <w:rFonts w:ascii="Times New Roman" w:cs="Times New Roman" w:eastAsia="Times New Roman" w:hAnsi="Times New Roman"/>
          <w:sz w:val="18"/>
          <w:szCs w:val="18"/>
          <w:b w:val="1"/>
          <w:bCs w:val="1"/>
          <w:color w:val="auto"/>
        </w:rPr>
        <w:t>Contribution Agreement</w:t>
      </w:r>
      <w:r>
        <w:rPr>
          <w:rFonts w:ascii="Times New Roman" w:cs="Times New Roman" w:eastAsia="Times New Roman" w:hAnsi="Times New Roman"/>
          <w:sz w:val="18"/>
          <w:szCs w:val="18"/>
          <w:color w:val="auto"/>
        </w:rPr>
        <w:t>”) with Cybin Corp., Cybin U.S. (the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a newly formed fully-controlled subsidiary of Cybin created for the purposes of the Adelia Transaction, and all of the shareholders of Adelia (the “</w:t>
      </w:r>
      <w:r>
        <w:rPr>
          <w:rFonts w:ascii="Times New Roman" w:cs="Times New Roman" w:eastAsia="Times New Roman" w:hAnsi="Times New Roman"/>
          <w:sz w:val="18"/>
          <w:szCs w:val="18"/>
          <w:b w:val="1"/>
          <w:bCs w:val="1"/>
          <w:color w:val="auto"/>
        </w:rPr>
        <w:t>Adelia Shareholders</w:t>
      </w:r>
      <w:r>
        <w:rPr>
          <w:rFonts w:ascii="Times New Roman" w:cs="Times New Roman" w:eastAsia="Times New Roman" w:hAnsi="Times New Roman"/>
          <w:sz w:val="18"/>
          <w:szCs w:val="18"/>
          <w:color w:val="auto"/>
        </w:rPr>
        <w:t>”) whereby the Acquiror has agreed to purchase from the Adelia Shareholders all of the issued and outstanding common shares of Adelia (the “</w:t>
      </w:r>
      <w:r>
        <w:rPr>
          <w:rFonts w:ascii="Times New Roman" w:cs="Times New Roman" w:eastAsia="Times New Roman" w:hAnsi="Times New Roman"/>
          <w:sz w:val="18"/>
          <w:szCs w:val="18"/>
          <w:b w:val="1"/>
          <w:bCs w:val="1"/>
          <w:color w:val="auto"/>
        </w:rPr>
        <w:t>Adelia Shares</w:t>
      </w:r>
      <w:r>
        <w:rPr>
          <w:rFonts w:ascii="Times New Roman" w:cs="Times New Roman" w:eastAsia="Times New Roman" w:hAnsi="Times New Roman"/>
          <w:sz w:val="18"/>
          <w:szCs w:val="18"/>
          <w:color w:val="auto"/>
        </w:rPr>
        <w:t>”) in exchange for non-voting Class B common shares in the capital of the Acquiror (the “</w:t>
      </w:r>
      <w:r>
        <w:rPr>
          <w:rFonts w:ascii="Times New Roman" w:cs="Times New Roman" w:eastAsia="Times New Roman" w:hAnsi="Times New Roman"/>
          <w:sz w:val="18"/>
          <w:szCs w:val="18"/>
          <w:b w:val="1"/>
          <w:b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Adelia Transaction closed on December 14, 2020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spacing w:after="0" w:line="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Class B Shares issued by the Acquiror to the Adelia Shareholders are exchangeable for Common Shares on a 10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are exchangeable prior to the first anniversary of the Closing and not more than: (i) 33 1/3% of the Class B Shares will be exchangeable prior to the second anniversary of Closing; (ii) 66 2/3% of the Class B Shares will be exchangeable prior to the third anniversary of Closing; and (iii) thereafter, 100% of the Class B Shares will be exchangeable ((i), (ii) and (iii), collectively, the “Hold Periods”). The Class B Shares issued to the Adelia Shareholders upon the Closing are exchangeable for a total of 8,688,330 Common Shares, resulting in an effective issue price of $1.24 per Cybin Share.</w:t>
      </w:r>
    </w:p>
    <w:p>
      <w:pPr>
        <w:spacing w:after="0" w:line="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the occurrence of certain milestones as set out in the Contribution Agreement (each a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the Acquiror will issue to the Adelia Shareholders in accordance with their pro rata percentage, within five business days following the relevant date at which there is agreement as to the achievement of the Milestone (the “</w:t>
      </w:r>
      <w:r>
        <w:rPr>
          <w:rFonts w:ascii="Times New Roman" w:cs="Times New Roman" w:eastAsia="Times New Roman" w:hAnsi="Times New Roman"/>
          <w:sz w:val="18"/>
          <w:szCs w:val="18"/>
          <w:b w:val="1"/>
          <w:bCs w:val="1"/>
          <w:color w:val="auto"/>
        </w:rPr>
        <w:t>Milestone Determination Date</w:t>
      </w:r>
      <w:r>
        <w:rPr>
          <w:rFonts w:ascii="Times New Roman" w:cs="Times New Roman" w:eastAsia="Times New Roman" w:hAnsi="Times New Roman"/>
          <w:sz w:val="18"/>
          <w:szCs w:val="18"/>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$0.75; (ii) the 10 day volume weighted average trading price of the Common Shares on the Exchange (or, in the event that the Common Shares are no longer traded on the Exchange, such other nationally recognized exchange as the Common Shares may at the applicable time be trading); and (iii) the closing market price of the Common Shares on the Exchange (or, in the event that the Common Shares are no longer traded on the Exchange,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 $7.33 million), assuming all Milestones are met prior to the applicable deadlines. As of the date of this MD&amp;A, 384,846.4 Class B Shares had been issued on the achievement of Milestones, and 222,139.0 Class B Shares have been exchanged into Common Shares. Pursuant to the Contribution Agreement, Cybin, the Acquiror and the Adelia Shareholders also entered into a support agreement dated December 14, 2020 (the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which for the purpose of Canadian securities law, is deemed a “security” as it is a document evidencing an interest in or to a security (i.e. the 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705" w:right="339" w:bottom="1440" w:gutter="0" w:footer="0" w:header="0"/>
        </w:sectPr>
      </w:pPr>
    </w:p>
    <w:bookmarkStart w:id="194" w:name="page195"/>
    <w:bookmarkEnd w:id="194"/>
    <w:p>
      <w:pPr>
        <w:jc w:val="both"/>
        <w:spacing w:after="0" w:line="259" w:lineRule="auto"/>
        <w:rPr>
          <w:sz w:val="20"/>
          <w:szCs w:val="20"/>
          <w:color w:val="auto"/>
        </w:rPr>
      </w:pPr>
      <w:r>
        <w:rPr>
          <w:rFonts w:ascii="Times New Roman" w:cs="Times New Roman" w:eastAsia="Times New Roman" w:hAnsi="Times New Roman"/>
          <w:sz w:val="18"/>
          <w:szCs w:val="18"/>
          <w:color w:val="auto"/>
        </w:rPr>
        <w:t>On January 11, 2021, the Company announced the achievement of the first Milestone for the period commencing November 15, 2020, as contemplated by the terms of the Contribution Agreement. The achievement included the 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 Pursuant to the terms of the Contribution Agreement, an aggregate of 51,163 Class B Shares were issued to the Adelia Shareholders in satisfaction of $1,018 due to them upon meeting such Milestones.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March 9, 2021, the Company announced the achievement of certain Milestones for the period commencing January 1, 2021, as contemplated by the terms of the Contribution Agreement. The achievement included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 42,247.3 Class B Shares were issued to the Adelia Shareholders in satisfaction of $686 due to them upon meeting such Milestones.</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June 28, 2021, Adelia completed the remaining requirements of the second Milestone as listed in the Contribution Agreement. Accordingly, 15,777.1 Class B Shares were issued to the Adelia Shareholders, amounting to $458. The Class B Shares are exchangeable for a total of 157,771 Common Shares, representing an effective issue price of $2.90 per Common Share.</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August 17, 2021, an additional 18,788.5 Class B Shares were issued to the Adelia Shareholders due to the achievement of certain requirements of the third and fourth Milestones, amounting to $633. The Class B Shares are exchangeable for a total of 187,886 Common Shares, representing an effective issue price of $3.37 per Common Share.</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August 31, 2021, the remaining requirements of the third Milestone were achieved. Accordingly, 9,392.6 Class B Shares were issued to the Adelia Shareholders, amounting to $317. The Class B Shares are exchangeable for a total of 93,926 Common Shares, representing an effective issue price of $3.38 per Common Share.</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November 18, 2021, an additional 28,903 Class B Shares were issued to the Adelia Shareholders due to the achievement of certain requirements of the fourth and fifth Milestones, amounting to $706. These Class B Shares are exchangeable for a total of 289,030 Common Shares, representing an effective issue price of $2.44 per Common Share.</w:t>
      </w:r>
    </w:p>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On November 29, 2021, an additional 31,721.5 Class B Shares were issued to the Adelia Shareholders due to the achievement of certain requirements of the fourth and fifth Milestones, amounting to $629. These Class B Shares are exchangeable for a total of 317,215 Common Shares, representing an effective issue price of $1.98 per Common Share.</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On January 6, 2022, an additional 15,611.4 Class B Shares were issued to the Adelia Shareholders due to the achievement of the Milestone identified as Year 2 Q1 (v), as contemplated by the terms of the Contribution Agreement, amounting to $236. These Class B Shares are exchangeable for a total of 156,114 Common Shares, representing an effective issue price of $1.51 per Common Share.</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February 14, 2022, an additional 41,028.2 Class B Shares were issued to the Adelia Shareholders due to the achievement of the Milestones identified as Y1, Q4 (iv), Y1, Q4 (v) and Y2, Q1 (vi), as contemplated by the terms of the Contribution Agreement, amounting to $551 at a price per Class B Share of $13.43. These Class B Shares are exchangeable for a total of 410,282 Common Shares, representing an effective issue price of $1.34 per Common Share.</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February 18, 2022, an additional 17,239.5 Class B Shares were issued to the Adelia Shareholders due to the achievement of certain Milestones identified as Y2, Q2 (iii), as contemplated by the terms of the Contribution Agreement, having an aggregate value of $233 at a price per Class B Share of $13.54. These Class B Shares are exchangeable for a total of 172,395 Common Shares, representing an effective issue price of $1.35 per Common Share.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925" w:right="339" w:bottom="1440" w:gutter="0" w:footer="0" w:header="0"/>
        </w:sectPr>
      </w:pPr>
    </w:p>
    <w:bookmarkStart w:id="195" w:name="page196"/>
    <w:bookmarkEnd w:id="195"/>
    <w:p>
      <w:pPr>
        <w:jc w:val="both"/>
        <w:spacing w:after="0" w:line="260" w:lineRule="auto"/>
        <w:rPr>
          <w:sz w:val="20"/>
          <w:szCs w:val="20"/>
          <w:color w:val="auto"/>
        </w:rPr>
      </w:pPr>
      <w:r>
        <w:rPr>
          <w:rFonts w:ascii="Times New Roman" w:cs="Times New Roman" w:eastAsia="Times New Roman" w:hAnsi="Times New Roman"/>
          <w:sz w:val="18"/>
          <w:szCs w:val="18"/>
          <w:color w:val="auto"/>
        </w:rPr>
        <w:t>On March 25, 2022, an additional 90,546.0 Class B Shares were issued to Adelia Shareholders due to the achievement of certain Milestones identified as Year 1 Q4 (vi); Year 2 Q2 (ii); Year 2 Q2 (v) and Year 2, Q3 (iii), as contemplated by the terms of the Contribution Agreement, having an aggregate value of $905 at a price per Class B Share of $9.994. These Class B Shares are exchangeable for a total of 905,460 Common Shares, representing an effective issue price of $1.00 per Common Share.</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Pursuant to the Contribution Agreement certain members of Adelia entered into advisory and/or executive employment arrangements with Cybin upon the Closing and, in such capacity, received, in the aggregate, a grant of options to purchase up to 2,244,100 to acquire Common Shares, pursuant to Cybin’s equity incentive plan, exercisable for a period of five (5) years and subject to vesting, at an exercise price of $1.74 per Cybin Share. An additional 555,900 options to acquire Common Shares were issued to eligible participants at the direction of the Adelia Shareholders following the Closing.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at March 31, 2022 and the date of this MD&amp;A, other than these contractual obligations and commitments disclosed in note 13 of the Financial Statements, the Company does not have any off-balance sheet arrangements that have or are reasonably likely to have a current or future effect on the results of operations or financial condition of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between related parties</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the three and twelve-month periods ended March 31, 2022, the key management personnel of the Company were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Chief Executive Officer, Chief Financial Officer, Chief Operating Officer, Chief Business Officer, Chief Compliance, Ethics &amp; Administrative Officer, Chief Legal Officer, Chief Innovation Officer, Chief Medical Officer, and Chief Scientific Officers.</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Compensation for key management personnel of the Company for the three and twelve-month periods ended March 31, 2022 consisted of consulting fees, short term benefits and other compensation of $4,395 and $15,491, respectively (three and twelve-month periods ended March 31, 2021 - $4,776 and $11,452).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Company’s Financial Statements requires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w:t>
      </w:r>
    </w:p>
    <w:p>
      <w:pPr>
        <w:spacing w:after="0" w:line="19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Information about significant judgements and estimates used in applying accounting policies that have the most significant effect on the amounts recognized in the Company’s consolidated financial statements relate 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Ability to continue as a going concern</w:t>
      </w:r>
    </w:p>
    <w:p>
      <w:pPr>
        <w:spacing w:after="0" w:line="23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In order to assess whether it is appropriate for the Company to continue as a going concern, management is required to apply judgment and make estimates with respect to future cash flow projections.</w:t>
      </w:r>
    </w:p>
    <w:p>
      <w:pPr>
        <w:spacing w:after="0" w:line="15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In arriving at this judgment, there were a number of assumptions and estimates involved in calculating these future cash flow projections. This includes making estimates regarding the timing and amounts of future expenditures and the ability and timing of raising additional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925"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 business combination is a transaction or event in which an acquirer obtains control of one or more businesses and is accounted for using the acquisition method. The total consideration paid for the acquisition is the aggregate of the fair values of assets given, liabilities incurred or assumed, and equity instruments issued in exchange for control of the acquiree at the acquisition date. The acquisition date is the date where the Company obtains control of the acquiree. The identifiable assets acquired and liabilities assumed are recognized at their acquisition date fair values, except for deferred taxes and share-based payment awards where IFRS provides exceptions to recording the amounts at fair value. Acquisition costs are expensed to profit or loss.</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IFRS 9, or IAS 37 Provisions, Contingent Liabilities and Contingent Assets, as appropriate, with the corresponding gain or loss being recognized in profit or loss.</w:t>
      </w:r>
    </w:p>
    <w:p>
      <w:pPr>
        <w:spacing w:after="0" w:line="17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Non-controlling interest in the acquiree, if any, is recognized either at fair value or at the non-controlling interest’s proportionate share of the acquiree’s net assets, determined on an acquisition-by-acquisition basis. For each acquisition, the excess of total consideration, the fair value of previously held equity interest prior to obtaining control and the non-controlling interest in the acquiree, over the fair value of the identifiable net asset acquired, is recorded as goodwill.</w:t>
      </w:r>
    </w:p>
    <w:p>
      <w:pPr>
        <w:spacing w:after="0" w:line="19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Certain fair values may be estimated at the acquisition date pending confirmation or completion of the valuation process. Where provisional values are used in accounting for a business combination, they may be adjusted retrospectively in subsequent periods. The measurement period is the period from the acquisition date to the date complete information about facts and circumstances that existed as of the acquisition date is received. However, the measurement period does not exceed one year from the acquisition date.</w:t>
      </w:r>
    </w:p>
    <w:p>
      <w:pPr>
        <w:spacing w:after="0" w:line="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8"/>
          <w:szCs w:val="18"/>
          <w:color w:val="auto"/>
        </w:rPr>
        <w:t>Acquisitions that do not meet the definition of a business combination are accounted for as an asset acquisition. Consideration paid for an asset acquisition is allocated to the individual identifiable assets acquired and liabilities assumed based on their relative fair values.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based payments</w:t>
      </w: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fair value of share-based compensation expenses are estimated using the Black-Scholes option pricing model and rely on a number of estimates, such as the expected life of the option, the volatility of the underlying share price, the risk-free rate of return, and the estimated rate of forfeiture of options or warrants granted.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non-financial assets</w:t>
      </w:r>
    </w:p>
    <w:p>
      <w:pPr>
        <w:spacing w:after="0" w:line="22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Impairment exists when the carrying value of an asset or cash generating unit exceeds its recoverable amount, which is the higher of its fair value less costs of disposal and its value in use. The fair value less costs of disposal calculation is based on available data from binding sales transactions, conducted at arm’s length, for similar assets or observable market prices less incremental costs of disposing of the asset. The value in use calculation is based on a discounted cash flow (“</w:t>
      </w:r>
      <w:r>
        <w:rPr>
          <w:rFonts w:ascii="Times New Roman" w:cs="Times New Roman" w:eastAsia="Times New Roman" w:hAnsi="Times New Roman"/>
          <w:sz w:val="18"/>
          <w:szCs w:val="18"/>
          <w:b w:val="1"/>
          <w:bCs w:val="1"/>
          <w:color w:val="auto"/>
        </w:rPr>
        <w:t>DCF</w:t>
      </w:r>
      <w:r>
        <w:rPr>
          <w:rFonts w:ascii="Times New Roman" w:cs="Times New Roman" w:eastAsia="Times New Roman" w:hAnsi="Times New Roman"/>
          <w:sz w:val="18"/>
          <w:szCs w:val="18"/>
          <w:color w:val="auto"/>
        </w:rPr>
        <w:t>”) model. The cash flows are derived from the forecast for the next ten years and do not include restructuring activities that the Company is not yet committed to or significant future investments that will enhance the performance of the assets of the cash generating unit (“</w:t>
      </w:r>
      <w:r>
        <w:rPr>
          <w:rFonts w:ascii="Times New Roman" w:cs="Times New Roman" w:eastAsia="Times New Roman" w:hAnsi="Times New Roman"/>
          <w:sz w:val="18"/>
          <w:szCs w:val="18"/>
          <w:b w:val="1"/>
          <w:bCs w:val="1"/>
          <w:color w:val="auto"/>
        </w:rPr>
        <w:t>CGU</w:t>
      </w:r>
      <w:r>
        <w:rPr>
          <w:rFonts w:ascii="Times New Roman" w:cs="Times New Roman" w:eastAsia="Times New Roman" w:hAnsi="Times New Roman"/>
          <w:sz w:val="18"/>
          <w:szCs w:val="18"/>
          <w:color w:val="auto"/>
        </w:rPr>
        <w:t>”) being tested. The determination of the Company’s CGUs is based on management’s judgement. The recoverable amount is sensitive to the discount rate used for the DCF model as well as the expected future cash-inflows and the growth rate used for extrapolation purposes. These estimates are most relevant to goodwill and other intangibles with indefinite useful lives recognized by the Company. Future events could cause the assumptions used in the impairment review to change with a consequential adverse effect on the results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3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The Company computed an income tax provision in accordance with the applicable income tax laws. However, actual amounts of income tax expense only become final upon filing and acceptance of the tax return by the relevant authorities, which occurs subsequent to the issuance of the consolidated financial statements. Additionally, estimation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60"/>
          </w:cols>
          <w:pgMar w:left="320" w:top="701" w:right="319" w:bottom="1440" w:gutter="0" w:footer="0" w:header="0"/>
        </w:sectPr>
      </w:pPr>
    </w:p>
    <w:bookmarkStart w:id="197" w:name="page198"/>
    <w:bookmarkEnd w:id="197"/>
    <w:p>
      <w:pPr>
        <w:jc w:val="both"/>
        <w:spacing w:after="0" w:line="241" w:lineRule="auto"/>
        <w:rPr>
          <w:sz w:val="20"/>
          <w:szCs w:val="20"/>
          <w:color w:val="auto"/>
        </w:rPr>
      </w:pPr>
      <w:r>
        <w:rPr>
          <w:rFonts w:ascii="Times New Roman" w:cs="Times New Roman" w:eastAsia="Times New Roman" w:hAnsi="Times New Roman"/>
          <w:sz w:val="18"/>
          <w:szCs w:val="18"/>
          <w:color w:val="auto"/>
        </w:rPr>
        <w:t>of income taxes includes evaluation the recoverability of deferred tax assets based on an assessment of the ability to use the underlying future tax deductions before they expire against future taxable income. The assessment is based upon existing tax laws and estimates of future taxable income. The income tax provision is based on estimates of full-year earnings by jurisdiction. The average annual effective income tax rates are re-estimated at the end of each reporting period. To the extent that estimates and forecasts differ from actual results, adjustments are recorded in subsequent periods.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Disclosure regarding the Company’s significant accounting policies are set out in Note 2, </w:t>
      </w:r>
      <w:r>
        <w:rPr>
          <w:rFonts w:ascii="Times New Roman" w:cs="Times New Roman" w:eastAsia="Times New Roman" w:hAnsi="Times New Roman"/>
          <w:sz w:val="18"/>
          <w:szCs w:val="18"/>
          <w:i w:val="1"/>
          <w:iCs w:val="1"/>
          <w:color w:val="auto"/>
        </w:rPr>
        <w:t>Significant Accounting Policies and Basis of Preparation</w:t>
      </w:r>
      <w:r>
        <w:rPr>
          <w:rFonts w:ascii="Times New Roman" w:cs="Times New Roman" w:eastAsia="Times New Roman" w:hAnsi="Times New Roman"/>
          <w:sz w:val="18"/>
          <w:szCs w:val="18"/>
          <w:color w:val="auto"/>
        </w:rPr>
        <w:t xml:space="preserve"> in the Financial Statements.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Financial Statements.</w:t>
      </w:r>
    </w:p>
    <w:p>
      <w:pPr>
        <w:spacing w:after="0" w:line="18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Information about significant judgements and estimates used in applying accounting policies that have the most significant effect on the amounts recognized in the Financial Statements relate 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requirements of National Instrument 52-109–Certification of Disclosure in Issuers’ Annual and Interim Filings, the Company’s management, including the Company’s Chief Executive Officer (the “CEO”) and the Company’s Chief Financial Officer (the “CFO”), have evaluated the effectiveness of the Company’s disclosure controls and procedures. Based upon the results of the evaluation, the CEO and the CFO have concluded that as at March 31, 2022, the Company’s disclosure controls and procedures to provide reasonable assurance that the information required to be disclosed by the Company in reports it files is recorded, processed, summarized and reported within the appropriate time periods and forms were effective.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2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187" w:lineRule="exact"/>
        <w:rPr>
          <w:sz w:val="20"/>
          <w:szCs w:val="20"/>
          <w:color w:val="auto"/>
        </w:rPr>
      </w:pPr>
    </w:p>
    <w:p>
      <w:pPr>
        <w:ind w:left="580" w:hanging="289"/>
        <w:spacing w:after="0"/>
        <w:tabs>
          <w:tab w:leader="none" w:pos="5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records in reasonable detail, that accurately and fairly reflect the transactions and dispositions of assets;</w:t>
      </w:r>
    </w:p>
    <w:p>
      <w:pPr>
        <w:spacing w:after="0" w:line="26" w:lineRule="exact"/>
        <w:rPr>
          <w:rFonts w:ascii="Times New Roman" w:cs="Times New Roman" w:eastAsia="Times New Roman" w:hAnsi="Times New Roman"/>
          <w:sz w:val="18"/>
          <w:szCs w:val="18"/>
          <w:color w:val="auto"/>
        </w:rPr>
      </w:pPr>
    </w:p>
    <w:p>
      <w:pPr>
        <w:ind w:left="580" w:hanging="289"/>
        <w:spacing w:after="0"/>
        <w:tabs>
          <w:tab w:leader="none" w:pos="5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assurance that transactions are recorded as necessary to permit preparation of financial statements in accordance with applicable IFRS;</w:t>
      </w:r>
    </w:p>
    <w:p>
      <w:pPr>
        <w:spacing w:after="0" w:line="7" w:lineRule="exact"/>
        <w:rPr>
          <w:rFonts w:ascii="Times New Roman" w:cs="Times New Roman" w:eastAsia="Times New Roman" w:hAnsi="Times New Roman"/>
          <w:sz w:val="18"/>
          <w:szCs w:val="18"/>
          <w:color w:val="auto"/>
        </w:rPr>
      </w:pPr>
    </w:p>
    <w:p>
      <w:pPr>
        <w:ind w:left="580" w:hanging="289"/>
        <w:spacing w:after="0"/>
        <w:tabs>
          <w:tab w:leader="none" w:pos="5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receipts and expenditures are only being made in accordance with authorizations of management or the Board; and</w:t>
      </w:r>
    </w:p>
    <w:p>
      <w:pPr>
        <w:spacing w:after="0" w:line="6" w:lineRule="exact"/>
        <w:rPr>
          <w:rFonts w:ascii="Times New Roman" w:cs="Times New Roman" w:eastAsia="Times New Roman" w:hAnsi="Times New Roman"/>
          <w:sz w:val="18"/>
          <w:szCs w:val="18"/>
          <w:color w:val="auto"/>
        </w:rPr>
      </w:pPr>
    </w:p>
    <w:p>
      <w:pPr>
        <w:ind w:left="580" w:right="20" w:hanging="289"/>
        <w:spacing w:after="0" w:line="255" w:lineRule="auto"/>
        <w:tabs>
          <w:tab w:leader="none" w:pos="56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assurance regarding prevention or timely detection of unauthorized acquisition, use or disposition of the Company’s assets that could have a material effect on the financial instruments.</w:t>
      </w:r>
    </w:p>
    <w:p>
      <w:pPr>
        <w:spacing w:after="0" w:line="19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The Company’s management, with the participation of the CEO and the CFO, assessed the effectiveness of the Company’s internal controls over financial reporting and concluded that as at March 31, 2022, the Company’s internal control over financial reporting was effective.</w:t>
      </w:r>
    </w:p>
    <w:p>
      <w:pPr>
        <w:spacing w:after="0" w:line="15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During the year ended March 31, 2022, the Company did not make any significant changes to its internal controls over financial reporting that would have materially affected, or reasonably likely to materially affect, its internal controls over financial reporting.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Disclosure Controls and Procedures and Internal Control over Financial Reporting</w:t>
      </w:r>
    </w:p>
    <w:p>
      <w:pPr>
        <w:spacing w:after="0" w:line="2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60"/>
          </w:cols>
          <w:pgMar w:left="320" w:top="705" w:right="319" w:bottom="1440" w:gutter="0" w:footer="0" w:header="0"/>
        </w:sectPr>
      </w:pPr>
    </w:p>
    <w:bookmarkStart w:id="198" w:name="page199"/>
    <w:bookmarkEnd w:id="198"/>
    <w:p>
      <w:pPr>
        <w:jc w:val="both"/>
        <w:spacing w:after="0" w:line="259" w:lineRule="auto"/>
        <w:rPr>
          <w:sz w:val="20"/>
          <w:szCs w:val="20"/>
          <w:color w:val="auto"/>
        </w:rPr>
      </w:pPr>
      <w:r>
        <w:rPr>
          <w:rFonts w:ascii="Times New Roman" w:cs="Times New Roman" w:eastAsia="Times New Roman" w:hAnsi="Times New Roman"/>
          <w:sz w:val="18"/>
          <w:szCs w:val="18"/>
          <w:color w:val="auto"/>
        </w:rPr>
        <w:t>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Also, projections of any evaluation of effectiveness to future periods are subject to the risk that any design will not succeed in achieving its stated goals under all potential future conditions. Accordingly, because of the inherent limitations in a cost effective control system, misstatements due to error or fraud may occur and not be detected.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 and interpretations not yet adopted</w:t>
      </w:r>
    </w:p>
    <w:p>
      <w:pPr>
        <w:spacing w:after="0" w:line="237"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7"/>
          <w:szCs w:val="17"/>
          <w:color w:val="auto"/>
        </w:rPr>
        <w:t>A number of new standards, amendments to standards and interpretations are not yet effective at March 31, 2022, and have not been applied in preparing the Financial Statements. Management has determined that none of these will have a significant effect on the consolidated financial statements of the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Risk Management</w:t>
      </w:r>
    </w:p>
    <w:p>
      <w:pPr>
        <w:spacing w:after="0" w:line="2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15, </w:t>
      </w:r>
      <w:r>
        <w:rPr>
          <w:rFonts w:ascii="Times New Roman" w:cs="Times New Roman" w:eastAsia="Times New Roman" w:hAnsi="Times New Roman"/>
          <w:sz w:val="18"/>
          <w:szCs w:val="18"/>
          <w:i w:val="1"/>
          <w:iCs w:val="1"/>
          <w:color w:val="auto"/>
        </w:rPr>
        <w:t>Financial Risk Management</w:t>
      </w:r>
      <w:r>
        <w:rPr>
          <w:rFonts w:ascii="Times New Roman" w:cs="Times New Roman" w:eastAsia="Times New Roman" w:hAnsi="Times New Roman"/>
          <w:sz w:val="18"/>
          <w:szCs w:val="18"/>
          <w:color w:val="auto"/>
        </w:rPr>
        <w:t xml:space="preserve"> in the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noted the following risks specific to the psychedelic industry that it is exposed 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 The board of directors reviews and approves the Company’s operating and capital budgets, as well as any material transactions not in the ordinary course of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w:t>
      </w:r>
    </w:p>
    <w:p>
      <w:pPr>
        <w:spacing w:after="0" w:line="2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19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Company routinely monitors regulatory changes occurring in the psychedelic industry at the city, state, and national levels. Although the general regulatory outlook for the psychedelic industry has been moving in a positive direction, unforeseen regulatory changes could have a material adverse effect on the business as a whole.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w:t>
      </w:r>
    </w:p>
    <w:p>
      <w:pPr>
        <w:spacing w:after="0" w:line="225"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The Company is exposed to currency risk related to the fluctuation of foreign exchange rates and the degree of volatility of those rates. Currency risk is limited to the portion of the Company’s business transactions and balances denominated in currencies other than the Canadian dollar.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0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On April 1, 2022, Adelia achieved the milestone identified as Year 2 Q2 (iv), as contemplated by the terms of the Contribution Agreement. Accordingly, 22,428.3 Class B Shares having an aggregate value of $229 were issued to the Adelia Shareholders, at a price per Class B Share of $10.20. These Class B Shares are exchangeable for a total of 224,283 Common Shares, representing an effective issue price of $1.02 per Common Share. In consideration for the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60"/>
          </w:cols>
          <w:pgMar w:left="320" w:top="706" w:right="319" w:bottom="1440" w:gutter="0" w:footer="0" w:header="0"/>
        </w:sectPr>
      </w:pPr>
    </w:p>
    <w:bookmarkStart w:id="199" w:name="page200"/>
    <w:bookmarkEnd w:id="199"/>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milestone achieved an additional amount of $5 is issuable at a price per share to be determined in accordance with the terms of the Contribution Agreement and applicable securities laws.</w:t>
      </w:r>
    </w:p>
    <w:p>
      <w:pPr>
        <w:spacing w:after="0" w:line="15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On April 8, 2022, the Company announced that the World Intellectual Property Organization published an international patent application covering a range of inhalation delivery methods across multiple psychedelic molecules (PCT patent application no.PCT/EP2021/077057), further strengthening its long-term intellectual property position of psychedelic-based programs. The PCT application titled “Methods For Delivery Of Psychedelic Medications By Inhalation And Systems For Performing The Methods” allows the Company to pursue patent applications and seek protection for multiple inhaled forms of psychedelic molecules that are currently being researched and developed, or may be developed by the Company in the future.</w:t>
      </w:r>
    </w:p>
    <w:p>
      <w:pPr>
        <w:spacing w:after="0" w:line="17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On April 13, 2022, the Company announced positive preclinical data from a pharmacokinetic study evaluating its proprietary deuterated DMT molecule, CYB004, delivered via inhalation. Specifically, inhaled CYB004 demonstrated significant advantages over both IV DMT and inhaled DMT, including longer duration of action, and improved bioavailability. The study also demonstrated that inhaled CYB004 showed a similar onset of effect and dose profile to IV DMT. These data may support the potential for inhalation as a viable and well-controlled delivery system of therapeutic psychedelics. Cybin is currently developing CYB004 for the treatment of anxiety disorders.</w:t>
      </w:r>
    </w:p>
    <w:p>
      <w:pPr>
        <w:spacing w:after="0" w:line="17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On April 21, 2022, the Company announced that it has partnered with Clinilabs to carry out the Company’s Phase I/IIa clinical trial of CYB003, a proprietary deuterated psilocybin analog. CYB003 will be the first psilocybin analog to be evaluated in Phase I/IIa development for the treatment of MDD.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5, 2022, a former Adelia Shareholder exchanged 38,023 Class B Shares for 380,230 Common Shares.</w:t>
      </w:r>
    </w:p>
    <w:p>
      <w:pPr>
        <w:spacing w:after="0" w:line="23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On May 9, 2022, the Company and Kernel announced results from Kernel Flow® piloting of feasibility study measuring ketamine’s effects on the brain. The preliminary data confirms Flow’s ability to successfully measure neuro-effect of ketamine over 10 days.</w:t>
      </w:r>
    </w:p>
    <w:p>
      <w:pPr>
        <w:spacing w:after="0" w:line="15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On May 31, 2022, the Company announced the submission of an IND application to the FDA for its Phase I/IIa first-in-human clinical trial evaluating CYB003, a proprietary deuterated psilocybin analog, for the treatment of MDD.</w:t>
      </w:r>
    </w:p>
    <w:p>
      <w:pPr>
        <w:spacing w:after="0" w:line="15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June 3, 2022, the Company announced that Adelia achieved the Milestones identified as identified as Y2, Q2 (i), (vi), Y2, Q3 (ii), Year 2 Q4 (i) and Year 3 Q1 (i), (ii), (iii), as contemplated by the terms of the Contribution Agreement. Accordingly, Class B Shares having an aggregate value of $2,033 became due to be issued to the Former Adelia Shareholders, at a price per share to be determined in accordance with the terms of the Contribution Agreement and applicable securities laws.</w:t>
      </w:r>
    </w:p>
    <w:p>
      <w:pPr>
        <w:spacing w:after="0" w:line="19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June 7, 2022, the Company announced that it had entered into an agreement to effect the Asset Acquisition with Entheon to accelerate the clinical development path for CYB004, Cybin’s proprietary deuterated DMT molecule for the potential treatment of anxiety disorders. The purchase price of the Asset Acquisition is $1,000, with a deposit payable upfront and the balance due on closing. In addition, the Company may pay up to $480 for consulting services to be provided from Entheon over a period of up to twelve months following the close of the Asset Acquisition. The Company expects the Asset Acquisition to close within 30 days, subject to the completion of certain conditions and obtaining all necessary approvals. There is no assurance that the Company will be able to complete the acquisition on the terms contemplated or at all.</w:t>
      </w:r>
    </w:p>
    <w:p>
      <w:pPr>
        <w:spacing w:after="0" w:line="18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On June 9, 2022, the Company announced that it has received IRB approval to begin the first-in-human Phase I/IIa clinical trial evaluating CYB003, its proprietary deuterated psilocybin analog, for the treatment of MDD.</w:t>
      </w:r>
    </w:p>
    <w:p>
      <w:pPr>
        <w:spacing w:after="0" w:line="15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During the period from April 1, 2022 to June 20, 2022, holders of warrants exercised securities resulting in the issuance of 1,000,000 Common Shares for gross proceeds of approximately $250.</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from April 1, 2022 to June 20, 2022, 13,500 vested options expired and 34,000 unvested options were forfeited.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60"/>
          </w:cols>
          <w:pgMar w:left="320" w:top="705" w:right="31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p>
      <w:pPr>
        <w:spacing w:after="0" w:line="200"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In addition to the risks described herein, reference is made to the section entitled “Risk Factors” in the AIF, which is incorporated herein by reference. The risks described herein are not the only risks faced by the Company and security holders of the Company. Additional risks and uncertainties not currently</w:t>
      </w:r>
    </w:p>
    <w:p>
      <w:pPr>
        <w:jc w:val="both"/>
        <w:ind w:right="20"/>
        <w:spacing w:after="0" w:line="219" w:lineRule="auto"/>
        <w:rPr>
          <w:sz w:val="20"/>
          <w:szCs w:val="20"/>
          <w:color w:val="auto"/>
        </w:rPr>
      </w:pPr>
      <w:r>
        <w:rPr>
          <w:rFonts w:ascii="Times New Roman" w:cs="Times New Roman" w:eastAsia="Times New Roman" w:hAnsi="Times New Roman"/>
          <w:sz w:val="18"/>
          <w:szCs w:val="18"/>
          <w:color w:val="auto"/>
        </w:rPr>
        <w:t>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w:t>
      </w:r>
    </w:p>
    <w:p>
      <w:pPr>
        <w:spacing w:after="0" w:line="1"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and Industry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Coronavirus “COVID-19”</w:t>
      </w:r>
    </w:p>
    <w:p>
      <w:pPr>
        <w:spacing w:after="0" w:line="237"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The outbreak of the novel strain of coronavirus, specifically identified as “COVID-19”, has resulted in governments worldwide enacting emergency measures to combat the spread of the virus. These measures, including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Company and its operating subsidiaries in future periods. However, depending on the length and severity of the pandemic, COVID-19 could impact the Company’s operations, could cause delays relating to approval from Health Canada, the FDA and equivalent organizations in other countries, could postpone research activities, and could impair the Company’s ability to raise funds depending on COVID-19s effect on capital markets.</w:t>
      </w:r>
    </w:p>
    <w:p>
      <w:pPr>
        <w:spacing w:after="0" w:line="20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rapid development of the COVID-19 pandemic and the measures being taken by governments and private parties to respond to it are extremely fluid. While the Company has continuously sought to assess the potential impact of the pandemic on its operations, any assessment is subject to extreme uncertainty as to probability, severity and duration. The Company has attempted to assess the impact of the pandemic by identifying risks in the following principle areas:</w:t>
      </w:r>
    </w:p>
    <w:p>
      <w:pPr>
        <w:spacing w:after="0" w:line="174" w:lineRule="exact"/>
        <w:rPr>
          <w:sz w:val="20"/>
          <w:szCs w:val="20"/>
          <w:color w:val="auto"/>
        </w:rPr>
      </w:pPr>
    </w:p>
    <w:p>
      <w:pPr>
        <w:jc w:val="both"/>
        <w:ind w:left="580" w:hanging="289"/>
        <w:spacing w:after="0" w:line="256" w:lineRule="auto"/>
        <w:tabs>
          <w:tab w:leader="none" w:pos="569" w:val="left"/>
        </w:tabs>
        <w:numPr>
          <w:ilvl w:val="0"/>
          <w:numId w:val="123"/>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Mandatory Closure. </w:t>
      </w:r>
      <w:r>
        <w:rPr>
          <w:rFonts w:ascii="Times New Roman" w:cs="Times New Roman" w:eastAsia="Times New Roman" w:hAnsi="Times New Roman"/>
          <w:sz w:val="18"/>
          <w:szCs w:val="18"/>
          <w:color w:val="auto"/>
        </w:rPr>
        <w:t>In response to the pandemic, many provinces, states and localities have implemented mandatory shut-downs of business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 the spread of COVID-19. In the locations where the Company operates or conducts research activity, these activities have been deemed an “essential service”, and thus not subject to the mandatory closures applicable to nonessential businesses. The Company’s ability to generate revenue and meet its milestones could be materially impacted by any shut down of operations or services.</w:t>
      </w:r>
    </w:p>
    <w:p>
      <w:pPr>
        <w:spacing w:after="0" w:line="1" w:lineRule="exact"/>
        <w:rPr>
          <w:rFonts w:ascii="Arial" w:cs="Arial" w:eastAsia="Arial" w:hAnsi="Arial"/>
          <w:sz w:val="18"/>
          <w:szCs w:val="18"/>
          <w:color w:val="auto"/>
        </w:rPr>
      </w:pPr>
    </w:p>
    <w:p>
      <w:pPr>
        <w:jc w:val="both"/>
        <w:ind w:left="580" w:right="20" w:hanging="289"/>
        <w:spacing w:after="0" w:line="249" w:lineRule="auto"/>
        <w:tabs>
          <w:tab w:leader="none" w:pos="569" w:val="left"/>
        </w:tabs>
        <w:numPr>
          <w:ilvl w:val="0"/>
          <w:numId w:val="123"/>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Research and Development Disruptions</w:t>
      </w:r>
      <w:r>
        <w:rPr>
          <w:rFonts w:ascii="Times New Roman" w:cs="Times New Roman" w:eastAsia="Times New Roman" w:hAnsi="Times New Roman"/>
          <w:sz w:val="18"/>
          <w:szCs w:val="18"/>
          <w:color w:val="auto"/>
        </w:rPr>
        <w:t>. The Company relies on a third parties for its research and development activities. If these third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unable to continue operating due to mandatory closures or other effects of the pandemic, it may negatively impact the Company’s ability to meet its milestones and may significantly delay development. At this time, the Company has not experienced any significant disruptions.</w:t>
      </w:r>
    </w:p>
    <w:p>
      <w:pPr>
        <w:spacing w:after="0" w:line="2" w:lineRule="exact"/>
        <w:rPr>
          <w:rFonts w:ascii="Arial" w:cs="Arial" w:eastAsia="Arial" w:hAnsi="Arial"/>
          <w:sz w:val="18"/>
          <w:szCs w:val="18"/>
          <w:color w:val="auto"/>
        </w:rPr>
      </w:pPr>
    </w:p>
    <w:p>
      <w:pPr>
        <w:jc w:val="both"/>
        <w:ind w:left="580" w:right="20" w:hanging="289"/>
        <w:spacing w:after="0" w:line="252" w:lineRule="auto"/>
        <w:tabs>
          <w:tab w:leader="none" w:pos="569" w:val="left"/>
        </w:tabs>
        <w:numPr>
          <w:ilvl w:val="0"/>
          <w:numId w:val="123"/>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Staffing Disruption</w:t>
      </w:r>
      <w:r>
        <w:rPr>
          <w:rFonts w:ascii="Times New Roman" w:cs="Times New Roman" w:eastAsia="Times New Roman" w:hAnsi="Times New Roman"/>
          <w:sz w:val="18"/>
          <w:szCs w:val="18"/>
          <w:color w:val="auto"/>
        </w:rPr>
        <w:t>. The Company is, for the time being, implementing among its staff where feasible “social distancing” measures recommended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local authorities. The Company has cancelled nonessential travel by employees, implemented remote meetings where possible, and permitted all staff who can work remotely to do so. For those whose duties require them to work on-site, measures have been implemented to reduce infection risk, such as reducing contact with patients, mandating additional cleaning and hand disinfection and providing masks and gloves to certain personnel. Nevertheless, despite such measures, the Company may find it difficult to ensure that its operations remain staffed due to employees falling ill with COVID-19, becoming subject to quarantine, or deciding not to come to come to work on their own volition to avoid infection.</w:t>
      </w:r>
    </w:p>
    <w:p>
      <w:pPr>
        <w:spacing w:after="0" w:line="184"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8"/>
          <w:szCs w:val="18"/>
          <w:color w:val="auto"/>
        </w:rPr>
        <w:t>The Company is actively addressing the risk to business continuity represented by each of the above factors through the implementation of a broad range of measures throughout its structure and is re-assessing its response to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60"/>
          </w:cols>
          <w:pgMar w:left="320" w:top="921" w:right="319" w:bottom="1440" w:gutter="0" w:footer="0" w:header="0"/>
        </w:sectPr>
      </w:pPr>
    </w:p>
    <w:bookmarkStart w:id="201" w:name="page202"/>
    <w:bookmarkEnd w:id="201"/>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COVID-19 pandemic on an ongoing basis. The above risks individually or collectively may have a material impact on the Company’s ability to generate revenue.</w:t>
      </w:r>
    </w:p>
    <w:p>
      <w:pPr>
        <w:spacing w:after="0" w:line="15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has sufficient cash on hand raised via equity financings to fund its operations for the next 12-months and meet its working capital requirements. It is anticipated that the long-term goals of the Company will require additional capital contributions via debt or equity financings. In the event that the impact of COVID-19 worsens and negatively affects capital markets generally, there is a risk that the Company may not be able to secure funding for these long-term objectives.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Operating History</w:t>
      </w:r>
    </w:p>
    <w:p>
      <w:pPr>
        <w:spacing w:after="0" w:line="22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The Common Shares commenced trading on the Exchange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Achieving Publicly Announced Milestones</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 under this heading “Risk Factors” for further disclosure of risks and events that may affect the timing of certain events the Company may announce.</w:t>
      </w:r>
    </w:p>
    <w:p>
      <w:pPr>
        <w:spacing w:after="0" w:line="19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Speculative Nature of Investment Risk</w:t>
      </w:r>
    </w:p>
    <w:p>
      <w:pPr>
        <w:spacing w:after="0" w:line="237"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Stage of the Industry and Product Development</w:t>
      </w:r>
    </w:p>
    <w:p>
      <w:pPr>
        <w:spacing w:after="0" w:line="2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MOH, the FDA, or any similar regulatory authority. To obtain regulatory approvals for its prescription drug product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60"/>
          </w:cols>
          <w:pgMar w:left="320" w:top="705" w:right="319" w:bottom="1440" w:gutter="0" w:footer="0" w:header="0"/>
        </w:sectPr>
      </w:pPr>
    </w:p>
    <w:bookmarkStart w:id="202" w:name="page203"/>
    <w:bookmarkEnd w:id="202"/>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candidates being developed and to achieve commercial success, clinical trials must demonstrate that the prescription drug product candidates are safe for human use and that they demonstrate efficacy.</w:t>
      </w:r>
    </w:p>
    <w:p>
      <w:pPr>
        <w:spacing w:after="0" w:line="15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9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MOH or FDA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2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19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 xml:space="preserve">The Company’s business relies on its ability to access, develop, and sell psilocybin. Psilocybin is a controlled substance in many jurisdictions, including in Canada under Schedule III of the </w:t>
      </w:r>
      <w:r>
        <w:rPr>
          <w:rFonts w:ascii="Times New Roman" w:cs="Times New Roman" w:eastAsia="Times New Roman" w:hAnsi="Times New Roman"/>
          <w:sz w:val="17"/>
          <w:szCs w:val="17"/>
          <w:i w:val="1"/>
          <w:iCs w:val="1"/>
          <w:color w:val="auto"/>
        </w:rPr>
        <w:t>Controlled Drugs and Substances Act</w:t>
      </w:r>
      <w:r>
        <w:rPr>
          <w:rFonts w:ascii="Times New Roman" w:cs="Times New Roman" w:eastAsia="Times New Roman" w:hAnsi="Times New Roman"/>
          <w:sz w:val="17"/>
          <w:szCs w:val="17"/>
          <w:color w:val="auto"/>
        </w:rPr>
        <w:t xml:space="preserve"> and in the United States. The Company may face difficulty accessing psilocybin and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has not been confirmed and requires further study and scientific rigour.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 and Uncertainties</w:t>
      </w:r>
    </w:p>
    <w:p>
      <w:pPr>
        <w:spacing w:after="0" w:line="237"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7"/>
          <w:szCs w:val="17"/>
          <w:color w:val="auto"/>
        </w:rPr>
        <w:t xml:space="preserve">In Canada, certain psychedelic drugs, including psilocybin, are classified as Schedule III drugs under the CDSA and as such, medical and recreational use is illegal under Canadian federal laws. In the United States, certain psychedelic drugs, including psilocybin, are classified as Schedule I drugs under the CSA and the </w:t>
      </w:r>
      <w:r>
        <w:rPr>
          <w:rFonts w:ascii="Times New Roman" w:cs="Times New Roman" w:eastAsia="Times New Roman" w:hAnsi="Times New Roman"/>
          <w:sz w:val="17"/>
          <w:szCs w:val="17"/>
          <w:i w:val="1"/>
          <w:iCs w:val="1"/>
          <w:color w:val="auto"/>
        </w:rPr>
        <w:t>Controlled Substances Import and Export Act</w:t>
      </w:r>
      <w:r>
        <w:rPr>
          <w:rFonts w:ascii="Times New Roman" w:cs="Times New Roman" w:eastAsia="Times New Roman" w:hAnsi="Times New Roman"/>
          <w:sz w:val="17"/>
          <w:szCs w:val="17"/>
          <w:color w:val="auto"/>
        </w:rPr>
        <w:t xml:space="preserve"> and as such, medical and recreational use is illegal under the U.S. federal laws. There is no guarantee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60"/>
          </w:cols>
          <w:pgMar w:left="320" w:top="705" w:right="319" w:bottom="1440" w:gutter="0" w:footer="0" w:header="0"/>
        </w:sectPr>
      </w:pPr>
    </w:p>
    <w:bookmarkStart w:id="203" w:name="page204"/>
    <w:bookmarkEnd w:id="203"/>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of the necessary licences and permits for Schedule III drugs could have an adverse effect on the Company’s operations.</w:t>
      </w:r>
    </w:p>
    <w:p>
      <w:pPr>
        <w:spacing w:after="0" w:line="23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19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success of the Company’s business is dependent on the reform of controlled substances laws pertaining to psilocybin. If controlled substances laws are not favourably reformed in Canada, the United States, the UK, and other global jurisdictions, the commercial opportunity that the Company is pursuing may be highly limited.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makes no medical, treatment or health benefit claims about the Company’s proposed products. The FDA, Health Canada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Plans for Growth</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intends to grow rapidly and significantly expand its operations within the next 12 to 24 months. This growth will place a significant strain on the Company’s management systems and resources. The Company will not be able to implement its business strategy in a rapidly evolving market, without an effective planning and management process. In particular, the Company may be required to manage multiple relationships with various strategic industry participants and other third parties, which relationships could be strained in the event of rapid growth. Similarly, a large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60"/>
          </w:cols>
          <w:pgMar w:left="320" w:top="705" w:right="3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Products</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Marketing and Sales Capabilities</w:t>
      </w: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Assurance of Commercial Success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Profits or Significant Revenues</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Third Parties for Clinical Development Activities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701"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Third Party Relationships</w:t>
      </w:r>
    </w:p>
    <w:p>
      <w:pPr>
        <w:spacing w:after="0" w:line="23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1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Contract Manufacturers</w:t>
      </w:r>
    </w:p>
    <w:p>
      <w:pPr>
        <w:spacing w:after="0" w:line="2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has limited manufacturing experience and relies on contract manufacturing organizations (“</w:t>
      </w:r>
      <w:r>
        <w:rPr>
          <w:rFonts w:ascii="Times New Roman" w:cs="Times New Roman" w:eastAsia="Times New Roman" w:hAnsi="Times New Roman"/>
          <w:sz w:val="18"/>
          <w:szCs w:val="18"/>
          <w:b w:val="1"/>
          <w:bCs w:val="1"/>
          <w:color w:val="auto"/>
        </w:rPr>
        <w:t>CMOs</w:t>
      </w:r>
      <w:r>
        <w:rPr>
          <w:rFonts w:ascii="Times New Roman" w:cs="Times New Roman" w:eastAsia="Times New Roman" w:hAnsi="Times New Roman"/>
          <w:sz w:val="18"/>
          <w:szCs w:val="18"/>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Health Canada and the FDA, in Canada and the U.S., respectively,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and Efficacy of Products</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60"/>
          </w:cols>
          <w:pgMar w:left="320" w:top="701" w:right="319" w:bottom="1440" w:gutter="0" w:footer="0" w:header="0"/>
        </w:sectPr>
      </w:pPr>
    </w:p>
    <w:bookmarkStart w:id="206" w:name="page207"/>
    <w:bookmarkEnd w:id="206"/>
    <w:p>
      <w:pPr>
        <w:jc w:val="both"/>
        <w:spacing w:after="0" w:line="263" w:lineRule="auto"/>
        <w:rPr>
          <w:sz w:val="20"/>
          <w:szCs w:val="20"/>
          <w:color w:val="auto"/>
        </w:rPr>
      </w:pPr>
      <w:r>
        <w:rPr>
          <w:rFonts w:ascii="Times New Roman" w:cs="Times New Roman" w:eastAsia="Times New Roman" w:hAnsi="Times New Roman"/>
          <w:sz w:val="18"/>
          <w:szCs w:val="18"/>
          <w:color w:val="auto"/>
        </w:rPr>
        <w:t>efficacy reasons at any stage of the testing process. A major risk the Company faces is the possibility that none of its prescription drug product candidates under development will successfully gain market approval from Health Canada, the FDA or other regulatory authorities, resulting in the Company being unable to derive any commercial revenue from them after investing significant amounts of capital in their development.</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 and Commercializing Products</w:t>
      </w: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commencement and completion of clinical trials for the Company’s prescription drug product candidates may be delayed for a number of reasons, including but not limited, to:</w:t>
      </w:r>
    </w:p>
    <w:p>
      <w:pPr>
        <w:spacing w:after="0" w:line="194" w:lineRule="exact"/>
        <w:rPr>
          <w:sz w:val="20"/>
          <w:szCs w:val="20"/>
          <w:color w:val="auto"/>
        </w:rPr>
      </w:pPr>
    </w:p>
    <w:p>
      <w:pPr>
        <w:ind w:left="580" w:hanging="289"/>
        <w:spacing w:after="0"/>
        <w:tabs>
          <w:tab w:leader="none" w:pos="580" w:val="left"/>
        </w:tabs>
        <w:numPr>
          <w:ilvl w:val="0"/>
          <w:numId w:val="124"/>
        </w:numPr>
        <w:rPr>
          <w:rFonts w:ascii="Arial" w:cs="Arial" w:eastAsia="Arial" w:hAnsi="Arial"/>
          <w:sz w:val="18"/>
          <w:szCs w:val="18"/>
          <w:color w:val="auto"/>
        </w:rPr>
      </w:pPr>
      <w:r>
        <w:rPr>
          <w:rFonts w:ascii="Times New Roman" w:cs="Times New Roman" w:eastAsia="Times New Roman" w:hAnsi="Times New Roman"/>
          <w:sz w:val="18"/>
          <w:szCs w:val="18"/>
          <w:color w:val="auto"/>
        </w:rPr>
        <w:t>failure by regulatory authorities to grant permission to proceed or placing clinical trials on hold;</w:t>
      </w:r>
    </w:p>
    <w:p>
      <w:pPr>
        <w:spacing w:after="0" w:line="19" w:lineRule="exact"/>
        <w:rPr>
          <w:rFonts w:ascii="Arial" w:cs="Arial" w:eastAsia="Arial" w:hAnsi="Arial"/>
          <w:sz w:val="18"/>
          <w:szCs w:val="18"/>
          <w:color w:val="auto"/>
        </w:rPr>
      </w:pPr>
    </w:p>
    <w:p>
      <w:pPr>
        <w:ind w:left="580" w:hanging="289"/>
        <w:spacing w:after="0" w:line="250" w:lineRule="auto"/>
        <w:tabs>
          <w:tab w:leader="none" w:pos="569" w:val="left"/>
        </w:tabs>
        <w:numPr>
          <w:ilvl w:val="0"/>
          <w:numId w:val="124"/>
        </w:numPr>
        <w:rPr>
          <w:rFonts w:ascii="Arial" w:cs="Arial" w:eastAsia="Arial" w:hAnsi="Arial"/>
          <w:sz w:val="18"/>
          <w:szCs w:val="18"/>
          <w:color w:val="auto"/>
        </w:rPr>
      </w:pPr>
      <w:r>
        <w:rPr>
          <w:rFonts w:ascii="Times New Roman" w:cs="Times New Roman" w:eastAsia="Times New Roman" w:hAnsi="Times New Roman"/>
          <w:sz w:val="18"/>
          <w:szCs w:val="18"/>
          <w:color w:val="auto"/>
        </w:rPr>
        <w:t>suspension or termination of clinical trials by regulators for many reasons, including concerns about patient safety or failure of the Company’s CMOs to comply with cGMP requirements;</w:t>
      </w:r>
    </w:p>
    <w:p>
      <w:pPr>
        <w:spacing w:after="0" w:line="1" w:lineRule="exact"/>
        <w:rPr>
          <w:rFonts w:ascii="Arial" w:cs="Arial" w:eastAsia="Arial" w:hAnsi="Arial"/>
          <w:sz w:val="18"/>
          <w:szCs w:val="18"/>
          <w:color w:val="auto"/>
        </w:rPr>
      </w:pPr>
    </w:p>
    <w:p>
      <w:pPr>
        <w:ind w:left="580" w:hanging="289"/>
        <w:spacing w:after="0" w:line="247" w:lineRule="auto"/>
        <w:tabs>
          <w:tab w:leader="none" w:pos="569" w:val="left"/>
        </w:tabs>
        <w:numPr>
          <w:ilvl w:val="0"/>
          <w:numId w:val="124"/>
        </w:numPr>
        <w:rPr>
          <w:rFonts w:ascii="Arial" w:cs="Arial" w:eastAsia="Arial" w:hAnsi="Arial"/>
          <w:sz w:val="18"/>
          <w:szCs w:val="18"/>
          <w:color w:val="auto"/>
        </w:rPr>
      </w:pPr>
      <w:r>
        <w:rPr>
          <w:rFonts w:ascii="Times New Roman" w:cs="Times New Roman" w:eastAsia="Times New Roman" w:hAnsi="Times New Roman"/>
          <w:sz w:val="18"/>
          <w:szCs w:val="18"/>
          <w:color w:val="auto"/>
        </w:rPr>
        <w:t>any changes to the Company’s manufacturing process that may be necessary or desired, delays or failure to obtain clinical supply from CMOs of the Company’s products necessary to conduct clinical trials;</w:t>
      </w:r>
    </w:p>
    <w:p>
      <w:pPr>
        <w:ind w:left="580" w:hanging="289"/>
        <w:spacing w:after="0" w:line="247" w:lineRule="auto"/>
        <w:tabs>
          <w:tab w:leader="none" w:pos="569" w:val="left"/>
        </w:tabs>
        <w:numPr>
          <w:ilvl w:val="0"/>
          <w:numId w:val="124"/>
        </w:numPr>
        <w:rPr>
          <w:rFonts w:ascii="Arial" w:cs="Arial" w:eastAsia="Arial" w:hAnsi="Arial"/>
          <w:sz w:val="18"/>
          <w:szCs w:val="18"/>
          <w:color w:val="auto"/>
        </w:rPr>
      </w:pPr>
      <w:r>
        <w:rPr>
          <w:rFonts w:ascii="Times New Roman" w:cs="Times New Roman" w:eastAsia="Times New Roman" w:hAnsi="Times New Roman"/>
          <w:sz w:val="18"/>
          <w:szCs w:val="18"/>
          <w:color w:val="auto"/>
        </w:rPr>
        <w:t>prescription drug product candidates demonstrating a lack of safety or efficacy during clinical trials, reports of clinical testing on similar technologies and products raising safety or efficacy concerns;</w:t>
      </w:r>
    </w:p>
    <w:p>
      <w:pPr>
        <w:jc w:val="both"/>
        <w:ind w:left="580" w:hanging="289"/>
        <w:spacing w:after="0" w:line="254" w:lineRule="auto"/>
        <w:tabs>
          <w:tab w:leader="none" w:pos="569" w:val="left"/>
        </w:tabs>
        <w:numPr>
          <w:ilvl w:val="0"/>
          <w:numId w:val="124"/>
        </w:numPr>
        <w:rPr>
          <w:rFonts w:ascii="Arial" w:cs="Arial" w:eastAsia="Arial" w:hAnsi="Arial"/>
          <w:sz w:val="18"/>
          <w:szCs w:val="18"/>
          <w:color w:val="auto"/>
        </w:rPr>
      </w:pPr>
      <w:r>
        <w:rPr>
          <w:rFonts w:ascii="Times New Roman" w:cs="Times New Roman" w:eastAsia="Times New Roman" w:hAnsi="Times New Roman"/>
          <w:sz w:val="18"/>
          <w:szCs w:val="18"/>
          <w:color w:val="auto"/>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705" w:right="339" w:bottom="1440" w:gutter="0" w:footer="0" w:header="0"/>
        </w:sectPr>
      </w:pPr>
    </w:p>
    <w:bookmarkStart w:id="207" w:name="page208"/>
    <w:bookmarkEnd w:id="207"/>
    <w:p>
      <w:pPr>
        <w:ind w:left="580" w:hanging="289"/>
        <w:spacing w:after="0"/>
        <w:tabs>
          <w:tab w:leader="none" w:pos="580" w:val="left"/>
        </w:tabs>
        <w:numPr>
          <w:ilvl w:val="0"/>
          <w:numId w:val="125"/>
        </w:numPr>
        <w:rPr>
          <w:rFonts w:ascii="Arial" w:cs="Arial" w:eastAsia="Arial" w:hAnsi="Arial"/>
          <w:sz w:val="18"/>
          <w:szCs w:val="18"/>
          <w:color w:val="auto"/>
        </w:rPr>
      </w:pPr>
      <w:r>
        <w:rPr>
          <w:rFonts w:ascii="Times New Roman" w:cs="Times New Roman" w:eastAsia="Times New Roman" w:hAnsi="Times New Roman"/>
          <w:sz w:val="18"/>
          <w:szCs w:val="18"/>
          <w:color w:val="auto"/>
        </w:rPr>
        <w:t>failure of the Company’s contract research organizations to satisfy their contractual duties or meet expected deadlines;</w:t>
      </w:r>
    </w:p>
    <w:p>
      <w:pPr>
        <w:spacing w:after="0" w:line="29" w:lineRule="exact"/>
        <w:rPr>
          <w:rFonts w:ascii="Arial" w:cs="Arial" w:eastAsia="Arial" w:hAnsi="Arial"/>
          <w:sz w:val="18"/>
          <w:szCs w:val="18"/>
          <w:color w:val="auto"/>
        </w:rPr>
      </w:pPr>
    </w:p>
    <w:p>
      <w:pPr>
        <w:ind w:left="580" w:hanging="289"/>
        <w:spacing w:after="0"/>
        <w:tabs>
          <w:tab w:leader="none" w:pos="580" w:val="left"/>
        </w:tabs>
        <w:numPr>
          <w:ilvl w:val="0"/>
          <w:numId w:val="125"/>
        </w:numPr>
        <w:rPr>
          <w:rFonts w:ascii="Arial" w:cs="Arial" w:eastAsia="Arial" w:hAnsi="Arial"/>
          <w:sz w:val="18"/>
          <w:szCs w:val="18"/>
          <w:color w:val="auto"/>
        </w:rPr>
      </w:pPr>
      <w:r>
        <w:rPr>
          <w:rFonts w:ascii="Times New Roman" w:cs="Times New Roman" w:eastAsia="Times New Roman" w:hAnsi="Times New Roman"/>
          <w:sz w:val="18"/>
          <w:szCs w:val="18"/>
          <w:color w:val="auto"/>
        </w:rPr>
        <w:t>inspections of clinical trial sites by regulatory authorities;</w:t>
      </w:r>
    </w:p>
    <w:p>
      <w:pPr>
        <w:spacing w:after="0" w:line="2" w:lineRule="exact"/>
        <w:rPr>
          <w:rFonts w:ascii="Arial" w:cs="Arial" w:eastAsia="Arial" w:hAnsi="Arial"/>
          <w:sz w:val="18"/>
          <w:szCs w:val="18"/>
          <w:color w:val="auto"/>
        </w:rPr>
      </w:pPr>
    </w:p>
    <w:p>
      <w:pPr>
        <w:ind w:left="580" w:right="20" w:hanging="289"/>
        <w:spacing w:after="0" w:line="250" w:lineRule="auto"/>
        <w:tabs>
          <w:tab w:leader="none" w:pos="569" w:val="left"/>
        </w:tabs>
        <w:numPr>
          <w:ilvl w:val="0"/>
          <w:numId w:val="125"/>
        </w:numPr>
        <w:rPr>
          <w:rFonts w:ascii="Arial" w:cs="Arial" w:eastAsia="Arial" w:hAnsi="Arial"/>
          <w:sz w:val="18"/>
          <w:szCs w:val="18"/>
          <w:color w:val="auto"/>
        </w:rPr>
      </w:pPr>
      <w:r>
        <w:rPr>
          <w:rFonts w:ascii="Times New Roman" w:cs="Times New Roman" w:eastAsia="Times New Roman" w:hAnsi="Times New Roman"/>
          <w:sz w:val="18"/>
          <w:szCs w:val="18"/>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spacing w:after="0" w:line="1" w:lineRule="exact"/>
        <w:rPr>
          <w:rFonts w:ascii="Arial" w:cs="Arial" w:eastAsia="Arial" w:hAnsi="Arial"/>
          <w:sz w:val="18"/>
          <w:szCs w:val="18"/>
          <w:color w:val="auto"/>
        </w:rPr>
      </w:pPr>
    </w:p>
    <w:p>
      <w:pPr>
        <w:ind w:left="580" w:right="20" w:hanging="289"/>
        <w:spacing w:after="0" w:line="247" w:lineRule="auto"/>
        <w:tabs>
          <w:tab w:leader="none" w:pos="569" w:val="left"/>
        </w:tabs>
        <w:numPr>
          <w:ilvl w:val="0"/>
          <w:numId w:val="125"/>
        </w:numPr>
        <w:rPr>
          <w:rFonts w:ascii="Arial" w:cs="Arial" w:eastAsia="Arial" w:hAnsi="Arial"/>
          <w:sz w:val="18"/>
          <w:szCs w:val="18"/>
          <w:color w:val="auto"/>
        </w:rPr>
      </w:pPr>
      <w:r>
        <w:rPr>
          <w:rFonts w:ascii="Times New Roman" w:cs="Times New Roman" w:eastAsia="Times New Roman" w:hAnsi="Times New Roman"/>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ind w:left="580" w:hanging="289"/>
        <w:spacing w:after="0"/>
        <w:tabs>
          <w:tab w:leader="none" w:pos="580" w:val="left"/>
        </w:tabs>
        <w:numPr>
          <w:ilvl w:val="0"/>
          <w:numId w:val="125"/>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reach agreement on acceptable terms with prospective clinical trial sites.</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commencing clinical trials in Canada, the United States, the UK, or other jurisdictions, for any prescription drug product candidates developed by the Company, it may be required to have an allowed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19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Completion of Clinical Trials</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Grade Product Manufacturing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60"/>
          </w:cols>
          <w:pgMar w:left="320" w:top="706" w:right="319" w:bottom="1440" w:gutter="0" w:footer="0" w:header="0"/>
        </w:sectPr>
      </w:pPr>
    </w:p>
    <w:bookmarkStart w:id="208" w:name="page209"/>
    <w:bookmarkEnd w:id="208"/>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product development costs. This may have a material adverse effect on the Company’s business, financial condition and prospects, and may delay marketing of the product.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Regulatory Approvals</w:t>
      </w:r>
    </w:p>
    <w:p>
      <w:pPr>
        <w:spacing w:after="0" w:line="23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The Company’s development and commercialization activities and prescription drug product candidates are significantly regulated by a number of governmental entities, including Health Canada and the FDA.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18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MOH, the FDA or other regulatory authorities may impose a risk evaluation and mitigation strategy, thereby imposing certain restrictions on the sale and marketability of such products.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 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Unfavourable Publicity or Consumer Perception</w:t>
      </w:r>
    </w:p>
    <w:p>
      <w:pPr>
        <w:spacing w:after="0" w:line="2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60"/>
          </w:cols>
          <w:pgMar w:left="320" w:top="706" w:right="319" w:bottom="1440" w:gutter="0" w:footer="0" w:header="0"/>
        </w:sectPr>
      </w:pPr>
    </w:p>
    <w:bookmarkStart w:id="209" w:name="page210"/>
    <w:bookmarkEnd w:id="209"/>
    <w:p>
      <w:pPr>
        <w:jc w:val="both"/>
        <w:spacing w:after="0" w:line="253" w:lineRule="auto"/>
        <w:rPr>
          <w:sz w:val="20"/>
          <w:szCs w:val="20"/>
          <w:color w:val="auto"/>
        </w:rPr>
      </w:pPr>
      <w:r>
        <w:rPr>
          <w:rFonts w:ascii="Times New Roman" w:cs="Times New Roman" w:eastAsia="Times New Roman" w:hAnsi="Times New Roman"/>
          <w:sz w:val="18"/>
          <w:szCs w:val="18"/>
          <w:color w:val="auto"/>
        </w:rPr>
        <w:t>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psilocybin industry is highly dependent upon consumer perception regarding the medical benefits, safety, efficacy and quality of the psilocybin distributed for medical purposes to such consumers. There can be no assurance that future scientific research or findings on the medical benefits, viability, safety, efficacy and dosing of psilocybin or isolated constituents, regulatory proceedings, litigation, media attention or other research findings or publicity will be favourable to the industry or the Company or any particular product, or consistent with earlier publicity.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w:t>
      </w:r>
    </w:p>
    <w:p>
      <w:pPr>
        <w:spacing w:after="0" w:line="2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There has been a recent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Biotechnology and Pharmaceutical Market Competition</w:t>
      </w:r>
    </w:p>
    <w:p>
      <w:pPr>
        <w:spacing w:after="0" w:line="2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190" w:lineRule="exact"/>
        <w:rPr>
          <w:sz w:val="20"/>
          <w:szCs w:val="20"/>
          <w:color w:val="auto"/>
        </w:rPr>
      </w:pPr>
    </w:p>
    <w:p>
      <w:pPr>
        <w:ind w:left="580" w:right="20" w:hanging="289"/>
        <w:spacing w:after="0" w:line="255" w:lineRule="auto"/>
        <w:tabs>
          <w:tab w:leader="none" w:pos="569" w:val="left"/>
        </w:tabs>
        <w:numPr>
          <w:ilvl w:val="0"/>
          <w:numId w:val="126"/>
        </w:numPr>
        <w:rPr>
          <w:rFonts w:ascii="Arial" w:cs="Arial" w:eastAsia="Arial" w:hAnsi="Arial"/>
          <w:sz w:val="18"/>
          <w:szCs w:val="18"/>
          <w:color w:val="auto"/>
        </w:rPr>
      </w:pPr>
      <w:r>
        <w:rPr>
          <w:rFonts w:ascii="Times New Roman" w:cs="Times New Roman" w:eastAsia="Times New Roman" w:hAnsi="Times New Roman"/>
          <w:sz w:val="18"/>
          <w:szCs w:val="18"/>
          <w:color w:val="auto"/>
        </w:rPr>
        <w:t>the efficacy and safety profile of its prescription drug product candidates relative to marketed products and other prescription drug product candidates in development;</w:t>
      </w:r>
    </w:p>
    <w:p>
      <w:pPr>
        <w:ind w:left="580" w:hanging="289"/>
        <w:spacing w:after="0"/>
        <w:tabs>
          <w:tab w:leader="none" w:pos="580" w:val="left"/>
        </w:tabs>
        <w:numPr>
          <w:ilvl w:val="0"/>
          <w:numId w:val="126"/>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develop and maintain a competitive position in the product categories and technologies on which it focuses;</w:t>
      </w:r>
    </w:p>
    <w:p>
      <w:pPr>
        <w:spacing w:after="0" w:line="6" w:lineRule="exact"/>
        <w:rPr>
          <w:rFonts w:ascii="Arial" w:cs="Arial" w:eastAsia="Arial" w:hAnsi="Arial"/>
          <w:sz w:val="18"/>
          <w:szCs w:val="18"/>
          <w:color w:val="auto"/>
        </w:rPr>
      </w:pPr>
    </w:p>
    <w:p>
      <w:pPr>
        <w:ind w:left="580" w:hanging="289"/>
        <w:spacing w:after="0"/>
        <w:tabs>
          <w:tab w:leader="none" w:pos="580" w:val="left"/>
        </w:tabs>
        <w:numPr>
          <w:ilvl w:val="0"/>
          <w:numId w:val="126"/>
        </w:numPr>
        <w:rPr>
          <w:rFonts w:ascii="Arial" w:cs="Arial" w:eastAsia="Arial" w:hAnsi="Arial"/>
          <w:sz w:val="18"/>
          <w:szCs w:val="18"/>
          <w:color w:val="auto"/>
        </w:rPr>
      </w:pPr>
      <w:r>
        <w:rPr>
          <w:rFonts w:ascii="Times New Roman" w:cs="Times New Roman" w:eastAsia="Times New Roman" w:hAnsi="Times New Roman"/>
          <w:sz w:val="18"/>
          <w:szCs w:val="18"/>
          <w:color w:val="auto"/>
        </w:rPr>
        <w:t>the time it takes for the Company’s prescription drug product candidates to complete clinical development and receive marketing approval;</w:t>
      </w:r>
    </w:p>
    <w:p>
      <w:pPr>
        <w:spacing w:after="0" w:line="9" w:lineRule="exact"/>
        <w:rPr>
          <w:rFonts w:ascii="Arial" w:cs="Arial" w:eastAsia="Arial" w:hAnsi="Arial"/>
          <w:sz w:val="18"/>
          <w:szCs w:val="18"/>
          <w:color w:val="auto"/>
        </w:rPr>
      </w:pPr>
    </w:p>
    <w:p>
      <w:pPr>
        <w:ind w:left="580" w:hanging="289"/>
        <w:spacing w:after="0"/>
        <w:tabs>
          <w:tab w:leader="none" w:pos="580" w:val="left"/>
        </w:tabs>
        <w:numPr>
          <w:ilvl w:val="0"/>
          <w:numId w:val="126"/>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obtain required regulatory approvals;</w:t>
      </w:r>
    </w:p>
    <w:p>
      <w:pPr>
        <w:spacing w:after="0" w:line="12" w:lineRule="exact"/>
        <w:rPr>
          <w:rFonts w:ascii="Arial" w:cs="Arial" w:eastAsia="Arial" w:hAnsi="Arial"/>
          <w:sz w:val="18"/>
          <w:szCs w:val="18"/>
          <w:color w:val="auto"/>
        </w:rPr>
      </w:pPr>
    </w:p>
    <w:p>
      <w:pPr>
        <w:ind w:left="580" w:hanging="289"/>
        <w:spacing w:after="0"/>
        <w:tabs>
          <w:tab w:leader="none" w:pos="580" w:val="left"/>
        </w:tabs>
        <w:numPr>
          <w:ilvl w:val="0"/>
          <w:numId w:val="126"/>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commercialize any of its prescription drug product candidates that receive regulatory approval;</w:t>
      </w:r>
    </w:p>
    <w:p>
      <w:pPr>
        <w:spacing w:after="0" w:line="2" w:lineRule="exact"/>
        <w:rPr>
          <w:rFonts w:ascii="Arial" w:cs="Arial" w:eastAsia="Arial" w:hAnsi="Arial"/>
          <w:sz w:val="18"/>
          <w:szCs w:val="18"/>
          <w:color w:val="auto"/>
        </w:rPr>
      </w:pPr>
    </w:p>
    <w:p>
      <w:pPr>
        <w:ind w:left="580" w:hanging="289"/>
        <w:spacing w:after="0"/>
        <w:tabs>
          <w:tab w:leader="none" w:pos="580" w:val="left"/>
        </w:tabs>
        <w:numPr>
          <w:ilvl w:val="0"/>
          <w:numId w:val="126"/>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establish, maintain and protect intellectual property rights related to its prescription drug product candidates;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60"/>
          </w:cols>
          <w:pgMar w:left="320" w:top="705" w:right="319" w:bottom="1440" w:gutter="0" w:footer="0" w:header="0"/>
        </w:sectPr>
      </w:pPr>
    </w:p>
    <w:bookmarkStart w:id="210" w:name="page211"/>
    <w:bookmarkEnd w:id="210"/>
    <w:p>
      <w:pPr>
        <w:ind w:left="580" w:right="20" w:hanging="289"/>
        <w:spacing w:after="0" w:line="284" w:lineRule="auto"/>
        <w:tabs>
          <w:tab w:leader="none" w:pos="569" w:val="left"/>
        </w:tabs>
        <w:numPr>
          <w:ilvl w:val="0"/>
          <w:numId w:val="127"/>
        </w:numPr>
        <w:rPr>
          <w:rFonts w:ascii="Arial" w:cs="Arial" w:eastAsia="Arial" w:hAnsi="Arial"/>
          <w:sz w:val="18"/>
          <w:szCs w:val="18"/>
          <w:color w:val="auto"/>
        </w:rPr>
      </w:pPr>
      <w:r>
        <w:rPr>
          <w:rFonts w:ascii="Times New Roman" w:cs="Times New Roman" w:eastAsia="Times New Roman" w:hAnsi="Times New Roman"/>
          <w:sz w:val="18"/>
          <w:szCs w:val="18"/>
          <w:color w:val="auto"/>
        </w:rPr>
        <w:t>acceptance of any of the Company’s prescription drug product candidates that receive regulatory approval by physicians and other healthcare providers and payers.</w:t>
      </w:r>
    </w:p>
    <w:p>
      <w:pPr>
        <w:spacing w:after="0" w:line="15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inspired compounds.</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9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Key Executives and Scientists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The Company also enters into agreements with physicians and institutions who will recruit patients into the Company’s clinical trials on its behalf in the ordinary course of its business.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The loss of the services of any of the Company’s executive officers or other key personnel could potentially harm its business, operating results or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Misconduct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and the FDA regulations, provide accurate information to Health Canada and the FDA,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60"/>
          </w:cols>
          <w:pgMar w:left="320" w:top="706" w:right="3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Expansion and Growth</w:t>
      </w:r>
    </w:p>
    <w:p>
      <w:pPr>
        <w:spacing w:after="0" w:line="2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18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Results of External Clinical Trials or Studies</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19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Enforcing Contracts</w:t>
      </w:r>
    </w:p>
    <w:p>
      <w:pPr>
        <w:spacing w:after="0" w:line="22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Due to the nature of the business of the Company and the fact that certain of its contracts involve psilocybin,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60"/>
          </w:cols>
          <w:pgMar w:left="320" w:top="701" w:right="319" w:bottom="1440" w:gutter="0" w:footer="0" w:header="0"/>
        </w:sectPr>
      </w:pPr>
    </w:p>
    <w:bookmarkStart w:id="212" w:name="page213"/>
    <w:bookmarkEnd w:id="212"/>
    <w:p>
      <w:pPr>
        <w:jc w:val="both"/>
        <w:spacing w:after="0" w:line="316" w:lineRule="auto"/>
        <w:rPr>
          <w:sz w:val="20"/>
          <w:szCs w:val="20"/>
          <w:color w:val="auto"/>
        </w:rPr>
      </w:pPr>
      <w:r>
        <w:rPr>
          <w:rFonts w:ascii="Times New Roman" w:cs="Times New Roman" w:eastAsia="Times New Roman" w:hAnsi="Times New Roman"/>
          <w:sz w:val="17"/>
          <w:szCs w:val="17"/>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Recalls</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lose a significant amount of sales and may not be able to replace those sales at an acceptable margin or at all. In addition, a product recall may require significant management attention.</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Supply Chain Interruption</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susceptible to risks relating to distributor and supply chain interruptions. Distribution in Canada and other jurisdictions will be largely accomplished through independent contractors, therefore, an interruption (e.g., a labour strike) for any length of time affecting such independent contractors may have a significant impact on the Company’s ability to sell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Difficulty to Forecast</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Promoting the Brand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Viability</w:t>
      </w: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705" w:right="339" w:bottom="1440" w:gutter="0" w:footer="0" w:header="0"/>
        </w:sectPr>
      </w:pPr>
    </w:p>
    <w:bookmarkStart w:id="213" w:name="page214"/>
    <w:bookmarkEnd w:id="213"/>
    <w:p>
      <w:pPr>
        <w:jc w:val="both"/>
        <w:spacing w:after="0" w:line="263" w:lineRule="auto"/>
        <w:rPr>
          <w:sz w:val="20"/>
          <w:szCs w:val="20"/>
          <w:color w:val="auto"/>
        </w:rPr>
      </w:pPr>
      <w:r>
        <w:rPr>
          <w:rFonts w:ascii="Times New Roman" w:cs="Times New Roman" w:eastAsia="Times New Roman" w:hAnsi="Times New Roman"/>
          <w:sz w:val="18"/>
          <w:szCs w:val="18"/>
          <w:color w:val="auto"/>
        </w:rPr>
        <w:t>supplements or medications. As a result, the Company’s psychedelic pharmaceutical products could have certain side effects if not used as directed or if taken by an end user that has certain known or unknown medical conditions. Further, the Company’s business involves the growing of an agricultural product and is subject to the risks inherent in the agricultural business, such as insects, plant diseases and similar agricultural risks.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of Quality Control Systems</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Key Inputs</w:t>
      </w: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Examples of potential risks include, but are not limited to, the risk that crops may become diseased or victim to insects or other pests and contamination, or subject to extreme weather conditions such as excess rainfall, freezing temperature, or drought, all of which could result in low crop yields, decreased availability of mushrooms, and higher acquisition prices. Any inability to secure required supplies and services or to do so on appropriate terms could have a materially adverse impact on the business, financial condition and operating results of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Arising from Fraudulent or Illegal Activity</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Risk and Insurance Coverage</w:t>
      </w:r>
    </w:p>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706" w:right="339" w:bottom="1440" w:gutter="0" w:footer="0" w:header="0"/>
        </w:sectPr>
      </w:pPr>
    </w:p>
    <w:bookmarkStart w:id="214" w:name="page215"/>
    <w:bookmarkEnd w:id="214"/>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Operating as Public Company</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of Growth</w:t>
      </w:r>
    </w:p>
    <w:p>
      <w:pPr>
        <w:spacing w:after="0" w:line="22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2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19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19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Operations</w:t>
      </w:r>
    </w:p>
    <w:p>
      <w:pPr>
        <w:spacing w:after="0" w:line="22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addition to operations carried out in Canada, the Company intends to carry out international operations through an office in Ireland. As a result, the Company may be subject to political, economic and other uncertainties, including, but not limited to, cancellation or modification of contract rights, foreign exchange restrictions, currency fluctuations, export quotas, royalty and tax increases and other risks arising out of foreign governmental sovereignty over the areas in which the Company’s operations are conducted, as well as risks of loss due to civil strife, acts of war, guerrilla activities and insurrections.</w:t>
      </w:r>
    </w:p>
    <w:p>
      <w:pPr>
        <w:spacing w:after="0" w:line="19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60"/>
          </w:cols>
          <w:pgMar w:left="320" w:top="705" w:right="319" w:bottom="1440" w:gutter="0" w:footer="0" w:header="0"/>
        </w:sectPr>
      </w:pPr>
    </w:p>
    <w:bookmarkStart w:id="215" w:name="page216"/>
    <w:bookmarkEnd w:id="215"/>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Privacy Risk</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199"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 w:cs="Times New Roman" w:eastAsia="Times New Roman" w:hAnsi="Times New Roman"/>
          <w:sz w:val="18"/>
          <w:szCs w:val="18"/>
          <w:i w:val="1"/>
          <w:iCs w:val="1"/>
          <w:color w:val="auto"/>
        </w:rPr>
        <w:t>Personal Information Protection and Electronics Documents Act</w:t>
      </w:r>
      <w:r>
        <w:rPr>
          <w:rFonts w:ascii="Times New Roman" w:cs="Times New Roman" w:eastAsia="Times New Roman" w:hAnsi="Times New Roman"/>
          <w:sz w:val="18"/>
          <w:szCs w:val="18"/>
          <w:color w:val="auto"/>
        </w:rPr>
        <w:t xml:space="preserve"> (Canada) (“</w:t>
      </w:r>
      <w:r>
        <w:rPr>
          <w:rFonts w:ascii="Times New Roman" w:cs="Times New Roman" w:eastAsia="Times New Roman" w:hAnsi="Times New Roman"/>
          <w:sz w:val="18"/>
          <w:szCs w:val="18"/>
          <w:b w:val="1"/>
          <w:bCs w:val="1"/>
          <w:color w:val="auto"/>
        </w:rPr>
        <w:t>PIPEDA</w:t>
      </w:r>
      <w:r>
        <w:rPr>
          <w:rFonts w:ascii="Times New Roman" w:cs="Times New Roman" w:eastAsia="Times New Roman" w:hAnsi="Times New Roman"/>
          <w:sz w:val="18"/>
          <w:szCs w:val="18"/>
          <w:color w:val="auto"/>
        </w:rPr>
        <w:t>”) and where applicable, provincial legislation governing personal health information, protect medical records and other personal health information by limited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 and Risks</w:t>
      </w:r>
    </w:p>
    <w:p>
      <w:pPr>
        <w:spacing w:after="0" w:line="2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60"/>
          </w:cols>
          <w:pgMar w:left="320" w:top="925" w:right="319" w:bottom="1440" w:gutter="0" w:footer="0" w:header="0"/>
        </w:sectPr>
      </w:pPr>
    </w:p>
    <w:bookmarkStart w:id="216" w:name="page217"/>
    <w:bookmarkEnd w:id="216"/>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Decriminalisation of Psychedelics</w:t>
      </w:r>
    </w:p>
    <w:p>
      <w:pPr>
        <w:spacing w:after="0" w:line="23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decriminalised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and potentially other psychotropic compounds in the future may also impact commercial sales for the Company due to a reduced barrier to entry leading to a risk of increasing competition.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may prove to be inaccurate</w:t>
      </w: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2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Global markets have recently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and Economic Conditions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19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175" w:lineRule="exact"/>
        <w:rPr>
          <w:sz w:val="20"/>
          <w:szCs w:val="20"/>
          <w:color w:val="auto"/>
        </w:rPr>
      </w:pPr>
    </w:p>
    <w:p>
      <w:pPr>
        <w:ind w:left="580" w:hanging="289"/>
        <w:spacing w:after="0"/>
        <w:tabs>
          <w:tab w:leader="none" w:pos="580" w:val="left"/>
        </w:tabs>
        <w:numPr>
          <w:ilvl w:val="0"/>
          <w:numId w:val="128"/>
        </w:numPr>
        <w:rPr>
          <w:rFonts w:ascii="Arial" w:cs="Arial" w:eastAsia="Arial" w:hAnsi="Arial"/>
          <w:sz w:val="18"/>
          <w:szCs w:val="18"/>
          <w:color w:val="auto"/>
        </w:rPr>
      </w:pPr>
      <w:r>
        <w:rPr>
          <w:rFonts w:ascii="Times New Roman" w:cs="Times New Roman" w:eastAsia="Times New Roman" w:hAnsi="Times New Roman"/>
          <w:sz w:val="18"/>
          <w:szCs w:val="18"/>
          <w:color w:val="auto"/>
        </w:rPr>
        <w:t>inflation;</w:t>
      </w:r>
    </w:p>
    <w:p>
      <w:pPr>
        <w:spacing w:after="0" w:line="29" w:lineRule="exact"/>
        <w:rPr>
          <w:rFonts w:ascii="Arial" w:cs="Arial" w:eastAsia="Arial" w:hAnsi="Arial"/>
          <w:sz w:val="18"/>
          <w:szCs w:val="18"/>
          <w:color w:val="auto"/>
        </w:rPr>
      </w:pPr>
    </w:p>
    <w:p>
      <w:pPr>
        <w:ind w:left="580" w:hanging="289"/>
        <w:spacing w:after="0"/>
        <w:tabs>
          <w:tab w:leader="none" w:pos="580" w:val="left"/>
        </w:tabs>
        <w:numPr>
          <w:ilvl w:val="0"/>
          <w:numId w:val="128"/>
        </w:numPr>
        <w:rPr>
          <w:rFonts w:ascii="Arial" w:cs="Arial" w:eastAsia="Arial" w:hAnsi="Arial"/>
          <w:sz w:val="18"/>
          <w:szCs w:val="18"/>
          <w:color w:val="auto"/>
        </w:rPr>
      </w:pPr>
      <w:r>
        <w:rPr>
          <w:rFonts w:ascii="Times New Roman" w:cs="Times New Roman" w:eastAsia="Times New Roman" w:hAnsi="Times New Roman"/>
          <w:sz w:val="18"/>
          <w:szCs w:val="18"/>
          <w:color w:val="auto"/>
        </w:rPr>
        <w:t>fluctuations in exchange rates;</w:t>
      </w:r>
    </w:p>
    <w:p>
      <w:pPr>
        <w:spacing w:after="0" w:line="12" w:lineRule="exact"/>
        <w:rPr>
          <w:rFonts w:ascii="Arial" w:cs="Arial" w:eastAsia="Arial" w:hAnsi="Arial"/>
          <w:sz w:val="18"/>
          <w:szCs w:val="18"/>
          <w:color w:val="auto"/>
        </w:rPr>
      </w:pPr>
    </w:p>
    <w:p>
      <w:pPr>
        <w:ind w:left="580" w:hanging="289"/>
        <w:spacing w:after="0"/>
        <w:tabs>
          <w:tab w:leader="none" w:pos="580" w:val="left"/>
        </w:tabs>
        <w:numPr>
          <w:ilvl w:val="0"/>
          <w:numId w:val="128"/>
        </w:numPr>
        <w:rPr>
          <w:rFonts w:ascii="Arial" w:cs="Arial" w:eastAsia="Arial" w:hAnsi="Arial"/>
          <w:sz w:val="18"/>
          <w:szCs w:val="18"/>
          <w:color w:val="auto"/>
        </w:rPr>
      </w:pPr>
      <w:r>
        <w:rPr>
          <w:rFonts w:ascii="Times New Roman" w:cs="Times New Roman" w:eastAsia="Times New Roman" w:hAnsi="Times New Roman"/>
          <w:sz w:val="18"/>
          <w:szCs w:val="18"/>
          <w:color w:val="auto"/>
        </w:rPr>
        <w:t>exchange controls and restrictions on remittances abroad;</w:t>
      </w:r>
    </w:p>
    <w:p>
      <w:pPr>
        <w:spacing w:after="0" w:line="2" w:lineRule="exact"/>
        <w:rPr>
          <w:rFonts w:ascii="Arial" w:cs="Arial" w:eastAsia="Arial" w:hAnsi="Arial"/>
          <w:sz w:val="18"/>
          <w:szCs w:val="18"/>
          <w:color w:val="auto"/>
        </w:rPr>
      </w:pPr>
    </w:p>
    <w:p>
      <w:pPr>
        <w:ind w:left="580" w:hanging="289"/>
        <w:spacing w:after="0"/>
        <w:tabs>
          <w:tab w:leader="none" w:pos="580" w:val="left"/>
        </w:tabs>
        <w:numPr>
          <w:ilvl w:val="0"/>
          <w:numId w:val="128"/>
        </w:numPr>
        <w:rPr>
          <w:rFonts w:ascii="Arial" w:cs="Arial" w:eastAsia="Arial" w:hAnsi="Arial"/>
          <w:sz w:val="18"/>
          <w:szCs w:val="18"/>
          <w:color w:val="auto"/>
        </w:rPr>
      </w:pPr>
      <w:r>
        <w:rPr>
          <w:rFonts w:ascii="Times New Roman" w:cs="Times New Roman" w:eastAsia="Times New Roman" w:hAnsi="Times New Roman"/>
          <w:sz w:val="18"/>
          <w:szCs w:val="18"/>
          <w:color w:val="auto"/>
        </w:rPr>
        <w:t>interest rates and monetary policies;</w:t>
      </w:r>
    </w:p>
    <w:p>
      <w:pPr>
        <w:spacing w:after="0" w:line="9" w:lineRule="exact"/>
        <w:rPr>
          <w:rFonts w:ascii="Arial" w:cs="Arial" w:eastAsia="Arial" w:hAnsi="Arial"/>
          <w:sz w:val="18"/>
          <w:szCs w:val="18"/>
          <w:color w:val="auto"/>
        </w:rPr>
      </w:pPr>
    </w:p>
    <w:p>
      <w:pPr>
        <w:ind w:left="580" w:hanging="289"/>
        <w:spacing w:after="0"/>
        <w:tabs>
          <w:tab w:leader="none" w:pos="580" w:val="left"/>
        </w:tabs>
        <w:numPr>
          <w:ilvl w:val="0"/>
          <w:numId w:val="128"/>
        </w:numPr>
        <w:rPr>
          <w:rFonts w:ascii="Arial" w:cs="Arial" w:eastAsia="Arial" w:hAnsi="Arial"/>
          <w:sz w:val="18"/>
          <w:szCs w:val="18"/>
          <w:color w:val="auto"/>
        </w:rPr>
      </w:pPr>
      <w:r>
        <w:rPr>
          <w:rFonts w:ascii="Times New Roman" w:cs="Times New Roman" w:eastAsia="Times New Roman" w:hAnsi="Times New Roman"/>
          <w:sz w:val="18"/>
          <w:szCs w:val="18"/>
          <w:color w:val="auto"/>
        </w:rPr>
        <w:t>import and export controls;</w:t>
      </w:r>
    </w:p>
    <w:p>
      <w:pPr>
        <w:spacing w:after="0" w:line="2" w:lineRule="exact"/>
        <w:rPr>
          <w:rFonts w:ascii="Arial" w:cs="Arial" w:eastAsia="Arial" w:hAnsi="Arial"/>
          <w:sz w:val="18"/>
          <w:szCs w:val="18"/>
          <w:color w:val="auto"/>
        </w:rPr>
      </w:pPr>
    </w:p>
    <w:p>
      <w:pPr>
        <w:ind w:left="580" w:hanging="289"/>
        <w:spacing w:after="0"/>
        <w:tabs>
          <w:tab w:leader="none" w:pos="580" w:val="left"/>
        </w:tabs>
        <w:numPr>
          <w:ilvl w:val="0"/>
          <w:numId w:val="128"/>
        </w:numPr>
        <w:rPr>
          <w:rFonts w:ascii="Arial" w:cs="Arial" w:eastAsia="Arial" w:hAnsi="Arial"/>
          <w:sz w:val="18"/>
          <w:szCs w:val="18"/>
          <w:color w:val="auto"/>
        </w:rPr>
      </w:pPr>
      <w:r>
        <w:rPr>
          <w:rFonts w:ascii="Times New Roman" w:cs="Times New Roman" w:eastAsia="Times New Roman" w:hAnsi="Times New Roman"/>
          <w:sz w:val="18"/>
          <w:szCs w:val="18"/>
          <w:color w:val="auto"/>
        </w:rPr>
        <w:t>liquidity of domestic capital, credit and financial markets;</w:t>
      </w:r>
    </w:p>
    <w:p>
      <w:pPr>
        <w:spacing w:after="0" w:line="9" w:lineRule="exact"/>
        <w:rPr>
          <w:rFonts w:ascii="Arial" w:cs="Arial" w:eastAsia="Arial" w:hAnsi="Arial"/>
          <w:sz w:val="18"/>
          <w:szCs w:val="18"/>
          <w:color w:val="auto"/>
        </w:rPr>
      </w:pPr>
    </w:p>
    <w:p>
      <w:pPr>
        <w:ind w:left="580" w:hanging="289"/>
        <w:spacing w:after="0"/>
        <w:tabs>
          <w:tab w:leader="none" w:pos="580" w:val="left"/>
        </w:tabs>
        <w:numPr>
          <w:ilvl w:val="0"/>
          <w:numId w:val="128"/>
        </w:numPr>
        <w:rPr>
          <w:rFonts w:ascii="Arial" w:cs="Arial" w:eastAsia="Arial" w:hAnsi="Arial"/>
          <w:sz w:val="18"/>
          <w:szCs w:val="18"/>
          <w:color w:val="auto"/>
        </w:rPr>
      </w:pPr>
      <w:r>
        <w:rPr>
          <w:rFonts w:ascii="Times New Roman" w:cs="Times New Roman" w:eastAsia="Times New Roman" w:hAnsi="Times New Roman"/>
          <w:sz w:val="18"/>
          <w:szCs w:val="18"/>
          <w:color w:val="auto"/>
        </w:rPr>
        <w:t>expansion or contraction of foreign economies, as measured by rates of growth in gross domestic product;</w:t>
      </w:r>
    </w:p>
    <w:p>
      <w:pPr>
        <w:spacing w:after="0" w:line="12" w:lineRule="exact"/>
        <w:rPr>
          <w:rFonts w:ascii="Arial" w:cs="Arial" w:eastAsia="Arial" w:hAnsi="Arial"/>
          <w:sz w:val="18"/>
          <w:szCs w:val="18"/>
          <w:color w:val="auto"/>
        </w:rPr>
      </w:pPr>
    </w:p>
    <w:p>
      <w:pPr>
        <w:ind w:left="580" w:hanging="289"/>
        <w:spacing w:after="0"/>
        <w:tabs>
          <w:tab w:leader="none" w:pos="580" w:val="left"/>
        </w:tabs>
        <w:numPr>
          <w:ilvl w:val="0"/>
          <w:numId w:val="128"/>
        </w:numPr>
        <w:rPr>
          <w:rFonts w:ascii="Arial" w:cs="Arial" w:eastAsia="Arial" w:hAnsi="Arial"/>
          <w:sz w:val="18"/>
          <w:szCs w:val="18"/>
          <w:color w:val="auto"/>
        </w:rPr>
      </w:pPr>
      <w:r>
        <w:rPr>
          <w:rFonts w:ascii="Times New Roman" w:cs="Times New Roman" w:eastAsia="Times New Roman" w:hAnsi="Times New Roman"/>
          <w:sz w:val="18"/>
          <w:szCs w:val="18"/>
          <w:color w:val="auto"/>
        </w:rPr>
        <w:t>fiscal policies; and</w:t>
      </w:r>
    </w:p>
    <w:p>
      <w:pPr>
        <w:spacing w:after="0" w:line="2" w:lineRule="exact"/>
        <w:rPr>
          <w:rFonts w:ascii="Arial" w:cs="Arial" w:eastAsia="Arial" w:hAnsi="Arial"/>
          <w:sz w:val="18"/>
          <w:szCs w:val="18"/>
          <w:color w:val="auto"/>
        </w:rPr>
      </w:pPr>
    </w:p>
    <w:p>
      <w:pPr>
        <w:ind w:left="580" w:hanging="289"/>
        <w:spacing w:after="0"/>
        <w:tabs>
          <w:tab w:leader="none" w:pos="580" w:val="left"/>
        </w:tabs>
        <w:numPr>
          <w:ilvl w:val="0"/>
          <w:numId w:val="128"/>
        </w:numPr>
        <w:rPr>
          <w:rFonts w:ascii="Arial" w:cs="Arial" w:eastAsia="Arial" w:hAnsi="Arial"/>
          <w:sz w:val="18"/>
          <w:szCs w:val="18"/>
          <w:color w:val="auto"/>
        </w:rPr>
      </w:pPr>
      <w:r>
        <w:rPr>
          <w:rFonts w:ascii="Times New Roman" w:cs="Times New Roman" w:eastAsia="Times New Roman" w:hAnsi="Times New Roman"/>
          <w:sz w:val="18"/>
          <w:szCs w:val="18"/>
          <w:color w:val="auto"/>
        </w:rPr>
        <w:t>other political, social and economic developments in or affecting foreign markets.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60"/>
          </w:cols>
          <w:pgMar w:left="320" w:top="705" w:right="319" w:bottom="1440" w:gutter="0" w:footer="0" w:header="0"/>
        </w:sectPr>
      </w:pPr>
    </w:p>
    <w:bookmarkStart w:id="217" w:name="page218"/>
    <w:bookmarkEnd w:id="217"/>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19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8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and Interpretation of Tax Laws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Enforcement of Civil Liabilities</w:t>
      </w: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 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 Protection</w:t>
      </w:r>
    </w:p>
    <w:p>
      <w:pPr>
        <w:spacing w:after="0" w:line="212"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Failure to register trademarks for the Company or its products could require the Company to rebrand its products resulting in a material adverse impact on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60"/>
          </w:cols>
          <w:pgMar w:left="320" w:top="705" w:right="3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Law Reform</w:t>
      </w:r>
    </w:p>
    <w:p>
      <w:pPr>
        <w:spacing w:after="0" w:line="21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the Company’s success is heavily dependent on intellectual property rights, particularly patents. Obtaining and enforcing patents in the biopharmaceutical industry is a 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Litigation and Intellectual Property</w:t>
      </w:r>
    </w:p>
    <w:p>
      <w:pPr>
        <w:spacing w:after="0" w:line="21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Corporation’s patents may be invalidated (although at this time the Company does not have any issued patents). The Company could also become involved in interference or impeachment proceedings in connection with one or more of its patents or patent applications to determine priority of invention.</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60"/>
          </w:cols>
          <w:pgMar w:left="320" w:top="701" w:right="319" w:bottom="1440" w:gutter="0" w:footer="0" w:header="0"/>
        </w:sectPr>
      </w:pPr>
    </w:p>
    <w:bookmarkStart w:id="219" w:name="page220"/>
    <w:bookmarkEnd w:id="219"/>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of Intellectual Property</w:t>
      </w:r>
    </w:p>
    <w:p>
      <w:pPr>
        <w:spacing w:after="0" w:line="20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Licences</w:t>
      </w:r>
    </w:p>
    <w:p>
      <w:pPr>
        <w:spacing w:after="0" w:line="21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7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Accounting Risks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Number of Authorized but Unissued Common Shares</w:t>
      </w:r>
    </w:p>
    <w:p>
      <w:pPr>
        <w:spacing w:after="0" w:line="23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has an unlimited number of Common Shares that may be issued by the Company board without further action or approval of the Shareholders. While the Company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60"/>
          </w:cols>
          <w:pgMar w:left="320" w:top="705" w:right="31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23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Cash Flow from Operating Activities and Going Concern</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17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7"/>
          <w:szCs w:val="17"/>
          <w:color w:val="auto"/>
        </w:rPr>
        <w:t xml:space="preserve">The threat of the Company’s ability </w:t>
      </w:r>
      <w:r>
        <w:rPr>
          <w:rFonts w:ascii="Times New Roman" w:cs="Times New Roman" w:eastAsia="Times New Roman" w:hAnsi="Times New Roman"/>
          <w:sz w:val="18"/>
          <w:szCs w:val="18"/>
          <w:color w:val="auto"/>
        </w:rPr>
        <w:t>to</w:t>
      </w:r>
      <w:r>
        <w:rPr>
          <w:rFonts w:ascii="Times New Roman" w:cs="Times New Roman" w:eastAsia="Times New Roman" w:hAnsi="Times New Roman"/>
          <w:sz w:val="17"/>
          <w:szCs w:val="17"/>
          <w:color w:val="auto"/>
        </w:rPr>
        <w:t xml:space="preserve"> continue as a going concern will be removed only when, in the opinion of the Company’s auditor, the Company’s revenues have reached a level that is able to sustain its business operations. If the Company is unable to obtain additional financing from outside sources and eventually generate enough revenues, the Company may be forced to sell a portion or all of the Company’s assets, or curtail or discontinue the Company’s operations. If any of these events happen, shareholders could lose all or part of their investment. The Company’s financial statements do not include any adjustments to the Company’s recorded assets or liabilities that might be necessary if the Company becomes unable to continue as a going concern.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Capital Requirements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Lack of Significant Product Revenue</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60"/>
          </w:cols>
          <w:pgMar w:left="320" w:top="702" w:right="319" w:bottom="1440" w:gutter="0" w:footer="0" w:header="0"/>
        </w:sectPr>
      </w:pPr>
    </w:p>
    <w:bookmarkStart w:id="221" w:name="page222"/>
    <w:bookmarkEnd w:id="221"/>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Estimates or Judgments Relating to Critical Accounting Policies</w:t>
      </w:r>
    </w:p>
    <w:p>
      <w:pPr>
        <w:spacing w:after="0" w:line="237" w:lineRule="exact"/>
        <w:rPr>
          <w:sz w:val="20"/>
          <w:szCs w:val="20"/>
          <w:color w:val="auto"/>
        </w:rPr>
      </w:pPr>
    </w:p>
    <w:p>
      <w:pPr>
        <w:jc w:val="both"/>
        <w:ind w:left="2" w:right="2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of the Company,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spacing w:after="0" w:line="19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Inadequate Internal Controls</w:t>
      </w:r>
    </w:p>
    <w:p>
      <w:pPr>
        <w:spacing w:after="0" w:line="225" w:lineRule="exact"/>
        <w:rPr>
          <w:sz w:val="20"/>
          <w:szCs w:val="20"/>
          <w:color w:val="auto"/>
        </w:rPr>
      </w:pPr>
    </w:p>
    <w:p>
      <w:pPr>
        <w:jc w:val="both"/>
        <w:ind w:left="2" w:right="20"/>
        <w:spacing w:after="0" w:line="255" w:lineRule="auto"/>
        <w:rPr>
          <w:sz w:val="20"/>
          <w:szCs w:val="20"/>
          <w:color w:val="auto"/>
        </w:rPr>
      </w:pPr>
      <w:r>
        <w:rPr>
          <w:rFonts w:ascii="Times New Roman" w:cs="Times New Roman" w:eastAsia="Times New Roman" w:hAnsi="Times New Roman"/>
          <w:sz w:val="18"/>
          <w:szCs w:val="18"/>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19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Risks Related to the Common Shares</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Market for the Common Shares</w:t>
      </w:r>
    </w:p>
    <w:p>
      <w:pPr>
        <w:spacing w:after="0" w:line="200" w:lineRule="exact"/>
        <w:rPr>
          <w:sz w:val="20"/>
          <w:szCs w:val="20"/>
          <w:color w:val="auto"/>
        </w:rPr>
      </w:pPr>
    </w:p>
    <w:p>
      <w:pPr>
        <w:jc w:val="both"/>
        <w:ind w:left="2"/>
        <w:spacing w:after="0" w:line="251" w:lineRule="auto"/>
        <w:rPr>
          <w:sz w:val="20"/>
          <w:szCs w:val="20"/>
          <w:color w:val="auto"/>
        </w:rPr>
      </w:pPr>
      <w:r>
        <w:rPr>
          <w:rFonts w:ascii="Times New Roman" w:cs="Times New Roman" w:eastAsia="Times New Roman" w:hAnsi="Times New Roman"/>
          <w:sz w:val="18"/>
          <w:szCs w:val="18"/>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w:t>
      </w:r>
    </w:p>
    <w:p>
      <w:pPr>
        <w:spacing w:after="0" w:line="5" w:lineRule="exact"/>
        <w:rPr>
          <w:sz w:val="20"/>
          <w:szCs w:val="20"/>
          <w:color w:val="auto"/>
        </w:rPr>
      </w:pPr>
    </w:p>
    <w:p>
      <w:pPr>
        <w:jc w:val="both"/>
        <w:ind w:left="2" w:right="20" w:hanging="2"/>
        <w:spacing w:after="0" w:line="251" w:lineRule="auto"/>
        <w:tabs>
          <w:tab w:leader="none" w:pos="44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the Company, its industry, or both; (ix) regulatory developments; (x) general economic conditions and trends; (xi) major catastrophic events; (xii) escrow releases, sales of large blocks of the Common Shares; (xiii) departures of key employees or members of management; or</w:t>
      </w:r>
    </w:p>
    <w:p>
      <w:pPr>
        <w:spacing w:after="0" w:line="1" w:lineRule="exact"/>
        <w:rPr>
          <w:rFonts w:ascii="Times New Roman" w:cs="Times New Roman" w:eastAsia="Times New Roman" w:hAnsi="Times New Roman"/>
          <w:sz w:val="18"/>
          <w:szCs w:val="18"/>
          <w:color w:val="auto"/>
        </w:rPr>
      </w:pPr>
    </w:p>
    <w:p>
      <w:pPr>
        <w:ind w:left="402" w:hanging="402"/>
        <w:spacing w:after="0"/>
        <w:tabs>
          <w:tab w:leader="none" w:pos="40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impact on the Company from any of the other risks cited herein.</w:t>
      </w:r>
    </w:p>
    <w:p>
      <w:pPr>
        <w:spacing w:after="0" w:line="18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Significant Sales of the Common Shares</w:t>
      </w:r>
    </w:p>
    <w:p>
      <w:pPr>
        <w:spacing w:after="0" w:line="200" w:lineRule="exact"/>
        <w:rPr>
          <w:sz w:val="20"/>
          <w:szCs w:val="20"/>
          <w:color w:val="auto"/>
        </w:rPr>
      </w:pPr>
    </w:p>
    <w:p>
      <w:pPr>
        <w:jc w:val="both"/>
        <w:ind w:left="2" w:right="20"/>
        <w:spacing w:after="0" w:line="259" w:lineRule="auto"/>
        <w:rPr>
          <w:sz w:val="20"/>
          <w:szCs w:val="20"/>
          <w:color w:val="auto"/>
        </w:rPr>
      </w:pPr>
      <w:r>
        <w:rPr>
          <w:rFonts w:ascii="Times New Roman" w:cs="Times New Roman" w:eastAsia="Times New Roman" w:hAnsi="Times New Roman"/>
          <w:sz w:val="18"/>
          <w:szCs w:val="18"/>
          <w:color w:val="auto"/>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5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Volatile Market Price for the Common Shares</w:t>
      </w:r>
    </w:p>
    <w:p>
      <w:pPr>
        <w:spacing w:after="0" w:line="212" w:lineRule="exact"/>
        <w:rPr>
          <w:sz w:val="20"/>
          <w:szCs w:val="20"/>
          <w:color w:val="auto"/>
        </w:rPr>
      </w:pPr>
    </w:p>
    <w:p>
      <w:pPr>
        <w:jc w:val="both"/>
        <w:ind w:left="2" w:right="20"/>
        <w:spacing w:after="0" w:line="263" w:lineRule="auto"/>
        <w:rPr>
          <w:sz w:val="20"/>
          <w:szCs w:val="20"/>
          <w:color w:val="auto"/>
        </w:rPr>
      </w:pPr>
      <w:r>
        <w:rPr>
          <w:rFonts w:ascii="Times New Roman" w:cs="Times New Roman" w:eastAsia="Times New Roman" w:hAnsi="Times New Roman"/>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62"/>
          </w:cols>
          <w:pgMar w:left="318" w:top="702" w:right="319" w:bottom="1440" w:gutter="0" w:footer="0" w:header="0"/>
        </w:sectPr>
      </w:pPr>
    </w:p>
    <w:bookmarkStart w:id="222" w:name="page223"/>
    <w:bookmarkEnd w:id="222"/>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Shares will be subject to market trends generally, notwithstanding any potential success of the Company. The value of the Common Shares distributed hereunder will be affected by such volatility.</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7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Issues</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There may be income tax consequences in relation to the Common Shares, which will vary according to circumstances. Independent advice from tax and legal advisers should be obtained.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Dividends</w:t>
      </w:r>
    </w:p>
    <w:p>
      <w:pPr>
        <w:spacing w:after="0" w:line="20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on the Company has been filed electronically through SEDAR and is available online at </w:t>
      </w:r>
      <w:r>
        <w:rPr>
          <w:rFonts w:ascii="Times New Roman" w:cs="Times New Roman" w:eastAsia="Times New Roman" w:hAnsi="Times New Roman"/>
          <w:sz w:val="18"/>
          <w:szCs w:val="18"/>
          <w:i w:val="1"/>
          <w:iCs w:val="1"/>
          <w:u w:val="single" w:color="auto"/>
          <w:color w:val="0563C1"/>
        </w:rPr>
        <w:t>www.sedar.com</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60"/>
          </w:cols>
          <w:pgMar w:left="320" w:top="705" w:right="31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6"/>
          <w:szCs w:val="16"/>
          <w:b w:val="1"/>
          <w:bCs w:val="1"/>
          <w:color w:val="auto"/>
        </w:rPr>
        <w:t>Exhibit 99.4</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 Doug Drysdale, certify that:</w:t>
      </w:r>
    </w:p>
    <w:p>
      <w:pPr>
        <w:spacing w:after="0" w:line="134" w:lineRule="exact"/>
        <w:rPr>
          <w:sz w:val="20"/>
          <w:szCs w:val="20"/>
          <w:color w:val="auto"/>
        </w:rPr>
      </w:pPr>
    </w:p>
    <w:p>
      <w:pPr>
        <w:ind w:left="860" w:hanging="276"/>
        <w:spacing w:after="0"/>
        <w:tabs>
          <w:tab w:leader="none" w:pos="860"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40-F of Cybin Inc.;</w:t>
      </w:r>
    </w:p>
    <w:p>
      <w:pPr>
        <w:spacing w:after="0" w:line="145" w:lineRule="exact"/>
        <w:rPr>
          <w:rFonts w:ascii="Times New Roman" w:cs="Times New Roman" w:eastAsia="Times New Roman" w:hAnsi="Times New Roman"/>
          <w:sz w:val="16"/>
          <w:szCs w:val="16"/>
          <w:color w:val="auto"/>
        </w:rPr>
      </w:pPr>
    </w:p>
    <w:p>
      <w:pPr>
        <w:ind w:right="180" w:firstLine="584"/>
        <w:spacing w:after="0" w:line="242" w:lineRule="auto"/>
        <w:tabs>
          <w:tab w:leader="none" w:pos="871"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6"/>
          <w:szCs w:val="16"/>
          <w:color w:val="auto"/>
        </w:rPr>
      </w:pPr>
    </w:p>
    <w:p>
      <w:pPr>
        <w:ind w:right="280" w:firstLine="584"/>
        <w:spacing w:after="0" w:line="242" w:lineRule="auto"/>
        <w:tabs>
          <w:tab w:leader="none" w:pos="871"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17" w:lineRule="exact"/>
        <w:rPr>
          <w:rFonts w:ascii="Times New Roman" w:cs="Times New Roman" w:eastAsia="Times New Roman" w:hAnsi="Times New Roman"/>
          <w:sz w:val="16"/>
          <w:szCs w:val="16"/>
          <w:color w:val="auto"/>
        </w:rPr>
      </w:pPr>
    </w:p>
    <w:p>
      <w:pPr>
        <w:ind w:right="360" w:firstLine="584"/>
        <w:spacing w:after="0" w:line="242" w:lineRule="auto"/>
        <w:tabs>
          <w:tab w:leader="none" w:pos="868"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issuer’s other certifying officer and I are responsible for establishing and maintaining disclosure controls and procedures (as defined in Exchange Act Rules 13a-15(e) and 15d-15(e)) for the issuer and have:</w:t>
      </w:r>
    </w:p>
    <w:p>
      <w:pPr>
        <w:spacing w:after="0" w:line="117" w:lineRule="exact"/>
        <w:rPr>
          <w:rFonts w:ascii="Times New Roman" w:cs="Times New Roman" w:eastAsia="Times New Roman" w:hAnsi="Times New Roman"/>
          <w:sz w:val="16"/>
          <w:szCs w:val="16"/>
          <w:color w:val="auto"/>
        </w:rPr>
      </w:pPr>
    </w:p>
    <w:p>
      <w:pPr>
        <w:jc w:val="both"/>
        <w:ind w:right="240" w:firstLine="169"/>
        <w:spacing w:after="0" w:line="235" w:lineRule="auto"/>
        <w:tabs>
          <w:tab w:leader="none" w:pos="46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45" w:lineRule="exact"/>
        <w:rPr>
          <w:rFonts w:ascii="Times New Roman" w:cs="Times New Roman" w:eastAsia="Times New Roman" w:hAnsi="Times New Roman"/>
          <w:sz w:val="16"/>
          <w:szCs w:val="16"/>
          <w:color w:val="auto"/>
        </w:rPr>
      </w:pPr>
    </w:p>
    <w:p>
      <w:pPr>
        <w:ind w:right="240" w:firstLine="169"/>
        <w:spacing w:after="0" w:line="242" w:lineRule="auto"/>
        <w:tabs>
          <w:tab w:leader="none" w:pos="469"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right="440" w:firstLine="169"/>
        <w:spacing w:after="0" w:line="242" w:lineRule="auto"/>
        <w:tabs>
          <w:tab w:leader="none" w:pos="46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44" w:lineRule="exact"/>
        <w:rPr>
          <w:rFonts w:ascii="Times New Roman" w:cs="Times New Roman" w:eastAsia="Times New Roman" w:hAnsi="Times New Roman"/>
          <w:sz w:val="16"/>
          <w:szCs w:val="16"/>
          <w:color w:val="auto"/>
        </w:rPr>
      </w:pPr>
    </w:p>
    <w:p>
      <w:pPr>
        <w:ind w:right="20" w:firstLine="584"/>
        <w:spacing w:after="0" w:line="258" w:lineRule="auto"/>
        <w:tabs>
          <w:tab w:leader="none" w:pos="868"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issuer’s other certifying officer and I have disclosed, based on our most recent evaluation of internal control over financial reporting, to the issuer’s auditor and the audit committee of the issuer’s board of directors (or persons performing the equivalent functions):</w:t>
      </w:r>
    </w:p>
    <w:p>
      <w:pPr>
        <w:spacing w:after="0" w:line="93" w:lineRule="exact"/>
        <w:rPr>
          <w:sz w:val="20"/>
          <w:szCs w:val="20"/>
          <w:color w:val="auto"/>
        </w:rPr>
      </w:pPr>
    </w:p>
    <w:p>
      <w:pPr>
        <w:ind w:right="240" w:firstLine="169"/>
        <w:spacing w:after="0" w:line="258" w:lineRule="auto"/>
        <w:tabs>
          <w:tab w:leader="none" w:pos="451"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32" w:lineRule="exact"/>
        <w:rPr>
          <w:rFonts w:ascii="Times New Roman" w:cs="Times New Roman" w:eastAsia="Times New Roman" w:hAnsi="Times New Roman"/>
          <w:sz w:val="16"/>
          <w:szCs w:val="16"/>
          <w:color w:val="auto"/>
        </w:rPr>
      </w:pPr>
    </w:p>
    <w:p>
      <w:pPr>
        <w:ind w:left="460" w:hanging="291"/>
        <w:spacing w:after="0"/>
        <w:tabs>
          <w:tab w:leader="none" w:pos="46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issuer’s internal control over financial reporting.</w:t>
      </w:r>
    </w:p>
    <w:p>
      <w:pPr>
        <w:spacing w:after="0" w:line="296" w:lineRule="exact"/>
        <w:rPr>
          <w:sz w:val="20"/>
          <w:szCs w:val="20"/>
          <w:color w:val="auto"/>
        </w:rPr>
      </w:pPr>
    </w:p>
    <w:p>
      <w:pPr>
        <w:spacing w:after="0"/>
        <w:tabs>
          <w:tab w:leader="none" w:pos="1440" w:val="left"/>
          <w:tab w:leader="none" w:pos="1880" w:val="left"/>
        </w:tabs>
        <w:rPr>
          <w:sz w:val="20"/>
          <w:szCs w:val="20"/>
          <w:color w:val="auto"/>
        </w:rPr>
      </w:pPr>
      <w:r>
        <w:rPr>
          <w:rFonts w:ascii="Times New Roman" w:cs="Times New Roman" w:eastAsia="Times New Roman" w:hAnsi="Times New Roman"/>
          <w:sz w:val="16"/>
          <w:szCs w:val="16"/>
          <w:color w:val="auto"/>
        </w:rPr>
        <w:t>Date: June 22, 2022</w:t>
        <w:tab/>
        <w:t>By:</w:t>
      </w:r>
      <w:r>
        <w:rPr>
          <w:sz w:val="20"/>
          <w:szCs w:val="20"/>
          <w:color w:val="auto"/>
        </w:rPr>
        <w:tab/>
      </w:r>
      <w:r>
        <w:rPr>
          <w:rFonts w:ascii="Times New Roman" w:cs="Times New Roman" w:eastAsia="Times New Roman" w:hAnsi="Times New Roman"/>
          <w:sz w:val="16"/>
          <w:szCs w:val="16"/>
          <w:i w:val="1"/>
          <w:iCs w:val="1"/>
          <w:color w:val="auto"/>
        </w:rPr>
        <w:t>/s/ Doug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1207770</wp:posOffset>
            </wp:positionH>
            <wp:positionV relativeFrom="paragraph">
              <wp:posOffset>-635</wp:posOffset>
            </wp:positionV>
            <wp:extent cx="88773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7730" cy="7620"/>
                    </a:xfrm>
                    <a:prstGeom prst="rect">
                      <a:avLst/>
                    </a:prstGeom>
                    <a:noFill/>
                  </pic:spPr>
                </pic:pic>
              </a:graphicData>
            </a:graphic>
          </wp:anchor>
        </w:drawing>
      </w:r>
    </w:p>
    <w:p>
      <w:pPr>
        <w:ind w:left="4680"/>
        <w:spacing w:after="0" w:line="207" w:lineRule="auto"/>
        <w:rPr>
          <w:sz w:val="20"/>
          <w:szCs w:val="20"/>
          <w:color w:val="auto"/>
        </w:rPr>
      </w:pPr>
      <w:r>
        <w:rPr>
          <w:rFonts w:ascii="Times New Roman" w:cs="Times New Roman" w:eastAsia="Times New Roman" w:hAnsi="Times New Roman"/>
          <w:sz w:val="16"/>
          <w:szCs w:val="16"/>
          <w:color w:val="auto"/>
        </w:rPr>
        <w:t>Doug Drysdale</w:t>
      </w:r>
    </w:p>
    <w:p>
      <w:pPr>
        <w:ind w:left="4680"/>
        <w:spacing w:after="0" w:line="223" w:lineRule="auto"/>
        <w:rPr>
          <w:sz w:val="20"/>
          <w:szCs w:val="20"/>
          <w:color w:val="auto"/>
        </w:rPr>
      </w:pPr>
      <w:r>
        <w:rPr>
          <w:rFonts w:ascii="Times New Roman" w:cs="Times New Roman" w:eastAsia="Times New Roman" w:hAnsi="Times New Roman"/>
          <w:sz w:val="16"/>
          <w:szCs w:val="16"/>
          <w:color w:val="auto"/>
        </w:rPr>
        <w:t>Chief Executive Officer</w:t>
      </w:r>
    </w:p>
    <w:p>
      <w:pPr>
        <w:ind w:left="468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60"/>
          </w:cols>
          <w:pgMar w:left="320" w:top="696" w:right="31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6"/>
          <w:szCs w:val="16"/>
          <w:b w:val="1"/>
          <w:bCs w:val="1"/>
          <w:color w:val="auto"/>
        </w:rPr>
        <w:t>Exhibit 99.5</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 Greg Cavers, certify that:</w:t>
      </w:r>
    </w:p>
    <w:p>
      <w:pPr>
        <w:spacing w:after="0" w:line="134" w:lineRule="exact"/>
        <w:rPr>
          <w:sz w:val="20"/>
          <w:szCs w:val="20"/>
          <w:color w:val="auto"/>
        </w:rPr>
      </w:pPr>
    </w:p>
    <w:p>
      <w:pPr>
        <w:ind w:left="860" w:hanging="276"/>
        <w:spacing w:after="0"/>
        <w:tabs>
          <w:tab w:leader="none" w:pos="860"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40-F of Cybin Inc.;</w:t>
      </w:r>
    </w:p>
    <w:p>
      <w:pPr>
        <w:spacing w:after="0" w:line="145" w:lineRule="exact"/>
        <w:rPr>
          <w:rFonts w:ascii="Times New Roman" w:cs="Times New Roman" w:eastAsia="Times New Roman" w:hAnsi="Times New Roman"/>
          <w:sz w:val="16"/>
          <w:szCs w:val="16"/>
          <w:color w:val="auto"/>
        </w:rPr>
      </w:pPr>
    </w:p>
    <w:p>
      <w:pPr>
        <w:ind w:right="180" w:firstLine="584"/>
        <w:spacing w:after="0" w:line="242" w:lineRule="auto"/>
        <w:tabs>
          <w:tab w:leader="none" w:pos="871"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6"/>
          <w:szCs w:val="16"/>
          <w:color w:val="auto"/>
        </w:rPr>
      </w:pPr>
    </w:p>
    <w:p>
      <w:pPr>
        <w:ind w:right="280" w:firstLine="584"/>
        <w:spacing w:after="0" w:line="242" w:lineRule="auto"/>
        <w:tabs>
          <w:tab w:leader="none" w:pos="871"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17" w:lineRule="exact"/>
        <w:rPr>
          <w:rFonts w:ascii="Times New Roman" w:cs="Times New Roman" w:eastAsia="Times New Roman" w:hAnsi="Times New Roman"/>
          <w:sz w:val="16"/>
          <w:szCs w:val="16"/>
          <w:color w:val="auto"/>
        </w:rPr>
      </w:pPr>
    </w:p>
    <w:p>
      <w:pPr>
        <w:ind w:right="200" w:firstLine="584"/>
        <w:spacing w:after="0" w:line="242" w:lineRule="auto"/>
        <w:tabs>
          <w:tab w:leader="none" w:pos="868"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issuer’s other certifying officer(s) and I are responsible for establishing and maintaining disclosure controls and procedures (as defined in Exchange Act Rules 13a-15(e) and 15d-15(e)) for the issuer and have:</w:t>
      </w:r>
    </w:p>
    <w:p>
      <w:pPr>
        <w:spacing w:after="0" w:line="117" w:lineRule="exact"/>
        <w:rPr>
          <w:rFonts w:ascii="Times New Roman" w:cs="Times New Roman" w:eastAsia="Times New Roman" w:hAnsi="Times New Roman"/>
          <w:sz w:val="16"/>
          <w:szCs w:val="16"/>
          <w:color w:val="auto"/>
        </w:rPr>
      </w:pPr>
    </w:p>
    <w:p>
      <w:pPr>
        <w:jc w:val="both"/>
        <w:ind w:right="240" w:firstLine="169"/>
        <w:spacing w:after="0" w:line="235" w:lineRule="auto"/>
        <w:tabs>
          <w:tab w:leader="none" w:pos="46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45" w:lineRule="exact"/>
        <w:rPr>
          <w:rFonts w:ascii="Times New Roman" w:cs="Times New Roman" w:eastAsia="Times New Roman" w:hAnsi="Times New Roman"/>
          <w:sz w:val="16"/>
          <w:szCs w:val="16"/>
          <w:color w:val="auto"/>
        </w:rPr>
      </w:pPr>
    </w:p>
    <w:p>
      <w:pPr>
        <w:ind w:right="240" w:firstLine="169"/>
        <w:spacing w:after="0" w:line="242" w:lineRule="auto"/>
        <w:tabs>
          <w:tab w:leader="none" w:pos="469"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right="440" w:firstLine="169"/>
        <w:spacing w:after="0" w:line="242" w:lineRule="auto"/>
        <w:tabs>
          <w:tab w:leader="none" w:pos="46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44" w:lineRule="exact"/>
        <w:rPr>
          <w:rFonts w:ascii="Times New Roman" w:cs="Times New Roman" w:eastAsia="Times New Roman" w:hAnsi="Times New Roman"/>
          <w:sz w:val="16"/>
          <w:szCs w:val="16"/>
          <w:color w:val="auto"/>
        </w:rPr>
      </w:pPr>
    </w:p>
    <w:p>
      <w:pPr>
        <w:ind w:right="20" w:firstLine="584"/>
        <w:spacing w:after="0" w:line="258" w:lineRule="auto"/>
        <w:tabs>
          <w:tab w:leader="none" w:pos="868"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issuer’s other certifying officer and I have disclosed, based on our most recent evaluation of internal control over financial reporting, to the issuer’s auditor and the audit committee of the issuer’s board of directors (or persons performing the equivalent functions):</w:t>
      </w:r>
    </w:p>
    <w:p>
      <w:pPr>
        <w:spacing w:after="0" w:line="93" w:lineRule="exact"/>
        <w:rPr>
          <w:sz w:val="20"/>
          <w:szCs w:val="20"/>
          <w:color w:val="auto"/>
        </w:rPr>
      </w:pPr>
    </w:p>
    <w:p>
      <w:pPr>
        <w:ind w:right="240" w:firstLine="169"/>
        <w:spacing w:after="0" w:line="258" w:lineRule="auto"/>
        <w:tabs>
          <w:tab w:leader="none" w:pos="451"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32" w:lineRule="exact"/>
        <w:rPr>
          <w:rFonts w:ascii="Times New Roman" w:cs="Times New Roman" w:eastAsia="Times New Roman" w:hAnsi="Times New Roman"/>
          <w:sz w:val="16"/>
          <w:szCs w:val="16"/>
          <w:color w:val="auto"/>
        </w:rPr>
      </w:pPr>
    </w:p>
    <w:p>
      <w:pPr>
        <w:ind w:left="460" w:hanging="291"/>
        <w:spacing w:after="0"/>
        <w:tabs>
          <w:tab w:leader="none" w:pos="4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issuer’s internal control over financial reporting.</w:t>
      </w:r>
    </w:p>
    <w:p>
      <w:pPr>
        <w:spacing w:after="0" w:line="296" w:lineRule="exact"/>
        <w:rPr>
          <w:sz w:val="20"/>
          <w:szCs w:val="20"/>
          <w:color w:val="auto"/>
        </w:rPr>
      </w:pPr>
    </w:p>
    <w:p>
      <w:pPr>
        <w:spacing w:after="0"/>
        <w:tabs>
          <w:tab w:leader="none" w:pos="1440" w:val="left"/>
          <w:tab w:leader="none" w:pos="1880" w:val="left"/>
        </w:tabs>
        <w:rPr>
          <w:sz w:val="20"/>
          <w:szCs w:val="20"/>
          <w:color w:val="auto"/>
        </w:rPr>
      </w:pPr>
      <w:r>
        <w:rPr>
          <w:rFonts w:ascii="Times New Roman" w:cs="Times New Roman" w:eastAsia="Times New Roman" w:hAnsi="Times New Roman"/>
          <w:sz w:val="16"/>
          <w:szCs w:val="16"/>
          <w:color w:val="auto"/>
        </w:rPr>
        <w:t>Date: June 22, 2022</w:t>
        <w:tab/>
        <w:t>By:</w:t>
      </w:r>
      <w:r>
        <w:rPr>
          <w:sz w:val="20"/>
          <w:szCs w:val="20"/>
          <w:color w:val="auto"/>
        </w:rPr>
        <w:tab/>
      </w:r>
      <w:r>
        <w:rPr>
          <w:rFonts w:ascii="Times New Roman" w:cs="Times New Roman" w:eastAsia="Times New Roman" w:hAnsi="Times New Roman"/>
          <w:sz w:val="16"/>
          <w:szCs w:val="16"/>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1207770</wp:posOffset>
            </wp:positionH>
            <wp:positionV relativeFrom="paragraph">
              <wp:posOffset>-635</wp:posOffset>
            </wp:positionV>
            <wp:extent cx="75438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54380" cy="7620"/>
                    </a:xfrm>
                    <a:prstGeom prst="rect">
                      <a:avLst/>
                    </a:prstGeom>
                    <a:noFill/>
                  </pic:spPr>
                </pic:pic>
              </a:graphicData>
            </a:graphic>
          </wp:anchor>
        </w:drawing>
      </w:r>
    </w:p>
    <w:p>
      <w:pPr>
        <w:ind w:left="4680"/>
        <w:spacing w:after="0" w:line="207" w:lineRule="auto"/>
        <w:rPr>
          <w:sz w:val="20"/>
          <w:szCs w:val="20"/>
          <w:color w:val="auto"/>
        </w:rPr>
      </w:pPr>
      <w:r>
        <w:rPr>
          <w:rFonts w:ascii="Times New Roman" w:cs="Times New Roman" w:eastAsia="Times New Roman" w:hAnsi="Times New Roman"/>
          <w:sz w:val="16"/>
          <w:szCs w:val="16"/>
          <w:color w:val="auto"/>
        </w:rPr>
        <w:t>Greg Cavers</w:t>
      </w:r>
    </w:p>
    <w:p>
      <w:pPr>
        <w:ind w:left="4680"/>
        <w:spacing w:after="0" w:line="223" w:lineRule="auto"/>
        <w:rPr>
          <w:sz w:val="20"/>
          <w:szCs w:val="20"/>
          <w:color w:val="auto"/>
        </w:rPr>
      </w:pPr>
      <w:r>
        <w:rPr>
          <w:rFonts w:ascii="Times New Roman" w:cs="Times New Roman" w:eastAsia="Times New Roman" w:hAnsi="Times New Roman"/>
          <w:sz w:val="16"/>
          <w:szCs w:val="16"/>
          <w:color w:val="auto"/>
        </w:rPr>
        <w:t>Chief Financial Officer</w:t>
      </w:r>
    </w:p>
    <w:p>
      <w:pPr>
        <w:ind w:left="468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ectPr>
          <w:pgSz w:w="11900" w:h="16838" w:orient="portrait"/>
          <w:cols w:equalWidth="0" w:num="1">
            <w:col w:w="11260"/>
          </w:cols>
          <w:pgMar w:left="320" w:top="695" w:right="31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6"/>
          <w:szCs w:val="16"/>
          <w:b w:val="1"/>
          <w:bCs w:val="1"/>
          <w:color w:val="auto"/>
        </w:rPr>
        <w:t>Exhibit 99.6</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jc w:val="center"/>
        <w:spacing w:after="0" w:line="223" w:lineRule="auto"/>
        <w:rPr>
          <w:sz w:val="20"/>
          <w:szCs w:val="20"/>
          <w:color w:val="auto"/>
        </w:rPr>
      </w:pPr>
      <w:r>
        <w:rPr>
          <w:rFonts w:ascii="Times New Roman" w:cs="Times New Roman" w:eastAsia="Times New Roman" w:hAnsi="Times New Roman"/>
          <w:sz w:val="16"/>
          <w:szCs w:val="16"/>
          <w:color w:val="auto"/>
        </w:rPr>
        <w:t>18 U.S.C. §1350,</w:t>
      </w:r>
    </w:p>
    <w:p>
      <w:pPr>
        <w:jc w:val="center"/>
        <w:spacing w:after="0" w:line="207" w:lineRule="auto"/>
        <w:rPr>
          <w:sz w:val="20"/>
          <w:szCs w:val="20"/>
          <w:color w:val="auto"/>
        </w:rPr>
      </w:pPr>
      <w:r>
        <w:rPr>
          <w:rFonts w:ascii="Times New Roman" w:cs="Times New Roman" w:eastAsia="Times New Roman" w:hAnsi="Times New Roman"/>
          <w:sz w:val="16"/>
          <w:szCs w:val="16"/>
          <w:color w:val="auto"/>
        </w:rPr>
        <w:t>AS ADOPTED PURSUANT TO</w:t>
      </w: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287" w:lineRule="exact"/>
        <w:rPr>
          <w:sz w:val="20"/>
          <w:szCs w:val="20"/>
          <w:color w:val="auto"/>
        </w:rPr>
      </w:pPr>
    </w:p>
    <w:p>
      <w:pPr>
        <w:ind w:right="40" w:firstLine="586"/>
        <w:spacing w:after="0" w:line="226" w:lineRule="auto"/>
        <w:rPr>
          <w:sz w:val="20"/>
          <w:szCs w:val="20"/>
          <w:color w:val="auto"/>
        </w:rPr>
      </w:pPr>
      <w:r>
        <w:rPr>
          <w:rFonts w:ascii="Times New Roman" w:cs="Times New Roman" w:eastAsia="Times New Roman" w:hAnsi="Times New Roman"/>
          <w:sz w:val="16"/>
          <w:szCs w:val="16"/>
          <w:color w:val="auto"/>
        </w:rPr>
        <w:t>In connection with the Annual Report of Cybin Inc. (the “Company”) on Form 40-F for the period ended March 31, 2022 as filed with the Securities and Exchange Commission on the date hereof (the “Report”), I, Doug Drysdale, Chief Executive Officer of the Company, certify, pursuant to 18 U.S.C. §1350, as adopted pursuant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906 of the Sarbanes-Oxley Act of 2002, that:</w:t>
      </w:r>
    </w:p>
    <w:p>
      <w:pPr>
        <w:spacing w:after="0" w:line="116" w:lineRule="exact"/>
        <w:rPr>
          <w:sz w:val="20"/>
          <w:szCs w:val="20"/>
          <w:color w:val="auto"/>
        </w:rPr>
      </w:pPr>
    </w:p>
    <w:p>
      <w:pPr>
        <w:ind w:left="520" w:hanging="351"/>
        <w:spacing w:after="0"/>
        <w:tabs>
          <w:tab w:leader="none" w:pos="52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84" w:lineRule="exact"/>
        <w:rPr>
          <w:rFonts w:ascii="Times New Roman" w:cs="Times New Roman" w:eastAsia="Times New Roman" w:hAnsi="Times New Roman"/>
          <w:sz w:val="16"/>
          <w:szCs w:val="16"/>
          <w:color w:val="auto"/>
        </w:rPr>
      </w:pPr>
    </w:p>
    <w:p>
      <w:pPr>
        <w:ind w:left="520" w:hanging="351"/>
        <w:spacing w:after="0"/>
        <w:tabs>
          <w:tab w:leader="none" w:pos="52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this Report fairly presents, in all material respects, the financial condition and results of operations of the Company.</w:t>
      </w:r>
    </w:p>
    <w:p>
      <w:pPr>
        <w:spacing w:after="0" w:line="29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6"/>
          <w:szCs w:val="16"/>
          <w:color w:val="auto"/>
        </w:rPr>
        <w:t>June 22, 2022</w:t>
      </w:r>
      <w:r>
        <w:rPr>
          <w:sz w:val="20"/>
          <w:szCs w:val="20"/>
          <w:color w:val="auto"/>
        </w:rPr>
        <w:tab/>
      </w:r>
      <w:r>
        <w:rPr>
          <w:rFonts w:ascii="Times New Roman" w:cs="Times New Roman" w:eastAsia="Times New Roman" w:hAnsi="Times New Roman"/>
          <w:sz w:val="16"/>
          <w:szCs w:val="16"/>
          <w:i w:val="1"/>
          <w:iCs w:val="1"/>
          <w:color w:val="auto"/>
        </w:rPr>
        <w:t>/s/ Doug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-635</wp:posOffset>
            </wp:positionV>
            <wp:extent cx="86169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61695" cy="7620"/>
                    </a:xfrm>
                    <a:prstGeom prst="rect">
                      <a:avLst/>
                    </a:prstGeom>
                    <a:noFill/>
                  </pic:spPr>
                </pic:pic>
              </a:graphicData>
            </a:graphic>
          </wp:anchor>
        </w:drawing>
      </w:r>
    </w:p>
    <w:p>
      <w:pPr>
        <w:ind w:left="4680"/>
        <w:spacing w:after="0" w:line="207" w:lineRule="auto"/>
        <w:rPr>
          <w:sz w:val="20"/>
          <w:szCs w:val="20"/>
          <w:color w:val="auto"/>
        </w:rPr>
      </w:pPr>
      <w:r>
        <w:rPr>
          <w:rFonts w:ascii="Times New Roman" w:cs="Times New Roman" w:eastAsia="Times New Roman" w:hAnsi="Times New Roman"/>
          <w:sz w:val="16"/>
          <w:szCs w:val="16"/>
          <w:color w:val="auto"/>
        </w:rPr>
        <w:t>Doug Drysdale</w:t>
      </w:r>
    </w:p>
    <w:p>
      <w:pPr>
        <w:ind w:left="4680"/>
        <w:spacing w:after="0" w:line="223" w:lineRule="auto"/>
        <w:rPr>
          <w:sz w:val="20"/>
          <w:szCs w:val="20"/>
          <w:color w:val="auto"/>
        </w:rPr>
      </w:pPr>
      <w:r>
        <w:rPr>
          <w:rFonts w:ascii="Times New Roman" w:cs="Times New Roman" w:eastAsia="Times New Roman" w:hAnsi="Times New Roman"/>
          <w:sz w:val="16"/>
          <w:szCs w:val="16"/>
          <w:color w:val="auto"/>
        </w:rPr>
        <w:t>Chief Executive Officer</w:t>
      </w:r>
    </w:p>
    <w:p>
      <w:pPr>
        <w:jc w:val="center"/>
        <w:ind w:right="-19"/>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87" w:lineRule="exact"/>
        <w:rPr>
          <w:sz w:val="20"/>
          <w:szCs w:val="20"/>
          <w:color w:val="auto"/>
        </w:rPr>
      </w:pPr>
    </w:p>
    <w:p>
      <w:pPr>
        <w:ind w:right="600" w:firstLine="586"/>
        <w:spacing w:after="0" w:line="242"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Cybin Inc. and will be retained by Cybin Inc. and furnished to the Securities and Exchange Commission or its staff upon request.</w:t>
      </w:r>
    </w:p>
    <w:p>
      <w:pPr>
        <w:sectPr>
          <w:pgSz w:w="11900" w:h="16838" w:orient="portrait"/>
          <w:cols w:equalWidth="0" w:num="1">
            <w:col w:w="11260"/>
          </w:cols>
          <w:pgMar w:left="320" w:top="1282" w:right="31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6"/>
          <w:szCs w:val="16"/>
          <w:b w:val="1"/>
          <w:bCs w:val="1"/>
          <w:color w:val="auto"/>
        </w:rPr>
        <w:t>Exhibit 99.7</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jc w:val="center"/>
        <w:spacing w:after="0" w:line="223" w:lineRule="auto"/>
        <w:rPr>
          <w:sz w:val="20"/>
          <w:szCs w:val="20"/>
          <w:color w:val="auto"/>
        </w:rPr>
      </w:pPr>
      <w:r>
        <w:rPr>
          <w:rFonts w:ascii="Times New Roman" w:cs="Times New Roman" w:eastAsia="Times New Roman" w:hAnsi="Times New Roman"/>
          <w:sz w:val="16"/>
          <w:szCs w:val="16"/>
          <w:color w:val="auto"/>
        </w:rPr>
        <w:t>18 U.S.C. §1350,</w:t>
      </w:r>
    </w:p>
    <w:p>
      <w:pPr>
        <w:jc w:val="center"/>
        <w:spacing w:after="0" w:line="207" w:lineRule="auto"/>
        <w:rPr>
          <w:sz w:val="20"/>
          <w:szCs w:val="20"/>
          <w:color w:val="auto"/>
        </w:rPr>
      </w:pPr>
      <w:r>
        <w:rPr>
          <w:rFonts w:ascii="Times New Roman" w:cs="Times New Roman" w:eastAsia="Times New Roman" w:hAnsi="Times New Roman"/>
          <w:sz w:val="16"/>
          <w:szCs w:val="16"/>
          <w:color w:val="auto"/>
        </w:rPr>
        <w:t>AS ADOPTED PURSUANT TO</w:t>
      </w: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287" w:lineRule="exact"/>
        <w:rPr>
          <w:sz w:val="20"/>
          <w:szCs w:val="20"/>
          <w:color w:val="auto"/>
        </w:rPr>
      </w:pPr>
    </w:p>
    <w:p>
      <w:pPr>
        <w:ind w:right="40" w:firstLine="586"/>
        <w:spacing w:after="0" w:line="226" w:lineRule="auto"/>
        <w:rPr>
          <w:sz w:val="20"/>
          <w:szCs w:val="20"/>
          <w:color w:val="auto"/>
        </w:rPr>
      </w:pPr>
      <w:r>
        <w:rPr>
          <w:rFonts w:ascii="Times New Roman" w:cs="Times New Roman" w:eastAsia="Times New Roman" w:hAnsi="Times New Roman"/>
          <w:sz w:val="16"/>
          <w:szCs w:val="16"/>
          <w:color w:val="auto"/>
        </w:rPr>
        <w:t>In connection with the Annual Report of Cybin Inc. (the “Company”) on Form 40-F for the period ended March 31, 2022 as filed with the Securities and Exchange Commission on the date hereof (the “Report”), I, Greg Cavers, Chief Financial Officer of the Company, certify, pursuant to 18 U.S.C. §1350, as adopted pursuant to Section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906 of the Sarbanes-Oxley Act of 2002, that:</w:t>
      </w:r>
    </w:p>
    <w:p>
      <w:pPr>
        <w:spacing w:after="0" w:line="116" w:lineRule="exact"/>
        <w:rPr>
          <w:sz w:val="20"/>
          <w:szCs w:val="20"/>
          <w:color w:val="auto"/>
        </w:rPr>
      </w:pPr>
    </w:p>
    <w:p>
      <w:pPr>
        <w:ind w:left="520" w:hanging="351"/>
        <w:spacing w:after="0"/>
        <w:tabs>
          <w:tab w:leader="none" w:pos="5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84" w:lineRule="exact"/>
        <w:rPr>
          <w:rFonts w:ascii="Times New Roman" w:cs="Times New Roman" w:eastAsia="Times New Roman" w:hAnsi="Times New Roman"/>
          <w:sz w:val="16"/>
          <w:szCs w:val="16"/>
          <w:color w:val="auto"/>
        </w:rPr>
      </w:pPr>
    </w:p>
    <w:p>
      <w:pPr>
        <w:ind w:left="520" w:hanging="351"/>
        <w:spacing w:after="0"/>
        <w:tabs>
          <w:tab w:leader="none" w:pos="5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this Report fairly presents, in all material respects, the financial condition and results of operations of the Company.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22, 2022</w:t>
      </w:r>
    </w:p>
    <w:p>
      <w:pPr>
        <w:spacing w:after="0" w:line="200" w:lineRule="exact"/>
        <w:rPr>
          <w:sz w:val="20"/>
          <w:szCs w:val="20"/>
          <w:color w:val="auto"/>
        </w:rPr>
      </w:pPr>
    </w:p>
    <w:p>
      <w:pPr>
        <w:spacing w:after="0" w:line="21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u w:val="single" w:color="auto"/>
          <w:color w:val="auto"/>
        </w:rPr>
        <w:t>/s/ Greg Cavers</w:t>
      </w:r>
    </w:p>
    <w:p>
      <w:pPr>
        <w:ind w:left="4760"/>
        <w:spacing w:after="0" w:line="213" w:lineRule="auto"/>
        <w:rPr>
          <w:sz w:val="20"/>
          <w:szCs w:val="20"/>
          <w:color w:val="auto"/>
        </w:rPr>
      </w:pPr>
      <w:r>
        <w:rPr>
          <w:rFonts w:ascii="Times New Roman" w:cs="Times New Roman" w:eastAsia="Times New Roman" w:hAnsi="Times New Roman"/>
          <w:sz w:val="16"/>
          <w:szCs w:val="16"/>
          <w:color w:val="auto"/>
        </w:rPr>
        <w:t>Greg Cavers</w:t>
      </w:r>
    </w:p>
    <w:p>
      <w:pPr>
        <w:ind w:left="4760"/>
        <w:spacing w:after="0" w:line="207"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0" w:lineRule="exact"/>
        <w:rPr>
          <w:sz w:val="20"/>
          <w:szCs w:val="20"/>
          <w:color w:val="auto"/>
        </w:rPr>
      </w:pPr>
    </w:p>
    <w:p>
      <w:pPr>
        <w:spacing w:after="0" w:line="343" w:lineRule="exact"/>
        <w:rPr>
          <w:sz w:val="20"/>
          <w:szCs w:val="20"/>
          <w:color w:val="auto"/>
        </w:rPr>
      </w:pPr>
    </w:p>
    <w:p>
      <w:pPr>
        <w:ind w:right="600" w:firstLine="586"/>
        <w:spacing w:after="0" w:line="242"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Cybin Inc. and will be retained by Cybin Inc. and furnished to the Securities and Exchange Commission or its staff upon request.</w:t>
      </w:r>
    </w:p>
    <w:p>
      <w:pPr>
        <w:sectPr>
          <w:pgSz w:w="11900" w:h="16838" w:orient="portrait"/>
          <w:cols w:equalWidth="0" w:num="1">
            <w:col w:w="11260"/>
          </w:cols>
          <w:pgMar w:left="320" w:top="1282" w:right="319" w:bottom="1440" w:gutter="0" w:footer="0" w:header="0"/>
        </w:sectPr>
      </w:pPr>
    </w:p>
    <w:bookmarkStart w:id="227" w:name="page228"/>
    <w:bookmarkEnd w:id="2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1450975" cy="395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450975" cy="395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the United States Securities and Exchange Commission</w:t>
      </w:r>
    </w:p>
    <w:p>
      <w:pPr>
        <w:spacing w:after="0" w:line="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We consent to the incorporation by reference in the Annual Report on Form 40-F of Cybin Inc. (the “Company”) of our report dated June 20, 2022, with respect to the consolidated statements of financial position of the Company as at March 31, 2022 and March 31, 2021, and the consolidated statements of loss and comprehensive loss, changes in shareholders’ equity and cash flows for the years then ended, and notes to the consolidated financial statements, including a summary of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5855970</wp:posOffset>
            </wp:positionH>
            <wp:positionV relativeFrom="paragraph">
              <wp:posOffset>835660</wp:posOffset>
            </wp:positionV>
            <wp:extent cx="1287780" cy="3181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7780" cy="31813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6/22/2022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Chartered Professional Accountants</w:t>
      </w:r>
    </w:p>
    <w:p>
      <w:pPr>
        <w:spacing w:after="0" w:line="27" w:lineRule="exact"/>
        <w:rPr>
          <w:sz w:val="20"/>
          <w:szCs w:val="20"/>
          <w:color w:val="auto"/>
        </w:rPr>
      </w:pPr>
    </w:p>
    <w:p>
      <w:pPr>
        <w:sectPr>
          <w:pgSz w:w="11900" w:h="16838" w:orient="portrait"/>
          <w:cols w:equalWidth="0" w:num="2">
            <w:col w:w="8180" w:space="720"/>
            <w:col w:w="234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5"/>
          <w:szCs w:val="15"/>
          <w:color w:val="auto"/>
        </w:rPr>
        <w:t>Toronto, Ontario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Laurence W. Zeifman</w:t>
      </w:r>
    </w:p>
    <w:p>
      <w:pPr>
        <w:spacing w:after="0" w:line="24" w:lineRule="exact"/>
        <w:rPr>
          <w:sz w:val="20"/>
          <w:szCs w:val="20"/>
          <w:color w:val="auto"/>
        </w:rPr>
      </w:pPr>
    </w:p>
    <w:p>
      <w:pPr>
        <w:sectPr>
          <w:pgSz w:w="11900" w:h="16838" w:orient="portrait"/>
          <w:cols w:equalWidth="0" w:num="2">
            <w:col w:w="9100" w:space="720"/>
            <w:col w:w="1420"/>
          </w:cols>
          <w:pgMar w:left="320" w:top="1440" w:right="339" w:bottom="1440" w:gutter="0" w:footer="0" w:header="0"/>
          <w:type w:val="continuous"/>
        </w:sectPr>
      </w:pPr>
    </w:p>
    <w:p>
      <w:pPr>
        <w:ind w:left="10040"/>
        <w:spacing w:after="0"/>
        <w:rPr>
          <w:sz w:val="20"/>
          <w:szCs w:val="20"/>
          <w:color w:val="auto"/>
        </w:rPr>
      </w:pPr>
      <w:r>
        <w:rPr>
          <w:rFonts w:ascii="Times New Roman" w:cs="Times New Roman" w:eastAsia="Times New Roman" w:hAnsi="Times New Roman"/>
          <w:sz w:val="16"/>
          <w:szCs w:val="16"/>
          <w:color w:val="auto"/>
        </w:rPr>
        <w:t>Assurance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1171575</wp:posOffset>
            </wp:positionV>
            <wp:extent cx="4841240" cy="4419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841240" cy="441960"/>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014ACB"/>
    <w:multiLevelType w:val="hybridMultilevel"/>
    <w:lvl w:ilvl="0">
      <w:lvlJc w:val="left"/>
      <w:lvlText w:val="[%1]"/>
      <w:numFmt w:val="upperLetter"/>
      <w:start w:val="24"/>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1)"/>
      <w:numFmt w:val="lowerLetter"/>
      <w:start w:val="1"/>
    </w:lvl>
  </w:abstractNum>
  <w:abstractNum w:abstractNumId="10">
    <w:nsid w:val="540A471C"/>
    <w:multiLevelType w:val="hybridMultilevel"/>
    <w:lvl w:ilvl="0">
      <w:lvlJc w:val="left"/>
      <w:lvlText w:val="(%1)"/>
      <w:numFmt w:val="lowerLetter"/>
      <w:start w:val="1"/>
    </w:lvl>
  </w:abstractNum>
  <w:abstractNum w:abstractNumId="11">
    <w:nsid w:val="7BD3EE7B"/>
    <w:multiLevelType w:val="hybridMultilevel"/>
    <w:lvl w:ilvl="0">
      <w:lvlJc w:val="left"/>
      <w:lvlText w:val="(%1)"/>
      <w:numFmt w:val="lowerLetter"/>
      <w:start w:val="1"/>
    </w:lvl>
  </w:abstractNum>
  <w:abstractNum w:abstractNumId="12">
    <w:nsid w:val="51D9C564"/>
    <w:multiLevelType w:val="hybridMultilevel"/>
    <w:lvl w:ilvl="0">
      <w:lvlJc w:val="left"/>
      <w:lvlText w:val="•"/>
      <w:numFmt w:val="bullet"/>
      <w:start w:val="1"/>
    </w:lvl>
  </w:abstractNum>
  <w:abstractNum w:abstractNumId="13">
    <w:nsid w:val="613EFDC5"/>
    <w:multiLevelType w:val="hybridMultilevel"/>
    <w:lvl w:ilvl="0">
      <w:lvlJc w:val="left"/>
      <w:lvlText w:val="1"/>
      <w:numFmt w:val="bullet"/>
      <w:start w:val="1"/>
    </w:lvl>
  </w:abstractNum>
  <w:abstractNum w:abstractNumId="14">
    <w:nsid w:val="BF72B14"/>
    <w:multiLevelType w:val="hybridMultilevel"/>
    <w:lvl w:ilvl="0">
      <w:lvlJc w:val="left"/>
      <w:lvlText w:val="3"/>
      <w:numFmt w:val="bullet"/>
      <w:start w:val="1"/>
    </w:lvl>
  </w:abstractNum>
  <w:abstractNum w:abstractNumId="15">
    <w:nsid w:val="11447B73"/>
    <w:multiLevelType w:val="hybridMultilevel"/>
    <w:lvl w:ilvl="0">
      <w:lvlJc w:val="left"/>
      <w:lvlText w:val="6"/>
      <w:numFmt w:val="bullet"/>
      <w:start w:val="1"/>
    </w:lvl>
  </w:abstractNum>
  <w:abstractNum w:abstractNumId="16">
    <w:nsid w:val="42963E5A"/>
    <w:multiLevelType w:val="hybridMultilevel"/>
    <w:lvl w:ilvl="0">
      <w:lvlJc w:val="left"/>
      <w:lvlText w:val="8"/>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1"/>
      <w:numFmt w:val="decimal"/>
      <w:start w:val="12"/>
    </w:lvl>
  </w:abstractNum>
  <w:abstractNum w:abstractNumId="19">
    <w:nsid w:val="1A32234B"/>
    <w:multiLevelType w:val="hybridMultilevel"/>
    <w:lvl w:ilvl="0">
      <w:lvlJc w:val="left"/>
      <w:lvlText w:val="%1."/>
      <w:numFmt w:val="lowerLetter"/>
      <w:start w:val="1"/>
    </w:lvl>
  </w:abstractNum>
  <w:abstractNum w:abstractNumId="20">
    <w:nsid w:val="3B0FD379"/>
    <w:multiLevelType w:val="hybridMultilevel"/>
    <w:lvl w:ilvl="0">
      <w:lvlJc w:val="left"/>
      <w:lvlText w:val="%1"/>
      <w:numFmt w:val="decimal"/>
      <w:start w:val="13"/>
    </w:lvl>
  </w:abstractNum>
  <w:abstractNum w:abstractNumId="21">
    <w:nsid w:val="68EB2F63"/>
    <w:multiLevelType w:val="hybridMultilevel"/>
    <w:lvl w:ilvl="0">
      <w:lvlJc w:val="left"/>
      <w:lvlText w:val="%1"/>
      <w:numFmt w:val="decimal"/>
      <w:start w:val="14"/>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1"/>
      <w:numFmt w:val="decimal"/>
      <w:start w:val="16"/>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1"/>
      <w:numFmt w:val="decimal"/>
      <w:start w:val="18"/>
    </w:lvl>
  </w:abstractNum>
  <w:abstractNum w:abstractNumId="26">
    <w:nsid w:val="7FFFCA11"/>
    <w:multiLevelType w:val="hybridMultilevel"/>
    <w:lvl w:ilvl="0">
      <w:lvlJc w:val="left"/>
      <w:lvlText w:val="%1"/>
      <w:numFmt w:val="decimal"/>
      <w:start w:val="20"/>
    </w:lvl>
  </w:abstractNum>
  <w:abstractNum w:abstractNumId="27">
    <w:nsid w:val="1A27709E"/>
    <w:multiLevelType w:val="hybridMultilevel"/>
    <w:lvl w:ilvl="0">
      <w:lvlJc w:val="left"/>
      <w:lvlText w:val="(%1)"/>
      <w:numFmt w:val="decimal"/>
      <w:start w:val="1"/>
    </w:lvl>
  </w:abstractNum>
  <w:abstractNum w:abstractNumId="28">
    <w:nsid w:val="71EA1109"/>
    <w:multiLevelType w:val="hybridMultilevel"/>
    <w:lvl w:ilvl="0">
      <w:lvlJc w:val="left"/>
      <w:lvlText w:val="%1"/>
      <w:numFmt w:val="decimal"/>
      <w:start w:val="23"/>
    </w:lvl>
  </w:abstractNum>
  <w:abstractNum w:abstractNumId="29">
    <w:nsid w:val="100F59DC"/>
    <w:multiLevelType w:val="hybridMultilevel"/>
    <w:lvl w:ilvl="0">
      <w:lvlJc w:val="left"/>
      <w:lvlText w:val="%1"/>
      <w:numFmt w:val="decimal"/>
      <w:start w:val="24"/>
    </w:lvl>
  </w:abstractNum>
  <w:abstractNum w:abstractNumId="30">
    <w:nsid w:val="7FB7E0AA"/>
    <w:multiLevelType w:val="hybridMultilevel"/>
    <w:lvl w:ilvl="0">
      <w:lvlJc w:val="left"/>
      <w:lvlText w:val="%1"/>
      <w:numFmt w:val="decimal"/>
      <w:start w:val="27"/>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
      <w:numFmt w:val="bullet"/>
      <w:start w:val="1"/>
    </w:lvl>
  </w:abstractNum>
  <w:abstractNum w:abstractNumId="33">
    <w:nsid w:val="94211F2"/>
    <w:multiLevelType w:val="hybridMultilevel"/>
    <w:lvl w:ilvl="0">
      <w:lvlJc w:val="left"/>
      <w:lvlText w:val="•"/>
      <w:numFmt w:val="bullet"/>
      <w:start w:val="1"/>
    </w:lvl>
  </w:abstractNum>
  <w:abstractNum w:abstractNumId="34">
    <w:nsid w:val="885E1B"/>
    <w:multiLevelType w:val="hybridMultilevel"/>
    <w:lvl w:ilvl="0">
      <w:lvlJc w:val="left"/>
      <w:lvlText w:val="(%1)"/>
      <w:numFmt w:val="decimal"/>
      <w:start w:val="1"/>
    </w:lvl>
  </w:abstractNum>
  <w:abstractNum w:abstractNumId="35">
    <w:nsid w:val="76272110"/>
    <w:multiLevelType w:val="hybridMultilevel"/>
    <w:lvl w:ilvl="0">
      <w:lvlJc w:val="left"/>
      <w:lvlText w:val="(%1)"/>
      <w:numFmt w:val="decimal"/>
      <w:start w:val="6"/>
    </w:lvl>
  </w:abstractNum>
  <w:abstractNum w:abstractNumId="36">
    <w:nsid w:val="4C04A8AF"/>
    <w:multiLevelType w:val="hybridMultilevel"/>
    <w:lvl w:ilvl="0">
      <w:lvlJc w:val="left"/>
      <w:lvlText w:val="•"/>
      <w:numFmt w:val="bullet"/>
      <w:start w:val="1"/>
    </w:lvl>
  </w:abstractNum>
  <w:abstractNum w:abstractNumId="37">
    <w:nsid w:val="1716703B"/>
    <w:multiLevelType w:val="hybridMultilevel"/>
    <w:lvl w:ilvl="0">
      <w:lvlJc w:val="left"/>
      <w:lvlText w:val="•"/>
      <w:numFmt w:val="bullet"/>
      <w:start w:val="1"/>
    </w:lvl>
  </w:abstractNum>
  <w:abstractNum w:abstractNumId="38">
    <w:nsid w:val="14E17E33"/>
    <w:multiLevelType w:val="hybridMultilevel"/>
    <w:lvl w:ilvl="0">
      <w:lvlJc w:val="left"/>
      <w:lvlText w:val="•"/>
      <w:numFmt w:val="bullet"/>
      <w:start w:val="1"/>
    </w:lvl>
  </w:abstractNum>
  <w:abstractNum w:abstractNumId="39">
    <w:nsid w:val="3222E7CD"/>
    <w:multiLevelType w:val="hybridMultilevel"/>
    <w:lvl w:ilvl="0">
      <w:lvlJc w:val="left"/>
      <w:lvlText w:val="•"/>
      <w:numFmt w:val="bullet"/>
      <w:start w:val="1"/>
    </w:lvl>
  </w:abstractNum>
  <w:abstractNum w:abstractNumId="40">
    <w:nsid w:val="74DE0EE3"/>
    <w:multiLevelType w:val="hybridMultilevel"/>
    <w:lvl w:ilvl="0">
      <w:lvlJc w:val="left"/>
      <w:lvlText w:val="•"/>
      <w:numFmt w:val="bullet"/>
      <w:start w:val="1"/>
    </w:lvl>
  </w:abstractNum>
  <w:abstractNum w:abstractNumId="41">
    <w:nsid w:val="68EBC550"/>
    <w:multiLevelType w:val="hybridMultilevel"/>
    <w:lvl w:ilvl="0">
      <w:lvlJc w:val="left"/>
      <w:lvlText w:val="(%1)"/>
      <w:numFmt w:val="lowerRoman"/>
      <w:start w:val="8"/>
    </w:lvl>
  </w:abstractNum>
  <w:abstractNum w:abstractNumId="42">
    <w:nsid w:val="2DF6D648"/>
    <w:multiLevelType w:val="hybridMultilevel"/>
    <w:lvl w:ilvl="0">
      <w:lvlJc w:val="left"/>
      <w:lvlText w:val="(%1)"/>
      <w:numFmt w:val="lowerRoman"/>
      <w:start w:val="14"/>
    </w:lvl>
  </w:abstractNum>
  <w:abstractNum w:abstractNumId="43">
    <w:nsid w:val="46B7D447"/>
    <w:multiLevelType w:val="hybridMultilevel"/>
    <w:lvl w:ilvl="0">
      <w:lvlJc w:val="left"/>
      <w:lvlText w:val="(%1)"/>
      <w:numFmt w:val="decimal"/>
      <w:start w:val="1"/>
    </w:lvl>
  </w:abstractNum>
  <w:abstractNum w:abstractNumId="44">
    <w:nsid w:val="4A2AC315"/>
    <w:multiLevelType w:val="hybridMultilevel"/>
    <w:lvl w:ilvl="0">
      <w:lvlJc w:val="left"/>
      <w:lvlText w:val="(%1)"/>
      <w:numFmt w:val="decimal"/>
      <w:start w:val="1"/>
    </w:lvl>
  </w:abstractNum>
  <w:abstractNum w:abstractNumId="45">
    <w:nsid w:val="39EE015C"/>
    <w:multiLevelType w:val="hybridMultilevel"/>
    <w:lvl w:ilvl="0">
      <w:lvlJc w:val="left"/>
      <w:lvlText w:val="(%1)"/>
      <w:numFmt w:val="decimal"/>
      <w:start w:val="2"/>
    </w:lvl>
  </w:abstractNum>
  <w:abstractNum w:abstractNumId="46">
    <w:nsid w:val="57FC4FBB"/>
    <w:multiLevelType w:val="hybridMultilevel"/>
    <w:lvl w:ilvl="0">
      <w:lvlJc w:val="left"/>
      <w:lvlText w:val="(%1)"/>
      <w:numFmt w:val="decimal"/>
      <w:start w:val="1"/>
    </w:lvl>
  </w:abstractNum>
  <w:abstractNum w:abstractNumId="47">
    <w:nsid w:val="CC1016F"/>
    <w:multiLevelType w:val="hybridMultilevel"/>
    <w:lvl w:ilvl="0">
      <w:lvlJc w:val="left"/>
      <w:lvlText w:val="(%1)"/>
      <w:numFmt w:val="decimal"/>
      <w:start w:val="1"/>
    </w:lvl>
  </w:abstractNum>
  <w:abstractNum w:abstractNumId="48">
    <w:nsid w:val="43F18422"/>
    <w:multiLevelType w:val="hybridMultilevel"/>
    <w:lvl w:ilvl="0">
      <w:lvlJc w:val="left"/>
      <w:lvlText w:val="(%1)"/>
      <w:numFmt w:val="decimal"/>
      <w:start w:val="1"/>
    </w:lvl>
  </w:abstractNum>
  <w:abstractNum w:abstractNumId="49">
    <w:nsid w:val="60EF0119"/>
    <w:multiLevelType w:val="hybridMultilevel"/>
    <w:lvl w:ilvl="0">
      <w:lvlJc w:val="left"/>
      <w:lvlText w:val="(%1)"/>
      <w:numFmt w:val="lowerLetter"/>
      <w:start w:val="1"/>
    </w:lvl>
  </w:abstractNum>
  <w:abstractNum w:abstractNumId="50">
    <w:nsid w:val="26F324BA"/>
    <w:multiLevelType w:val="hybridMultilevel"/>
    <w:lvl w:ilvl="0">
      <w:lvlJc w:val="left"/>
      <w:lvlText w:val="(%1)"/>
      <w:numFmt w:val="lowerLetter"/>
      <w:start w:val="2"/>
    </w:lvl>
  </w:abstractNum>
  <w:abstractNum w:abstractNumId="51">
    <w:nsid w:val="7F01579B"/>
    <w:multiLevelType w:val="hybridMultilevel"/>
    <w:lvl w:ilvl="0">
      <w:lvlJc w:val="left"/>
      <w:lvlText w:val="(%1)"/>
      <w:numFmt w:val="lowerLetter"/>
      <w:start w:val="1"/>
    </w:lvl>
  </w:abstractNum>
  <w:abstractNum w:abstractNumId="52">
    <w:nsid w:val="49DA307D"/>
    <w:multiLevelType w:val="hybridMultilevel"/>
    <w:lvl w:ilvl="0">
      <w:lvlJc w:val="left"/>
      <w:lvlText w:val="(%1)"/>
      <w:numFmt w:val="lowerLetter"/>
      <w:start w:val="1"/>
    </w:lvl>
  </w:abstractNum>
  <w:abstractNum w:abstractNumId="53">
    <w:nsid w:val="7055A5F5"/>
    <w:multiLevelType w:val="hybridMultilevel"/>
    <w:lvl w:ilvl="0">
      <w:lvlJc w:val="left"/>
      <w:lvlText w:val="(%1)"/>
      <w:numFmt w:val="decimal"/>
      <w:start w:val="1"/>
    </w:lvl>
  </w:abstractNum>
  <w:abstractNum w:abstractNumId="54">
    <w:nsid w:val="5FB8370B"/>
    <w:multiLevelType w:val="hybridMultilevel"/>
    <w:lvl w:ilvl="0">
      <w:lvlJc w:val="left"/>
      <w:lvlText w:val="(%1)"/>
      <w:numFmt w:val="lowerLetter"/>
      <w:start w:val="1"/>
    </w:lvl>
  </w:abstractNum>
  <w:abstractNum w:abstractNumId="55">
    <w:nsid w:val="50801EE1"/>
    <w:multiLevelType w:val="hybridMultilevel"/>
    <w:lvl w:ilvl="0">
      <w:lvlJc w:val="left"/>
      <w:lvlText w:val="%1."/>
      <w:numFmt w:val="decimal"/>
      <w:start w:val="1"/>
    </w:lvl>
    <w:lvl w:ilvl="1">
      <w:lvlJc w:val="left"/>
      <w:lvlText w:val="(%2)"/>
      <w:numFmt w:val="lowerLetter"/>
      <w:start w:val="1"/>
    </w:lvl>
  </w:abstractNum>
  <w:abstractNum w:abstractNumId="56">
    <w:nsid w:val="488AC1A"/>
    <w:multiLevelType w:val="hybridMultilevel"/>
    <w:lvl w:ilvl="0">
      <w:lvlJc w:val="left"/>
      <w:lvlText w:val="%1"/>
      <w:numFmt w:val="decimal"/>
      <w:start w:val="1"/>
    </w:lvl>
    <w:lvl w:ilvl="1">
      <w:lvlJc w:val="left"/>
      <w:lvlText w:val="(%2)"/>
      <w:numFmt w:val="lowerLetter"/>
      <w:start w:val="2"/>
    </w:lvl>
  </w:abstractNum>
  <w:abstractNum w:abstractNumId="57">
    <w:nsid w:val="5FB8011C"/>
    <w:multiLevelType w:val="hybridMultilevel"/>
    <w:lvl w:ilvl="0">
      <w:lvlJc w:val="left"/>
      <w:lvlText w:val="%1."/>
      <w:numFmt w:val="decimal"/>
      <w:start w:val="2"/>
    </w:lvl>
    <w:lvl w:ilvl="1">
      <w:lvlJc w:val="left"/>
      <w:lvlText w:val="(%2)"/>
      <w:numFmt w:val="lowerLetter"/>
      <w:start w:val="1"/>
    </w:lvl>
  </w:abstractNum>
  <w:abstractNum w:abstractNumId="58">
    <w:nsid w:val="6AA78F7F"/>
    <w:multiLevelType w:val="hybridMultilevel"/>
    <w:lvl w:ilvl="0">
      <w:lvlJc w:val="left"/>
      <w:lvlText w:val="%1."/>
      <w:numFmt w:val="decimal"/>
      <w:start w:val="6"/>
    </w:lvl>
    <w:lvl w:ilvl="1">
      <w:lvlJc w:val="left"/>
      <w:lvlText w:val="(%2)"/>
      <w:numFmt w:val="lowerLetter"/>
      <w:start w:val="1"/>
    </w:lvl>
  </w:abstractNum>
  <w:abstractNum w:abstractNumId="59">
    <w:nsid w:val="7672BD23"/>
    <w:multiLevelType w:val="hybridMultilevel"/>
    <w:lvl w:ilvl="0">
      <w:lvlJc w:val="left"/>
      <w:lvlText w:val="(%1)"/>
      <w:numFmt w:val="lowerLetter"/>
      <w:start w:val="1"/>
    </w:lvl>
  </w:abstractNum>
  <w:abstractNum w:abstractNumId="60">
    <w:nsid w:val="6FC75AF8"/>
    <w:multiLevelType w:val="hybridMultilevel"/>
    <w:lvl w:ilvl="0">
      <w:lvlJc w:val="left"/>
      <w:lvlText w:val="%1."/>
      <w:numFmt w:val="decimal"/>
      <w:start w:val="1"/>
    </w:lvl>
  </w:abstractNum>
  <w:abstractNum w:abstractNumId="61">
    <w:nsid w:val="6A5F7029"/>
    <w:multiLevelType w:val="hybridMultilevel"/>
    <w:lvl w:ilvl="0">
      <w:lvlJc w:val="left"/>
      <w:lvlText w:val="%1."/>
      <w:numFmt w:val="decimal"/>
      <w:start w:val="1"/>
    </w:lvl>
  </w:abstractNum>
  <w:abstractNum w:abstractNumId="62">
    <w:nsid w:val="7D5E18F8"/>
    <w:multiLevelType w:val="hybridMultilevel"/>
    <w:lvl w:ilvl="0">
      <w:lvlJc w:val="left"/>
      <w:lvlText w:val="%1."/>
      <w:numFmt w:val="decimal"/>
      <w:start w:val="3"/>
    </w:lvl>
  </w:abstractNum>
  <w:abstractNum w:abstractNumId="63">
    <w:nsid w:val="5F3534A4"/>
    <w:multiLevelType w:val="hybridMultilevel"/>
    <w:lvl w:ilvl="0">
      <w:lvlJc w:val="left"/>
      <w:lvlText w:val="(%1)"/>
      <w:numFmt w:val="lowerLetter"/>
      <w:start w:val="1"/>
    </w:lvl>
  </w:abstractNum>
  <w:abstractNum w:abstractNumId="64">
    <w:nsid w:val="73A1821B"/>
    <w:multiLevelType w:val="hybridMultilevel"/>
    <w:lvl w:ilvl="0">
      <w:lvlJc w:val="left"/>
      <w:lvlText w:val="%1."/>
      <w:numFmt w:val="decimal"/>
      <w:start w:val="1"/>
    </w:lvl>
  </w:abstractNum>
  <w:abstractNum w:abstractNumId="65">
    <w:nsid w:val="7DE67713"/>
    <w:multiLevelType w:val="hybridMultilevel"/>
    <w:lvl w:ilvl="0">
      <w:lvlJc w:val="left"/>
      <w:lvlText w:val="•"/>
      <w:numFmt w:val="bullet"/>
      <w:start w:val="1"/>
    </w:lvl>
  </w:abstractNum>
  <w:abstractNum w:abstractNumId="66">
    <w:nsid w:val="555C55B5"/>
    <w:multiLevelType w:val="hybridMultilevel"/>
    <w:lvl w:ilvl="0">
      <w:lvlJc w:val="left"/>
      <w:lvlText w:val="•"/>
      <w:numFmt w:val="bullet"/>
      <w:start w:val="1"/>
    </w:lvl>
  </w:abstractNum>
  <w:abstractNum w:abstractNumId="67">
    <w:nsid w:val="3FA62ACA"/>
    <w:multiLevelType w:val="hybridMultilevel"/>
    <w:lvl w:ilvl="0">
      <w:lvlJc w:val="left"/>
      <w:lvlText w:val="•"/>
      <w:numFmt w:val="bullet"/>
      <w:start w:val="1"/>
    </w:lvl>
  </w:abstractNum>
  <w:abstractNum w:abstractNumId="68">
    <w:nsid w:val="14FCE74E"/>
    <w:multiLevelType w:val="hybridMultilevel"/>
    <w:lvl w:ilvl="0">
      <w:lvlJc w:val="left"/>
      <w:lvlText w:val="•"/>
      <w:numFmt w:val="bullet"/>
      <w:start w:val="1"/>
    </w:lvl>
  </w:abstractNum>
  <w:abstractNum w:abstractNumId="69">
    <w:nsid w:val="6A3DD3E8"/>
    <w:multiLevelType w:val="hybridMultilevel"/>
    <w:lvl w:ilvl="0">
      <w:lvlJc w:val="left"/>
      <w:lvlText w:val="•"/>
      <w:numFmt w:val="bullet"/>
      <w:start w:val="1"/>
    </w:lvl>
  </w:abstractNum>
  <w:abstractNum w:abstractNumId="70">
    <w:nsid w:val="71C91298"/>
    <w:multiLevelType w:val="hybridMultilevel"/>
    <w:lvl w:ilvl="0">
      <w:lvlJc w:val="left"/>
      <w:lvlText w:val="•"/>
      <w:numFmt w:val="bullet"/>
      <w:start w:val="1"/>
    </w:lvl>
  </w:abstractNum>
  <w:abstractNum w:abstractNumId="71">
    <w:nsid w:val="9DAF632"/>
    <w:multiLevelType w:val="hybridMultilevel"/>
    <w:lvl w:ilvl="0">
      <w:lvlJc w:val="left"/>
      <w:lvlText w:val="•"/>
      <w:numFmt w:val="bullet"/>
      <w:start w:val="1"/>
    </w:lvl>
  </w:abstractNum>
  <w:abstractNum w:abstractNumId="72">
    <w:nsid w:val="53299938"/>
    <w:multiLevelType w:val="hybridMultilevel"/>
    <w:lvl w:ilvl="0">
      <w:lvlJc w:val="left"/>
      <w:lvlText w:val="•"/>
      <w:numFmt w:val="bullet"/>
      <w:start w:val="1"/>
    </w:lvl>
  </w:abstractNum>
  <w:abstractNum w:abstractNumId="73">
    <w:nsid w:val="1FBFE8E0"/>
    <w:multiLevelType w:val="hybridMultilevel"/>
    <w:lvl w:ilvl="0">
      <w:lvlJc w:val="left"/>
      <w:lvlText w:val="%1."/>
      <w:numFmt w:val="decimal"/>
      <w:start w:val="3"/>
    </w:lvl>
  </w:abstractNum>
  <w:abstractNum w:abstractNumId="74">
    <w:nsid w:val="5092CA79"/>
    <w:multiLevelType w:val="hybridMultilevel"/>
    <w:lvl w:ilvl="0">
      <w:lvlJc w:val="left"/>
      <w:lvlText w:val="%1."/>
      <w:numFmt w:val="decimal"/>
      <w:start w:val="4"/>
    </w:lvl>
  </w:abstractNum>
  <w:abstractNum w:abstractNumId="75">
    <w:nsid w:val="1D545C4D"/>
    <w:multiLevelType w:val="hybridMultilevel"/>
    <w:lvl w:ilvl="0">
      <w:lvlJc w:val="left"/>
      <w:lvlText w:val="%1."/>
      <w:numFmt w:val="decimal"/>
      <w:start w:val="10"/>
    </w:lvl>
    <w:lvl w:ilvl="1">
      <w:lvlJc w:val="left"/>
      <w:lvlText w:val="%2)"/>
      <w:numFmt w:val="lowerLetter"/>
      <w:start w:val="1"/>
    </w:lvl>
  </w:abstractNum>
  <w:abstractNum w:abstractNumId="76">
    <w:nsid w:val="59ADEA3D"/>
    <w:multiLevelType w:val="hybridMultilevel"/>
    <w:lvl w:ilvl="0">
      <w:lvlJc w:val="left"/>
      <w:lvlText w:val="%1)"/>
      <w:numFmt w:val="lowerLetter"/>
      <w:start w:val="2"/>
    </w:lvl>
  </w:abstractNum>
  <w:abstractNum w:abstractNumId="77">
    <w:nsid w:val="288F1A34"/>
    <w:multiLevelType w:val="hybridMultilevel"/>
    <w:lvl w:ilvl="0">
      <w:lvlJc w:val="left"/>
      <w:lvlText w:val="(%1)"/>
      <w:numFmt w:val="decimal"/>
      <w:start w:val="1"/>
    </w:lvl>
  </w:abstractNum>
  <w:abstractNum w:abstractNumId="78">
    <w:nsid w:val="2A155DBC"/>
    <w:multiLevelType w:val="hybridMultilevel"/>
    <w:lvl w:ilvl="0">
      <w:lvlJc w:val="left"/>
      <w:lvlText w:val="%1"/>
      <w:numFmt w:val="lowerRoman"/>
      <w:start w:val="1"/>
    </w:lvl>
    <w:lvl w:ilvl="1">
      <w:lvlJc w:val="left"/>
      <w:lvlText w:val="%2."/>
      <w:numFmt w:val="lowerRoman"/>
      <w:start w:val="1"/>
    </w:lvl>
  </w:abstractNum>
  <w:abstractNum w:abstractNumId="79">
    <w:nsid w:val="1D9F6E5F"/>
    <w:multiLevelType w:val="hybridMultilevel"/>
    <w:lvl w:ilvl="0">
      <w:lvlJc w:val="left"/>
      <w:lvlText w:val="%1."/>
      <w:numFmt w:val="lowerRoman"/>
      <w:start w:val="4"/>
    </w:lvl>
    <w:lvl w:ilvl="1">
      <w:lvlJc w:val="left"/>
      <w:lvlText w:val="%2"/>
      <w:numFmt w:val="lowerRoman"/>
      <w:start w:val="1"/>
    </w:lvl>
  </w:abstractNum>
  <w:abstractNum w:abstractNumId="80">
    <w:nsid w:val="97E1B4E"/>
    <w:multiLevelType w:val="hybridMultilevel"/>
    <w:lvl w:ilvl="0">
      <w:lvlJc w:val="left"/>
      <w:lvlText w:val="•"/>
      <w:numFmt w:val="bullet"/>
      <w:start w:val="1"/>
    </w:lvl>
  </w:abstractNum>
  <w:abstractNum w:abstractNumId="81">
    <w:nsid w:val="51088277"/>
    <w:multiLevelType w:val="hybridMultilevel"/>
    <w:lvl w:ilvl="0">
      <w:lvlJc w:val="left"/>
      <w:lvlText w:val="%1)"/>
      <w:numFmt w:val="lowerLetter"/>
      <w:start w:val="4"/>
    </w:lvl>
  </w:abstractNum>
  <w:abstractNum w:abstractNumId="82">
    <w:nsid w:val="1CA0C5FA"/>
    <w:multiLevelType w:val="hybridMultilevel"/>
    <w:lvl w:ilvl="0">
      <w:lvlJc w:val="left"/>
      <w:lvlText w:val="%1"/>
      <w:numFmt w:val="decimal"/>
      <w:start w:val="1"/>
    </w:lvl>
    <w:lvl w:ilvl="1">
      <w:lvlJc w:val="left"/>
      <w:lvlText w:val="(%2)"/>
      <w:numFmt w:val="decimal"/>
      <w:start w:val="1"/>
    </w:lvl>
  </w:abstractNum>
  <w:abstractNum w:abstractNumId="83">
    <w:nsid w:val="53584BCB"/>
    <w:multiLevelType w:val="hybridMultilevel"/>
    <w:lvl w:ilvl="0">
      <w:lvlJc w:val="left"/>
      <w:lvlText w:val="%1."/>
      <w:numFmt w:val="decimal"/>
      <w:start w:val="12"/>
    </w:lvl>
    <w:lvl w:ilvl="1">
      <w:lvlJc w:val="left"/>
      <w:lvlText w:val="%2"/>
      <w:numFmt w:val="decimal"/>
      <w:start w:val="1"/>
    </w:lvl>
  </w:abstractNum>
  <w:abstractNum w:abstractNumId="84">
    <w:nsid w:val="415E286C"/>
    <w:multiLevelType w:val="hybridMultilevel"/>
    <w:lvl w:ilvl="0">
      <w:lvlJc w:val="left"/>
      <w:lvlText w:val="%1."/>
      <w:numFmt w:val="decimal"/>
      <w:start w:val="17"/>
    </w:lvl>
    <w:lvl w:ilvl="1">
      <w:lvlJc w:val="left"/>
      <w:lvlText w:val="(%2)"/>
      <w:numFmt w:val="lowerLetter"/>
      <w:start w:val="1"/>
    </w:lvl>
  </w:abstractNum>
  <w:abstractNum w:abstractNumId="85">
    <w:nsid w:val="7C58FD05"/>
    <w:multiLevelType w:val="hybridMultilevel"/>
    <w:lvl w:ilvl="0">
      <w:lvlJc w:val="left"/>
      <w:lvlText w:val="•"/>
      <w:numFmt w:val="bullet"/>
      <w:start w:val="1"/>
    </w:lvl>
  </w:abstractNum>
  <w:abstractNum w:abstractNumId="86">
    <w:nsid w:val="23D86AAC"/>
    <w:multiLevelType w:val="hybridMultilevel"/>
    <w:lvl w:ilvl="0">
      <w:lvlJc w:val="left"/>
      <w:lvlText w:val="•"/>
      <w:numFmt w:val="bullet"/>
      <w:start w:val="1"/>
    </w:lvl>
  </w:abstractNum>
  <w:abstractNum w:abstractNumId="87">
    <w:nsid w:val="45E6D486"/>
    <w:multiLevelType w:val="hybridMultilevel"/>
    <w:lvl w:ilvl="0">
      <w:lvlJc w:val="left"/>
      <w:lvlText w:val="•"/>
      <w:numFmt w:val="bullet"/>
      <w:start w:val="1"/>
    </w:lvl>
  </w:abstractNum>
  <w:abstractNum w:abstractNumId="88">
    <w:nsid w:val="5C10FE21"/>
    <w:multiLevelType w:val="hybridMultilevel"/>
    <w:lvl w:ilvl="0">
      <w:lvlJc w:val="left"/>
      <w:lvlText w:val="•"/>
      <w:numFmt w:val="bullet"/>
      <w:start w:val="1"/>
    </w:lvl>
  </w:abstractNum>
  <w:abstractNum w:abstractNumId="89">
    <w:nsid w:val="E7FFA2B"/>
    <w:multiLevelType w:val="hybridMultilevel"/>
    <w:lvl w:ilvl="0">
      <w:lvlJc w:val="left"/>
      <w:lvlText w:val="•"/>
      <w:numFmt w:val="bullet"/>
      <w:start w:val="1"/>
    </w:lvl>
  </w:abstractNum>
  <w:abstractNum w:abstractNumId="90">
    <w:nsid w:val="3C5991AA"/>
    <w:multiLevelType w:val="hybridMultilevel"/>
    <w:lvl w:ilvl="0">
      <w:lvlJc w:val="left"/>
      <w:lvlText w:val="•"/>
      <w:numFmt w:val="bullet"/>
      <w:start w:val="1"/>
    </w:lvl>
  </w:abstractNum>
  <w:abstractNum w:abstractNumId="91">
    <w:nsid w:val="4BD8591A"/>
    <w:multiLevelType w:val="hybridMultilevel"/>
    <w:lvl w:ilvl="0">
      <w:lvlJc w:val="left"/>
      <w:lvlText w:val="1"/>
      <w:numFmt w:val="bullet"/>
      <w:start w:val="1"/>
    </w:lvl>
  </w:abstractNum>
  <w:abstractNum w:abstractNumId="92">
    <w:nsid w:val="78DF6A55"/>
    <w:multiLevelType w:val="hybridMultilevel"/>
    <w:lvl w:ilvl="0">
      <w:lvlJc w:val="left"/>
      <w:lvlText w:val="4"/>
      <w:numFmt w:val="bullet"/>
      <w:start w:val="1"/>
    </w:lvl>
  </w:abstractNum>
  <w:abstractNum w:abstractNumId="93">
    <w:nsid w:val="39B7AAA2"/>
    <w:multiLevelType w:val="hybridMultilevel"/>
    <w:lvl w:ilvl="0">
      <w:lvlJc w:val="left"/>
      <w:lvlText w:val="7"/>
      <w:numFmt w:val="bullet"/>
      <w:start w:val="1"/>
    </w:lvl>
  </w:abstractNum>
  <w:abstractNum w:abstractNumId="94">
    <w:nsid w:val="2B0D8DBE"/>
    <w:multiLevelType w:val="hybridMultilevel"/>
    <w:lvl w:ilvl="0">
      <w:lvlJc w:val="left"/>
      <w:lvlText w:val="%1."/>
      <w:numFmt w:val="lowerLetter"/>
      <w:start w:val="1"/>
    </w:lvl>
  </w:abstractNum>
  <w:abstractNum w:abstractNumId="95">
    <w:nsid w:val="6C80EC70"/>
    <w:multiLevelType w:val="hybridMultilevel"/>
    <w:lvl w:ilvl="0">
      <w:lvlJc w:val="left"/>
      <w:lvlText w:val="8"/>
      <w:numFmt w:val="bullet"/>
      <w:start w:val="1"/>
    </w:lvl>
  </w:abstractNum>
  <w:abstractNum w:abstractNumId="96">
    <w:nsid w:val="379E21B5"/>
    <w:multiLevelType w:val="hybridMultilevel"/>
    <w:lvl w:ilvl="0">
      <w:lvlJc w:val="left"/>
      <w:lvlText w:val="9"/>
      <w:numFmt w:val="bullet"/>
      <w:start w:val="1"/>
    </w:lvl>
  </w:abstractNum>
  <w:abstractNum w:abstractNumId="97">
    <w:nsid w:val="69E373"/>
    <w:multiLevelType w:val="hybridMultilevel"/>
    <w:lvl w:ilvl="0">
      <w:lvlJc w:val="left"/>
      <w:lvlText w:val="%1"/>
      <w:numFmt w:val="decimal"/>
      <w:start w:val="10"/>
    </w:lvl>
  </w:abstractNum>
  <w:abstractNum w:abstractNumId="98">
    <w:nsid w:val="2C27173B"/>
    <w:multiLevelType w:val="hybridMultilevel"/>
    <w:lvl w:ilvl="0">
      <w:lvlJc w:val="left"/>
      <w:lvlText w:val="•"/>
      <w:numFmt w:val="bullet"/>
      <w:start w:val="1"/>
    </w:lvl>
  </w:abstractNum>
  <w:abstractNum w:abstractNumId="99">
    <w:nsid w:val="4C9B0904"/>
    <w:multiLevelType w:val="hybridMultilevel"/>
    <w:lvl w:ilvl="0">
      <w:lvlJc w:val="left"/>
      <w:lvlText w:val="%1"/>
      <w:numFmt w:val="decimal"/>
      <w:start w:val="11"/>
    </w:lvl>
  </w:abstractNum>
  <w:abstractNum w:abstractNumId="100">
    <w:nsid w:val="6AA7B75C"/>
    <w:multiLevelType w:val="hybridMultilevel"/>
    <w:lvl w:ilvl="0">
      <w:lvlJc w:val="left"/>
      <w:lvlText w:val="%1"/>
      <w:numFmt w:val="decimal"/>
      <w:start w:val="13"/>
    </w:lvl>
  </w:abstractNum>
  <w:abstractNum w:abstractNumId="101">
    <w:nsid w:val="1DF029D3"/>
    <w:multiLevelType w:val="hybridMultilevel"/>
    <w:lvl w:ilvl="0">
      <w:lvlJc w:val="left"/>
      <w:lvlText w:val="%1"/>
      <w:numFmt w:val="decimal"/>
      <w:start w:val="16"/>
    </w:lvl>
  </w:abstractNum>
  <w:abstractNum w:abstractNumId="102">
    <w:nsid w:val="5675FF36"/>
    <w:multiLevelType w:val="hybridMultilevel"/>
    <w:lvl w:ilvl="0">
      <w:lvlJc w:val="left"/>
      <w:lvlText w:val="%1"/>
      <w:numFmt w:val="decimal"/>
      <w:start w:val="20"/>
    </w:lvl>
  </w:abstractNum>
  <w:abstractNum w:abstractNumId="103">
    <w:nsid w:val="3DD15094"/>
    <w:multiLevelType w:val="hybridMultilevel"/>
    <w:lvl w:ilvl="0">
      <w:lvlJc w:val="left"/>
      <w:lvlText w:val="(%1)"/>
      <w:numFmt w:val="decimal"/>
      <w:start w:val="1"/>
    </w:lvl>
  </w:abstractNum>
  <w:abstractNum w:abstractNumId="104">
    <w:nsid w:val="3DB012B3"/>
    <w:multiLevelType w:val="hybridMultilevel"/>
    <w:lvl w:ilvl="0">
      <w:lvlJc w:val="left"/>
      <w:lvlText w:val="(%1)"/>
      <w:numFmt w:val="decimal"/>
      <w:start w:val="1"/>
    </w:lvl>
  </w:abstractNum>
  <w:abstractNum w:abstractNumId="105">
    <w:nsid w:val="2708C9AF"/>
    <w:multiLevelType w:val="hybridMultilevel"/>
    <w:lvl w:ilvl="0">
      <w:lvlJc w:val="left"/>
      <w:lvlText w:val="(%1)"/>
      <w:numFmt w:val="decimal"/>
      <w:start w:val="7"/>
    </w:lvl>
  </w:abstractNum>
  <w:abstractNum w:abstractNumId="106">
    <w:nsid w:val="5B25ACE2"/>
    <w:multiLevelType w:val="hybridMultilevel"/>
    <w:lvl w:ilvl="0">
      <w:lvlJc w:val="left"/>
      <w:lvlText w:val="(%1)"/>
      <w:numFmt w:val="decimal"/>
      <w:start w:val="14"/>
    </w:lvl>
  </w:abstractNum>
  <w:abstractNum w:abstractNumId="107">
    <w:nsid w:val="175DFCF0"/>
    <w:multiLevelType w:val="hybridMultilevel"/>
    <w:lvl w:ilvl="0">
      <w:lvlJc w:val="left"/>
      <w:lvlText w:val="•"/>
      <w:numFmt w:val="bullet"/>
      <w:start w:val="1"/>
    </w:lvl>
  </w:abstractNum>
  <w:abstractNum w:abstractNumId="108">
    <w:nsid w:val="4F97E3E4"/>
    <w:multiLevelType w:val="hybridMultilevel"/>
    <w:lvl w:ilvl="0">
      <w:lvlJc w:val="left"/>
      <w:lvlText w:val="•"/>
      <w:numFmt w:val="bullet"/>
      <w:start w:val="1"/>
    </w:lvl>
  </w:abstractNum>
  <w:abstractNum w:abstractNumId="109">
    <w:nsid w:val="53B0A9E"/>
    <w:multiLevelType w:val="hybridMultilevel"/>
    <w:lvl w:ilvl="0">
      <w:lvlJc w:val="left"/>
      <w:lvlText w:val="%1"/>
      <w:numFmt w:val="decimal"/>
      <w:start w:val="21"/>
    </w:lvl>
  </w:abstractNum>
  <w:abstractNum w:abstractNumId="110">
    <w:nsid w:val="34FD6B4F"/>
    <w:multiLevelType w:val="hybridMultilevel"/>
    <w:lvl w:ilvl="0">
      <w:lvlJc w:val="left"/>
      <w:lvlText w:val="•"/>
      <w:numFmt w:val="bullet"/>
      <w:start w:val="1"/>
    </w:lvl>
  </w:abstractNum>
  <w:abstractNum w:abstractNumId="111">
    <w:nsid w:val="5915FF32"/>
    <w:multiLevelType w:val="hybridMultilevel"/>
    <w:lvl w:ilvl="0">
      <w:lvlJc w:val="left"/>
      <w:lvlText w:val="%1"/>
      <w:numFmt w:val="decimal"/>
      <w:start w:val="22"/>
    </w:lvl>
  </w:abstractNum>
  <w:abstractNum w:abstractNumId="112">
    <w:nsid w:val="56438D15"/>
    <w:multiLevelType w:val="hybridMultilevel"/>
    <w:lvl w:ilvl="0">
      <w:lvlJc w:val="left"/>
      <w:lvlText w:val="%1"/>
      <w:numFmt w:val="decimal"/>
      <w:start w:val="23"/>
    </w:lvl>
  </w:abstractNum>
  <w:abstractNum w:abstractNumId="113">
    <w:nsid w:val="519E3149"/>
    <w:multiLevelType w:val="hybridMultilevel"/>
    <w:lvl w:ilvl="0">
      <w:lvlJc w:val="left"/>
      <w:lvlText w:val="%1"/>
      <w:numFmt w:val="decimal"/>
      <w:start w:val="24"/>
    </w:lvl>
  </w:abstractNum>
  <w:abstractNum w:abstractNumId="114">
    <w:nsid w:val="2C6E4AFD"/>
    <w:multiLevelType w:val="hybridMultilevel"/>
    <w:lvl w:ilvl="0">
      <w:lvlJc w:val="left"/>
      <w:lvlText w:val="•"/>
      <w:numFmt w:val="bullet"/>
      <w:start w:val="1"/>
    </w:lvl>
  </w:abstractNum>
  <w:abstractNum w:abstractNumId="115">
    <w:nsid w:val="17A1B582"/>
    <w:multiLevelType w:val="hybridMultilevel"/>
    <w:lvl w:ilvl="0">
      <w:lvlJc w:val="left"/>
      <w:lvlText w:val="%1"/>
      <w:numFmt w:val="decimal"/>
      <w:start w:val="26"/>
    </w:lvl>
  </w:abstractNum>
  <w:abstractNum w:abstractNumId="116">
    <w:nsid w:val="4DF72E4E"/>
    <w:multiLevelType w:val="hybridMultilevel"/>
    <w:lvl w:ilvl="0">
      <w:lvlJc w:val="left"/>
      <w:lvlText w:val="•"/>
      <w:numFmt w:val="bullet"/>
      <w:start w:val="1"/>
    </w:lvl>
  </w:abstractNum>
  <w:abstractNum w:abstractNumId="117">
    <w:nsid w:val="5046B5A9"/>
    <w:multiLevelType w:val="hybridMultilevel"/>
    <w:lvl w:ilvl="0">
      <w:lvlJc w:val="left"/>
      <w:lvlText w:val="•"/>
      <w:numFmt w:val="bullet"/>
      <w:start w:val="1"/>
    </w:lvl>
  </w:abstractNum>
  <w:abstractNum w:abstractNumId="118">
    <w:nsid w:val="5D888A08"/>
    <w:multiLevelType w:val="hybridMultilevel"/>
    <w:lvl w:ilvl="0">
      <w:lvlJc w:val="left"/>
      <w:lvlText w:val="•"/>
      <w:numFmt w:val="bullet"/>
      <w:start w:val="1"/>
    </w:lvl>
  </w:abstractNum>
  <w:abstractNum w:abstractNumId="119">
    <w:nsid w:val="2A082C70"/>
    <w:multiLevelType w:val="hybridMultilevel"/>
    <w:lvl w:ilvl="0">
      <w:lvlJc w:val="left"/>
      <w:lvlText w:val="•"/>
      <w:numFmt w:val="bullet"/>
      <w:start w:val="1"/>
    </w:lvl>
  </w:abstractNum>
  <w:abstractNum w:abstractNumId="120">
    <w:nsid w:val="5EC6AFD4"/>
    <w:multiLevelType w:val="hybridMultilevel"/>
    <w:lvl w:ilvl="0">
      <w:lvlJc w:val="left"/>
      <w:lvlText w:val="(%1)"/>
      <w:numFmt w:val="decimal"/>
      <w:start w:val="1"/>
    </w:lvl>
  </w:abstractNum>
  <w:abstractNum w:abstractNumId="121">
    <w:nsid w:val="19E21BB2"/>
    <w:multiLevelType w:val="hybridMultilevel"/>
    <w:lvl w:ilvl="0">
      <w:lvlJc w:val="left"/>
      <w:lvlText w:val="•"/>
      <w:numFmt w:val="bullet"/>
      <w:start w:val="1"/>
    </w:lvl>
  </w:abstractNum>
  <w:abstractNum w:abstractNumId="122">
    <w:nsid w:val="75E0858A"/>
    <w:multiLevelType w:val="hybridMultilevel"/>
    <w:lvl w:ilvl="0">
      <w:lvlJc w:val="left"/>
      <w:lvlText w:val="•"/>
      <w:numFmt w:val="bullet"/>
      <w:start w:val="1"/>
    </w:lvl>
  </w:abstractNum>
  <w:abstractNum w:abstractNumId="123">
    <w:nsid w:val="57A61A29"/>
    <w:multiLevelType w:val="hybridMultilevel"/>
    <w:lvl w:ilvl="0">
      <w:lvlJc w:val="left"/>
      <w:lvlText w:val="•"/>
      <w:numFmt w:val="bullet"/>
      <w:start w:val="1"/>
    </w:lvl>
  </w:abstractNum>
  <w:abstractNum w:abstractNumId="124">
    <w:nsid w:val="5399C654"/>
    <w:multiLevelType w:val="hybridMultilevel"/>
    <w:lvl w:ilvl="0">
      <w:lvlJc w:val="left"/>
      <w:lvlText w:val="•"/>
      <w:numFmt w:val="bullet"/>
      <w:start w:val="1"/>
    </w:lvl>
  </w:abstractNum>
  <w:abstractNum w:abstractNumId="125">
    <w:nsid w:val="20EE1348"/>
    <w:multiLevelType w:val="hybridMultilevel"/>
    <w:lvl w:ilvl="0">
      <w:lvlJc w:val="left"/>
      <w:lvlText w:val="•"/>
      <w:numFmt w:val="bullet"/>
      <w:start w:val="1"/>
    </w:lvl>
  </w:abstractNum>
  <w:abstractNum w:abstractNumId="126">
    <w:nsid w:val="4427069A"/>
    <w:multiLevelType w:val="hybridMultilevel"/>
    <w:lvl w:ilvl="0">
      <w:lvlJc w:val="left"/>
      <w:lvlText w:val="•"/>
      <w:numFmt w:val="bullet"/>
      <w:start w:val="1"/>
    </w:lvl>
  </w:abstractNum>
  <w:abstractNum w:abstractNumId="127">
    <w:nsid w:val="B37E80A"/>
    <w:multiLevelType w:val="hybridMultilevel"/>
    <w:lvl w:ilvl="0">
      <w:lvlJc w:val="left"/>
      <w:lvlText w:val="•"/>
      <w:numFmt w:val="bullet"/>
      <w:start w:val="1"/>
    </w:lvl>
  </w:abstractNum>
  <w:abstractNum w:abstractNumId="128">
    <w:nsid w:val="2157F6BC"/>
    <w:multiLevelType w:val="hybridMultilevel"/>
    <w:lvl w:ilvl="0">
      <w:lvlJc w:val="left"/>
      <w:lvlText w:val="(%1)"/>
      <w:numFmt w:val="lowerRoman"/>
      <w:start w:val="8"/>
    </w:lvl>
  </w:abstractNum>
  <w:abstractNum w:abstractNumId="129">
    <w:nsid w:val="704E1DD5"/>
    <w:multiLevelType w:val="hybridMultilevel"/>
    <w:lvl w:ilvl="0">
      <w:lvlJc w:val="left"/>
      <w:lvlText w:val="(%1)"/>
      <w:numFmt w:val="lowerRoman"/>
      <w:start w:val="14"/>
    </w:lvl>
  </w:abstractNum>
  <w:abstractNum w:abstractNumId="130">
    <w:nsid w:val="57D2F10E"/>
    <w:multiLevelType w:val="hybridMultilevel"/>
    <w:lvl w:ilvl="0">
      <w:lvlJc w:val="left"/>
      <w:lvlText w:val="%1"/>
      <w:numFmt w:val="lowerLetter"/>
      <w:start w:val="1"/>
    </w:lvl>
    <w:lvl w:ilvl="1">
      <w:lvlJc w:val="left"/>
      <w:lvlText w:val="%2."/>
      <w:numFmt w:val="decimal"/>
      <w:start w:val="1"/>
    </w:lvl>
  </w:abstractNum>
  <w:abstractNum w:abstractNumId="131">
    <w:nsid w:val="BFFAE18"/>
    <w:multiLevelType w:val="hybridMultilevel"/>
    <w:lvl w:ilvl="0">
      <w:lvlJc w:val="left"/>
      <w:lvlText w:val="%1)"/>
      <w:numFmt w:val="lowerLetter"/>
      <w:start w:val="1"/>
    </w:lvl>
    <w:lvl w:ilvl="1">
      <w:lvlJc w:val="left"/>
      <w:lvlText w:val="%2."/>
      <w:numFmt w:val="decimal"/>
      <w:start w:val="5"/>
    </w:lvl>
  </w:abstractNum>
  <w:abstractNum w:abstractNumId="132">
    <w:nsid w:val="E3E47A8"/>
    <w:multiLevelType w:val="hybridMultilevel"/>
    <w:lvl w:ilvl="0">
      <w:lvlJc w:val="left"/>
      <w:lvlText w:val="%1)"/>
      <w:numFmt w:val="lowerLetter"/>
      <w:start w:val="1"/>
    </w:lvl>
  </w:abstractNum>
  <w:abstractNum w:abstractNumId="133">
    <w:nsid w:val="2E48F044"/>
    <w:multiLevelType w:val="hybridMultilevel"/>
    <w:lvl w:ilvl="0">
      <w:lvlJc w:val="left"/>
      <w:lvlText w:val="%1"/>
      <w:numFmt w:val="lowerLetter"/>
      <w:start w:val="1"/>
    </w:lvl>
    <w:lvl w:ilvl="1">
      <w:lvlJc w:val="left"/>
      <w:lvlText w:val="%2."/>
      <w:numFmt w:val="decimal"/>
      <w:start w:val="1"/>
    </w:lvl>
  </w:abstractNum>
  <w:abstractNum w:abstractNumId="134">
    <w:nsid w:val="49D0FEAC"/>
    <w:multiLevelType w:val="hybridMultilevel"/>
    <w:lvl w:ilvl="0">
      <w:lvlJc w:val="left"/>
      <w:lvlText w:val="%1)"/>
      <w:numFmt w:val="lowerLetter"/>
      <w:start w:val="1"/>
    </w:lvl>
    <w:lvl w:ilvl="1">
      <w:lvlJc w:val="left"/>
      <w:lvlText w:val="%2."/>
      <w:numFmt w:val="decimal"/>
      <w:start w:val="5"/>
    </w:lvl>
  </w:abstractNum>
  <w:abstractNum w:abstractNumId="135">
    <w:nsid w:val="4BEE5A5B"/>
    <w:multiLevelType w:val="hybridMultilevel"/>
    <w:lvl w:ilvl="0">
      <w:lvlJc w:val="left"/>
      <w:lvlText w:val="%1)"/>
      <w:numFmt w:val="lowerLetter"/>
      <w:start w:val="1"/>
    </w:lvl>
  </w:abstractNum>
  <w:abstractNum w:abstractNumId="136">
    <w:nsid w:val="5551B9F3"/>
    <w:multiLevelType w:val="hybridMultilevel"/>
    <w:lvl w:ilvl="0">
      <w:lvlJc w:val="left"/>
      <w:lvlText w:val="(%1)"/>
      <w:numFmt w:val="decimal"/>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2022-06-22T06:38:26Z</dcterms:created>
  <dcterms:modified xsi:type="dcterms:W3CDTF">2022-06-22T06:38:26Z</dcterms:modified>
</cp:coreProperties>
</file>