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16,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80" w:lineRule="auto"/>
        <w:rPr>
          <w:sz w:val="20"/>
          <w:szCs w:val="20"/>
          <w:color w:val="auto"/>
        </w:rPr>
      </w:pPr>
      <w:r>
        <w:rPr>
          <w:rFonts w:ascii="Arial" w:cs="Arial" w:eastAsia="Arial" w:hAnsi="Arial"/>
          <w:sz w:val="25"/>
          <w:szCs w:val="25"/>
          <w:b w:val="1"/>
          <w:bCs w:val="1"/>
          <w:color w:val="auto"/>
        </w:rPr>
        <w:t>Cybin to Present at the H.C. Wainwright 1</w:t>
      </w:r>
      <w:r>
        <w:rPr>
          <w:rFonts w:ascii="Arial" w:cs="Arial" w:eastAsia="Arial" w:hAnsi="Arial"/>
          <w:sz w:val="32"/>
          <w:szCs w:val="32"/>
          <w:b w:val="1"/>
          <w:bCs w:val="1"/>
          <w:color w:val="auto"/>
          <w:vertAlign w:val="superscript"/>
        </w:rPr>
        <w:t>st</w:t>
      </w:r>
      <w:r>
        <w:rPr>
          <w:rFonts w:ascii="Arial" w:cs="Arial" w:eastAsia="Arial" w:hAnsi="Arial"/>
          <w:sz w:val="25"/>
          <w:szCs w:val="25"/>
          <w:b w:val="1"/>
          <w:bCs w:val="1"/>
          <w:color w:val="auto"/>
        </w:rPr>
        <w:t xml:space="preserve"> Annual Mental Health Conference on June 27, 2022</w:t>
      </w:r>
    </w:p>
    <w:p>
      <w:pPr>
        <w:spacing w:after="0" w:line="200" w:lineRule="exact"/>
        <w:rPr>
          <w:sz w:val="20"/>
          <w:szCs w:val="20"/>
          <w:color w:val="auto"/>
        </w:rPr>
      </w:pP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16,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at the H.C. Wainwright 1st Annual Mental Health Conference being held at the Lotte New York Palace Hotel on June 27, 2022.</w:t>
      </w:r>
    </w:p>
    <w:p>
      <w:pPr>
        <w:spacing w:after="0" w:line="205"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 xml:space="preserve">Mr. Drysdale’s fireside chat will be webcast live on Monday, June 27, 2022 at 10:30 a.m.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176"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 xml:space="preserve">In addition, Mr. Drysdale will participate in a panel discussion titled “Navigating Depression: Current Understanding and Future Treatments” at 12:45 p.m. ET on June 27, 2022. A webcast link to access the panel discussion will also be available on the Company’s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ind w:right="4619"/>
        <w:spacing w:after="0" w:line="288"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0139"/>
      </w:cols>
      <w:pgMar w:left="320" w:top="14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2022-06-16T12:18:13Z</dcterms:created>
  <dcterms:modified xsi:type="dcterms:W3CDTF">2022-06-16T12:18:13Z</dcterms:modified>
</cp:coreProperties>
</file>