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FREE WRITING PROSPECTUS</w:t>
      </w:r>
    </w:p>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433</w:t>
      </w:r>
    </w:p>
    <w:p>
      <w:pPr>
        <w:jc w:val="right"/>
        <w:spacing w:after="0" w:line="230" w:lineRule="auto"/>
        <w:rPr>
          <w:sz w:val="20"/>
          <w:szCs w:val="20"/>
          <w:color w:val="auto"/>
        </w:rPr>
      </w:pPr>
      <w:r>
        <w:rPr>
          <w:rFonts w:ascii="Times New Roman" w:cs="Times New Roman" w:eastAsia="Times New Roman" w:hAnsi="Times New Roman"/>
          <w:sz w:val="22"/>
          <w:szCs w:val="22"/>
          <w:b w:val="1"/>
          <w:bCs w:val="1"/>
          <w:color w:val="auto"/>
        </w:rPr>
        <w:t>Registration No. 333-289139</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115570</wp:posOffset>
            </wp:positionV>
            <wp:extent cx="2117090" cy="1234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2344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line="401" w:lineRule="auto"/>
        <w:rPr>
          <w:sz w:val="20"/>
          <w:szCs w:val="20"/>
          <w:color w:val="auto"/>
        </w:rPr>
      </w:pPr>
      <w:r>
        <w:rPr>
          <w:rFonts w:ascii="Times New Roman" w:cs="Times New Roman" w:eastAsia="Times New Roman" w:hAnsi="Times New Roman"/>
          <w:sz w:val="22"/>
          <w:szCs w:val="22"/>
          <w:b w:val="1"/>
          <w:bCs w:val="1"/>
          <w:color w:val="auto"/>
        </w:rPr>
        <w:t>CYBIN ANNOUNCES $175 MILLION REGISTERED DIRECT OFFERING Funding of Clinical Stage Programs with Participation from Prominent Biotech Investors Use of Proceeds Includes Repayment of High Trail Convertible Note in Full</w:t>
      </w:r>
    </w:p>
    <w:p>
      <w:pPr>
        <w:spacing w:after="0" w:line="1"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TORONTO - October 28, 2025 - Cybin Inc. (Cboe CA: CYBN) (NYSE American: CYBN)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breakthrough Phase 3 clinical stage neuropsychiatry company committed to revolutionizing mental healthcare through proprietary drug discovery platforms and innovative delivery systems, is pleased to announce a registered direct offering of 22,277,750 common shares in the capital of the Company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 in lieu of Common Shares to certain investors, pre-funded Common Share purchase warrants (the "</w:t>
      </w:r>
      <w:r>
        <w:rPr>
          <w:rFonts w:ascii="Times New Roman" w:cs="Times New Roman" w:eastAsia="Times New Roman" w:hAnsi="Times New Roman"/>
          <w:sz w:val="22"/>
          <w:szCs w:val="22"/>
          <w:b w:val="1"/>
          <w:bCs w:val="1"/>
          <w:color w:val="auto"/>
        </w:rPr>
        <w:t>Pre-Funded Warrant</w:t>
      </w:r>
      <w:r>
        <w:rPr>
          <w:rFonts w:ascii="Times New Roman" w:cs="Times New Roman" w:eastAsia="Times New Roman" w:hAnsi="Times New Roman"/>
          <w:sz w:val="22"/>
          <w:szCs w:val="22"/>
          <w:color w:val="auto"/>
        </w:rPr>
        <w:t>") at a price of US$6.51 per Common Share or Pre-Funded Warrant for aggregate gross proceeds of US$175,009,911.45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39"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financing includes new and existing investors, including Venrock Healthcare Capital Partners, OrbiMed, Point72, Deep Track Capital, Acorn Bioventures, Spruce Street Capital, Squadron Capital Management, Adage Capital Partners LP, Boxer Capital Management, ADAR1 Capital Management, Stonepine Capital Management, Pivotal Bioventure Partners, Ally Bridge Group.</w:t>
      </w:r>
    </w:p>
    <w:p>
      <w:pPr>
        <w:spacing w:after="0" w:line="153"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Each Common Share and each Pre-Funded Warrant is accompanied by 0.35 of one Common Share purchase warrant (each whole warrant, a "</w:t>
      </w:r>
      <w:r>
        <w:rPr>
          <w:rFonts w:ascii="Times New Roman" w:cs="Times New Roman" w:eastAsia="Times New Roman" w:hAnsi="Times New Roman"/>
          <w:sz w:val="21"/>
          <w:szCs w:val="21"/>
          <w:b w:val="1"/>
          <w:bCs w:val="1"/>
          <w:color w:val="auto"/>
        </w:rPr>
        <w:t>Warrant</w:t>
      </w:r>
      <w:r>
        <w:rPr>
          <w:rFonts w:ascii="Times New Roman" w:cs="Times New Roman" w:eastAsia="Times New Roman" w:hAnsi="Times New Roman"/>
          <w:sz w:val="21"/>
          <w:szCs w:val="21"/>
          <w:color w:val="auto"/>
        </w:rPr>
        <w:t>" and together with the Common Shares and Pre-Funded Warrants, the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Each Warrant will be exercisable to acquire one Common Share at a price of US$8.14 per Common Share at any time prior to the earlier of: (i) June 30, 2027; (ii) thirty days following the publication by press release of topline data for the APPROACH trial of CYB003 in major depressive disorder; and (iii) thirty days following the date a press release is issued by the Company announcing exercise of its acceleration right, which right can only be exercised if the closing price of the Common Share on NYSE American LLC (the "</w:t>
      </w:r>
      <w:r>
        <w:rPr>
          <w:rFonts w:ascii="Times New Roman" w:cs="Times New Roman" w:eastAsia="Times New Roman" w:hAnsi="Times New Roman"/>
          <w:sz w:val="21"/>
          <w:szCs w:val="21"/>
          <w:b w:val="1"/>
          <w:bCs w:val="1"/>
          <w:color w:val="auto"/>
        </w:rPr>
        <w:t>NYSE American</w:t>
      </w:r>
      <w:r>
        <w:rPr>
          <w:rFonts w:ascii="Times New Roman" w:cs="Times New Roman" w:eastAsia="Times New Roman" w:hAnsi="Times New Roman"/>
          <w:sz w:val="21"/>
          <w:szCs w:val="21"/>
          <w:color w:val="auto"/>
        </w:rPr>
        <w:t>") is equal to or exceeds US$19.53 per Common Share for any five consecutive trading days.</w:t>
      </w:r>
    </w:p>
    <w:p>
      <w:pPr>
        <w:spacing w:after="0" w:line="13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Pre-Funded Warrant will entitle the holder thereof to acquire one Common Share at a nominal exercise price. The Pre-Funded Warrants will not expire.</w:t>
      </w:r>
    </w:p>
    <w:p>
      <w:pPr>
        <w:spacing w:after="0" w:line="11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Jefferies, TD Cowen, and Cantor are acting as joint lead placement agents and Bloom Burton Securities Inc. is acting as a placement agent for the Offering (together,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jc w:val="both"/>
        <w:spacing w:after="0" w:line="244" w:lineRule="auto"/>
        <w:rPr>
          <w:sz w:val="20"/>
          <w:szCs w:val="20"/>
          <w:color w:val="auto"/>
        </w:rPr>
      </w:pPr>
      <w:r>
        <w:rPr>
          <w:rFonts w:ascii="Times New Roman" w:cs="Times New Roman" w:eastAsia="Times New Roman" w:hAnsi="Times New Roman"/>
          <w:sz w:val="22"/>
          <w:szCs w:val="22"/>
          <w:color w:val="auto"/>
        </w:rPr>
        <w:t>The Offering is expected to close on October 31, 2025 or such other date as may be mutually agreed by the Company and each investor. The Offering is subject to market conditions, and other customary conditions, including approval of Cboe Canada Inc. and authorization from NYSE American (the "</w:t>
      </w:r>
      <w:r>
        <w:rPr>
          <w:rFonts w:ascii="Times New Roman" w:cs="Times New Roman" w:eastAsia="Times New Roman" w:hAnsi="Times New Roman"/>
          <w:sz w:val="22"/>
          <w:szCs w:val="22"/>
          <w:b w:val="1"/>
          <w:bCs w:val="1"/>
          <w:color w:val="auto"/>
        </w:rPr>
        <w:t>Exchanges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intends to use the net proceeds from the Offering to repay the Company's outstanding unsecured convertible debentures held by High Trail Special Situations LLC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to progress the Company's CYB003, CYB004, and CYB005 programs, and for working capital and general corporate purposes.</w:t>
      </w:r>
    </w:p>
    <w:p>
      <w:pPr>
        <w:spacing w:after="0" w:line="14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has delivered notice to High Trail to prepay on or about October 31, 2025 the complete outstanding principal balance and a prepayment premium, and High Trail has agreed that no conversions will be made after receipt of the notice.</w:t>
      </w:r>
    </w:p>
    <w:p>
      <w:pPr>
        <w:spacing w:after="0" w:line="1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intends to offer the Securities in the United States and certain other jurisdictions, pursuant to a prospectus supplement (the "</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to the Company's short form base shelf prospectus dated September 17, 2025 (the "</w:t>
      </w:r>
      <w:r>
        <w:rPr>
          <w:rFonts w:ascii="Times New Roman" w:cs="Times New Roman" w:eastAsia="Times New Roman" w:hAnsi="Times New Roman"/>
          <w:sz w:val="22"/>
          <w:szCs w:val="22"/>
          <w:b w:val="1"/>
          <w:bCs w:val="1"/>
          <w:color w:val="auto"/>
        </w:rPr>
        <w:t>Base Shelf Prospectus</w:t>
      </w:r>
      <w:r>
        <w:rPr>
          <w:rFonts w:ascii="Times New Roman" w:cs="Times New Roman" w:eastAsia="Times New Roman" w:hAnsi="Times New Roman"/>
          <w:sz w:val="22"/>
          <w:szCs w:val="22"/>
          <w:color w:val="auto"/>
        </w:rPr>
        <w:t>"). The Prospectus Supplement will be filed in the United States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as part of a registration statement on Form F-10, as amended (File No. 333-289139), which became automatically effective on September 17, 2025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xml:space="preserve">"),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will be available on the Company's SEDAR+ profile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xml:space="preserve">. Delivery of the Prospectus Supplement and Base Shelf Prospectus and any amendments thereto will be satisfied in accordance with the "access equals delivery" provisions of applicable Canadian securities legislation. Electronic or paper copies of the Prospectus Supplement and Base Shelf Prospectus may be obtained, without charge, by contacting Jefferies LLC, Attention: Equity Syndicate Prospectus Department, 520 Madison Avenue, New York, New York 10022, by telephone at (877) 821-7388 or by email at </w:t>
      </w:r>
      <w:r>
        <w:rPr>
          <w:rFonts w:ascii="Times New Roman" w:cs="Times New Roman" w:eastAsia="Times New Roman" w:hAnsi="Times New Roman"/>
          <w:sz w:val="22"/>
          <w:szCs w:val="22"/>
          <w:u w:val="single" w:color="auto"/>
          <w:color w:val="0000FF"/>
        </w:rPr>
        <w:t>Prospectus_Department@Jefferies.com</w:t>
      </w:r>
      <w:r>
        <w:rPr>
          <w:rFonts w:ascii="Times New Roman" w:cs="Times New Roman" w:eastAsia="Times New Roman" w:hAnsi="Times New Roman"/>
          <w:sz w:val="22"/>
          <w:szCs w:val="22"/>
          <w:color w:val="auto"/>
        </w:rPr>
        <w:t xml:space="preserve">, to TD Securities (USA) LLC, c/o Broadridge Financial Solutions, 1155 Long Island Avenue, Edgewood, NY 11717 or by email at </w:t>
      </w:r>
      <w:r>
        <w:rPr>
          <w:rFonts w:ascii="Times New Roman" w:cs="Times New Roman" w:eastAsia="Times New Roman" w:hAnsi="Times New Roman"/>
          <w:sz w:val="22"/>
          <w:szCs w:val="22"/>
          <w:u w:val="single" w:color="auto"/>
          <w:color w:val="0000FF"/>
        </w:rPr>
        <w:t>TDManualrequest@broadridge.com</w:t>
      </w:r>
      <w:r>
        <w:rPr>
          <w:rFonts w:ascii="Times New Roman" w:cs="Times New Roman" w:eastAsia="Times New Roman" w:hAnsi="Times New Roman"/>
          <w:sz w:val="22"/>
          <w:szCs w:val="22"/>
          <w:color w:val="000000"/>
        </w:rPr>
        <w:t>, and to Cantor Fitzgerald &amp; Co., Attention: Capital Markets, 110 East 59th Street, 6th Floor,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New York, New York 10022, or by email at </w:t>
      </w:r>
      <w:r>
        <w:rPr>
          <w:rFonts w:ascii="Times New Roman" w:cs="Times New Roman" w:eastAsia="Times New Roman" w:hAnsi="Times New Roman"/>
          <w:sz w:val="22"/>
          <w:szCs w:val="22"/>
          <w:u w:val="single" w:color="auto"/>
          <w:color w:val="0000FF"/>
        </w:rPr>
        <w:t>prospectus@cantor.com</w:t>
      </w:r>
      <w:r>
        <w:rPr>
          <w:rFonts w:ascii="Times New Roman" w:cs="Times New Roman" w:eastAsia="Times New Roman" w:hAnsi="Times New Roman"/>
          <w:sz w:val="22"/>
          <w:szCs w:val="22"/>
          <w:color w:val="000000"/>
        </w:rPr>
        <w:t>.</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Cybin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 promising class leading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Founded in 2019, Cybin is operational in Canada, the United States, the United Kingdom, and Ireland.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Certain statements in this news release constitute forward-looking information and forward-looking statements within the meaning of applicable securities laws (together, "forward-looking statements").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market conditions and the satisfaction of customary closing conditions related to the proposed Offering, the receipt of applicable regulatory approvals, including the approval of the Exchanges, the Company's intended use of proceeds, the Company's prepayment of the High Trail convertible debenture, and the Company's ability to address the need for new and innovative treatment options for people who suffer from mental health conditions.</w:t>
      </w:r>
    </w:p>
    <w:p>
      <w:pPr>
        <w:spacing w:after="0" w:line="1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 period ended June 30, 2025 and the Company's annual information form for the year ended March 31, 2025, which are available under the Company's profile on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auto"/>
        </w:rPr>
        <w:t xml:space="preserve"> and with the SEC on EDGAR at </w:t>
      </w:r>
      <w:r>
        <w:rPr>
          <w:rFonts w:ascii="Times New Roman" w:cs="Times New Roman" w:eastAsia="Times New Roman" w:hAnsi="Times New Roman"/>
          <w:sz w:val="22"/>
          <w:szCs w:val="22"/>
          <w:u w:val="single" w:color="auto"/>
          <w:color w:val="0000FF"/>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line="260" w:lineRule="auto"/>
        <w:rPr>
          <w:sz w:val="20"/>
          <w:szCs w:val="20"/>
          <w:color w:val="auto"/>
        </w:rPr>
      </w:pPr>
      <w:r>
        <w:rPr>
          <w:rFonts w:ascii="Times New Roman" w:cs="Times New Roman" w:eastAsia="Times New Roman" w:hAnsi="Times New Roman"/>
          <w:sz w:val="22"/>
          <w:szCs w:val="22"/>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 Barer</w:t>
      </w:r>
    </w:p>
    <w:p>
      <w:pPr>
        <w:spacing w:after="0" w:line="230" w:lineRule="auto"/>
        <w:rPr>
          <w:sz w:val="20"/>
          <w:szCs w:val="20"/>
          <w:color w:val="auto"/>
        </w:rPr>
      </w:pPr>
      <w:r>
        <w:rPr>
          <w:rFonts w:ascii="Times New Roman" w:cs="Times New Roman" w:eastAsia="Times New Roman" w:hAnsi="Times New Roman"/>
          <w:sz w:val="22"/>
          <w:szCs w:val="22"/>
          <w:color w:val="auto"/>
        </w:rPr>
        <w:t>astr partners</w:t>
      </w:r>
    </w:p>
    <w:p>
      <w:pPr>
        <w:spacing w:after="0" w:line="231" w:lineRule="auto"/>
        <w:rPr>
          <w:sz w:val="20"/>
          <w:szCs w:val="20"/>
          <w:color w:val="auto"/>
        </w:rPr>
      </w:pPr>
      <w:r>
        <w:rPr>
          <w:rFonts w:ascii="Times New Roman" w:cs="Times New Roman" w:eastAsia="Times New Roman" w:hAnsi="Times New Roman"/>
          <w:sz w:val="22"/>
          <w:szCs w:val="22"/>
          <w:color w:val="auto"/>
        </w:rPr>
        <w:t>Managing Director</w:t>
      </w:r>
    </w:p>
    <w:p>
      <w:pPr>
        <w:ind w:right="8740" w:firstLine="8"/>
        <w:spacing w:after="0" w:line="258"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578-6478 </w:t>
      </w:r>
      <w:r>
        <w:rPr>
          <w:rFonts w:ascii="Times New Roman" w:cs="Times New Roman" w:eastAsia="Times New Roman" w:hAnsi="Times New Roman"/>
          <w:sz w:val="21"/>
          <w:szCs w:val="21"/>
          <w:color w:val="040A2C"/>
        </w:rPr>
        <w:t>josh.barer@astrpartners.com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230" w:lineRule="auto"/>
        <w:rPr>
          <w:sz w:val="20"/>
          <w:szCs w:val="20"/>
          <w:color w:val="auto"/>
        </w:rPr>
      </w:pPr>
      <w:r>
        <w:rPr>
          <w:rFonts w:ascii="Times New Roman" w:cs="Times New Roman" w:eastAsia="Times New Roman" w:hAnsi="Times New Roman"/>
          <w:sz w:val="22"/>
          <w:szCs w:val="22"/>
          <w:color w:val="auto"/>
        </w:rPr>
        <w:t>Cybin Inc.</w:t>
      </w:r>
    </w:p>
    <w:p>
      <w:pPr>
        <w:spacing w:after="0" w:line="231" w:lineRule="auto"/>
        <w:rPr>
          <w:sz w:val="20"/>
          <w:szCs w:val="20"/>
          <w:color w:val="auto"/>
        </w:rPr>
      </w:pPr>
      <w:r>
        <w:rPr>
          <w:rFonts w:ascii="Times New Roman" w:cs="Times New Roman" w:eastAsia="Times New Roman" w:hAnsi="Times New Roman"/>
          <w:sz w:val="22"/>
          <w:szCs w:val="22"/>
          <w:color w:val="auto"/>
        </w:rPr>
        <w:t>1-866-292-4601</w:t>
      </w:r>
    </w:p>
    <w:p>
      <w:pPr>
        <w:spacing w:after="0"/>
        <w:rPr>
          <w:sz w:val="20"/>
          <w:szCs w:val="20"/>
          <w:color w:val="auto"/>
        </w:rPr>
      </w:pPr>
      <w:r>
        <w:rPr>
          <w:rFonts w:ascii="Times New Roman" w:cs="Times New Roman" w:eastAsia="Times New Roman" w:hAnsi="Times New Roman"/>
          <w:sz w:val="22"/>
          <w:szCs w:val="22"/>
          <w:color w:val="auto"/>
        </w:rPr>
        <w:t>irteam@cybin.com - or - 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2025-10-28T07:11:14Z</dcterms:created>
  <dcterms:modified xsi:type="dcterms:W3CDTF">2025-10-28T07:11:14Z</dcterms:modified>
</cp:coreProperties>
</file>