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September 21,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September 21,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Date of Annual and Special Meeting of Shareholders</w:t>
      </w:r>
    </w:p>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psychedelic-based treatment options, today announced that its 2023 Annual and Special Meeting of Shareholders will be held virtually on Thursday, October 12, 2023 at 1:00 p.m. ET.</w:t>
      </w: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The notice of annual and special meeting and proxy statement containing meeting details are available under the Company’s profile on SEDAR+ at www.sedarplus.ca, and on the Company’s website at </w:t>
      </w:r>
      <w:r>
        <w:rPr>
          <w:rFonts w:ascii="Arial" w:cs="Arial" w:eastAsia="Arial" w:hAnsi="Arial"/>
          <w:sz w:val="20"/>
          <w:szCs w:val="20"/>
          <w:u w:val="single" w:color="auto"/>
          <w:color w:val="0000FF"/>
        </w:rPr>
        <w:t>www.cybin.com</w:t>
      </w:r>
      <w:r>
        <w:rPr>
          <w:rFonts w:ascii="Arial" w:cs="Arial" w:eastAsia="Arial" w:hAnsi="Arial"/>
          <w:sz w:val="20"/>
          <w:szCs w:val="20"/>
          <w:color w:val="auto"/>
        </w:rPr>
        <w:t>, and are expected to be mailed on September 21, 2023 to shareholders of record as of the close of business on August 30, 2023.</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 xml:space="preserve">Headquartered in Canada and founded in 2019, Cybin is operational in Canada, the United States, the United Kingdom, the Netherlands and Ireland. For company updates and to learn more about Cybin, visit </w:t>
      </w:r>
      <w:r>
        <w:rPr>
          <w:rFonts w:ascii="Arial" w:cs="Arial" w:eastAsia="Arial" w:hAnsi="Arial"/>
          <w:sz w:val="20"/>
          <w:szCs w:val="20"/>
          <w:u w:val="single" w:color="auto"/>
          <w:color w:val="0000FF"/>
        </w:rPr>
        <w:t>www.cybin.com</w:t>
      </w:r>
      <w:r>
        <w:rPr>
          <w:rFonts w:ascii="Arial" w:cs="Arial" w:eastAsia="Arial" w:hAnsi="Arial"/>
          <w:sz w:val="20"/>
          <w:szCs w:val="20"/>
          <w:color w:val="auto"/>
        </w:rPr>
        <w:t xml:space="preserve">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19"/>
          <w:szCs w:val="19"/>
          <w:u w:val="single" w:color="auto"/>
          <w:color w:val="auto"/>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auto"/>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w:t>
      </w:r>
    </w:p>
    <w:p>
      <w:pPr>
        <w:sectPr>
          <w:pgSz w:w="11900" w:h="16838" w:orient="portrait"/>
          <w:cols w:equalWidth="0" w:num="1">
            <w:col w:w="11240"/>
          </w:cols>
          <w:pgMar w:left="320" w:top="1421" w:right="339" w:bottom="1440" w:gutter="0" w:footer="0" w:header="0"/>
        </w:sectPr>
      </w:pPr>
    </w:p>
    <w:bookmarkStart w:id="5" w:name="page6"/>
    <w:bookmarkEnd w:id="5"/>
    <w:p>
      <w:pPr>
        <w:ind w:right="20"/>
        <w:spacing w:after="0" w:line="303" w:lineRule="auto"/>
        <w:rPr>
          <w:sz w:val="20"/>
          <w:szCs w:val="20"/>
          <w:color w:val="auto"/>
        </w:rPr>
      </w:pPr>
      <w:r>
        <w:rPr>
          <w:rFonts w:ascii="Arial" w:cs="Arial" w:eastAsia="Arial" w:hAnsi="Arial"/>
          <w:sz w:val="20"/>
          <w:szCs w:val="20"/>
          <w:color w:val="auto"/>
        </w:rPr>
        <w:t>clinical trials or that Cybin will complete such trials. If Cybin cannot obtain the approvals or research necessary to commercialize its business, it may have a material adverse effect on Cybin’s performance and operations.</w:t>
      </w:r>
    </w:p>
    <w:p>
      <w:pPr>
        <w:spacing w:after="0" w:line="183" w:lineRule="exact"/>
        <w:rPr>
          <w:sz w:val="20"/>
          <w:szCs w:val="20"/>
          <w:color w:val="auto"/>
        </w:rPr>
      </w:pPr>
    </w:p>
    <w:p>
      <w:pPr>
        <w:spacing w:after="0" w:line="310" w:lineRule="auto"/>
        <w:rPr>
          <w:sz w:val="20"/>
          <w:szCs w:val="20"/>
          <w:color w:val="auto"/>
        </w:rPr>
      </w:pPr>
      <w:r>
        <w:rPr>
          <w:rFonts w:ascii="Arial" w:cs="Arial" w:eastAsia="Arial" w:hAnsi="Arial"/>
          <w:sz w:val="20"/>
          <w:szCs w:val="20"/>
          <w:i w:val="1"/>
          <w:iCs w:val="1"/>
          <w:color w:val="auto"/>
        </w:rPr>
        <w:t>Neither Cboe Canada, operating as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2023-09-21T16:37:30Z</dcterms:created>
  <dcterms:modified xsi:type="dcterms:W3CDTF">2023-09-21T16:37:30Z</dcterms:modified>
</cp:coreProperties>
</file>