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February, 2023.</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 2023</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February 1, 2023</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3020060</wp:posOffset>
            </wp:positionH>
            <wp:positionV relativeFrom="page">
              <wp:posOffset>920750</wp:posOffset>
            </wp:positionV>
            <wp:extent cx="1517015" cy="882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17015"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line="264" w:lineRule="auto"/>
        <w:rPr>
          <w:sz w:val="20"/>
          <w:szCs w:val="20"/>
          <w:color w:val="auto"/>
        </w:rPr>
      </w:pPr>
      <w:r>
        <w:rPr>
          <w:rFonts w:ascii="Arial" w:cs="Arial" w:eastAsia="Arial" w:hAnsi="Arial"/>
          <w:sz w:val="25"/>
          <w:szCs w:val="25"/>
          <w:b w:val="1"/>
          <w:bCs w:val="1"/>
          <w:color w:val="auto"/>
        </w:rPr>
        <w:t>Cybin Announces Approval of First-in-Human Dosing of its Proprietary DMT Molecule CYB004</w:t>
      </w:r>
    </w:p>
    <w:p>
      <w:pPr>
        <w:spacing w:after="0" w:line="135" w:lineRule="exact"/>
        <w:rPr>
          <w:sz w:val="20"/>
          <w:szCs w:val="20"/>
          <w:color w:val="auto"/>
        </w:rPr>
      </w:pPr>
    </w:p>
    <w:p>
      <w:pPr>
        <w:ind w:left="2760" w:hanging="131"/>
        <w:spacing w:after="0"/>
        <w:tabs>
          <w:tab w:leader="none" w:pos="2760" w:val="left"/>
        </w:tabs>
        <w:numPr>
          <w:ilvl w:val="2"/>
          <w:numId w:val="1"/>
        </w:numPr>
        <w:rPr>
          <w:rFonts w:ascii="Arial" w:cs="Arial" w:eastAsia="Arial" w:hAnsi="Arial"/>
          <w:sz w:val="22"/>
          <w:szCs w:val="22"/>
          <w:i w:val="1"/>
          <w:iCs w:val="1"/>
          <w:color w:val="auto"/>
        </w:rPr>
      </w:pPr>
      <w:r>
        <w:rPr>
          <w:rFonts w:ascii="Arial" w:cs="Arial" w:eastAsia="Arial" w:hAnsi="Arial"/>
          <w:sz w:val="22"/>
          <w:szCs w:val="22"/>
          <w:i w:val="1"/>
          <w:iCs w:val="1"/>
          <w:color w:val="auto"/>
        </w:rPr>
        <w:t>Marks first ever trial to evaluate deuterated DMT in humans –</w:t>
      </w:r>
    </w:p>
    <w:p>
      <w:pPr>
        <w:spacing w:after="0" w:line="200" w:lineRule="exact"/>
        <w:rPr>
          <w:rFonts w:ascii="Arial" w:cs="Arial" w:eastAsia="Arial" w:hAnsi="Arial"/>
          <w:sz w:val="22"/>
          <w:szCs w:val="22"/>
          <w:i w:val="1"/>
          <w:iCs w:val="1"/>
          <w:color w:val="auto"/>
        </w:rPr>
      </w:pPr>
    </w:p>
    <w:p>
      <w:pPr>
        <w:ind w:left="180" w:hanging="133"/>
        <w:spacing w:after="0"/>
        <w:tabs>
          <w:tab w:leader="none" w:pos="180" w:val="left"/>
        </w:tabs>
        <w:numPr>
          <w:ilvl w:val="0"/>
          <w:numId w:val="1"/>
        </w:numPr>
        <w:rPr>
          <w:rFonts w:ascii="Arial" w:cs="Arial" w:eastAsia="Arial" w:hAnsi="Arial"/>
          <w:sz w:val="21"/>
          <w:szCs w:val="21"/>
          <w:i w:val="1"/>
          <w:iCs w:val="1"/>
          <w:color w:val="auto"/>
        </w:rPr>
      </w:pPr>
      <w:r>
        <w:rPr>
          <w:rFonts w:ascii="Arial" w:cs="Arial" w:eastAsia="Arial" w:hAnsi="Arial"/>
          <w:sz w:val="21"/>
          <w:szCs w:val="21"/>
          <w:i w:val="1"/>
          <w:iCs w:val="1"/>
          <w:color w:val="auto"/>
        </w:rPr>
        <w:t>Based on preclinical studies CYB004 demonstrated superior bioavailability compared to IV DMT which may support</w:t>
      </w:r>
    </w:p>
    <w:p>
      <w:pPr>
        <w:ind w:left="4160"/>
        <w:spacing w:after="0"/>
        <w:rPr>
          <w:rFonts w:ascii="Arial" w:cs="Arial" w:eastAsia="Arial" w:hAnsi="Arial"/>
          <w:sz w:val="21"/>
          <w:szCs w:val="21"/>
          <w:i w:val="1"/>
          <w:iCs w:val="1"/>
          <w:color w:val="auto"/>
        </w:rPr>
      </w:pPr>
      <w:r>
        <w:rPr>
          <w:rFonts w:ascii="Arial" w:cs="Arial" w:eastAsia="Arial" w:hAnsi="Arial"/>
          <w:sz w:val="22"/>
          <w:szCs w:val="22"/>
          <w:i w:val="1"/>
          <w:iCs w:val="1"/>
          <w:color w:val="auto"/>
        </w:rPr>
        <w:t>less invasive dosing methods -</w:t>
      </w:r>
    </w:p>
    <w:p>
      <w:pPr>
        <w:spacing w:after="0" w:line="186" w:lineRule="exact"/>
        <w:rPr>
          <w:rFonts w:ascii="Arial" w:cs="Arial" w:eastAsia="Arial" w:hAnsi="Arial"/>
          <w:sz w:val="21"/>
          <w:szCs w:val="21"/>
          <w:i w:val="1"/>
          <w:iCs w:val="1"/>
          <w:color w:val="auto"/>
        </w:rPr>
      </w:pPr>
    </w:p>
    <w:p>
      <w:pPr>
        <w:ind w:left="2420" w:hanging="134"/>
        <w:spacing w:after="0"/>
        <w:tabs>
          <w:tab w:leader="none" w:pos="2420" w:val="left"/>
        </w:tabs>
        <w:numPr>
          <w:ilvl w:val="1"/>
          <w:numId w:val="1"/>
        </w:numPr>
        <w:rPr>
          <w:rFonts w:ascii="Arial" w:cs="Arial" w:eastAsia="Arial" w:hAnsi="Arial"/>
          <w:sz w:val="22"/>
          <w:szCs w:val="22"/>
          <w:i w:val="1"/>
          <w:iCs w:val="1"/>
          <w:color w:val="auto"/>
        </w:rPr>
      </w:pPr>
      <w:r>
        <w:rPr>
          <w:rFonts w:ascii="Arial" w:cs="Arial" w:eastAsia="Arial" w:hAnsi="Arial"/>
          <w:sz w:val="22"/>
          <w:szCs w:val="22"/>
          <w:i w:val="1"/>
          <w:iCs w:val="1"/>
          <w:color w:val="auto"/>
        </w:rPr>
        <w:t>CYB004 is a patented proprietary molecule protected through 2041 -</w:t>
      </w:r>
    </w:p>
    <w:p>
      <w:pPr>
        <w:spacing w:after="0" w:line="236" w:lineRule="exact"/>
        <w:rPr>
          <w:sz w:val="20"/>
          <w:szCs w:val="20"/>
          <w:color w:val="auto"/>
        </w:rPr>
      </w:pPr>
    </w:p>
    <w:p>
      <w:pPr>
        <w:jc w:val="both"/>
        <w:spacing w:after="0" w:line="266"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February 1,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(NEO:CYBN) (NYSE AMERICAN:CYBN)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is pleased to announce that it has received approval from an independent ethics committee in the Netherlands to initiate first-in-human dosing of its proprietary deuterated N,N-dimethyltryptamine (“</w:t>
      </w:r>
      <w:r>
        <w:rPr>
          <w:rFonts w:ascii="Arial" w:cs="Arial" w:eastAsia="Arial" w:hAnsi="Arial"/>
          <w:sz w:val="20"/>
          <w:szCs w:val="20"/>
          <w:b w:val="1"/>
          <w:bCs w:val="1"/>
          <w:color w:val="auto"/>
        </w:rPr>
        <w:t>DMT</w:t>
      </w:r>
      <w:r>
        <w:rPr>
          <w:rFonts w:ascii="Arial" w:cs="Arial" w:eastAsia="Arial" w:hAnsi="Arial"/>
          <w:sz w:val="20"/>
          <w:szCs w:val="20"/>
          <w:color w:val="auto"/>
        </w:rPr>
        <w:t>”) molecule CYB004 through a protocol amendment to its ongoing CYB004-E Phase 1 trial. This clinical advancement marks the first time a deuterated DMT molecule will be evaluated in humans and further reduces Cybin’s time-to-clinic with CYB004.</w:t>
      </w:r>
    </w:p>
    <w:p>
      <w:pPr>
        <w:spacing w:after="0" w:line="231"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The Phase 1 CYB004-E trial is being conducted at the Centre for Human Drug Research in the Netherlands and is the largest ever Phase 1 DMT trial conducted to-date.</w:t>
      </w:r>
    </w:p>
    <w:p>
      <w:pPr>
        <w:spacing w:after="0" w:line="195"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In its regular form, DMT is an unstable molecule rapidly metabolized in the body, which significantly reduces its bioavailability. CYB004 has the potential to overcome the limitations of DMT. Based on preclinical studies, CYB004 has demonstrated an improved bioavailability and pharmacokinetic profile in comparison to DMT when administered via intravenous (“</w:t>
      </w:r>
      <w:r>
        <w:rPr>
          <w:rFonts w:ascii="Arial" w:cs="Arial" w:eastAsia="Arial" w:hAnsi="Arial"/>
          <w:sz w:val="20"/>
          <w:szCs w:val="20"/>
          <w:b w:val="1"/>
          <w:bCs w:val="1"/>
          <w:color w:val="auto"/>
        </w:rPr>
        <w:t>IV</w:t>
      </w:r>
      <w:r>
        <w:rPr>
          <w:rFonts w:ascii="Arial" w:cs="Arial" w:eastAsia="Arial" w:hAnsi="Arial"/>
          <w:sz w:val="20"/>
          <w:szCs w:val="20"/>
          <w:color w:val="auto"/>
        </w:rPr>
        <w:t>”) and inhaled routes. These studies also demonstrated that IV CYB004 has a longer duration of effect compared to DMT, indicating the potential to extend the therapeutic window and provide better dose optimization. By maximizing CYB004 as a deuterated molecule and improving upon the bioavailability of DMT, CYB004 has the potential to offer more convenient dosing methods via inhaled, subcutaneous, or intramuscular routes of administration.</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“This is a major milestone for our CYB004 program and for better understanding the potential therapeutic benefits of our proprietary deuterated DMT molecule for the treatment of generalized anxiety disorder,” said Doug Drysdale, Cybin’s Chief Executive Officer. “The ability to evaluate our novel CYB004 molecule in humans at this early stage is a significant achievement in clinical development and will provide important insight into the pharmacokinetic and pharmacodynamic properties of CYB004 in addition to what we have already learned through our study of DMT. We expect to apply these findings to optimize dosing and delivery of CYB004 in future clinical</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trials, which supports our mission to bring this new investigational therapy to patients as quickly as possible.”</w:t>
      </w:r>
    </w:p>
    <w:p>
      <w:pPr>
        <w:spacing w:after="0" w:line="283"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Cybin secured a U.S. composition of matter patent covering CYB004 in February 2022 that provides patent protection through 2041. The patent covers a range of deuterated forms of DMT and protects CYB004 as a putative new chemical entity.</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“With strong intellectual property in place and promising preclinical data, we believe we have a solid clinical development path forward for CYB004. We will continue to focus our research on identifying the most convenient routes of administration while also maintaining an optimal therapeutic profile for this important molecule,” concluded Drysdale.</w:t>
      </w:r>
    </w:p>
    <w:p>
      <w:pPr>
        <w:spacing w:after="0" w:line="19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The Company plans to evaluate CYB004 for the treatment of generalized anxiety disorder with or without major depressive disorder.</w:t>
      </w:r>
    </w:p>
    <w:p>
      <w:pPr>
        <w:spacing w:after="0" w:line="168"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 xml:space="preserve">Cybin will provide additional information on its CYB004 program, including an update on the Phase 1 CYB004-E trial, at its upcoming virtual R&amp;D Day on February 28, 2023. Click </w:t>
      </w:r>
      <w:r>
        <w:rPr>
          <w:rFonts w:ascii="Arial" w:cs="Arial" w:eastAsia="Arial" w:hAnsi="Arial"/>
          <w:sz w:val="20"/>
          <w:szCs w:val="20"/>
          <w:u w:val="single" w:color="auto"/>
          <w:color w:val="0563C1"/>
        </w:rPr>
        <w:t>here</w:t>
      </w:r>
      <w:r>
        <w:rPr>
          <w:rFonts w:ascii="Arial" w:cs="Arial" w:eastAsia="Arial" w:hAnsi="Arial"/>
          <w:sz w:val="20"/>
          <w:szCs w:val="20"/>
          <w:color w:val="auto"/>
        </w:rPr>
        <w:t xml:space="preserve"> to register for the event.</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0"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6"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related to the results of the Company’s CYB004 pre-clinical studies, statements regarding the Company’s expectations and objectives regarding the results of the CYB004-E study, and the Company’s proprietary drug discovery platforms, innovative drug delivery systems, novel formulation approaches and treatment regimens to potentially treat generalized anxiety disorder with or without major depressive disorder and/or other psychiatric disorders.</w:t>
      </w: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w:t>
      </w:r>
    </w:p>
    <w:p>
      <w:pPr>
        <w:sectPr>
          <w:pgSz w:w="11900" w:h="16838" w:orient="portrait"/>
          <w:cols w:equalWidth="0" w:num="1">
            <w:col w:w="11240"/>
          </w:cols>
          <w:pgMar w:left="320" w:top="1427" w:right="3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20"/>
          <w:szCs w:val="20"/>
          <w:color w:val="auto"/>
        </w:rPr>
        <w:t xml:space="preserve">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and six month periods ended September 30, 2022 and the Company's annual information form for the year ended March 31, 2022, which are available under the Company's profile on </w:t>
      </w:r>
      <w:r>
        <w:rPr>
          <w:rFonts w:ascii="Arial" w:cs="Arial" w:eastAsia="Arial" w:hAnsi="Arial"/>
          <w:sz w:val="20"/>
          <w:szCs w:val="20"/>
          <w:u w:val="single" w:color="auto"/>
          <w:color w:val="0563C1"/>
        </w:rPr>
        <w:t>www.sedar.com</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563C1"/>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17"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08" w:lineRule="exact"/>
        <w:rPr>
          <w:sz w:val="20"/>
          <w:szCs w:val="20"/>
          <w:color w:val="auto"/>
        </w:rPr>
      </w:pPr>
    </w:p>
    <w:p>
      <w:pPr>
        <w:jc w:val="both"/>
        <w:spacing w:after="0" w:line="314"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nor disapproved the contents of this news release and are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 &amp; Media:</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irteam@cybin.com</w:t>
      </w:r>
      <w:r>
        <w:rPr>
          <w:rFonts w:ascii="Arial" w:cs="Arial" w:eastAsia="Arial" w:hAnsi="Arial"/>
          <w:sz w:val="20"/>
          <w:szCs w:val="20"/>
          <w:color w:val="0563C1"/>
        </w:rPr>
        <w:t xml:space="preserve"> </w:t>
      </w:r>
      <w:r>
        <w:rPr>
          <w:rFonts w:ascii="Arial" w:cs="Arial" w:eastAsia="Arial" w:hAnsi="Arial"/>
          <w:sz w:val="20"/>
          <w:szCs w:val="20"/>
          <w:color w:val="000000"/>
        </w:rPr>
        <w:t>- or -</w:t>
      </w:r>
      <w:r>
        <w:rPr>
          <w:rFonts w:ascii="Arial" w:cs="Arial" w:eastAsia="Arial" w:hAnsi="Arial"/>
          <w:sz w:val="20"/>
          <w:szCs w:val="20"/>
          <w:color w:val="0563C1"/>
        </w:rPr>
        <w:t xml:space="preserve"> </w:t>
      </w:r>
      <w:r>
        <w:rPr>
          <w:rFonts w:ascii="Arial" w:cs="Arial" w:eastAsia="Arial" w:hAnsi="Arial"/>
          <w:sz w:val="20"/>
          <w:szCs w:val="20"/>
          <w:u w:val="single" w:color="auto"/>
          <w:color w:val="0563C1"/>
        </w:rPr>
        <w:t>media@cybin.com</w:t>
      </w:r>
    </w:p>
    <w:p>
      <w:pPr>
        <w:sectPr>
          <w:pgSz w:w="11900" w:h="16838" w:orient="portrait"/>
          <w:cols w:equalWidth="0" w:num="1">
            <w:col w:w="11240"/>
          </w:cols>
          <w:pgMar w:left="320" w:top="1427" w:right="339" w:bottom="1440" w:gutter="0" w:footer="0" w:header="0"/>
        </w:sectPr>
      </w:pPr>
    </w:p>
    <w:bookmarkStart w:id="6" w:name="page7"/>
    <w:bookmarkEnd w:id="6"/>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Chief Legal Officer</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2023-02-01T09:15:55Z</dcterms:created>
  <dcterms:modified xsi:type="dcterms:W3CDTF">2023-02-01T09:15:55Z</dcterms:modified>
</cp:coreProperties>
</file>