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4"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50"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June, 2025.</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26"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4"/>
          <w:szCs w:val="24"/>
          <w:color w:val="auto"/>
        </w:rPr>
      </w:pPr>
    </w:p>
    <w:p>
      <w:pPr>
        <w:ind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99.1 - 99.3 of this Form 6-K of Cybin Inc. (the "Company") are hereby incorporated by reference into the Registration Statement on Form F-10 (</w:t>
      </w:r>
      <w:hyperlink r:id="rId8">
        <w:r>
          <w:rPr>
            <w:rFonts w:ascii="Times New Roman" w:cs="Times New Roman" w:eastAsia="Times New Roman" w:hAnsi="Times New Roman"/>
            <w:sz w:val="18"/>
            <w:szCs w:val="18"/>
            <w:u w:val="single" w:color="auto"/>
            <w:color w:val="0000FF"/>
          </w:rPr>
          <w:t>File No. 333-284173</w:t>
        </w:r>
      </w:hyperlink>
      <w:r>
        <w:rPr>
          <w:rFonts w:ascii="Times New Roman" w:cs="Times New Roman" w:eastAsia="Times New Roman" w:hAnsi="Times New Roman"/>
          <w:sz w:val="18"/>
          <w:szCs w:val="18"/>
          <w:color w:val="auto"/>
        </w:rPr>
        <w:t>)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spacing w:after="0" w:line="20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8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30,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18"/>
        </w:trPr>
        <w:tc>
          <w:tcPr>
            <w:tcW w:w="560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34"/>
        </w:trPr>
        <w:tc>
          <w:tcPr>
            <w:tcW w:w="56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280"/>
          </w:cols>
          <w:pgMar w:left="320" w:top="1440" w:right="129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5"/>
              </w:rPr>
              <w:t>99.1</w:t>
            </w:r>
          </w:p>
        </w:tc>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Registration Rights Agreement dated June 30, 2025</w:t>
            </w:r>
          </w:p>
        </w:tc>
      </w:tr>
      <w:tr>
        <w:trPr>
          <w:trHeight w:val="20"/>
        </w:trPr>
        <w:tc>
          <w:tcPr>
            <w:tcW w:w="98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5"/>
              </w:rPr>
              <w:t>99.2</w:t>
            </w:r>
          </w:p>
        </w:tc>
        <w:tc>
          <w:tcPr>
            <w:tcW w:w="3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Securities Purchase Agreement dated June 30, 2025</w:t>
            </w:r>
          </w:p>
        </w:tc>
      </w:tr>
      <w:tr>
        <w:trPr>
          <w:trHeight w:val="210"/>
        </w:trPr>
        <w:tc>
          <w:tcPr>
            <w:tcW w:w="9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5"/>
              </w:rPr>
              <w:t>99.3</w:t>
            </w:r>
          </w:p>
        </w:tc>
        <w:tc>
          <w:tcPr>
            <w:tcW w:w="18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Form of Convertible Note</w:t>
            </w:r>
          </w:p>
        </w:tc>
        <w:tc>
          <w:tcPr>
            <w:tcW w:w="1860" w:type="dxa"/>
            <w:vAlign w:val="bottom"/>
            <w:gridSpan w:val="2"/>
          </w:tcPr>
          <w:p>
            <w:pPr>
              <w:spacing w:after="0"/>
              <w:rPr>
                <w:sz w:val="18"/>
                <w:szCs w:val="18"/>
                <w:color w:val="auto"/>
              </w:rPr>
            </w:pPr>
          </w:p>
        </w:tc>
      </w:tr>
    </w:tbl>
    <w:p>
      <w:pPr>
        <w:sectPr>
          <w:pgSz w:w="11900" w:h="16838" w:orient="portrait"/>
          <w:cols w:equalWidth="0" w:num="1">
            <w:col w:w="10119"/>
          </w:cols>
          <w:pgMar w:left="340" w:top="1400" w:right="1440" w:bottom="1440" w:gutter="0" w:footer="0" w:header="0"/>
        </w:sectPr>
      </w:pPr>
    </w:p>
    <w:bookmarkStart w:id="3" w:name="page4"/>
    <w:bookmarkEnd w:id="3"/>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REGISTRATION RIGHTS AGREEMENT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THIS REGISTRATION RIGHTS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June 30, 2025 is made by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High Trail Special Situations LLC , a High Trail Special Situations LLC, 290 Harbor Drive, 3rd Floor Stamford, CT 06902 Attn: Capital Solutions (the “</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 and Cybin Inc., an Ontario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Investor and the Company may be referred to herein individually as a “Party” and collectively as the “Parties.”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WITNESSETH</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p>
    <w:p>
      <w:pPr>
        <w:spacing w:after="0" w:line="224" w:lineRule="exact"/>
        <w:rPr>
          <w:sz w:val="20"/>
          <w:szCs w:val="20"/>
          <w:color w:val="auto"/>
        </w:rPr>
      </w:pPr>
    </w:p>
    <w:p>
      <w:pPr>
        <w:jc w:val="both"/>
        <w:ind w:firstLine="656"/>
        <w:spacing w:after="0" w:line="254" w:lineRule="auto"/>
        <w:tabs>
          <w:tab w:leader="none" w:pos="1128"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the Securities Purchase Agreement, by and among the parties hereto of even date herewith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u w:val="single" w:color="auto"/>
          <w:color w:val="auto"/>
        </w:rPr>
        <w:t>Securities Purchase Agreement</w:t>
      </w:r>
      <w:r>
        <w:rPr>
          <w:rFonts w:ascii="Times New Roman" w:cs="Times New Roman" w:eastAsia="Times New Roman" w:hAnsi="Times New Roman"/>
          <w:sz w:val="22"/>
          <w:szCs w:val="22"/>
          <w:color w:val="auto"/>
        </w:rPr>
        <w:t>”), the Company has agreed, upon the terms and subject to the conditions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Agreement, to issue and sell to the Investor up to $50,000,000 in aggregate principal amount of convertible debentures (the “</w:t>
      </w:r>
      <w:r>
        <w:rPr>
          <w:rFonts w:ascii="Times New Roman" w:cs="Times New Roman" w:eastAsia="Times New Roman" w:hAnsi="Times New Roman"/>
          <w:sz w:val="22"/>
          <w:szCs w:val="22"/>
          <w:u w:val="single" w:color="auto"/>
          <w:color w:val="auto"/>
        </w:rPr>
        <w:t>Convertible Debentures</w:t>
      </w:r>
      <w:r>
        <w:rPr>
          <w:rFonts w:ascii="Times New Roman" w:cs="Times New Roman" w:eastAsia="Times New Roman" w:hAnsi="Times New Roman"/>
          <w:sz w:val="22"/>
          <w:szCs w:val="22"/>
          <w:color w:val="auto"/>
        </w:rPr>
        <w:t>”), which shall be convertible into common shares in the capital of the Company (the “</w:t>
      </w:r>
      <w:r>
        <w:rPr>
          <w:rFonts w:ascii="Times New Roman" w:cs="Times New Roman" w:eastAsia="Times New Roman" w:hAnsi="Times New Roman"/>
          <w:sz w:val="22"/>
          <w:szCs w:val="22"/>
          <w:u w:val="single" w:color="auto"/>
          <w:color w:val="auto"/>
        </w:rPr>
        <w:t>Common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(as converted, the “</w:t>
      </w:r>
      <w:r>
        <w:rPr>
          <w:rFonts w:ascii="Times New Roman" w:cs="Times New Roman" w:eastAsia="Times New Roman" w:hAnsi="Times New Roman"/>
          <w:sz w:val="22"/>
          <w:szCs w:val="22"/>
          <w:u w:val="single" w:color="auto"/>
          <w:color w:val="auto"/>
        </w:rPr>
        <w:t>Conversion Shares</w:t>
      </w: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Capitalized terms not defined herein shall have the meaning ascribed to them in the Securities Purchase Agreement.</w:t>
      </w:r>
    </w:p>
    <w:p>
      <w:pPr>
        <w:spacing w:after="0" w:line="175" w:lineRule="exact"/>
        <w:rPr>
          <w:rFonts w:ascii="Times New Roman" w:cs="Times New Roman" w:eastAsia="Times New Roman" w:hAnsi="Times New Roman"/>
          <w:sz w:val="22"/>
          <w:szCs w:val="22"/>
          <w:color w:val="auto"/>
        </w:rPr>
      </w:pPr>
    </w:p>
    <w:p>
      <w:pPr>
        <w:jc w:val="both"/>
        <w:ind w:firstLine="656"/>
        <w:spacing w:after="0" w:line="252" w:lineRule="auto"/>
        <w:tabs>
          <w:tab w:leader="none" w:pos="107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terms of, and in consideration for the Investor entering into, and to induce the Investor to execute and deliver the Securities Purchase Agreement, the Company has agreed to provide certain registration rights under the Securities Act of 1933, as amended, and the rules and regulations thereunder, or any similar successor statute (collectively, the “</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and applicable state securities laws, and other rights as provided for herein.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premises and the mutual covenants contained herein and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are hereby acknowledged, the Company and the Investor hereby agree as follows:</w:t>
      </w:r>
    </w:p>
    <w:p>
      <w:pPr>
        <w:spacing w:after="0" w:line="143"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Capitalized terms used herein and not otherwise defined herein shall have the respective meanings set forth in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Purchase Agreement. As used in this Agreement, the following terms shall have the following meanings:</w:t>
      </w:r>
    </w:p>
    <w:p>
      <w:pPr>
        <w:spacing w:after="0" w:line="180" w:lineRule="exact"/>
        <w:rPr>
          <w:sz w:val="20"/>
          <w:szCs w:val="20"/>
          <w:color w:val="auto"/>
        </w:rPr>
      </w:pPr>
    </w:p>
    <w:p>
      <w:pPr>
        <w:ind w:firstLine="1304"/>
        <w:spacing w:after="0" w:line="236" w:lineRule="auto"/>
        <w:tabs>
          <w:tab w:leader="none" w:pos="194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Securities Laws</w:t>
      </w:r>
      <w:r>
        <w:rPr>
          <w:rFonts w:ascii="Times New Roman" w:cs="Times New Roman" w:eastAsia="Times New Roman" w:hAnsi="Times New Roman"/>
          <w:sz w:val="22"/>
          <w:szCs w:val="22"/>
          <w:color w:val="auto"/>
        </w:rPr>
        <w:t>” means Canadian Securities Laws and U.S. Securities Laws or any of them, as the circumstances require.</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(i) a Saturday, Sunday or statutory holiday in the Province of Ontario or the State of New York, and (ii) a day on which banks are generally closed in Toronto, Ontario or in New York, New York.</w:t>
      </w:r>
    </w:p>
    <w:p>
      <w:pPr>
        <w:sectPr>
          <w:pgSz w:w="11900" w:h="16838" w:orient="portrait"/>
          <w:cols w:equalWidth="0" w:num="1">
            <w:col w:w="11240"/>
          </w:cols>
          <w:pgMar w:left="320" w:top="1440" w:right="339" w:bottom="1440" w:gutter="0" w:footer="0" w:header="0"/>
        </w:sectPr>
      </w:pPr>
    </w:p>
    <w:bookmarkStart w:id="4" w:name="page5"/>
    <w:bookmarkEnd w:id="4"/>
    <w:p>
      <w:pPr>
        <w:jc w:val="both"/>
        <w:ind w:left="-1120" w:firstLine="1304"/>
        <w:spacing w:after="0" w:line="220" w:lineRule="auto"/>
        <w:tabs>
          <w:tab w:leader="none" w:pos="82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Base Shelf Prospectus</w:t>
      </w:r>
      <w:r>
        <w:rPr>
          <w:rFonts w:ascii="Times New Roman" w:cs="Times New Roman" w:eastAsia="Times New Roman" w:hAnsi="Times New Roman"/>
          <w:sz w:val="22"/>
          <w:szCs w:val="22"/>
          <w:color w:val="auto"/>
        </w:rPr>
        <w:t xml:space="preserve">” means a final Canadian base shelf prospectus for which a final receipt from the Canadian Securities Regulatory Authorities has been received qualifying the distribution of Registrable Securities, in each case pursuant to National Instrument 44- 102 –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or any successor to that instrument and including any related Canadian Prospectus Supplement.</w:t>
      </w:r>
    </w:p>
    <w:p>
      <w:pPr>
        <w:spacing w:after="0" w:line="152" w:lineRule="exact"/>
        <w:rPr>
          <w:rFonts w:ascii="Times New Roman" w:cs="Times New Roman" w:eastAsia="Times New Roman" w:hAnsi="Times New Roman"/>
          <w:sz w:val="22"/>
          <w:szCs w:val="22"/>
          <w:color w:val="auto"/>
        </w:rPr>
      </w:pPr>
    </w:p>
    <w:p>
      <w:pPr>
        <w:ind w:left="-1120" w:firstLine="1304"/>
        <w:spacing w:after="0" w:line="236" w:lineRule="auto"/>
        <w:tabs>
          <w:tab w:leader="none" w:pos="81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Prospectus Supplement</w:t>
      </w:r>
      <w:r>
        <w:rPr>
          <w:rFonts w:ascii="Times New Roman" w:cs="Times New Roman" w:eastAsia="Times New Roman" w:hAnsi="Times New Roman"/>
          <w:sz w:val="22"/>
          <w:szCs w:val="22"/>
          <w:color w:val="auto"/>
        </w:rPr>
        <w:t xml:space="preserve">” means a “shelf prospectus supplement” as such term is defined in National Instrument 44-102 –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left="-1120" w:firstLine="1304"/>
        <w:spacing w:after="0" w:line="220" w:lineRule="auto"/>
        <w:tabs>
          <w:tab w:leader="none" w:pos="82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Securities Laws</w:t>
      </w:r>
      <w:r>
        <w:rPr>
          <w:rFonts w:ascii="Times New Roman" w:cs="Times New Roman" w:eastAsia="Times New Roman" w:hAnsi="Times New Roman"/>
          <w:sz w:val="22"/>
          <w:szCs w:val="22"/>
          <w:color w:val="auto"/>
        </w:rPr>
        <w:t>” means, collectively, the securities legislation of each of the provinces and territories of Canada, and all rules, regulations, blanket orders, instruments and policies established thereunder or issued by the Canadian Securities Regulatory Authorities, and including the rules and policies of Cboe Canada Inc., all as amended from time to time; and in all cases as are applicable to the relevant Person at the applicable time.</w:t>
      </w:r>
    </w:p>
    <w:p>
      <w:pPr>
        <w:spacing w:after="0" w:line="152" w:lineRule="exact"/>
        <w:rPr>
          <w:rFonts w:ascii="Times New Roman" w:cs="Times New Roman" w:eastAsia="Times New Roman" w:hAnsi="Times New Roman"/>
          <w:sz w:val="22"/>
          <w:szCs w:val="22"/>
          <w:color w:val="auto"/>
        </w:rPr>
      </w:pPr>
    </w:p>
    <w:p>
      <w:pPr>
        <w:ind w:left="-1120" w:firstLine="1304"/>
        <w:spacing w:after="0" w:line="236" w:lineRule="auto"/>
        <w:tabs>
          <w:tab w:leader="none" w:pos="82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Securities Regulatory Authorities</w:t>
      </w:r>
      <w:r>
        <w:rPr>
          <w:rFonts w:ascii="Times New Roman" w:cs="Times New Roman" w:eastAsia="Times New Roman" w:hAnsi="Times New Roman"/>
          <w:sz w:val="22"/>
          <w:szCs w:val="22"/>
          <w:color w:val="auto"/>
        </w:rPr>
        <w:t>” means the securities regulatory authorities in the applicable provinces and territories of Canada.</w:t>
      </w:r>
    </w:p>
    <w:p>
      <w:pPr>
        <w:spacing w:after="0" w:line="150" w:lineRule="exact"/>
        <w:rPr>
          <w:rFonts w:ascii="Times New Roman" w:cs="Times New Roman" w:eastAsia="Times New Roman" w:hAnsi="Times New Roman"/>
          <w:sz w:val="22"/>
          <w:szCs w:val="22"/>
          <w:color w:val="auto"/>
        </w:rPr>
      </w:pPr>
    </w:p>
    <w:p>
      <w:pPr>
        <w:jc w:val="both"/>
        <w:ind w:left="-1120" w:firstLine="1304"/>
        <w:spacing w:after="0" w:line="225" w:lineRule="auto"/>
        <w:tabs>
          <w:tab w:leader="none" w:pos="81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the date that the applicable Registration Statement has been declared effective by the SEC, and in the case of a Prospectus, the issuance by the applicable Canadian Securities Regulatory Authorities of a receipt for the final prospectus.</w:t>
      </w:r>
    </w:p>
    <w:p>
      <w:pPr>
        <w:spacing w:after="0" w:line="152" w:lineRule="exact"/>
        <w:rPr>
          <w:rFonts w:ascii="Times New Roman" w:cs="Times New Roman" w:eastAsia="Times New Roman" w:hAnsi="Times New Roman"/>
          <w:sz w:val="22"/>
          <w:szCs w:val="22"/>
          <w:color w:val="auto"/>
        </w:rPr>
      </w:pPr>
    </w:p>
    <w:p>
      <w:pPr>
        <w:jc w:val="both"/>
        <w:ind w:left="-1120" w:firstLine="1304"/>
        <w:spacing w:after="0" w:line="215" w:lineRule="auto"/>
        <w:tabs>
          <w:tab w:leader="none" w:pos="81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Effectiveness Deadline</w:t>
      </w:r>
      <w:r>
        <w:rPr>
          <w:rFonts w:ascii="Times New Roman" w:cs="Times New Roman" w:eastAsia="Times New Roman" w:hAnsi="Times New Roman"/>
          <w:sz w:val="22"/>
          <w:szCs w:val="22"/>
          <w:color w:val="auto"/>
        </w:rPr>
        <w:t>” ” means, (i) with respect to the initial Registration Statement required to be filed pursuant to Section 2(b), the 15th calendar day following the date hereof, and (ii) with respect to any additional Registration Statements that may be required to be filed by the Company pursuant to this Agreement, the earlier of (A) the 10th Business Day following the date on which the Company was required to file such additional Registration Statement and (B) the fifth Business Day after the date the Company is notified (orally or in writing, whichever is earlier) by the SEC that such Registration Statement will not be reviewed or will not be subject to further review.</w:t>
      </w:r>
    </w:p>
    <w:p>
      <w:pPr>
        <w:spacing w:after="0" w:line="152" w:lineRule="exact"/>
        <w:rPr>
          <w:rFonts w:ascii="Times New Roman" w:cs="Times New Roman" w:eastAsia="Times New Roman" w:hAnsi="Times New Roman"/>
          <w:sz w:val="22"/>
          <w:szCs w:val="22"/>
          <w:color w:val="auto"/>
        </w:rPr>
      </w:pPr>
    </w:p>
    <w:p>
      <w:pPr>
        <w:ind w:left="-1120" w:firstLine="1304"/>
        <w:spacing w:after="0" w:line="236" w:lineRule="auto"/>
        <w:tabs>
          <w:tab w:leader="none" w:pos="81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50" w:lineRule="exact"/>
        <w:rPr>
          <w:rFonts w:ascii="Times New Roman" w:cs="Times New Roman" w:eastAsia="Times New Roman" w:hAnsi="Times New Roman"/>
          <w:sz w:val="22"/>
          <w:szCs w:val="22"/>
          <w:color w:val="auto"/>
        </w:rPr>
      </w:pPr>
    </w:p>
    <w:p>
      <w:pPr>
        <w:jc w:val="both"/>
        <w:ind w:left="-1120" w:firstLine="1304"/>
        <w:spacing w:after="0" w:line="201" w:lineRule="auto"/>
        <w:tabs>
          <w:tab w:leader="none" w:pos="81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Filing Deadline</w:t>
      </w:r>
      <w:r>
        <w:rPr>
          <w:rFonts w:ascii="Times New Roman" w:cs="Times New Roman" w:eastAsia="Times New Roman" w:hAnsi="Times New Roman"/>
          <w:sz w:val="22"/>
          <w:szCs w:val="22"/>
          <w:color w:val="auto"/>
        </w:rPr>
        <w:t>” means, (i) with respect to the initial Registration Statement required to be filed pursuant to Section 2(a),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following the date hereof, or if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following the date hereof is not a Business Day, the first Business Day following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and (ii) with respect to any additional Registration Statements that may be required to be filed by the Company pursuant to this Agreement, the date on which the Company was required to file such additional Registration Statement pursuant to the terms of this Agreement, but in any case, no later than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Business Day following the date of the determination that an additional Registration Statement is required.</w:t>
      </w:r>
    </w:p>
    <w:p>
      <w:pPr>
        <w:spacing w:after="0" w:line="67"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MJDS</w:t>
      </w:r>
      <w:r>
        <w:rPr>
          <w:rFonts w:ascii="Times New Roman" w:cs="Times New Roman" w:eastAsia="Times New Roman" w:hAnsi="Times New Roman"/>
          <w:sz w:val="22"/>
          <w:szCs w:val="22"/>
          <w:color w:val="auto"/>
        </w:rPr>
        <w:t>” means the Multi Jurisdictional Disclosure System as adopted by the SEC.</w:t>
      </w:r>
    </w:p>
    <w:p>
      <w:pPr>
        <w:spacing w:after="0" w:line="179" w:lineRule="exact"/>
        <w:rPr>
          <w:rFonts w:ascii="Times New Roman" w:cs="Times New Roman" w:eastAsia="Times New Roman" w:hAnsi="Times New Roman"/>
          <w:sz w:val="22"/>
          <w:szCs w:val="22"/>
          <w:color w:val="auto"/>
        </w:rPr>
      </w:pPr>
    </w:p>
    <w:p>
      <w:pPr>
        <w:ind w:left="-1120" w:firstLine="1304"/>
        <w:spacing w:after="0" w:line="236" w:lineRule="auto"/>
        <w:tabs>
          <w:tab w:leader="none" w:pos="81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 corporation, a limited liability company, an association, a partnership, an organization, a business, an individual, a governmental or political subdivision thereof or a governmental agency.</w:t>
      </w:r>
    </w:p>
    <w:p>
      <w:pPr>
        <w:spacing w:after="0" w:line="150" w:lineRule="exact"/>
        <w:rPr>
          <w:rFonts w:ascii="Times New Roman" w:cs="Times New Roman" w:eastAsia="Times New Roman" w:hAnsi="Times New Roman"/>
          <w:sz w:val="22"/>
          <w:szCs w:val="22"/>
          <w:color w:val="auto"/>
        </w:rPr>
      </w:pPr>
    </w:p>
    <w:p>
      <w:pPr>
        <w:jc w:val="both"/>
        <w:ind w:left="-1120" w:firstLine="1304"/>
        <w:spacing w:after="0" w:line="225" w:lineRule="auto"/>
        <w:tabs>
          <w:tab w:leader="none" w:pos="81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Prospectus</w:t>
      </w:r>
      <w:r>
        <w:rPr>
          <w:rFonts w:ascii="Times New Roman" w:cs="Times New Roman" w:eastAsia="Times New Roman" w:hAnsi="Times New Roman"/>
          <w:sz w:val="22"/>
          <w:szCs w:val="22"/>
          <w:color w:val="auto"/>
        </w:rPr>
        <w:t>” means the prospectus included in a Registration Statement, filed under MJDS if available, (including, without limitation, a prospectus that includes any information previously omitted from a prospectus filed as part of an effective registration statement in reliance upon Rule 430A promulgated under the Securities Act), as amended or</w:t>
      </w:r>
    </w:p>
    <w:p>
      <w:pPr>
        <w:sectPr>
          <w:pgSz w:w="11900" w:h="16838" w:orient="portrait"/>
          <w:cols w:equalWidth="0" w:num="1">
            <w:col w:w="10120"/>
          </w:cols>
          <w:pgMar w:left="1440" w:top="1395" w:right="339" w:bottom="1440" w:gutter="0" w:footer="0" w:header="0"/>
        </w:sectPr>
      </w:pPr>
    </w:p>
    <w:bookmarkStart w:id="5" w:name="page6"/>
    <w:bookmarkEnd w:id="5"/>
    <w:p>
      <w:pPr>
        <w:jc w:val="both"/>
        <w:spacing w:after="0" w:line="236" w:lineRule="auto"/>
        <w:rPr>
          <w:sz w:val="20"/>
          <w:szCs w:val="20"/>
          <w:color w:val="auto"/>
        </w:rPr>
      </w:pPr>
      <w:r>
        <w:rPr>
          <w:rFonts w:ascii="Times New Roman" w:cs="Times New Roman" w:eastAsia="Times New Roman" w:hAnsi="Times New Roman"/>
          <w:sz w:val="21"/>
          <w:szCs w:val="21"/>
          <w:color w:val="auto"/>
        </w:rPr>
        <w:t>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52" w:lineRule="exact"/>
        <w:rPr>
          <w:sz w:val="20"/>
          <w:szCs w:val="20"/>
          <w:color w:val="auto"/>
        </w:rPr>
      </w:pPr>
    </w:p>
    <w:p>
      <w:pPr>
        <w:jc w:val="both"/>
        <w:ind w:firstLine="1304"/>
        <w:spacing w:after="0" w:line="215" w:lineRule="auto"/>
        <w:tabs>
          <w:tab w:leader="none" w:pos="193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Registrable Securities</w:t>
      </w:r>
      <w:r>
        <w:rPr>
          <w:rFonts w:ascii="Times New Roman" w:cs="Times New Roman" w:eastAsia="Times New Roman" w:hAnsi="Times New Roman"/>
          <w:sz w:val="22"/>
          <w:szCs w:val="22"/>
          <w:color w:val="auto"/>
        </w:rPr>
        <w:t>” means all of (i) the Common Shares issuable upon conversion of the Convertible Debentures, (ii) the additional shares issuable in connection with any anti-dilution provisions of the Convertible Debentures (without giving effect to any limitations on exercise set forth in the Convertible Debentures, as applicable) and (ii) any Common Shares issued or issuable with respect to any shares described in subsections (i) and (ii) above by way of any share split, share dividend or other distribution, recapitalization or similar event or otherwise (in each case without giving effect to any limitations on exercise set forth in the Convertible Debentures, as applicable).</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any registration statement of the Company filed pursuant to this Agreement, including the Prospectus, amendments and supplements to such registration statement or Prospectus, including post-effective amendments, all exhibits thereto, and all material incorporated by reference or deemed to be incorporated by reference in such registration statement.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Registration Amount</w:t>
      </w:r>
      <w:r>
        <w:rPr>
          <w:rFonts w:ascii="Times New Roman" w:cs="Times New Roman" w:eastAsia="Times New Roman" w:hAnsi="Times New Roman"/>
          <w:sz w:val="22"/>
          <w:szCs w:val="22"/>
          <w:color w:val="auto"/>
        </w:rPr>
        <w:t>” means (i) with respect to the initial Registration Statement,at least 20 million Common Shares issued or to be issued upon conversion of all the Convertible Debentures then outstanding at the then prevailing Conversion Price (as defined in the Convertible Debentures), and (ii) with respect to subsequent Registration Statements such number of Common Shares as equal to 250% of the maximum number of Common Shares issuable upon conversion of all Convertible Debentures then outstanding at the then prevailing Conversion Price (as defined in the Convertible Debentures) (assuming for purposes hereof that any such conversion shall not take into account any limitations on the conversion of the Convertible Debentures set forth therein), in each case subject to any cutback set forth in Section 2(d).</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w:t>
      </w:r>
      <w:r>
        <w:rPr>
          <w:rFonts w:ascii="Times New Roman" w:cs="Times New Roman" w:eastAsia="Times New Roman" w:hAnsi="Times New Roman"/>
          <w:sz w:val="22"/>
          <w:szCs w:val="22"/>
          <w:color w:val="auto"/>
        </w:rPr>
        <w:t>” means Rule 144 under the Securities Act or any successor rule thereto.</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415</w:t>
      </w:r>
      <w:r>
        <w:rPr>
          <w:rFonts w:ascii="Times New Roman" w:cs="Times New Roman" w:eastAsia="Times New Roman" w:hAnsi="Times New Roman"/>
          <w:sz w:val="22"/>
          <w:szCs w:val="22"/>
          <w:color w:val="auto"/>
        </w:rPr>
        <w:t>” means Rule 415 promulgated by the SEC pursuant to the Securities Act, as such Rule may be amended from time to time, or any similar rule or regulation hereafter adopted by the SEC having substantially the same purpose and effect as such Rule.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 or any other federal agency administering the Securities Act and the Exchange Act at the time.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shall have the meaning set forth in the Recitals above.</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 Guidance</w:t>
      </w:r>
      <w:r>
        <w:rPr>
          <w:rFonts w:ascii="Times New Roman" w:cs="Times New Roman" w:eastAsia="Times New Roman" w:hAnsi="Times New Roman"/>
          <w:sz w:val="22"/>
          <w:szCs w:val="22"/>
          <w:color w:val="auto"/>
        </w:rPr>
        <w:t>” means (i) any publicly available written or oral guidance of the SEC staff, or any comments, requirements or requests of the SEC staff and (ii) the Securities Act.</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Securities Laws</w:t>
      </w:r>
      <w:r>
        <w:rPr>
          <w:rFonts w:ascii="Times New Roman" w:cs="Times New Roman" w:eastAsia="Times New Roman" w:hAnsi="Times New Roman"/>
          <w:sz w:val="22"/>
          <w:szCs w:val="22"/>
          <w:color w:val="auto"/>
        </w:rPr>
        <w:t>” means all applicable federal and state securities legislation of the United States, including the Securities Act and the Exchange Act, the respective regulations, rules and orders thereunder, and all applicable rules, regulations, policy statements, notices and interpretation notes issued by the SEC.</w:t>
      </w:r>
    </w:p>
    <w:p>
      <w:pPr>
        <w:sectPr>
          <w:pgSz w:w="11900" w:h="16838" w:orient="portrait"/>
          <w:cols w:equalWidth="0" w:num="1">
            <w:col w:w="11240"/>
          </w:cols>
          <w:pgMar w:left="320" w:top="1395" w:right="339" w:bottom="1440" w:gutter="0" w:footer="0" w:header="0"/>
        </w:sectPr>
      </w:pPr>
    </w:p>
    <w:bookmarkStart w:id="6" w:name="page7"/>
    <w:bookmarkEnd w:id="6"/>
    <w:p>
      <w:pPr>
        <w:ind w:left="644" w:hanging="644"/>
        <w:spacing w:after="0"/>
        <w:tabs>
          <w:tab w:leader="none" w:pos="64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56" w:firstLine="1304"/>
        <w:spacing w:after="0" w:line="215" w:lineRule="auto"/>
        <w:tabs>
          <w:tab w:leader="none" w:pos="1285"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Period</w:t>
      </w:r>
      <w:r>
        <w:rPr>
          <w:rFonts w:ascii="Times New Roman" w:cs="Times New Roman" w:eastAsia="Times New Roman" w:hAnsi="Times New Roman"/>
          <w:sz w:val="22"/>
          <w:szCs w:val="22"/>
          <w:color w:val="auto"/>
        </w:rPr>
        <w:t>. The Company’s registration obligations set forth in this Section 2 including its obligations to file Registration Statements, obtain effectiveness of Registration Statements, and maintain the continuous effectiveness of any Registration Statement that has been declared effective shall begin on the date hereof and continue until all the Registrable Securities have been sold or may be sold without any restrictions pursuant to Rule 144, as determined by the counsel to the Company pursuant to a written opinion letter to such effect, addressed and reasonably acceptable to the Company’s transfer agent (the “</w:t>
      </w:r>
      <w:r>
        <w:rPr>
          <w:rFonts w:ascii="Times New Roman" w:cs="Times New Roman" w:eastAsia="Times New Roman" w:hAnsi="Times New Roman"/>
          <w:sz w:val="22"/>
          <w:szCs w:val="22"/>
          <w:u w:val="single" w:color="auto"/>
          <w:color w:val="auto"/>
        </w:rPr>
        <w:t>Registration Period</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56" w:firstLine="1304"/>
        <w:spacing w:after="0" w:line="223" w:lineRule="auto"/>
        <w:tabs>
          <w:tab w:leader="none" w:pos="1283"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Mandatory Registration</w:t>
      </w:r>
      <w:r>
        <w:rPr>
          <w:rFonts w:ascii="Times New Roman" w:cs="Times New Roman" w:eastAsia="Times New Roman" w:hAnsi="Times New Roman"/>
          <w:sz w:val="21"/>
          <w:szCs w:val="21"/>
          <w:color w:val="auto"/>
        </w:rPr>
        <w:t>. Subject to the terms and conditions of this Agreement, the Company shall (i) on or prior to the Filing Deadline, prepare and file (A) with the Ontario Securities Commission a Canadian Prospectus Supplement allowing for, amongst other things, secondary market sales of Common Shares in the United States, and (B) prepare and file with the SEC the Canadian Prospectus Supplement pursuant to General Instruction II.L of Form F-10, or, if Form F-10 is not available to the Company, prepare and file a Registration Statement on Form F-3 or such other form as may be available to the Company, in either case relating to and providing for the resale of the Registrable Securities on a continuous basis pursuant to Rule 415, if applicable, and cause the SEC to declare such Registration Statement effective, and (ii) on or prior to the 10th Business Day following receipt of each written notice by the Investor (a “</w:t>
      </w:r>
      <w:r>
        <w:rPr>
          <w:rFonts w:ascii="Times New Roman" w:cs="Times New Roman" w:eastAsia="Times New Roman" w:hAnsi="Times New Roman"/>
          <w:sz w:val="21"/>
          <w:szCs w:val="21"/>
          <w:u w:val="single" w:color="auto"/>
          <w:color w:val="auto"/>
        </w:rPr>
        <w:t>Demand Notice</w:t>
      </w:r>
      <w:r>
        <w:rPr>
          <w:rFonts w:ascii="Times New Roman" w:cs="Times New Roman" w:eastAsia="Times New Roman" w:hAnsi="Times New Roman"/>
          <w:sz w:val="21"/>
          <w:szCs w:val="21"/>
          <w:color w:val="auto"/>
        </w:rPr>
        <w:t>”) delivered pursuant to the terms hereof, prepare and file an additional Registration Statement covering the resale by the Investor of Registrable Securities not covered by the initial Registration Statement. Each Registration Statement prepared pursuant hereto shall register for resale at least the number of Common Shares such that the pro forma Common Shares then registered in a Registration Statement and unissued will be equal to the Required Registration Amount as of date the Registration Statement is initially filed with the SEC. In addition, if at any time, clause (ii) of the Required Registration Amount exceeds 250% of the number of Common Shares then registered in a Registration Statement and unissued, then the Company shall file as soon as reasonably practicable, but in any case prior to the applicable Filing Deadline, an additional Registration Statement covering the resale by the Holders of a number of Common Shares such that the pro forma Common Shares then registered in a Registration Statement and unissued will be equal to not less than the Required Registration Amount. Each Canadian Prospectus Supplement and Registration Statement shall contain “</w:t>
      </w:r>
      <w:r>
        <w:rPr>
          <w:rFonts w:ascii="Times New Roman" w:cs="Times New Roman" w:eastAsia="Times New Roman" w:hAnsi="Times New Roman"/>
          <w:sz w:val="21"/>
          <w:szCs w:val="21"/>
          <w:u w:val="single" w:color="auto"/>
          <w:color w:val="auto"/>
        </w:rPr>
        <w:t>Selling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Stockholders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Plan of Distribution</w:t>
      </w:r>
      <w:r>
        <w:rPr>
          <w:rFonts w:ascii="Times New Roman" w:cs="Times New Roman" w:eastAsia="Times New Roman" w:hAnsi="Times New Roman"/>
          <w:sz w:val="21"/>
          <w:szCs w:val="21"/>
          <w:color w:val="auto"/>
        </w:rPr>
        <w:t xml:space="preserve">” sections;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however, that the Company’s obligations hereunder are contingent upon the Investor furnishing in writing to the Company for the purpose of including publicly in the Registration Statement, as applicable, such information regarding the Investor, the securities of the Company held and beneficially owned by the Investor, the intended method of disposition of the Registrable Securities and any other information required to be included in the Registration Statement, as applicable, as shall be reasonably requested by the Company to effect the registration of the applicable securities. The Company shall use its commercially reasonable efforts to have each Registration Statement declared effective by the SEC as soon as practicable, but in no event later than the Effectiveness Deadline. By 9:30 am, New York time on the Business Day following the date of effectiveness, the Company shall file with the SEC in accordance with Rule 424 under the Securities Act, the final Prospectus to be used in connection with sales pursuant to such Registration Statement. Prior to the filing of the Canadian Prospectus Supplement with the Ontario Securities Commission and the Registration Statement with the SEC, the Company shall furnish a draft of the Canadian Prospectus Supplement and the Registration Statement to the Investor for their review and comment. The Investor shall furnish comments on the Canadian Prospectus Supplement and the Registration Statement to the Company within 24 hours of the receipt thereof from the Company. For the purposes hereof, the Investor shall be entitled to deliver a Demand Notice to the Company at any time during the Registration Period if at such time (i) no Registration Statement is then in effect which the Investor may use to resell Registrable</w:t>
      </w:r>
    </w:p>
    <w:p>
      <w:pPr>
        <w:sectPr>
          <w:pgSz w:w="11900" w:h="16838" w:orient="portrait"/>
          <w:cols w:equalWidth="0" w:num="1">
            <w:col w:w="10584"/>
          </w:cols>
          <w:pgMar w:left="976" w:top="1395" w:right="339" w:bottom="1440" w:gutter="0" w:footer="0" w:header="0"/>
        </w:sectPr>
      </w:pPr>
    </w:p>
    <w:bookmarkStart w:id="7" w:name="page8"/>
    <w:bookmarkEnd w:id="7"/>
    <w:p>
      <w:pPr>
        <w:jc w:val="both"/>
        <w:spacing w:after="0" w:line="215" w:lineRule="auto"/>
        <w:rPr>
          <w:sz w:val="20"/>
          <w:szCs w:val="20"/>
          <w:color w:val="auto"/>
        </w:rPr>
      </w:pPr>
      <w:r>
        <w:rPr>
          <w:rFonts w:ascii="Times New Roman" w:cs="Times New Roman" w:eastAsia="Times New Roman" w:hAnsi="Times New Roman"/>
          <w:sz w:val="22"/>
          <w:szCs w:val="22"/>
          <w:color w:val="auto"/>
        </w:rPr>
        <w:t>Securities, or (ii) a Registration Statement is effective, but the holder has resold substantially all of the Common Shares registered on such Registration Statement. In addition, the Investor may deliver a Demand Notice to the Company at any time during the Registration Period during which (i) the Company does not have a class of securities listed, or approved for listing, on a national securities exchange registered pursuant to Section 6 of the Exchange Act, or (ii) Rule 144, as amended, would not allow the “tacking” of the holding period of the Convertible Debenture onto the holding period of the Conversion Shares issuable upon conversion thereof.</w:t>
      </w:r>
    </w:p>
    <w:p>
      <w:pPr>
        <w:spacing w:after="0" w:line="152" w:lineRule="exact"/>
        <w:rPr>
          <w:sz w:val="20"/>
          <w:szCs w:val="20"/>
          <w:color w:val="auto"/>
        </w:rPr>
      </w:pPr>
    </w:p>
    <w:p>
      <w:pPr>
        <w:jc w:val="both"/>
        <w:ind w:firstLine="1304"/>
        <w:spacing w:after="0" w:line="207" w:lineRule="auto"/>
        <w:tabs>
          <w:tab w:leader="none" w:pos="194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and Supplements</w:t>
      </w:r>
      <w:r>
        <w:rPr>
          <w:rFonts w:ascii="Times New Roman" w:cs="Times New Roman" w:eastAsia="Times New Roman" w:hAnsi="Times New Roman"/>
          <w:sz w:val="22"/>
          <w:szCs w:val="22"/>
          <w:color w:val="auto"/>
        </w:rPr>
        <w:t>. During the Registration Period, subject to Allowable Grace Periods (as defined in Section 2(g) below), the Company shall use commercially reasonable efforts to (i) promptly prepare and file with the SEC such amendments (including post-effective amendments) and supplements to the Registration Statement, as applicable, and the Prospectus used in connection with a Registration Statement, which Prospectus is to be filed pursuant to Rule 424 promulgated under the Securities Act as may be necessary to keep such Registration Statement effective at all times during the Registration Period, (ii) prepare and file with the applicable securities regulators additional Registration Statements, as applicable, in order to register for resale under Securities Laws all of the Registrable Securities in accordance with the terms of this Agreement; (iii) cause the related Prospectus to be amended or supplemented by any required Prospectus supplement (subject to the terms of this Agreement), and as so supplemented or amended to be filed pursuant to Rule 424; (iv) respond as promptly as reasonably possible to any comments received from the applicable securities regulators with respect to a Registration Statement, Canadian Prospectus Supplement or any amendment thereto and as promptly as reasonably possible provide the Investor true and complete copies of all correspondence from and to the applicable securities regulators relating to a Registration Statement or the Canadian Prospectus Supplement (provided that the Company may excise any information contained therein which would constitute material non-public information as to any Investor which has not executed a confidentiality agreement with the Company); and (v) comply with the provisions of Applicable Securities Laws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including the Prospectus Supplement. In the case of amendments and supplements to a Registration Statement which are required to be filed pursuant to this Agreement (including pursuant to this Section 2(c)) by reason of the Company’s filing a report on Form 40-F, or Form 6-K or any analogous report under the Securities Exchange Act, the Company shall incorporate such report by reference into the Registration Statement, as and if applicable, or shall file such amendments or supplements with the SEC on the same day on which the Exchange Act report is filed which created the requirement for the Company to amend or supplement the Registration Statement.</w:t>
      </w:r>
    </w:p>
    <w:p>
      <w:pPr>
        <w:spacing w:after="0" w:line="165"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Reduction of Registrable Securities Included in a Registration Statement</w:t>
      </w:r>
      <w:r>
        <w:rPr>
          <w:rFonts w:ascii="Times New Roman" w:cs="Times New Roman" w:eastAsia="Times New Roman" w:hAnsi="Times New Roman"/>
          <w:sz w:val="22"/>
          <w:szCs w:val="22"/>
          <w:color w:val="auto"/>
        </w:rPr>
        <w:t>. Notwithstanding anything contained herein, in the event that the SEC requires the Company to reduce the number of Registrable Securities to be included in a Registration Statement in order to allow the Company to rely on Rule 415 with respect to a Registration Statement, then the Company shall be obligated to include in such Registration Statement (which may be a subsequent Registration Statement if the Company needs to withdraw a Registration Statement and refile a new Registration Statement in order to rely on Rule 415) only such limited portion of the Registrable Securities as the SEC shall permit. Any Registrable Securities that are excluded in accordance with the foregoing terms are hereinafter referred to as “</w:t>
      </w:r>
      <w:r>
        <w:rPr>
          <w:rFonts w:ascii="Times New Roman" w:cs="Times New Roman" w:eastAsia="Times New Roman" w:hAnsi="Times New Roman"/>
          <w:sz w:val="22"/>
          <w:szCs w:val="22"/>
          <w:u w:val="single" w:color="auto"/>
          <w:color w:val="auto"/>
        </w:rPr>
        <w:t>Cut Back Securities</w:t>
      </w:r>
      <w:r>
        <w:rPr>
          <w:rFonts w:ascii="Times New Roman" w:cs="Times New Roman" w:eastAsia="Times New Roman" w:hAnsi="Times New Roman"/>
          <w:sz w:val="22"/>
          <w:szCs w:val="22"/>
          <w:color w:val="auto"/>
        </w:rPr>
        <w:t>.” To the extent Cut Back Securities exist, promptly following such time as may be permitted by the SEC, the Company shall be required to file a Registration Statement covering the resale of the Cut Back Securities (subject also to the terms of this Section 2) and shall use its best efforts to cause such Registration Statement to be declared effective as promptly as practicable thereafter, but in no event later than the Effectiveness Deadline. Notwithstanding the foregoing to the</w:t>
      </w:r>
    </w:p>
    <w:p>
      <w:pPr>
        <w:sectPr>
          <w:pgSz w:w="11900" w:h="16838" w:orient="portrait"/>
          <w:cols w:equalWidth="0" w:num="1">
            <w:col w:w="11240"/>
          </w:cols>
          <w:pgMar w:left="320" w:top="1395" w:right="339" w:bottom="1440" w:gutter="0" w:footer="0" w:header="0"/>
        </w:sectPr>
      </w:pPr>
    </w:p>
    <w:bookmarkStart w:id="8" w:name="page9"/>
    <w:bookmarkEnd w:id="8"/>
    <w:p>
      <w:pPr>
        <w:jc w:val="both"/>
        <w:spacing w:after="0" w:line="213" w:lineRule="auto"/>
        <w:rPr>
          <w:sz w:val="20"/>
          <w:szCs w:val="20"/>
          <w:color w:val="auto"/>
        </w:rPr>
      </w:pPr>
      <w:r>
        <w:rPr>
          <w:rFonts w:ascii="Times New Roman" w:cs="Times New Roman" w:eastAsia="Times New Roman" w:hAnsi="Times New Roman"/>
          <w:sz w:val="22"/>
          <w:szCs w:val="22"/>
          <w:color w:val="auto"/>
        </w:rPr>
        <w:t>contrary, the Company shall be obligated to use diligent efforts to advocate with the SEC for the registration of all of the Registrable Securities in accordance with the SEC Guidance, including without limitation, Compliance and Disclosure Interpretation 612.09. Unless otherwise directed in writing by a holder as to its Registrable Securities, the number of Registrable Securities to be registered on such Registration Statement will be reduced as follows: (i) first, the Company shall reduce or eliminate any securities to be included other than Registrable Securities; and (ii) second, the Company shall reduce Registrable Securities on a pro rata basis based on the total number of Registrable Securities held by such holders (or as otherwise expressly directed by the SEC).</w:t>
      </w:r>
    </w:p>
    <w:p>
      <w:pPr>
        <w:spacing w:after="0" w:line="156" w:lineRule="exact"/>
        <w:rPr>
          <w:sz w:val="20"/>
          <w:szCs w:val="20"/>
          <w:color w:val="auto"/>
        </w:rPr>
      </w:pPr>
    </w:p>
    <w:p>
      <w:pPr>
        <w:jc w:val="both"/>
        <w:ind w:firstLine="1304"/>
        <w:spacing w:after="0" w:line="209" w:lineRule="auto"/>
        <w:tabs>
          <w:tab w:leader="none" w:pos="194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Piggy-Back Registrations</w:t>
      </w:r>
      <w:r>
        <w:rPr>
          <w:rFonts w:ascii="Times New Roman" w:cs="Times New Roman" w:eastAsia="Times New Roman" w:hAnsi="Times New Roman"/>
          <w:sz w:val="22"/>
          <w:szCs w:val="22"/>
          <w:color w:val="auto"/>
        </w:rPr>
        <w:t xml:space="preserve">. If at any time there is not an effective Registration Statement covering all of the Registrable Securities and the Company proposes to register the offer and sale of any Common Shares under Applicable Securities Laws (other than a registration (i) pursuant to a Registration Statement on Form S-8 (or other registration solely relating to an offering, business combination transaction, acquisition or sale to employees or directors of the Company pursuant to any employee share plan or other employee benefit arrangement), (ii) pursuant to a Registration Statement on Form F-4 (or similar form that relates to a transaction subject to Rule 145 under the Securities Act or any successor rule thereto), or (iii) in connection with any dividend or distribution reinvestment or similar plan), whether for its own account or for the account of one or more shareholders of the Company and the form of Registration Statement to be used may be used for any registration of Registrable Securities, the Company shall give prompt written notice (in any event no later than five days prior to the filing of such Registration Statement) to the holders of Registrable Securities of its intention to effect such a registration and, shall include in such registration all Registrable Securities with respect to which the Company has received written requests for inclusion from the holders of Registrable Securities within two days of receipt of notice from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shall not be required to register any Registrable Securities pursuant to this Section 2(e) that have been sold or may be sold without any restrictions pursuant to Rule 144, as determined by the counsel to the Company pursuant to a written opinion letter to such effect, addressed and acceptable to the Company’s transfer agent.</w:t>
      </w:r>
    </w:p>
    <w:p>
      <w:pPr>
        <w:spacing w:after="0" w:line="151"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44"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Allowable Grace Period</w:t>
      </w:r>
      <w:r>
        <w:rPr>
          <w:rFonts w:ascii="Times New Roman" w:cs="Times New Roman" w:eastAsia="Times New Roman" w:hAnsi="Times New Roman"/>
          <w:sz w:val="21"/>
          <w:szCs w:val="21"/>
          <w:color w:val="auto"/>
        </w:rPr>
        <w:t>. Notwithstanding anything to the contrary contained herein, upon the advice of Company counsel in the form of a written opinion, at any time after the Effective Date of a particular Registration Statement, the Company may, upon written notice to the Investor, suspend the Investor’s use of any Prospectus (in which event the Investor shall discontinue sales of any Registrable Securities pursuant to such Registration Statement contemplated by this Agreement, but shall settle any previously made sales of Registrable Securities) if the Company (x) is pursuing an acquisition, merger, tender offer, reorganization, disposition or other similar transaction and the Company determines in good faith that (A) the Company’s ability to pursue or consummate such a transaction would be materially adversely affected by any required disclosure of such transaction in such Registration Statement or other registration statement or (B) such transaction renders the Company unable to comply with Applicable Securities Laws, in each case under circumstances that would make it impractical or inadvisable to cause any Registration Statement (or such filings) to be used by the Investor or to promptly amend or supplement any Registration Statement contemplated by this Agreement on a post effective basis, as applicable, or (y) has experienced some other material non-public event the disclosure of which at such time, in the good faith judgment of the Company, would materially adversely affect the Company (each, an “</w:t>
      </w:r>
      <w:r>
        <w:rPr>
          <w:rFonts w:ascii="Times New Roman" w:cs="Times New Roman" w:eastAsia="Times New Roman" w:hAnsi="Times New Roman"/>
          <w:sz w:val="21"/>
          <w:szCs w:val="21"/>
          <w:u w:val="single" w:color="auto"/>
          <w:color w:val="auto"/>
        </w:rPr>
        <w:t>Allowable Grace Period</w:t>
      </w:r>
      <w:r>
        <w:rPr>
          <w:rFonts w:ascii="Times New Roman" w:cs="Times New Roman" w:eastAsia="Times New Roman" w:hAnsi="Times New Roman"/>
          <w:sz w:val="21"/>
          <w:szCs w:val="21"/>
          <w:color w:val="auto"/>
        </w:rPr>
        <w:t>”); provided, however, that, subject to the terms of this Agreement, in no event shall the Investor be suspended from selling Registrable Securities pursuant to any Registration Statement for a period that exceeds twenty (20) consecutive calendar days or an aggregate of forty (40) calendar days in any 365-day period. Upon disclosure of such information or the termination of the condition described above, the Company shall provide prompt notice, but in any event within one Business Day of such disclosure or termination, to the Investor and shall promptly</w:t>
      </w:r>
    </w:p>
    <w:p>
      <w:pPr>
        <w:sectPr>
          <w:pgSz w:w="11900" w:h="16838" w:orient="portrait"/>
          <w:cols w:equalWidth="0" w:num="1">
            <w:col w:w="11240"/>
          </w:cols>
          <w:pgMar w:left="320" w:top="1395" w:right="339" w:bottom="1440" w:gutter="0" w:footer="0" w:header="0"/>
        </w:sectPr>
      </w:pPr>
    </w:p>
    <w:bookmarkStart w:id="9" w:name="page10"/>
    <w:bookmarkEnd w:id="9"/>
    <w:p>
      <w:pPr>
        <w:spacing w:after="0" w:line="236" w:lineRule="auto"/>
        <w:rPr>
          <w:sz w:val="20"/>
          <w:szCs w:val="20"/>
          <w:color w:val="auto"/>
        </w:rPr>
      </w:pPr>
      <w:r>
        <w:rPr>
          <w:rFonts w:ascii="Times New Roman" w:cs="Times New Roman" w:eastAsia="Times New Roman" w:hAnsi="Times New Roman"/>
          <w:sz w:val="22"/>
          <w:szCs w:val="22"/>
          <w:color w:val="auto"/>
        </w:rPr>
        <w:t>terminate any suspension of sales it has put into effect and shall take such other reasonable actions to permit registered sales of Registrable Securities as contemplated in this Agreement.</w:t>
      </w:r>
    </w:p>
    <w:p>
      <w:pPr>
        <w:spacing w:after="0" w:line="150"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RELATED OBLIGATIONS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not less than three Business Days prior to the filing of each Registration Statement and not less than one Business Day prior to the filing of any related amendments and supplements to all Registration Statements (except for annual reports on Form 40-F, supplements and amendments to update the Registration Statement solely for information reflected in the Company’s annual reports on Form 40-F, or current reports on Form 6-K), furnish to each Investor copies of all such documents proposed to be filed, which documents (other than those incorporated or deemed to be incorporated by reference) will be subject to the reasonable and prompt review of such Investor, The Company shall not file a Registration Statement or any such Prospectus or any amendments or supplements thereto to which the Investor shall reasonably object in good faith;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is notified of such objection in writing no later than one (1) Business Day after the Investors have been so furnished copies of a Registration Statement.</w:t>
      </w:r>
    </w:p>
    <w:p>
      <w:pPr>
        <w:spacing w:after="0" w:line="158"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furnish to each Investor whose Registrable Securities are included in any Registration Statement, without charge, (i) an electronic copy of such Registration Statement as declared effective by the SEC and any amendment(s) thereto, including financial statements and schedules, all documents incorporated therein by reference, all exhibits and each Prospectus, (ii) an electronic of the final prospectus included in such Registration Statement and all amendments and supplements thereto (or such other number of copies as such Investor may reasonably request) and (iii) such other documents, which are not publicly available through EDGAR, as such Investor may reasonably request from time to time in order to facilitate the disposition of the Registrable Securities owned by such Investor.</w:t>
      </w:r>
    </w:p>
    <w:p>
      <w:pPr>
        <w:spacing w:after="0" w:line="156" w:lineRule="exact"/>
        <w:rPr>
          <w:rFonts w:ascii="Times New Roman" w:cs="Times New Roman" w:eastAsia="Times New Roman" w:hAnsi="Times New Roman"/>
          <w:sz w:val="22"/>
          <w:szCs w:val="22"/>
          <w:color w:val="auto"/>
        </w:rPr>
      </w:pPr>
    </w:p>
    <w:p>
      <w:pPr>
        <w:jc w:val="both"/>
        <w:ind w:firstLine="1304"/>
        <w:spacing w:after="0" w:line="219" w:lineRule="auto"/>
        <w:tabs>
          <w:tab w:leader="none" w:pos="1941"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use its best efforts to (i) register and qualify the Registrable Securities covered by a Registration Statement under such other securities or “blue sky” laws of such jurisdictions in the United States as the Investor reasonably requests,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(w) make any change to its articles of incorporation or by-laws, (x) qualify to do business in any jurisdiction where it would not otherwise be required to qualify but for this Section 3(c), (y) subject itself to general taxation in any such jurisdiction, or (z) file a general consent to service of process in any such jurisdiction. The Company shall promptly notify each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 of any proceeding for such purpose.</w:t>
      </w:r>
    </w:p>
    <w:p>
      <w:pPr>
        <w:spacing w:after="0" w:line="159" w:lineRule="exact"/>
        <w:rPr>
          <w:rFonts w:ascii="Times New Roman" w:cs="Times New Roman" w:eastAsia="Times New Roman" w:hAnsi="Times New Roman"/>
          <w:sz w:val="21"/>
          <w:szCs w:val="21"/>
          <w:color w:val="auto"/>
        </w:rPr>
      </w:pPr>
    </w:p>
    <w:p>
      <w:pPr>
        <w:jc w:val="both"/>
        <w:ind w:firstLine="1304"/>
        <w:spacing w:after="0" w:line="215" w:lineRule="auto"/>
        <w:tabs>
          <w:tab w:leader="none" w:pos="1939"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prior to the end of the Registration Period, as promptly as practicable after becoming aware of such event or development, the Company shall notify each Investor in writing of the happening of any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(provided that in no event shall such notice contain any material, nonpublic information), and promptly prepare</w:t>
      </w:r>
    </w:p>
    <w:p>
      <w:pPr>
        <w:sectPr>
          <w:pgSz w:w="11900" w:h="16838" w:orient="portrait"/>
          <w:cols w:equalWidth="0" w:num="1">
            <w:col w:w="11240"/>
          </w:cols>
          <w:pgMar w:left="320" w:top="1395" w:right="339" w:bottom="1440" w:gutter="0" w:footer="0" w:header="0"/>
        </w:sectPr>
      </w:pPr>
    </w:p>
    <w:bookmarkStart w:id="10" w:name="page11"/>
    <w:bookmarkEnd w:id="10"/>
    <w:p>
      <w:pPr>
        <w:jc w:val="both"/>
        <w:spacing w:after="0" w:line="211" w:lineRule="auto"/>
        <w:rPr>
          <w:sz w:val="20"/>
          <w:szCs w:val="20"/>
          <w:color w:val="auto"/>
        </w:rPr>
      </w:pPr>
      <w:r>
        <w:rPr>
          <w:rFonts w:ascii="Times New Roman" w:cs="Times New Roman" w:eastAsia="Times New Roman" w:hAnsi="Times New Roman"/>
          <w:sz w:val="22"/>
          <w:szCs w:val="22"/>
          <w:color w:val="auto"/>
        </w:rPr>
        <w:t>a supplement or amendment to such Registration Statement to correct such untrue statement or omission, and deliver ten (10) copies of such supplement or amendment to the Investor if requested. The Company shall also promptly notify each Investor in writing (i) when a Prospectus or any Prospectus supplement or post-effective amendment has been filed, and when a Registration Statement or any post-effective amendment has become effective (notification of such effectiveness shall be delivered to the Investor by facsimile on the same day of such effectiveness), (ii) of any request by the SEC for amendments or supplements to a Registration Statement or related prospectus or related information, and (iii) of the Company’s reasonable determination that a post-effective amendment to a Registration Statement would be appropriate. The Company shall respond as promptly as reasonably practicable to any comments received from the SEC with respect to a Registration Statement or any amendment thereto.</w:t>
      </w:r>
    </w:p>
    <w:p>
      <w:pPr>
        <w:spacing w:after="0" w:line="158" w:lineRule="exact"/>
        <w:rPr>
          <w:sz w:val="20"/>
          <w:szCs w:val="20"/>
          <w:color w:val="auto"/>
        </w:rPr>
      </w:pPr>
    </w:p>
    <w:p>
      <w:pPr>
        <w:jc w:val="both"/>
        <w:ind w:firstLine="1304"/>
        <w:spacing w:after="0" w:line="217" w:lineRule="auto"/>
        <w:tabs>
          <w:tab w:leader="none" w:pos="194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use its best efforts to prevent the issuance of any stop order or other suspension of effectiveness of a Registration Statement, or the suspension of the qualification of any of the Registrable Securities for sale in any jurisdiction and, if such an order or suspension is issued, to obtain the withdrawal of such order or suspension at the earliest possible moment and to notify each Investor who holds Registrable Securities being sold of the issuance of such order and the resolution thereof or its receipt of actual notice of the initiation or threat of any proceeding for such purpose.</w:t>
      </w:r>
    </w:p>
    <w:p>
      <w:pPr>
        <w:spacing w:after="0" w:line="152"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44"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hold in confidence and not make any disclosure of information concerning the Investor provided to the Company unless (i) disclosure of such information is necessary to comply with federal or state securities laws, (ii) the disclosure of such information is necessary to avoid or correct a misstatement or omission in any Registration Statement,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agreement. The Company agrees that it shall, upon learning that disclosure of such information concerning the Investor is sought in or by a court or governmental body of competent jurisdiction or through other means, give prompt written notice to the Investor and allow the Investor, at the Investor’s expense, to undertake appropriate action to prevent disclosure of, or to obtain a protective order for, such information.</w:t>
      </w:r>
    </w:p>
    <w:p>
      <w:pPr>
        <w:spacing w:after="0" w:line="149" w:lineRule="exact"/>
        <w:rPr>
          <w:rFonts w:ascii="Times New Roman" w:cs="Times New Roman" w:eastAsia="Times New Roman" w:hAnsi="Times New Roman"/>
          <w:sz w:val="21"/>
          <w:szCs w:val="21"/>
          <w:color w:val="auto"/>
        </w:rPr>
      </w:pPr>
    </w:p>
    <w:p>
      <w:pPr>
        <w:jc w:val="both"/>
        <w:ind w:right="20" w:firstLine="1304"/>
        <w:spacing w:after="0" w:line="225" w:lineRule="auto"/>
        <w:tabs>
          <w:tab w:leader="none" w:pos="193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use its best efforts to cause all the Registrable Securities to be listed on each securities exchange on which the Common Shares are then listed. The Company shall pay all fees and expenses in connection with satisfying its obligation under this Section 3(g).</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cooperate with the holders of the Registrable Securities to facilitate the timely preparation and delivery of certificates representing the Registrable Securities to be sold pursuant to such Registration Statement or Rule 144 free of any restrictive legends and representing such number of Common Shares and registered in such names as the holders of the Registrable Securities may reasonably request a reasonable period of time prior to sales of Registrable Securities pursuant to such Registration Statement or Rule;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Company may satisfy its obligations hereunder without issuing physical share certificates through the use of The Depository Trust Company's Direct Registration System or direct registration statements.</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use its best efforts to cause the Registrable Securities to be registered with or approved by such other governmental agencies or authorities as may be necessary to consummate the disposition of such Registrable Securities.</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otherwise use its best efforts to comply with all applicable rules and regulations of the SEC in connection with any registration hereunder.</w:t>
      </w:r>
    </w:p>
    <w:p>
      <w:pPr>
        <w:sectPr>
          <w:pgSz w:w="11900" w:h="16838" w:orient="portrait"/>
          <w:cols w:equalWidth="0" w:num="1">
            <w:col w:w="11240"/>
          </w:cols>
          <w:pgMar w:left="320" w:top="1395" w:right="339" w:bottom="1440" w:gutter="0" w:footer="0" w:header="0"/>
        </w:sectPr>
      </w:pPr>
    </w:p>
    <w:bookmarkStart w:id="11" w:name="page12"/>
    <w:bookmarkEnd w:id="11"/>
    <w:p>
      <w:pPr>
        <w:jc w:val="both"/>
        <w:ind w:firstLine="1304"/>
        <w:spacing w:after="0" w:line="220" w:lineRule="auto"/>
        <w:tabs>
          <w:tab w:leader="none" w:pos="1939"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one Business Day after a Registration Statement which covers Registrable Securities is declared effective by the SEC, the Company shall deliver, and shall cause legal counsel for the Company to deliver, to the transfer agent for such Registrable Securities (with copies to the Investor whose Registrable Securities are included in such Registration Statement) confirmation that such Registration Statement has been declared effective by the SEC.</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take all other reasonable actions necessary to expedite and facilitate disposition by each Investor of Registrable Securities pursuant to a Registration Statement.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OF THE INVESTOR</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Investor agrees that, upon receipt of any notice from the Company of the happening of any event of the kind described in Section 2(f) the Investor will immediately discontinue disposition of Registrable Securities pursuant to any Registration Statement covering such Registrable Securities until the Investor’s receipt of the copies of the supplemented or amended prospectus contemplated by Section 2(f) or receipt of notice that no supplement or amendment is required. Notwithstanding anything to the contrary, subject to compliance with the securities laws, as soon as possible, but in no event later than the second (2nd) Business Day following the date of receipt of notice, the Company shall cause its transfer agent to deliver unlegended certificates for Common Shares to a transferee of an Investor in accordance with the terms of the Securities Purchase Agreement in connection with any sale of Registrable Securities with respect to which an Investor has entered into a contract for sale prior to the Investor’s receipt of a notice from the Company of the happening of any event of the kind described in Section 2(f) and for which the Investor has not yet settled.</w:t>
      </w:r>
    </w:p>
    <w:p>
      <w:pPr>
        <w:spacing w:after="0" w:line="151"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Investor covenants and agrees that it will comply with the prospectus delivery requirements of Applicable Securities Laws as applicable to it or an exemption therefrom in connection with sales of Registrable Securities pursuant to the Registration Statement.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Investor agrees to furnish to the Company a completed questionnaire (the “</w:t>
      </w:r>
      <w:r>
        <w:rPr>
          <w:rFonts w:ascii="Times New Roman" w:cs="Times New Roman" w:eastAsia="Times New Roman" w:hAnsi="Times New Roman"/>
          <w:sz w:val="22"/>
          <w:szCs w:val="22"/>
          <w:u w:val="single" w:color="auto"/>
          <w:color w:val="auto"/>
        </w:rPr>
        <w:t>Selling Securityholder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Questionnaire</w:t>
      </w:r>
      <w:r>
        <w:rPr>
          <w:rFonts w:ascii="Times New Roman" w:cs="Times New Roman" w:eastAsia="Times New Roman" w:hAnsi="Times New Roman"/>
          <w:sz w:val="22"/>
          <w:szCs w:val="22"/>
          <w:color w:val="auto"/>
        </w:rPr>
        <w:t>”) in the form attached to this Agreement as Annex A, on a date that is not less than two Business Days prior to the Filing Deadline. The delivery of such Selling Securityholder Questionnaire shall be a condition precedent to the Company’s obligation to file the Registration Statement hereunder.</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Investor agrees to cooperate with the Company as reasonably requested by the Company in connection with the preparation and filing of any amendments and supplements to the Registration Statement, the Canadian Base Shelf Prospectus and the Canadian Prospectus Supplement.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 OF REGISTRATION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Each party shall bear its own fees and expenses related to the transactions contemplated by this Agreements. For the avoidance of doubt, all expenses incurred by the Company in complying with its obligations pursuant to this Agreement and in connection with the registration and disposition of Registrable Securities shall be paid by the Company, including, without limitation, all registration, listing and qualifications fees, printers expenses, and fees and expenses of the Company’s counsel and accountants (except legal fees of Investor’s counsel associated with the review of the Registration Statement, the Canadian Base Shelf Prospectus</w:t>
      </w:r>
    </w:p>
    <w:p>
      <w:pPr>
        <w:sectPr>
          <w:pgSz w:w="11900" w:h="16838" w:orient="portrait"/>
          <w:cols w:equalWidth="0" w:num="1">
            <w:col w:w="11240"/>
          </w:cols>
          <w:pgMar w:left="320" w:top="1395" w:right="339" w:bottom="1440" w:gutter="0" w:footer="0" w:header="0"/>
        </w:sectPr>
      </w:pPr>
    </w:p>
    <w:bookmarkStart w:id="12" w:name="page13"/>
    <w:bookmarkEnd w:id="12"/>
    <w:p>
      <w:pPr>
        <w:spacing w:after="0" w:line="271" w:lineRule="auto"/>
        <w:rPr>
          <w:sz w:val="20"/>
          <w:szCs w:val="20"/>
          <w:color w:val="auto"/>
        </w:rPr>
      </w:pPr>
      <w:r>
        <w:rPr>
          <w:rFonts w:ascii="Times New Roman" w:cs="Times New Roman" w:eastAsia="Times New Roman" w:hAnsi="Times New Roman"/>
          <w:sz w:val="22"/>
          <w:szCs w:val="22"/>
          <w:color w:val="auto"/>
        </w:rPr>
        <w:t>and the Canadian Prospectus Supplement). The Investor shall pay any sales or brokerage commissions and fees and expenses of counsel for, and other expenses of, the Investor incurred in connection with registration of Registrable Securities.</w:t>
      </w:r>
    </w:p>
    <w:p>
      <w:pPr>
        <w:spacing w:after="0" w:line="131"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respect to Registrable Securities which are included in a Registration Statement under this Agreement:</w:t>
      </w:r>
    </w:p>
    <w:p>
      <w:pPr>
        <w:spacing w:after="0" w:line="206" w:lineRule="exact"/>
        <w:rPr>
          <w:sz w:val="20"/>
          <w:szCs w:val="20"/>
          <w:color w:val="auto"/>
        </w:rPr>
      </w:pPr>
    </w:p>
    <w:p>
      <w:pPr>
        <w:jc w:val="both"/>
        <w:ind w:firstLine="1304"/>
        <w:spacing w:after="0" w:line="224" w:lineRule="auto"/>
        <w:tabs>
          <w:tab w:leader="none" w:pos="1941"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fullest extent permitted by law, the Company shall, and hereby does, indemnify, hold harmless and defend the Investor, the directors, officers, partners, employees, agents, representatives of, and each Person, if any, who controls any Investor within the meaning of the Securities Act or the Exchange Act (each, an “</w:t>
      </w:r>
      <w:r>
        <w:rPr>
          <w:rFonts w:ascii="Times New Roman" w:cs="Times New Roman" w:eastAsia="Times New Roman" w:hAnsi="Times New Roman"/>
          <w:sz w:val="21"/>
          <w:szCs w:val="21"/>
          <w:u w:val="single" w:color="auto"/>
          <w:color w:val="auto"/>
        </w:rPr>
        <w:t>Indemnified Person</w:t>
      </w:r>
      <w:r>
        <w:rPr>
          <w:rFonts w:ascii="Times New Roman" w:cs="Times New Roman" w:eastAsia="Times New Roman" w:hAnsi="Times New Roman"/>
          <w:sz w:val="21"/>
          <w:szCs w:val="21"/>
          <w:color w:val="auto"/>
        </w:rPr>
        <w:t>”), against any losses, claims, damages, liabilities, judgments, fines, penalties, charges, costs, reasonable attorneys’ fees, amounts paid in settlement or expenses, joint or several (collectively,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w:t>
      </w:r>
      <w:r>
        <w:rPr>
          <w:rFonts w:ascii="Times New Roman" w:cs="Times New Roman" w:eastAsia="Times New Roman" w:hAnsi="Times New Roman"/>
          <w:sz w:val="21"/>
          <w:szCs w:val="21"/>
          <w:u w:val="single" w:color="auto"/>
          <w:color w:val="auto"/>
        </w:rPr>
        <w:t>Indemnified Damages</w:t>
      </w:r>
      <w:r>
        <w:rPr>
          <w:rFonts w:ascii="Times New Roman" w:cs="Times New Roman" w:eastAsia="Times New Roman" w:hAnsi="Times New Roman"/>
          <w:sz w:val="21"/>
          <w:szCs w:val="21"/>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 w:cs="Times New Roman" w:eastAsia="Times New Roman" w:hAnsi="Times New Roman"/>
          <w:sz w:val="21"/>
          <w:szCs w:val="21"/>
          <w:u w:val="single" w:color="auto"/>
          <w:color w:val="auto"/>
        </w:rPr>
        <w:t>Blue Sky Filing</w:t>
      </w:r>
      <w:r>
        <w:rPr>
          <w:rFonts w:ascii="Times New Roman" w:cs="Times New Roman" w:eastAsia="Times New Roman" w:hAnsi="Times New Roman"/>
          <w:sz w:val="21"/>
          <w:szCs w:val="21"/>
          <w:color w:val="auto"/>
        </w:rPr>
        <w:t>”), or the omission or alleged omission to state a material fact required to be stated therein or necessary to make the statements therein not misleading; (ii) any untrue statement or alleged untrue statement of a material fact contained in any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or (iii) any violation or alleged violation by the Company of the Securities Act, the Exchange Act, any other law, including, without limitation, any state securities law, or any rule or regulation there under relating to the offer or sale of the Registrable Securities pursuant to a Registration Statement (the matters in the foregoing clauses (i) through (iii) being, collectively, “</w:t>
      </w:r>
      <w:r>
        <w:rPr>
          <w:rFonts w:ascii="Times New Roman" w:cs="Times New Roman" w:eastAsia="Times New Roman" w:hAnsi="Times New Roman"/>
          <w:sz w:val="21"/>
          <w:szCs w:val="21"/>
          <w:u w:val="single" w:color="auto"/>
          <w:color w:val="auto"/>
        </w:rPr>
        <w:t>Violations</w:t>
      </w:r>
      <w:r>
        <w:rPr>
          <w:rFonts w:ascii="Times New Roman" w:cs="Times New Roman" w:eastAsia="Times New Roman" w:hAnsi="Times New Roman"/>
          <w:sz w:val="21"/>
          <w:szCs w:val="21"/>
          <w:color w:val="auto"/>
        </w:rPr>
        <w:t>”). The Company shall reimburse the Investor and each such controlling person promptly as such expenses are incurred and are due and payable, for any legal fees or disbursements or other reasonable expenses incurred by them in connection with investigating or defending any such Claim. Notwithstanding anything to the contrary contained herein, the indemnification agreement contained in this Section 6(a): (x) shall not apply to a Claim by an Indemnified Person arising out of or based upon a Violation which occurs in reliance upon and in conformity with information furnished in writing to the Company by such Indemnified Person expressly for use in connection with the preparation of the Registration Statement or any such amendment thereof or supplement thereto; (y) shall not be available to the extent such Claim is based on a failure of the Investor to deliver or to cause to be delivered the prospectus made available by the Company, if such prospectus was timely made available by the Company pursuant to Section 3(c); and (z)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w:t>
      </w:r>
    </w:p>
    <w:p>
      <w:pPr>
        <w:spacing w:after="0" w:line="159" w:lineRule="exact"/>
        <w:rPr>
          <w:rFonts w:ascii="Times New Roman" w:cs="Times New Roman" w:eastAsia="Times New Roman" w:hAnsi="Times New Roman"/>
          <w:sz w:val="21"/>
          <w:szCs w:val="21"/>
          <w:color w:val="auto"/>
        </w:rPr>
      </w:pPr>
    </w:p>
    <w:p>
      <w:pPr>
        <w:ind w:firstLine="1304"/>
        <w:spacing w:after="0" w:line="236" w:lineRule="auto"/>
        <w:tabs>
          <w:tab w:leader="none" w:pos="193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 Registration Statement, the Investor agrees to indemnify, hold harmless and defend, to the same extent and in the same manner as is set forth in</w:t>
      </w:r>
    </w:p>
    <w:p>
      <w:pPr>
        <w:sectPr>
          <w:pgSz w:w="11900" w:h="16838" w:orient="portrait"/>
          <w:cols w:equalWidth="0" w:num="1">
            <w:col w:w="11240"/>
          </w:cols>
          <w:pgMar w:left="320" w:top="1422" w:right="339" w:bottom="1440" w:gutter="0" w:footer="0" w:header="0"/>
        </w:sectPr>
      </w:pPr>
    </w:p>
    <w:bookmarkStart w:id="13" w:name="page14"/>
    <w:bookmarkEnd w:id="13"/>
    <w:p>
      <w:pPr>
        <w:jc w:val="both"/>
        <w:spacing w:after="0" w:line="208" w:lineRule="auto"/>
        <w:rPr>
          <w:sz w:val="20"/>
          <w:szCs w:val="20"/>
          <w:color w:val="auto"/>
        </w:rPr>
      </w:pPr>
      <w:r>
        <w:rPr>
          <w:rFonts w:ascii="Times New Roman" w:cs="Times New Roman" w:eastAsia="Times New Roman" w:hAnsi="Times New Roman"/>
          <w:sz w:val="22"/>
          <w:szCs w:val="22"/>
          <w:color w:val="auto"/>
        </w:rPr>
        <w:t>Section 6(a), the Company, each of its directors, each of its officers, employees, representatives, or agents and each Person, if any, who controls the Company within the meaning of the Securities Act or the Exchange Act (each an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against any Claim or Indemnified Damages to which any of them may become subject, under the Securities Act, the Exchange Act or otherwise, insofar as such Claim or Indemnified Damages arise out of or is based upon any Violation, in each case to the extent, and only to the extent, that such Violation occurs in reliance upon and in conformity with written information furnished to the Company by such Investor expressly for use in connection with such Registration Statement; and, subject to Section 6(d), such Investor will reimburse any legal or other expenses reasonably incurred by them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such Investor, which consent shall not be unreasonably withheld; provided, further, however, that the Investor shall be liable under this Section 6(b) for only that amount of a Claim or Indemnified Damages as does not exceed the net proceeds to such Investor as a result of the sale of Registrable Securities pursuant to such Registration Statement. Such indemnity shall remain in full force and effect regardless of any investigation made by or on behalf of such Indemnified Party. Notwithstanding anything to the contrary contained herein, the indemnification agreement contained in this Section 6(b) with respect to any prospectus shall not inure to the benefit of any Indemnified Party if the untrue statement or omission of material fact contained in the prospectus was corrected and such new prospectus was delivered to each Investor prior to such Investor’s use of the prospectus to which the Claim relates.</w:t>
      </w:r>
    </w:p>
    <w:p>
      <w:pPr>
        <w:spacing w:after="0" w:line="161" w:lineRule="exact"/>
        <w:rPr>
          <w:sz w:val="20"/>
          <w:szCs w:val="20"/>
          <w:color w:val="auto"/>
        </w:rPr>
      </w:pPr>
    </w:p>
    <w:p>
      <w:pPr>
        <w:jc w:val="both"/>
        <w:ind w:firstLine="1304"/>
        <w:spacing w:after="0" w:line="207" w:lineRule="auto"/>
        <w:tabs>
          <w:tab w:leader="none" w:pos="194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(1) counsel for such Indemnified Person or Indemnified Party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fully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at all times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w:t>
      </w:r>
    </w:p>
    <w:p>
      <w:pPr>
        <w:sectPr>
          <w:pgSz w:w="11900" w:h="16838" w:orient="portrait"/>
          <w:cols w:equalWidth="0" w:num="1">
            <w:col w:w="11240"/>
          </w:cols>
          <w:pgMar w:left="320" w:top="1395" w:right="339" w:bottom="1440" w:gutter="0" w:footer="0" w:header="0"/>
        </w:sectPr>
      </w:pPr>
    </w:p>
    <w:bookmarkStart w:id="14" w:name="page15"/>
    <w:bookmarkEnd w:id="14"/>
    <w:p>
      <w:pPr>
        <w:jc w:val="both"/>
        <w:spacing w:after="0" w:line="220" w:lineRule="auto"/>
        <w:rPr>
          <w:sz w:val="20"/>
          <w:szCs w:val="20"/>
          <w:color w:val="auto"/>
        </w:rPr>
      </w:pPr>
      <w:r>
        <w:rPr>
          <w:rFonts w:ascii="Times New Roman" w:cs="Times New Roman" w:eastAsia="Times New Roman" w:hAnsi="Times New Roman"/>
          <w:sz w:val="22"/>
          <w:szCs w:val="22"/>
          <w:color w:val="auto"/>
        </w:rPr>
        <w:t>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w:t>
      </w:r>
    </w:p>
    <w:p>
      <w:pPr>
        <w:spacing w:after="0" w:line="152" w:lineRule="exact"/>
        <w:rPr>
          <w:sz w:val="20"/>
          <w:szCs w:val="20"/>
          <w:color w:val="auto"/>
        </w:rPr>
      </w:pPr>
    </w:p>
    <w:p>
      <w:pPr>
        <w:ind w:right="20" w:firstLine="1304"/>
        <w:spacing w:after="0" w:line="236" w:lineRule="auto"/>
        <w:tabs>
          <w:tab w:leader="none" w:pos="1939"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(i) no seller of Registrable Securities guilty of fraudulent misrepresentation (within the meaning of Applicable Securities Laws) shall be entitled to contribution from any seller of Registrable Securities who was not guilty of fraudulent misrepresentation; and (ii) contribution by any seller of Registrable Securities shall be limited in amount to the net amount of proceeds received by such seller from the sale of such Registrable Securities.</w:t>
      </w:r>
    </w:p>
    <w:p>
      <w:pPr>
        <w:spacing w:after="0" w:line="153"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 UNDER THE EXCHANGE ACT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With a view to making available to the Investor the benefits of Rule 144 promulgated under the Securities Act or any similar rule or regulation of the SEC that may at any time permit the Investor to sell securities of the Company to the public without registration, and as a material inducement to the Investor’s purchase of the Convertible Debentures, the Company represents, warrants, and covenants to the following:</w:t>
      </w:r>
    </w:p>
    <w:p>
      <w:pPr>
        <w:spacing w:after="0" w:line="149" w:lineRule="exact"/>
        <w:rPr>
          <w:sz w:val="20"/>
          <w:szCs w:val="20"/>
          <w:color w:val="auto"/>
        </w:rPr>
      </w:pPr>
    </w:p>
    <w:p>
      <w:pPr>
        <w:jc w:val="both"/>
        <w:ind w:firstLine="1304"/>
        <w:spacing w:after="0" w:line="225" w:lineRule="auto"/>
        <w:tabs>
          <w:tab w:leader="none" w:pos="194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subject to the reporting requirements of Section 13 or 15(d) of the Exchange Act and has filed all required reports under Section 13 or 15(d) of the Exchange Act during the 12 months prior to the date hereof (or for such shorter period that the issuer was required to file such reports), other than Form 6-K reports.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Registration Period, the Company shall use its commercially reasonable efforts to file with the SEC in a timely manner all required reports under Section 13 or 15(d) of the Exchange Act (it being understood that nothing herein shall limit the Company’s obligations under the Securities Purchase Agreement) and such reports shall conform to the requirement of the Exchange Act and the SEC for filing thereunder.</w:t>
      </w:r>
    </w:p>
    <w:p>
      <w:pPr>
        <w:spacing w:after="0" w:line="152"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1"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furnish to the Investor so long as such Investor owns Registrable Securities, promptly upon request, (i) a written statement by the Company that it has complied with the reporting requirements of Rule 144, (ii) a copy of the most recent annual or quarterly report of the Company and such other reports and documents so filed by the Company,</w:t>
      </w:r>
    </w:p>
    <w:p>
      <w:pPr>
        <w:sectPr>
          <w:pgSz w:w="11900" w:h="16838" w:orient="portrait"/>
          <w:cols w:equalWidth="0" w:num="1">
            <w:col w:w="11240"/>
          </w:cols>
          <w:pgMar w:left="320" w:top="1395" w:right="339" w:bottom="1440" w:gutter="0" w:footer="0" w:header="0"/>
        </w:sectPr>
      </w:pPr>
    </w:p>
    <w:bookmarkStart w:id="15" w:name="page16"/>
    <w:bookmarkEnd w:id="15"/>
    <w:p>
      <w:pPr>
        <w:spacing w:after="0" w:line="236" w:lineRule="auto"/>
        <w:rPr>
          <w:sz w:val="20"/>
          <w:szCs w:val="20"/>
          <w:color w:val="auto"/>
        </w:rPr>
      </w:pPr>
      <w:r>
        <w:rPr>
          <w:rFonts w:ascii="Times New Roman" w:cs="Times New Roman" w:eastAsia="Times New Roman" w:hAnsi="Times New Roman"/>
          <w:sz w:val="22"/>
          <w:szCs w:val="22"/>
          <w:color w:val="auto"/>
        </w:rPr>
        <w:t>and (iii) such other information as may be reasonably requested to permit the Investor to sell such securities pursuant to Rule 144 without registration.</w:t>
      </w:r>
    </w:p>
    <w:p>
      <w:pPr>
        <w:spacing w:after="0" w:line="150"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OF REGISTRATION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Provisions of this Agreement may be amended and the observance thereof may be waived (either generally or in a particular instance and either retroactively or prospectively), only with the written consent of the Company and Investor. Any amendment or waiver effected in accordance with this Section 9 shall be binding upon the Investor and the Company. No such amendment shall be effective to the extent that it applies to fewer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spacing w:after="0" w:line="154"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is deemed to be a holder of Registrable Securities whenever such Person owns or is deemed to own of record such Registrable Securities or owns the right to receive the Registrable Securities. If the Company receives conflicting instructions, notices or elections from two or more Persons with respect to the same Registrable Securities, the Company shall act upon the basis of instructions, notice or election received from the registered owner of such Registrable Securities.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file any other registration statements on Form F-10, F-3 or F-1, or otherwise until the initial Registration Statement required hereunder is declared effective by the SEC, provided that this Section 10(b) shall not prohibit the Company from filing amendments to registration statements already filed. The Company shall not include any other securities on a Registration Statement unless otherwise agreed by the Investor.</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notices, consents, waivers or other communications required or permitted to be given under the terms of this Agreement must be in writing and will be deemed to have been delivered pursuant to the notice provisions of the Securities Purchase Agreement or to such other address and/or electronic 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electronically generated by the sender’s email service provider containing the time, date, and recipient email or (C) provided by a courier or overnight courier service shall be rebuttable evidence of personal service, receipt by facsimile or receipt from a nationally recognized overnight delivery service in accordance with this section.</w:t>
      </w:r>
    </w:p>
    <w:p>
      <w:pPr>
        <w:spacing w:after="0" w:line="156"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of any party to exercise any right or remedy under this Agreement or otherwise, or delay by a party in exercising such right or remedy, shall not operate as a waiver thereof.</w:t>
      </w:r>
    </w:p>
    <w:p>
      <w:pPr>
        <w:spacing w:after="0" w:line="15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laws of the State of New York shall govern all issues concerning the relative rights of the Company and the Investors as its shareholders. All other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 that would cause the application of the laws of any jurisdiction other than the State of New York. Each party hereby irrevocably submits to the non-exclusive jurisdiction of the</w:t>
      </w:r>
    </w:p>
    <w:p>
      <w:pPr>
        <w:sectPr>
          <w:pgSz w:w="11900" w:h="16838" w:orient="portrait"/>
          <w:cols w:equalWidth="0" w:num="1">
            <w:col w:w="11240"/>
          </w:cols>
          <w:pgMar w:left="320" w:top="1395" w:right="339" w:bottom="1440" w:gutter="0" w:footer="0" w:header="0"/>
        </w:sectPr>
      </w:pPr>
    </w:p>
    <w:bookmarkStart w:id="16" w:name="page17"/>
    <w:bookmarkEnd w:id="16"/>
    <w:p>
      <w:pPr>
        <w:jc w:val="both"/>
        <w:spacing w:after="0" w:line="219" w:lineRule="auto"/>
        <w:rPr>
          <w:sz w:val="20"/>
          <w:szCs w:val="20"/>
          <w:color w:val="auto"/>
        </w:rPr>
      </w:pPr>
      <w:r>
        <w:rPr>
          <w:rFonts w:ascii="Times New Roman" w:cs="Times New Roman" w:eastAsia="Times New Roman" w:hAnsi="Times New Roman"/>
          <w:sz w:val="21"/>
          <w:szCs w:val="21"/>
          <w:color w:val="auto"/>
        </w:rPr>
        <w:t>Supreme Court of the State of New York, sitting in New York County, New York and federal courts for the Southern District of New York sitting New York,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PARTY HEREBY IRREVOCABLY WAIVES ANY RIGHT IT MAY HAVE, AND AGREES NOT TO REQUEST, A JURY TRIAL FOR THE ADJUDICATION OF ANY DISPUTE HEREUNDER OR IN CONNECTION HEREWITH OR ARISING OUT OF THIS AGREEMENT OR ANY TRANSACTION CONTEMPLATED HEREBY.</w:t>
      </w:r>
    </w:p>
    <w:p>
      <w:pPr>
        <w:spacing w:after="0" w:line="155" w:lineRule="exact"/>
        <w:rPr>
          <w:sz w:val="20"/>
          <w:szCs w:val="20"/>
          <w:color w:val="auto"/>
        </w:rPr>
      </w:pPr>
    </w:p>
    <w:p>
      <w:pPr>
        <w:jc w:val="both"/>
        <w:ind w:firstLine="1304"/>
        <w:spacing w:after="0" w:line="211" w:lineRule="auto"/>
        <w:tabs>
          <w:tab w:leader="none" w:pos="194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rights, duties and obligations of the Investor hereunder may only be assigned upon the transfer of a Convertible Debenture or the Conversion Shares issued pursuant to a Convertible Debenture pursuant to the terms and restrictions on transfer set forth in the Securities Purchase Agreement and the applicable Convertible Debenture. This Agreement and the provisions hereof shall be binding upon and shall inure to the benefit of each of the parties and its successors and the permitted assigns of the parties. No assignment by any party hereto of such party’s rights, duties and obligations hereunder shall be binding upon or obligate the Company unless and until the Company shall have received (A) written notice of such assignment and (B) the written agreement of the assignee, in a form reasonably satisfactory to the Company, to be bound by the terms and provisions of this Agreement (which may be accomplished by an addendum or certificate of joinder to this Agreement).</w:t>
      </w:r>
    </w:p>
    <w:p>
      <w:pPr>
        <w:spacing w:after="0" w:line="158"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in this Agreement are for convenience of reference only and shall not limit or otherwise affect the meaning hereof.</w:t>
      </w:r>
    </w:p>
    <w:p>
      <w:pPr>
        <w:spacing w:after="0" w:line="15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identical counterparts, both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e.g., www.docusign.com), including by e-mail attachment, shall be deemed to have been duly and validly delivered and be valid and effective for all purposes of this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language used in this Agreement will be deemed to be the language chosen by the parties to express their mutual intent and no rules of strict construction will be applied against any party.</w:t>
      </w:r>
    </w:p>
    <w:p>
      <w:pPr>
        <w:sectPr>
          <w:pgSz w:w="11900" w:h="16838" w:orient="portrait"/>
          <w:cols w:equalWidth="0" w:num="1">
            <w:col w:w="11240"/>
          </w:cols>
          <w:pgMar w:left="320" w:top="1395" w:right="339" w:bottom="1440" w:gutter="0" w:footer="0" w:header="0"/>
        </w:sectPr>
      </w:pPr>
    </w:p>
    <w:bookmarkStart w:id="17" w:name="page18"/>
    <w:bookmarkEnd w:id="17"/>
    <w:p>
      <w:pPr>
        <w:ind w:left="-20" w:firstLine="1304"/>
        <w:spacing w:after="0" w:line="236" w:lineRule="auto"/>
        <w:tabs>
          <w:tab w:leader="none" w:pos="191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intended for the benefit of the parties hereto and their respective permitted successors and assigns, and is not for the benefit of, nor may any provision hereof be enforced by, any other Person.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ectPr>
          <w:pgSz w:w="11900" w:h="16838" w:orient="portrait"/>
          <w:cols w:equalWidth="0" w:num="1">
            <w:col w:w="11200"/>
          </w:cols>
          <w:pgMar w:left="340" w:top="1395" w:right="359" w:bottom="1440" w:gutter="0" w:footer="0" w:header="0"/>
        </w:sectPr>
      </w:pPr>
    </w:p>
    <w:bookmarkStart w:id="18" w:name="page19"/>
    <w:bookmarkEnd w:id="18"/>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Investor and the Company have caused their signature page to this Registration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be duly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3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200" w:lineRule="exact"/>
        <w:rPr>
          <w:sz w:val="20"/>
          <w:szCs w:val="20"/>
          <w:color w:val="auto"/>
        </w:rPr>
      </w:pPr>
    </w:p>
    <w:p>
      <w:pPr>
        <w:spacing w:after="0" w:line="314" w:lineRule="exact"/>
        <w:rPr>
          <w:sz w:val="20"/>
          <w:szCs w:val="20"/>
          <w:color w:val="auto"/>
        </w:rPr>
      </w:pPr>
    </w:p>
    <w:p>
      <w:pPr>
        <w:ind w:left="4880"/>
        <w:spacing w:after="0"/>
        <w:tabs>
          <w:tab w:leader="none" w:pos="53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(signed) “</w:t>
      </w:r>
      <w:r>
        <w:rPr>
          <w:rFonts w:ascii="Times New Roman" w:cs="Times New Roman" w:eastAsia="Times New Roman" w:hAnsi="Times New Roman"/>
          <w:sz w:val="21"/>
          <w:szCs w:val="21"/>
          <w:i w:val="1"/>
          <w:iCs w:val="1"/>
          <w:color w:val="auto"/>
        </w:rPr>
        <w:t>Doug Drysdale</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-11430</wp:posOffset>
            </wp:positionV>
            <wp:extent cx="19958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1995805" cy="8890"/>
                    </a:xfrm>
                    <a:prstGeom prst="rect">
                      <a:avLst/>
                    </a:prstGeom>
                    <a:noFill/>
                  </pic:spPr>
                </pic:pic>
              </a:graphicData>
            </a:graphic>
          </wp:anchor>
        </w:drawing>
      </w:r>
    </w:p>
    <w:p>
      <w:pPr>
        <w:spacing w:after="0" w:line="15" w:lineRule="exact"/>
        <w:rPr>
          <w:sz w:val="20"/>
          <w:szCs w:val="20"/>
          <w:color w:val="auto"/>
        </w:rPr>
      </w:pPr>
    </w:p>
    <w:p>
      <w:pPr>
        <w:ind w:left="4880"/>
        <w:spacing w:after="0"/>
        <w:tabs>
          <w:tab w:leader="none" w:pos="5700" w:val="left"/>
        </w:tabs>
        <w:rPr>
          <w:sz w:val="20"/>
          <w:szCs w:val="20"/>
          <w:color w:val="auto"/>
        </w:rPr>
      </w:pPr>
      <w:r>
        <w:rPr>
          <w:rFonts w:ascii="Times New Roman" w:cs="Times New Roman" w:eastAsia="Times New Roman" w:hAnsi="Times New Roman"/>
          <w:sz w:val="22"/>
          <w:szCs w:val="22"/>
          <w:color w:val="auto"/>
        </w:rPr>
        <w:t>Name:</w:t>
        <w:tab/>
        <w:t>Doug Drysdale</w:t>
      </w:r>
    </w:p>
    <w:p>
      <w:pPr>
        <w:spacing w:after="0" w:line="29"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HIGH TRAIL SPECIAL SITUATIONS LLC</w:t>
      </w:r>
    </w:p>
    <w:p>
      <w:pPr>
        <w:spacing w:after="0" w:line="200" w:lineRule="exact"/>
        <w:rPr>
          <w:sz w:val="20"/>
          <w:szCs w:val="20"/>
          <w:color w:val="auto"/>
        </w:rPr>
      </w:pPr>
    </w:p>
    <w:p>
      <w:pPr>
        <w:spacing w:after="0" w:line="314" w:lineRule="exact"/>
        <w:rPr>
          <w:sz w:val="20"/>
          <w:szCs w:val="20"/>
          <w:color w:val="auto"/>
        </w:rPr>
      </w:pPr>
    </w:p>
    <w:p>
      <w:pPr>
        <w:ind w:left="4880"/>
        <w:spacing w:after="0"/>
        <w:tabs>
          <w:tab w:leader="none" w:pos="5440" w:val="left"/>
        </w:tabs>
        <w:rPr>
          <w:sz w:val="20"/>
          <w:szCs w:val="20"/>
          <w:color w:val="auto"/>
        </w:rPr>
      </w:pPr>
      <w:r>
        <w:rPr>
          <w:rFonts w:ascii="Times New Roman" w:cs="Times New Roman" w:eastAsia="Times New Roman" w:hAnsi="Times New Roman"/>
          <w:sz w:val="22"/>
          <w:szCs w:val="22"/>
          <w:color w:val="auto"/>
        </w:rPr>
        <w:t>By:</w:t>
        <w:tab/>
        <w:t>(signed) “</w:t>
      </w:r>
      <w:r>
        <w:rPr>
          <w:rFonts w:ascii="Times New Roman" w:cs="Times New Roman" w:eastAsia="Times New Roman" w:hAnsi="Times New Roman"/>
          <w:sz w:val="22"/>
          <w:szCs w:val="22"/>
          <w:i w:val="1"/>
          <w:iCs w:val="1"/>
          <w:color w:val="auto"/>
        </w:rPr>
        <w:t>Erik Helenek</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-11430</wp:posOffset>
            </wp:positionV>
            <wp:extent cx="1908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1908175" cy="8890"/>
                    </a:xfrm>
                    <a:prstGeom prst="rect">
                      <a:avLst/>
                    </a:prstGeom>
                    <a:noFill/>
                  </pic:spPr>
                </pic:pic>
              </a:graphicData>
            </a:graphic>
          </wp:anchor>
        </w:drawing>
      </w:r>
    </w:p>
    <w:p>
      <w:pPr>
        <w:spacing w:after="0" w:line="15" w:lineRule="exact"/>
        <w:rPr>
          <w:sz w:val="20"/>
          <w:szCs w:val="20"/>
          <w:color w:val="auto"/>
        </w:rPr>
      </w:pPr>
    </w:p>
    <w:p>
      <w:pPr>
        <w:ind w:left="4880"/>
        <w:spacing w:after="0"/>
        <w:tabs>
          <w:tab w:leader="none" w:pos="5700" w:val="left"/>
        </w:tabs>
        <w:rPr>
          <w:sz w:val="20"/>
          <w:szCs w:val="20"/>
          <w:color w:val="auto"/>
        </w:rPr>
      </w:pPr>
      <w:r>
        <w:rPr>
          <w:rFonts w:ascii="Times New Roman" w:cs="Times New Roman" w:eastAsia="Times New Roman" w:hAnsi="Times New Roman"/>
          <w:sz w:val="22"/>
          <w:szCs w:val="22"/>
          <w:color w:val="auto"/>
        </w:rPr>
        <w:t>Name:</w:t>
        <w:tab/>
        <w:t>Erik Helenek</w:t>
      </w:r>
    </w:p>
    <w:p>
      <w:pPr>
        <w:spacing w:after="0" w:line="29" w:lineRule="exact"/>
        <w:rPr>
          <w:sz w:val="20"/>
          <w:szCs w:val="20"/>
          <w:color w:val="auto"/>
        </w:rPr>
      </w:pPr>
    </w:p>
    <w:p>
      <w:pPr>
        <w:ind w:left="4880"/>
        <w:spacing w:after="0"/>
        <w:tabs>
          <w:tab w:leader="none" w:pos="55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ectPr>
          <w:pgSz w:w="11900" w:h="16838" w:orient="portrait"/>
          <w:cols w:equalWidth="0" w:num="1">
            <w:col w:w="11220"/>
          </w:cols>
          <w:pgMar w:left="320" w:top="1418" w:right="35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QUESTIONNAIRE</w:t>
      </w:r>
    </w:p>
    <w:p>
      <w:pPr>
        <w:spacing w:after="0" w:line="220"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w:t>
      </w:r>
    </w:p>
    <w:p>
      <w:pPr>
        <w:spacing w:after="0" w:line="200" w:lineRule="exact"/>
        <w:rPr>
          <w:rFonts w:ascii="Times New Roman" w:cs="Times New Roman" w:eastAsia="Times New Roman" w:hAnsi="Times New Roman"/>
          <w:sz w:val="22"/>
          <w:szCs w:val="22"/>
          <w:b w:val="1"/>
          <w:bCs w:val="1"/>
          <w:color w:val="auto"/>
        </w:rPr>
      </w:pPr>
    </w:p>
    <w:p>
      <w:pPr>
        <w:spacing w:after="0" w:line="293" w:lineRule="exact"/>
        <w:rPr>
          <w:rFonts w:ascii="Times New Roman" w:cs="Times New Roman" w:eastAsia="Times New Roman" w:hAnsi="Times New Roman"/>
          <w:sz w:val="22"/>
          <w:szCs w:val="22"/>
          <w:b w:val="1"/>
          <w:bCs w:val="1"/>
          <w:color w:val="auto"/>
        </w:rPr>
      </w:pPr>
    </w:p>
    <w:p>
      <w:pPr>
        <w:ind w:left="1140" w:hanging="484"/>
        <w:spacing w:after="0"/>
        <w:tabs>
          <w:tab w:leader="none" w:pos="114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Legal Name of Selling Securityholder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59"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57" w:lineRule="exact"/>
        <w:rPr>
          <w:rFonts w:ascii="Times New Roman" w:cs="Times New Roman" w:eastAsia="Times New Roman" w:hAnsi="Times New Roman"/>
          <w:sz w:val="21"/>
          <w:szCs w:val="21"/>
          <w:color w:val="auto"/>
        </w:rPr>
      </w:pPr>
    </w:p>
    <w:p>
      <w:pPr>
        <w:ind w:left="1100" w:right="240" w:hanging="444"/>
        <w:spacing w:after="0" w:line="271" w:lineRule="auto"/>
        <w:tabs>
          <w:tab w:leader="none" w:pos="1089"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Legal Name of Natural Control Person (which means a natural person who directly or indirectly alone or with others has power to vote or dispose of the securities covered by this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-1167765</wp:posOffset>
            </wp:positionV>
            <wp:extent cx="137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704850</wp:posOffset>
            </wp:positionH>
            <wp:positionV relativeFrom="paragraph">
              <wp:posOffset>-533400</wp:posOffset>
            </wp:positionV>
            <wp:extent cx="137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704850</wp:posOffset>
            </wp:positionH>
            <wp:positionV relativeFrom="paragraph">
              <wp:posOffset>271780</wp:posOffset>
            </wp:positionV>
            <wp:extent cx="13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for Notices to Selling Securityholder: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137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467995</wp:posOffset>
            </wp:positionV>
            <wp:extent cx="137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630555</wp:posOffset>
            </wp:positionV>
            <wp:extent cx="137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-13970</wp:posOffset>
            </wp:positionV>
            <wp:extent cx="137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-29210</wp:posOffset>
            </wp:positionV>
            <wp:extent cx="137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Contact Person: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-13970</wp:posOffset>
            </wp:positionV>
            <wp:extent cx="1714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82"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Broker-Dealer Status:</w:t>
      </w:r>
    </w:p>
    <w:p>
      <w:pPr>
        <w:spacing w:after="0" w:line="250" w:lineRule="exact"/>
        <w:rPr>
          <w:rFonts w:ascii="Times New Roman" w:cs="Times New Roman" w:eastAsia="Times New Roman" w:hAnsi="Times New Roman"/>
          <w:sz w:val="22"/>
          <w:szCs w:val="22"/>
          <w:b w:val="1"/>
          <w:bCs w:val="1"/>
          <w:color w:val="auto"/>
        </w:rPr>
      </w:pPr>
    </w:p>
    <w:p>
      <w:pPr>
        <w:ind w:left="1140" w:hanging="484"/>
        <w:spacing w:after="0"/>
        <w:tabs>
          <w:tab w:leader="none" w:pos="114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you a broker-dealer?</w:t>
      </w:r>
    </w:p>
    <w:p>
      <w:pPr>
        <w:spacing w:after="0" w:line="158" w:lineRule="exact"/>
        <w:rPr>
          <w:sz w:val="20"/>
          <w:szCs w:val="20"/>
          <w:color w:val="auto"/>
        </w:rPr>
      </w:pPr>
    </w:p>
    <w:p>
      <w:pPr>
        <w:jc w:val="center"/>
        <w:spacing w:after="0" w:line="253" w:lineRule="exact"/>
        <w:tabs>
          <w:tab w:leader="none" w:pos="200" w:val="left"/>
        </w:tabs>
        <w:rPr>
          <w:sz w:val="20"/>
          <w:szCs w:val="20"/>
          <w:color w:val="auto"/>
        </w:rPr>
      </w:pPr>
      <w:r>
        <w:rPr>
          <w:rFonts w:ascii="Times New Roman" w:cs="Times New Roman" w:eastAsia="Times New Roman" w:hAnsi="Times New Roman"/>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19"/>
          <w:szCs w:val="19"/>
          <w:color w:val="auto"/>
        </w:rPr>
        <w:t xml:space="preserve">No </w:t>
      </w:r>
      <w:r>
        <w:rPr>
          <w:rFonts w:ascii="MS PGothic" w:cs="MS PGothic" w:eastAsia="MS PGothic" w:hAnsi="MS PGothic"/>
          <w:sz w:val="19"/>
          <w:szCs w:val="19"/>
          <w:color w:val="auto"/>
        </w:rPr>
        <w:t>☐</w:t>
      </w:r>
    </w:p>
    <w:p>
      <w:pPr>
        <w:spacing w:after="0" w:line="268" w:lineRule="exact"/>
        <w:rPr>
          <w:sz w:val="20"/>
          <w:szCs w:val="20"/>
          <w:color w:val="auto"/>
        </w:rPr>
      </w:pPr>
    </w:p>
    <w:p>
      <w:pPr>
        <w:ind w:left="1140" w:hanging="484"/>
        <w:spacing w:after="0" w:line="258" w:lineRule="auto"/>
        <w:tabs>
          <w:tab w:leader="none" w:pos="113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“yes” to Section 3(a), did you receive your Registrable Securities as compensation for investment banking services to the Company?</w:t>
      </w:r>
    </w:p>
    <w:p>
      <w:pPr>
        <w:spacing w:after="0" w:line="110" w:lineRule="exact"/>
        <w:rPr>
          <w:sz w:val="20"/>
          <w:szCs w:val="20"/>
          <w:color w:val="auto"/>
        </w:rPr>
      </w:pPr>
    </w:p>
    <w:p>
      <w:pPr>
        <w:jc w:val="center"/>
        <w:spacing w:after="0" w:line="253" w:lineRule="exact"/>
        <w:tabs>
          <w:tab w:leader="none" w:pos="200" w:val="left"/>
        </w:tabs>
        <w:rPr>
          <w:sz w:val="20"/>
          <w:szCs w:val="20"/>
          <w:color w:val="auto"/>
        </w:rPr>
      </w:pPr>
      <w:r>
        <w:rPr>
          <w:rFonts w:ascii="Times New Roman" w:cs="Times New Roman" w:eastAsia="Times New Roman" w:hAnsi="Times New Roman"/>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19"/>
          <w:szCs w:val="19"/>
          <w:color w:val="auto"/>
        </w:rPr>
        <w:t xml:space="preserve">No </w:t>
      </w:r>
      <w:r>
        <w:rPr>
          <w:rFonts w:ascii="MS PGothic" w:cs="MS PGothic" w:eastAsia="MS PGothic" w:hAnsi="MS PGothic"/>
          <w:sz w:val="19"/>
          <w:szCs w:val="19"/>
          <w:color w:val="auto"/>
        </w:rPr>
        <w:t>☐</w:t>
      </w:r>
    </w:p>
    <w:p>
      <w:pPr>
        <w:spacing w:after="0" w:line="281" w:lineRule="exact"/>
        <w:rPr>
          <w:sz w:val="20"/>
          <w:szCs w:val="20"/>
          <w:color w:val="auto"/>
        </w:rPr>
      </w:pPr>
    </w:p>
    <w:p>
      <w:pPr>
        <w:ind w:left="1140" w:right="200" w:hanging="485"/>
        <w:spacing w:after="0" w:line="271" w:lineRule="auto"/>
        <w:rPr>
          <w:sz w:val="20"/>
          <w:szCs w:val="20"/>
          <w:color w:val="auto"/>
        </w:rPr>
      </w:pPr>
      <w:r>
        <w:rPr>
          <w:rFonts w:ascii="Times New Roman" w:cs="Times New Roman" w:eastAsia="Times New Roman" w:hAnsi="Times New Roman"/>
          <w:sz w:val="22"/>
          <w:szCs w:val="22"/>
          <w:color w:val="auto"/>
        </w:rPr>
        <w:t>Note: If “no” to Section 3(b), the Commission’s staff has indicated that you should be identified as an underwriter in the Registration Statement.</w:t>
      </w:r>
    </w:p>
    <w:p>
      <w:pPr>
        <w:sectPr>
          <w:pgSz w:w="11900" w:h="16838" w:orient="portrait"/>
          <w:cols w:equalWidth="0" w:num="1">
            <w:col w:w="11240"/>
          </w:cols>
          <w:pgMar w:left="320" w:top="1418" w:right="339" w:bottom="1440" w:gutter="0" w:footer="0" w:header="0"/>
        </w:sectPr>
      </w:pPr>
    </w:p>
    <w:bookmarkStart w:id="20" w:name="page21"/>
    <w:bookmarkEnd w:id="20"/>
    <w:p>
      <w:pPr>
        <w:spacing w:after="0" w:line="185" w:lineRule="exact"/>
        <w:rPr>
          <w:sz w:val="20"/>
          <w:szCs w:val="20"/>
          <w:color w:val="auto"/>
        </w:rPr>
      </w:pPr>
    </w:p>
    <w:p>
      <w:pPr>
        <w:ind w:left="652"/>
        <w:spacing w:after="0"/>
        <w:tabs>
          <w:tab w:leader="none" w:pos="1072"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Are you an affiliate of a broker-dealer?</w:t>
      </w:r>
    </w:p>
    <w:p>
      <w:pPr>
        <w:spacing w:after="0" w:line="158" w:lineRule="exact"/>
        <w:rPr>
          <w:sz w:val="20"/>
          <w:szCs w:val="20"/>
          <w:color w:val="auto"/>
        </w:rPr>
      </w:pPr>
    </w:p>
    <w:p>
      <w:pPr>
        <w:jc w:val="center"/>
        <w:ind w:right="8"/>
        <w:spacing w:after="0" w:line="253" w:lineRule="exact"/>
        <w:tabs>
          <w:tab w:leader="none" w:pos="200" w:val="left"/>
        </w:tabs>
        <w:rPr>
          <w:sz w:val="20"/>
          <w:szCs w:val="20"/>
          <w:color w:val="auto"/>
        </w:rPr>
      </w:pPr>
      <w:r>
        <w:rPr>
          <w:rFonts w:ascii="Times New Roman" w:cs="Times New Roman" w:eastAsia="Times New Roman" w:hAnsi="Times New Roman"/>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19"/>
          <w:szCs w:val="19"/>
          <w:color w:val="auto"/>
        </w:rPr>
        <w:t xml:space="preserve">No </w:t>
      </w:r>
      <w:r>
        <w:rPr>
          <w:rFonts w:ascii="MS PGothic" w:cs="MS PGothic" w:eastAsia="MS PGothic" w:hAnsi="MS PGothic"/>
          <w:sz w:val="19"/>
          <w:szCs w:val="19"/>
          <w:color w:val="auto"/>
        </w:rPr>
        <w:t>☐</w:t>
      </w:r>
    </w:p>
    <w:p>
      <w:pPr>
        <w:spacing w:after="0" w:line="268" w:lineRule="exact"/>
        <w:rPr>
          <w:sz w:val="20"/>
          <w:szCs w:val="20"/>
          <w:color w:val="auto"/>
        </w:rPr>
      </w:pPr>
    </w:p>
    <w:p>
      <w:pPr>
        <w:jc w:val="both"/>
        <w:ind w:left="1092" w:hanging="444"/>
        <w:spacing w:after="0" w:line="250" w:lineRule="auto"/>
        <w:tabs>
          <w:tab w:leader="none" w:pos="107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33" w:lineRule="exact"/>
        <w:rPr>
          <w:sz w:val="20"/>
          <w:szCs w:val="20"/>
          <w:color w:val="auto"/>
        </w:rPr>
      </w:pPr>
    </w:p>
    <w:p>
      <w:pPr>
        <w:jc w:val="center"/>
        <w:ind w:right="8"/>
        <w:spacing w:after="0" w:line="253" w:lineRule="exact"/>
        <w:tabs>
          <w:tab w:leader="none" w:pos="200" w:val="left"/>
        </w:tabs>
        <w:rPr>
          <w:sz w:val="20"/>
          <w:szCs w:val="20"/>
          <w:color w:val="auto"/>
        </w:rPr>
      </w:pPr>
      <w:r>
        <w:rPr>
          <w:rFonts w:ascii="Times New Roman" w:cs="Times New Roman" w:eastAsia="Times New Roman" w:hAnsi="Times New Roman"/>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19"/>
          <w:szCs w:val="19"/>
          <w:color w:val="auto"/>
        </w:rPr>
        <w:t xml:space="preserve">No </w:t>
      </w:r>
      <w:r>
        <w:rPr>
          <w:rFonts w:ascii="MS PGothic" w:cs="MS PGothic" w:eastAsia="MS PGothic" w:hAnsi="MS PGothic"/>
          <w:sz w:val="19"/>
          <w:szCs w:val="19"/>
          <w:color w:val="auto"/>
        </w:rPr>
        <w:t>☐</w:t>
      </w:r>
    </w:p>
    <w:p>
      <w:pPr>
        <w:spacing w:after="0" w:line="268" w:lineRule="exact"/>
        <w:rPr>
          <w:sz w:val="20"/>
          <w:szCs w:val="20"/>
          <w:color w:val="auto"/>
        </w:rPr>
      </w:pPr>
    </w:p>
    <w:p>
      <w:pPr>
        <w:ind w:left="1212" w:hanging="566"/>
        <w:spacing w:after="0" w:line="271" w:lineRule="auto"/>
        <w:rPr>
          <w:sz w:val="20"/>
          <w:szCs w:val="20"/>
          <w:color w:val="auto"/>
        </w:rPr>
      </w:pPr>
      <w:r>
        <w:rPr>
          <w:rFonts w:ascii="Times New Roman" w:cs="Times New Roman" w:eastAsia="Times New Roman" w:hAnsi="Times New Roman"/>
          <w:sz w:val="22"/>
          <w:szCs w:val="22"/>
          <w:color w:val="auto"/>
        </w:rPr>
        <w:t>Note: If “no” to Section 3(d), the Commission’s staff has indicated that you should be identified as an underwriter in the Registration Statement.</w:t>
      </w:r>
    </w:p>
    <w:p>
      <w:pPr>
        <w:spacing w:after="0" w:line="154" w:lineRule="exact"/>
        <w:rPr>
          <w:sz w:val="20"/>
          <w:szCs w:val="20"/>
          <w:color w:val="auto"/>
        </w:rPr>
      </w:pPr>
    </w:p>
    <w:p>
      <w:pPr>
        <w:ind w:left="652" w:hanging="652"/>
        <w:spacing w:after="0"/>
        <w:tabs>
          <w:tab w:leader="none" w:pos="652"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Beneficial Ownership of Securities of the Company Owned by the Selling Securityholder.</w:t>
      </w:r>
    </w:p>
    <w:p>
      <w:pPr>
        <w:spacing w:after="0" w:line="246" w:lineRule="exact"/>
        <w:rPr>
          <w:rFonts w:ascii="Times New Roman" w:cs="Times New Roman" w:eastAsia="Times New Roman" w:hAnsi="Times New Roman"/>
          <w:sz w:val="22"/>
          <w:szCs w:val="22"/>
          <w:b w:val="1"/>
          <w:bCs w:val="1"/>
          <w:color w:val="auto"/>
        </w:rPr>
      </w:pPr>
    </w:p>
    <w:p>
      <w:pPr>
        <w:ind w:left="652" w:right="20"/>
        <w:spacing w:after="0" w:line="27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i w:val="1"/>
          <w:iCs w:val="1"/>
          <w:color w:val="auto"/>
        </w:rPr>
        <w:t>Except as set forth below in this Item 4, the undersigned is not the beneficial or registered owner of any securities of the Company other than the securities issuable pursuant to the Subscription Agreement.</w:t>
      </w:r>
    </w:p>
    <w:p>
      <w:pPr>
        <w:spacing w:after="0" w:line="139" w:lineRule="exact"/>
        <w:rPr>
          <w:rFonts w:ascii="Times New Roman" w:cs="Times New Roman" w:eastAsia="Times New Roman" w:hAnsi="Times New Roman"/>
          <w:sz w:val="22"/>
          <w:szCs w:val="22"/>
          <w:b w:val="1"/>
          <w:bCs w:val="1"/>
          <w:color w:val="auto"/>
        </w:rPr>
      </w:pPr>
    </w:p>
    <w:p>
      <w:pPr>
        <w:ind w:left="1132" w:hanging="484"/>
        <w:spacing w:after="0"/>
        <w:tabs>
          <w:tab w:leader="none" w:pos="1132"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and Amount of securities beneficially owned, controlled or directed, by the Selling Securityholder: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5" w:lineRule="exact"/>
        <w:rPr>
          <w:rFonts w:ascii="Times New Roman" w:cs="Times New Roman" w:eastAsia="Times New Roman" w:hAnsi="Times New Roman"/>
          <w:sz w:val="22"/>
          <w:szCs w:val="22"/>
          <w:color w:val="auto"/>
        </w:rPr>
      </w:pPr>
    </w:p>
    <w:p>
      <w:pPr>
        <w:ind w:left="1132" w:hanging="484"/>
        <w:spacing w:after="0"/>
        <w:tabs>
          <w:tab w:leader="none" w:pos="1132"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and Amount of securities being distributed for the account of the Selling Securityholder: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89" w:lineRule="exact"/>
        <w:rPr>
          <w:rFonts w:ascii="Times New Roman" w:cs="Times New Roman" w:eastAsia="Times New Roman" w:hAnsi="Times New Roman"/>
          <w:sz w:val="22"/>
          <w:szCs w:val="22"/>
          <w:color w:val="auto"/>
        </w:rPr>
      </w:pPr>
    </w:p>
    <w:p>
      <w:pPr>
        <w:ind w:left="1132" w:hanging="484"/>
        <w:spacing w:after="0"/>
        <w:tabs>
          <w:tab w:leader="none" w:pos="1132"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and Amount of securities of any class to be owned, controlled or directed after the distribution: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5" w:lineRule="exact"/>
        <w:rPr>
          <w:rFonts w:ascii="Times New Roman" w:cs="Times New Roman" w:eastAsia="Times New Roman" w:hAnsi="Times New Roman"/>
          <w:sz w:val="22"/>
          <w:szCs w:val="22"/>
          <w:color w:val="auto"/>
        </w:rPr>
      </w:pPr>
    </w:p>
    <w:p>
      <w:pPr>
        <w:ind w:left="1132" w:hanging="484"/>
        <w:spacing w:after="0" w:line="258" w:lineRule="auto"/>
        <w:tabs>
          <w:tab w:leader="none" w:pos="1127"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securities referred to in paragraph (a), b) or (c) are owned both of record and beneficially, of record only, or beneficially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-2230120</wp:posOffset>
            </wp:positionV>
            <wp:extent cx="137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-2075815</wp:posOffset>
            </wp:positionV>
            <wp:extent cx="137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-1450340</wp:posOffset>
            </wp:positionV>
            <wp:extent cx="137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-1296035</wp:posOffset>
            </wp:positionV>
            <wp:extent cx="137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-669925</wp:posOffset>
            </wp:positionV>
            <wp:extent cx="137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-515620</wp:posOffset>
            </wp:positionV>
            <wp:extent cx="137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272415</wp:posOffset>
            </wp:positionV>
            <wp:extent cx="137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426720</wp:posOffset>
            </wp:positionV>
            <wp:extent cx="137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1" w:name="page22"/>
    <w:bookmarkEnd w:id="21"/>
    <w:p>
      <w:pPr>
        <w:jc w:val="both"/>
        <w:ind w:left="1140" w:hanging="484"/>
        <w:spacing w:after="0" w:line="259" w:lineRule="auto"/>
        <w:tabs>
          <w:tab w:leader="none" w:pos="1137"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of the securities being distributed are being distributed for the account of a securityholder and those securities were purchased by the selling securityholder within the two years preceding the date of the prospectus, state the date the selling securityholder acquired the securities and, if the securities were acquired in the 12 months preceding the date of the prospectus, the cost to the securityholder in the aggregate and on an average cost-per-security basis: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67"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Relationships with the Company:</w:t>
      </w:r>
    </w:p>
    <w:p>
      <w:pPr>
        <w:spacing w:after="0" w:line="260" w:lineRule="exact"/>
        <w:rPr>
          <w:rFonts w:ascii="Times New Roman" w:cs="Times New Roman" w:eastAsia="Times New Roman" w:hAnsi="Times New Roman"/>
          <w:sz w:val="22"/>
          <w:szCs w:val="22"/>
          <w:b w:val="1"/>
          <w:bCs w:val="1"/>
          <w:color w:val="auto"/>
        </w:rPr>
      </w:pPr>
    </w:p>
    <w:p>
      <w:pPr>
        <w:jc w:val="both"/>
        <w:ind w:left="660"/>
        <w:spacing w:after="0" w:line="25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0"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-1583055</wp:posOffset>
            </wp:positionV>
            <wp:extent cx="137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-1428750</wp:posOffset>
            </wp:positionV>
            <wp:extent cx="137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285115</wp:posOffset>
            </wp:positionV>
            <wp:extent cx="137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456565</wp:posOffset>
            </wp:positionV>
            <wp:extent cx="137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The undersigned agrees to promptly notify the Company of any material inaccuracies or changes in the information provided herein that may occur subsequent to the date hereof at any time while the Registration Statement remains effective;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undersigned shall not be required to notify the Company of any changes to the number of securities held or owned by the undersigned or its affiliates.</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ectPr>
          <w:pgSz w:w="11900" w:h="16838" w:orient="portrait"/>
          <w:cols w:equalWidth="0" w:num="1">
            <w:col w:w="11240"/>
          </w:cols>
          <w:pgMar w:left="320" w:top="1408" w:right="339" w:bottom="1440" w:gutter="0" w:footer="0" w:header="0"/>
        </w:sectPr>
      </w:pPr>
    </w:p>
    <w:bookmarkStart w:id="22" w:name="page23"/>
    <w:bookmarkEnd w:id="22"/>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by authority duly given, has caused this Notice and Questionnaire to be executed and delivered either in person or by its duly authorized agent.</w:t>
      </w:r>
    </w:p>
    <w:p>
      <w:pPr>
        <w:spacing w:after="0" w:line="15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Date:</w:t>
        <w:tab/>
        <w:t>Beneficial</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-21590</wp:posOffset>
            </wp:positionV>
            <wp:extent cx="1714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-21590</wp:posOffset>
            </wp:positionV>
            <wp:extent cx="1714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-13970</wp:posOffset>
            </wp:positionV>
            <wp:extent cx="137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Title: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PLEASE EMAIL A .PDF COPY OF THE COMPLETED AND EXECUTED NOTICE AND QUESTIONNAIRE TO:</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Dorsey &amp; Whitney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Robert Van de Mark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vandemark.robert@dorsey.com</w:t>
      </w:r>
    </w:p>
    <w:p>
      <w:pPr>
        <w:sectPr>
          <w:pgSz w:w="11900" w:h="16838" w:orient="portrait"/>
          <w:cols w:equalWidth="0" w:num="1">
            <w:col w:w="11220"/>
          </w:cols>
          <w:pgMar w:left="320" w:top="1422" w:right="35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2"/>
          <w:szCs w:val="22"/>
          <w:b w:val="1"/>
          <w:bCs w:val="1"/>
          <w:color w:val="auto"/>
        </w:rPr>
        <w:t>SECURITIES PURCHASE AGREEMENT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THIS SECURITIES PURCHASE AGREEMENT </w:t>
      </w:r>
      <w:r>
        <w:rPr>
          <w:rFonts w:ascii="Times New Roman" w:cs="Times New Roman" w:eastAsia="Times New Roman" w:hAnsi="Times New Roman"/>
          <w:sz w:val="22"/>
          <w:szCs w:val="22"/>
          <w:color w:val="auto"/>
        </w:rPr>
        <w:t>(as amended, supplemented or otherwise modified from time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time,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xml:space="preserve">), dated as of June 30, 2025, is between CYBIN INC., a company organized under the laws of the Province of Ontario, Canada, with principal executive offices located at 100 King Street West, Suite 5600, Toronto, Ontario, Canada M5X 1C9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High Trail Special Situations LLC with principal executive offices located at 290 Harbor Drive, 3rd Floor Stamford, CT 06902 Attn: Capital Solutions Team (the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Buyer desire to enter into this transaction for the Company to sell and the Buyer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purchase the Convertible Note (as defined below) pursuant to (i) an exemption from registration pursuant to Section 4(a)(2) of the Securities Act of 1933, as amended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and/or Rule 506 of Regulation D (</w:t>
      </w:r>
      <w:r>
        <w:rPr>
          <w:rFonts w:ascii="Times New Roman" w:cs="Times New Roman" w:eastAsia="Times New Roman" w:hAnsi="Times New Roman"/>
          <w:sz w:val="22"/>
          <w:szCs w:val="22"/>
          <w:b w:val="1"/>
          <w:bCs w:val="1"/>
          <w:color w:val="auto"/>
        </w:rPr>
        <w:t>“Regulation D”</w:t>
      </w:r>
      <w:r>
        <w:rPr>
          <w:rFonts w:ascii="Times New Roman" w:cs="Times New Roman" w:eastAsia="Times New Roman" w:hAnsi="Times New Roman"/>
          <w:sz w:val="22"/>
          <w:szCs w:val="22"/>
          <w:color w:val="auto"/>
        </w:rPr>
        <w:t xml:space="preserve">) as promulgated by the U.S.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xml:space="preserve">) and (ii) an exemption from the prospectus requirements of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xml:space="preserve"> (Ontario) under Section 2.3 of Ontario Securities Commission Rule 72-503 – </w:t>
      </w:r>
      <w:r>
        <w:rPr>
          <w:rFonts w:ascii="Times New Roman" w:cs="Times New Roman" w:eastAsia="Times New Roman" w:hAnsi="Times New Roman"/>
          <w:sz w:val="22"/>
          <w:szCs w:val="22"/>
          <w:i w:val="1"/>
          <w:iCs w:val="1"/>
          <w:color w:val="auto"/>
        </w:rPr>
        <w:t>Distributions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Outside Canada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“OSC Rule 72-503”</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desire that, upon the terms and subject to the conditions contained herein, on the date hereof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xml:space="preserve">”), the Company shall issue and sell to the Buyer, as provided herein, and the Buyer shall purchase unsecured convertible note in the form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“Convertible Note”</w:t>
      </w:r>
      <w:r>
        <w:rPr>
          <w:rFonts w:ascii="Times New Roman" w:cs="Times New Roman" w:eastAsia="Times New Roman" w:hAnsi="Times New Roman"/>
          <w:sz w:val="22"/>
          <w:szCs w:val="22"/>
          <w:color w:val="auto"/>
        </w:rPr>
        <w:t xml:space="preserve">) in the principal amount of $50,000,000 (the </w:t>
      </w:r>
      <w:r>
        <w:rPr>
          <w:rFonts w:ascii="Times New Roman" w:cs="Times New Roman" w:eastAsia="Times New Roman" w:hAnsi="Times New Roman"/>
          <w:sz w:val="22"/>
          <w:szCs w:val="22"/>
          <w:b w:val="1"/>
          <w:bCs w:val="1"/>
          <w:color w:val="auto"/>
        </w:rPr>
        <w:t>“Subscription Amount”</w:t>
      </w:r>
      <w:r>
        <w:rPr>
          <w:rFonts w:ascii="Times New Roman" w:cs="Times New Roman" w:eastAsia="Times New Roman" w:hAnsi="Times New Roman"/>
          <w:sz w:val="22"/>
          <w:szCs w:val="22"/>
          <w:color w:val="auto"/>
        </w:rPr>
        <w:t xml:space="preserve">), which shall be convertible into common shares of the Company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xml:space="preserve">) (as converted, the </w:t>
      </w:r>
      <w:r>
        <w:rPr>
          <w:rFonts w:ascii="Times New Roman" w:cs="Times New Roman" w:eastAsia="Times New Roman" w:hAnsi="Times New Roman"/>
          <w:sz w:val="22"/>
          <w:szCs w:val="22"/>
          <w:b w:val="1"/>
          <w:bCs w:val="1"/>
          <w:color w:val="auto"/>
        </w:rPr>
        <w:t>“Conversion Shares”</w:t>
      </w:r>
      <w:r>
        <w:rPr>
          <w:rFonts w:ascii="Times New Roman" w:cs="Times New Roman" w:eastAsia="Times New Roman" w:hAnsi="Times New Roman"/>
          <w:sz w:val="22"/>
          <w:szCs w:val="22"/>
          <w:color w:val="auto"/>
        </w:rPr>
        <w:t xml:space="preserve">), at a purchase price equal to the Subscription Amount (the </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contemporaneously with the execution and delivery of this Agreement, the parties hereto are executing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delivering a registration rights agreement (as amended, supplemented or otherwise modified from time to time, the </w:t>
      </w:r>
      <w:r>
        <w:rPr>
          <w:rFonts w:ascii="Times New Roman" w:cs="Times New Roman" w:eastAsia="Times New Roman" w:hAnsi="Times New Roman"/>
          <w:sz w:val="22"/>
          <w:szCs w:val="22"/>
          <w:b w:val="1"/>
          <w:bCs w:val="1"/>
          <w:color w:val="auto"/>
        </w:rPr>
        <w:t>“Registration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Rights Agreement”</w:t>
      </w:r>
      <w:r>
        <w:rPr>
          <w:rFonts w:ascii="Times New Roman" w:cs="Times New Roman" w:eastAsia="Times New Roman" w:hAnsi="Times New Roman"/>
          <w:sz w:val="22"/>
          <w:szCs w:val="22"/>
          <w:color w:val="auto"/>
        </w:rPr>
        <w:t>) pursuant to which the Company has agreed to provide certain registration rights under the Securities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rules and regulations promulgated thereunder, and applicable state securities laws; and</w:t>
      </w:r>
    </w:p>
    <w:p>
      <w:pPr>
        <w:spacing w:after="0" w:line="168" w:lineRule="exact"/>
        <w:rPr>
          <w:sz w:val="20"/>
          <w:szCs w:val="20"/>
          <w:color w:val="auto"/>
        </w:rPr>
      </w:pPr>
    </w:p>
    <w:p>
      <w:pPr>
        <w:jc w:val="center"/>
        <w:ind w:left="500" w:right="480"/>
        <w:spacing w:after="0" w:line="45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Convertible Note and the Conversion Shares are collectively referred to herein as the</w:t>
      </w:r>
      <w:r>
        <w:rPr>
          <w:rFonts w:ascii="Times New Roman" w:cs="Times New Roman" w:eastAsia="Times New Roman" w:hAnsi="Times New Roman"/>
          <w:sz w:val="22"/>
          <w:szCs w:val="22"/>
          <w:b w:val="1"/>
          <w:bCs w:val="1"/>
          <w:color w:val="auto"/>
        </w:rPr>
        <w:t xml:space="preserve"> “Securities.” AGREEMENT</w:t>
      </w:r>
    </w:p>
    <w:p>
      <w:pPr>
        <w:spacing w:after="0" w:line="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the mutual covenants contained herein and for other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valuable consideration, the receipt and sufficiency of which are hereby acknowledged, the Company and the Buyer hereby agree as follows:</w:t>
      </w:r>
    </w:p>
    <w:p>
      <w:pPr>
        <w:sectPr>
          <w:pgSz w:w="11900" w:h="16838" w:orient="portrait"/>
          <w:cols w:equalWidth="0" w:num="1">
            <w:col w:w="11240"/>
          </w:cols>
          <w:pgMar w:left="320" w:top="1418" w:right="339" w:bottom="1440" w:gutter="0" w:footer="0" w:header="0"/>
        </w:sectPr>
      </w:pPr>
    </w:p>
    <w:bookmarkStart w:id="24" w:name="page25"/>
    <w:bookmarkEnd w:id="24"/>
    <w:p>
      <w:pPr>
        <w:ind w:left="652" w:hanging="652"/>
        <w:spacing w:after="0"/>
        <w:tabs>
          <w:tab w:leader="none" w:pos="652"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PURCHASE AND SALE OF CONVERTIBLE NOTE.</w:t>
      </w:r>
    </w:p>
    <w:p>
      <w:pPr>
        <w:spacing w:after="0" w:line="179" w:lineRule="exact"/>
        <w:rPr>
          <w:rFonts w:ascii="Times New Roman" w:cs="Times New Roman" w:eastAsia="Times New Roman" w:hAnsi="Times New Roman"/>
          <w:sz w:val="22"/>
          <w:szCs w:val="22"/>
          <w:b w:val="1"/>
          <w:bCs w:val="1"/>
          <w:color w:val="auto"/>
        </w:rPr>
      </w:pPr>
    </w:p>
    <w:p>
      <w:pPr>
        <w:jc w:val="both"/>
        <w:ind w:left="-8" w:firstLine="656"/>
        <w:spacing w:after="0" w:line="227" w:lineRule="auto"/>
        <w:tabs>
          <w:tab w:leader="none" w:pos="1285"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Purchase of Convertible Note</w:t>
      </w:r>
      <w:r>
        <w:rPr>
          <w:rFonts w:ascii="Times New Roman" w:cs="Times New Roman" w:eastAsia="Times New Roman" w:hAnsi="Times New Roman"/>
          <w:sz w:val="22"/>
          <w:szCs w:val="22"/>
          <w:color w:val="auto"/>
        </w:rPr>
        <w:t>. Subject to the satisfaction (or waiver) of the respective conditions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Sections 6 and 7 below, the Company shall issue and sell to the Buyer, and the Buyer agrees to purchase from the Company at Closing the Convertible Note in a principal amount equal to the Subscription Amount.</w:t>
      </w:r>
    </w:p>
    <w:p>
      <w:pPr>
        <w:spacing w:after="0" w:line="146" w:lineRule="exact"/>
        <w:rPr>
          <w:rFonts w:ascii="Times New Roman" w:cs="Times New Roman" w:eastAsia="Times New Roman" w:hAnsi="Times New Roman"/>
          <w:sz w:val="22"/>
          <w:szCs w:val="22"/>
          <w:color w:val="auto"/>
        </w:rPr>
      </w:pPr>
    </w:p>
    <w:p>
      <w:pPr>
        <w:jc w:val="both"/>
        <w:ind w:left="-8" w:firstLine="656"/>
        <w:spacing w:after="0" w:line="218" w:lineRule="auto"/>
        <w:tabs>
          <w:tab w:leader="none" w:pos="128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The Closing shall occur remotely by conference call and electronic delivery of documentation.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Closing shall occur at or about 8:00 a.m., New York time, on the first Business Day on which the conditions to the Closing set forth in Sections 6 and 7 below are satisfied or waived (or such other date as is mutually agreed to by the Company and the Buyer) (the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xml:space="preserve">). As used herein </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xml:space="preserve"> means any day other than a Saturday, Sunday or other day on which commercial banks in New York, New York or Toronto, Ontario are authorized or required by law to remain closed</w:t>
      </w:r>
    </w:p>
    <w:p>
      <w:pPr>
        <w:spacing w:after="0" w:line="147" w:lineRule="exact"/>
        <w:rPr>
          <w:rFonts w:ascii="Times New Roman" w:cs="Times New Roman" w:eastAsia="Times New Roman" w:hAnsi="Times New Roman"/>
          <w:sz w:val="22"/>
          <w:szCs w:val="22"/>
          <w:color w:val="auto"/>
        </w:rPr>
      </w:pPr>
    </w:p>
    <w:p>
      <w:pPr>
        <w:jc w:val="both"/>
        <w:ind w:left="-8" w:firstLine="656"/>
        <w:spacing w:after="0" w:line="218" w:lineRule="auto"/>
        <w:tabs>
          <w:tab w:leader="none" w:pos="1285"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Form of Payment; Deliveries</w:t>
      </w:r>
      <w:r>
        <w:rPr>
          <w:rFonts w:ascii="Times New Roman" w:cs="Times New Roman" w:eastAsia="Times New Roman" w:hAnsi="Times New Roman"/>
          <w:sz w:val="22"/>
          <w:szCs w:val="22"/>
          <w:color w:val="auto"/>
        </w:rPr>
        <w:t>. Subject to the satisfaction (or waiver) of the terms and conditions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on the Closing Date, (i) the Buyer shall deliver to the Company, in immediately available funds to a bank account designated by the Company, the Purchase Price for the Convertible Note to be issued and sold to the Buyer at the Closing, and (ii) the Company shall deliver to the Buyer, the Convertible Note which the Buyer is purchasing at the Closing with a principal amount corresponding with the Subscription Amount.</w:t>
      </w:r>
    </w:p>
    <w:p>
      <w:pPr>
        <w:spacing w:after="0" w:line="147" w:lineRule="exact"/>
        <w:rPr>
          <w:rFonts w:ascii="Times New Roman" w:cs="Times New Roman" w:eastAsia="Times New Roman" w:hAnsi="Times New Roman"/>
          <w:sz w:val="22"/>
          <w:szCs w:val="22"/>
          <w:color w:val="auto"/>
        </w:rPr>
      </w:pPr>
    </w:p>
    <w:p>
      <w:pPr>
        <w:jc w:val="both"/>
        <w:ind w:left="-8" w:firstLine="656"/>
        <w:spacing w:after="0" w:line="210" w:lineRule="auto"/>
        <w:tabs>
          <w:tab w:leader="none" w:pos="128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Home Country Practice</w:t>
      </w:r>
      <w:r>
        <w:rPr>
          <w:rFonts w:ascii="Times New Roman" w:cs="Times New Roman" w:eastAsia="Times New Roman" w:hAnsi="Times New Roman"/>
          <w:sz w:val="22"/>
          <w:szCs w:val="22"/>
          <w:color w:val="auto"/>
        </w:rPr>
        <w:t>. Prior to the date hereof, the Company has taken all actions required pursuant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rules and regulations of the NYSE American LLC (the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xml:space="preserve">) to duly and validly rely on the exemption for foreign private issuers from applicable rules and regulations of the NYSE American by adopting the home country practice (the </w:t>
      </w:r>
      <w:r>
        <w:rPr>
          <w:rFonts w:ascii="Times New Roman" w:cs="Times New Roman" w:eastAsia="Times New Roman" w:hAnsi="Times New Roman"/>
          <w:sz w:val="22"/>
          <w:szCs w:val="22"/>
          <w:b w:val="1"/>
          <w:bCs w:val="1"/>
          <w:color w:val="auto"/>
        </w:rPr>
        <w:t>“Home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Country Practice”</w:t>
      </w:r>
      <w:r>
        <w:rPr>
          <w:rFonts w:ascii="Times New Roman" w:cs="Times New Roman" w:eastAsia="Times New Roman" w:hAnsi="Times New Roman"/>
          <w:sz w:val="22"/>
          <w:szCs w:val="22"/>
          <w:color w:val="auto"/>
        </w:rPr>
        <w:t>) in connection with the transactions contemplated hereunder (including an exemption from any NYSE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American rules that would otherwise require seeking shareholder approval in respect of such transactions). The Company may issue the relevant Conversion Shares upon conversion of any outstanding Convertible Note without regard to the limitations imposed by the NYSE American. So long as any Convertible Note is outstanding, the Company shall comply with the Home Country Practice rules and shall not take any action to change its Home Country Practice or become subject to the NYSE American shareholder approval rules with respect to transactions contemplated herein. The Company’s practices in connection with the transactions contemplated hereunder are not prohibited by its home country’s laws and are not subject to shareholder approval under the rules, regulations and requirements of the Cboe Canada (</w:t>
      </w:r>
      <w:r>
        <w:rPr>
          <w:rFonts w:ascii="Times New Roman" w:cs="Times New Roman" w:eastAsia="Times New Roman" w:hAnsi="Times New Roman"/>
          <w:sz w:val="22"/>
          <w:szCs w:val="22"/>
          <w:b w:val="1"/>
          <w:bCs w:val="1"/>
          <w:color w:val="auto"/>
        </w:rPr>
        <w:t>“Cboe”</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BUYER’S REPRESENTATIONS AND WARRANTIES.</w:t>
      </w:r>
    </w:p>
    <w:p>
      <w:pPr>
        <w:spacing w:after="0" w:line="210" w:lineRule="exact"/>
        <w:rPr>
          <w:rFonts w:ascii="Times New Roman" w:cs="Times New Roman" w:eastAsia="Times New Roman" w:hAnsi="Times New Roman"/>
          <w:sz w:val="22"/>
          <w:szCs w:val="22"/>
          <w:b w:val="1"/>
          <w:bCs w:val="1"/>
          <w:color w:val="auto"/>
        </w:rPr>
      </w:pPr>
    </w:p>
    <w:p>
      <w:pPr>
        <w:ind w:left="65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Buyer represents and warrants to the Company that as of the date hereof and as of the Closing Date:</w:t>
      </w:r>
    </w:p>
    <w:p>
      <w:pPr>
        <w:spacing w:after="0" w:line="188" w:lineRule="exact"/>
        <w:rPr>
          <w:rFonts w:ascii="Times New Roman" w:cs="Times New Roman" w:eastAsia="Times New Roman" w:hAnsi="Times New Roman"/>
          <w:sz w:val="22"/>
          <w:szCs w:val="22"/>
          <w:b w:val="1"/>
          <w:bCs w:val="1"/>
          <w:color w:val="auto"/>
        </w:rPr>
      </w:pPr>
    </w:p>
    <w:p>
      <w:pPr>
        <w:jc w:val="both"/>
        <w:ind w:left="-8" w:firstLine="656"/>
        <w:spacing w:after="0" w:line="213" w:lineRule="auto"/>
        <w:tabs>
          <w:tab w:leader="none" w:pos="1285"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Investment Purpose</w:t>
      </w:r>
      <w:r>
        <w:rPr>
          <w:rFonts w:ascii="Times New Roman" w:cs="Times New Roman" w:eastAsia="Times New Roman" w:hAnsi="Times New Roman"/>
          <w:sz w:val="22"/>
          <w:szCs w:val="22"/>
          <w:color w:val="auto"/>
        </w:rPr>
        <w:t>. The Buyer is acquiring the Securities for its own account for investment purposes and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 view towards, or for resale in connection with, the public sale or distribution thereof, except pursuant to sales registered under or exempt from the registration requirements of the Securities Act; provided, however, that by making the representations herein, the Buyer does not agree, or make any representation or warranty, to hold any of the Securities for any minimum or other specific term and reserves the right to dispose of the Securities at any time in accordance with, or pursuant to, a registration statement covering such Securities or an available exemption under the Securities Act. The Buyer does not presently have any agreement or understanding, directly or indirectly, with any Person (as defined below) to distribute any of the Securities in violation of Applicable Securities Laws. As used herein,</w:t>
      </w:r>
    </w:p>
    <w:p>
      <w:pPr>
        <w:sectPr>
          <w:pgSz w:w="11900" w:h="16838" w:orient="portrait"/>
          <w:cols w:equalWidth="0" w:num="1">
            <w:col w:w="11232"/>
          </w:cols>
          <w:pgMar w:left="328" w:top="1391" w:right="339" w:bottom="1440" w:gutter="0" w:footer="0" w:header="0"/>
        </w:sectPr>
      </w:pPr>
    </w:p>
    <w:bookmarkStart w:id="25" w:name="page26"/>
    <w:bookmarkEnd w:id="25"/>
    <w:p>
      <w:pPr>
        <w:jc w:val="both"/>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“Person” </w:t>
      </w:r>
      <w:r>
        <w:rPr>
          <w:rFonts w:ascii="Times New Roman" w:cs="Times New Roman" w:eastAsia="Times New Roman" w:hAnsi="Times New Roman"/>
          <w:sz w:val="22"/>
          <w:szCs w:val="22"/>
          <w:color w:val="auto"/>
        </w:rPr>
        <w:t>means a corporation, a limited liability company, an association, a partnership, an organization, a business,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governmental or political subdivision thereof or a governmental agency. As used herein, “</w:t>
      </w:r>
      <w:r>
        <w:rPr>
          <w:rFonts w:ascii="Times New Roman" w:cs="Times New Roman" w:eastAsia="Times New Roman" w:hAnsi="Times New Roman"/>
          <w:sz w:val="22"/>
          <w:szCs w:val="22"/>
          <w:b w:val="1"/>
          <w:bCs w:val="1"/>
          <w:color w:val="auto"/>
        </w:rPr>
        <w:t>Applicable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Laws</w:t>
      </w:r>
      <w:r>
        <w:rPr>
          <w:rFonts w:ascii="Times New Roman" w:cs="Times New Roman" w:eastAsia="Times New Roman" w:hAnsi="Times New Roman"/>
          <w:sz w:val="22"/>
          <w:szCs w:val="22"/>
          <w:color w:val="auto"/>
        </w:rPr>
        <w:t>” means (a) the applicable securities laws of each of the provinces and territories of Canada, their respective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rulings, rules, orders (including blanket orders and discretionary orders), instruments (including national and multilateral instruments), fee schedules and prescribed forms thereunder, and the applicable policy statements issued by the applicable securities commissions or regulatory authority or similar authority thereunder (“</w:t>
      </w:r>
      <w:r>
        <w:rPr>
          <w:rFonts w:ascii="Times New Roman" w:cs="Times New Roman" w:eastAsia="Times New Roman" w:hAnsi="Times New Roman"/>
          <w:sz w:val="22"/>
          <w:szCs w:val="22"/>
          <w:b w:val="1"/>
          <w:bCs w:val="1"/>
          <w:color w:val="auto"/>
        </w:rPr>
        <w:t>Canadian Securities Laws</w:t>
      </w:r>
      <w:r>
        <w:rPr>
          <w:rFonts w:ascii="Times New Roman" w:cs="Times New Roman" w:eastAsia="Times New Roman" w:hAnsi="Times New Roman"/>
          <w:sz w:val="22"/>
          <w:szCs w:val="22"/>
          <w:color w:val="auto"/>
        </w:rPr>
        <w:t>”) and (b) all applicable securities laws in the United States, including, without limitation, the Securities Act, the Exchange Act and the rules and regulations promulgated thereunder, and any applicable state securities laws (“</w:t>
      </w:r>
      <w:r>
        <w:rPr>
          <w:rFonts w:ascii="Times New Roman" w:cs="Times New Roman" w:eastAsia="Times New Roman" w:hAnsi="Times New Roman"/>
          <w:sz w:val="22"/>
          <w:szCs w:val="22"/>
          <w:b w:val="1"/>
          <w:bCs w:val="1"/>
          <w:color w:val="auto"/>
        </w:rPr>
        <w:t>U.S. Securities Laws</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Accredited Investor Status</w:t>
      </w:r>
      <w:r>
        <w:rPr>
          <w:rFonts w:ascii="Times New Roman" w:cs="Times New Roman" w:eastAsia="Times New Roman" w:hAnsi="Times New Roman"/>
          <w:sz w:val="21"/>
          <w:szCs w:val="21"/>
          <w:color w:val="auto"/>
        </w:rPr>
        <w:t>. The Buyer is an</w:t>
      </w:r>
      <w:r>
        <w:rPr>
          <w:rFonts w:ascii="Times New Roman" w:cs="Times New Roman" w:eastAsia="Times New Roman" w:hAnsi="Times New Roman"/>
          <w:sz w:val="21"/>
          <w:szCs w:val="21"/>
          <w:b w:val="1"/>
          <w:bCs w:val="1"/>
          <w:color w:val="auto"/>
        </w:rPr>
        <w:t xml:space="preserve"> “Accredited Investor” </w:t>
      </w:r>
      <w:r>
        <w:rPr>
          <w:rFonts w:ascii="Times New Roman" w:cs="Times New Roman" w:eastAsia="Times New Roman" w:hAnsi="Times New Roman"/>
          <w:sz w:val="21"/>
          <w:szCs w:val="21"/>
          <w:color w:val="auto"/>
        </w:rPr>
        <w:t>as that term is defined in Rule 501(a)(3) of</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Regulation D.</w:t>
      </w:r>
    </w:p>
    <w:p>
      <w:pPr>
        <w:spacing w:after="0" w:line="151" w:lineRule="exact"/>
        <w:rPr>
          <w:rFonts w:ascii="Times New Roman" w:cs="Times New Roman" w:eastAsia="Times New Roman" w:hAnsi="Times New Roman"/>
          <w:sz w:val="21"/>
          <w:szCs w:val="21"/>
          <w:color w:val="auto"/>
        </w:rPr>
      </w:pPr>
    </w:p>
    <w:p>
      <w:pPr>
        <w:jc w:val="both"/>
        <w:ind w:firstLine="656"/>
        <w:spacing w:after="0" w:line="216" w:lineRule="auto"/>
        <w:tabs>
          <w:tab w:leader="none" w:pos="129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Reliance on Exemptions</w:t>
      </w:r>
      <w:r>
        <w:rPr>
          <w:rFonts w:ascii="Times New Roman" w:cs="Times New Roman" w:eastAsia="Times New Roman" w:hAnsi="Times New Roman"/>
          <w:sz w:val="22"/>
          <w:szCs w:val="22"/>
          <w:color w:val="auto"/>
        </w:rPr>
        <w:t>. The Buyer understands that the Securities are being offered and sold to it in reliance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specific exemptions from: (i) the registration requirements of U.S. Securities Laws; and (ii) the exemption from the prospectus requirements of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xml:space="preserve"> (Ontario) under Section 2.3 of OSC Rule 72-503, and that, in each case, the Company is relying in part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spacing w:after="0" w:line="145"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The Buyer has been furnished with all materials relating to the business, finances and operations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information the Buyer deemed material to making an informed investment decision regarding its purchase of the Securities, which have been requested by the Buyer. The Buyer has been afforded the opportunity to ask questions of the Company and its management and has received answers to such questions. Neither such inquiries nor any other due diligence investigations conducted by the Buyer or its representatives shall modify, amend or affect the Buyer’s right to rely on the Company’s representations and warranties contained in Section 3 below. The Buyer understands that its investment in the Securities involves a high degree of risk. The Buyer has sought such accounting, legal and tax advice, as it has considered necessary to make an informed investment decision with respect to its acquisition of the Securities. The Buyer acknowledges and agrees that the Company does not make and has not made any representation or warranties with respect to the transactions contemplated hereby other than those specifically set forth in Section 3.</w:t>
      </w:r>
    </w:p>
    <w:p>
      <w:pPr>
        <w:spacing w:after="0" w:line="151"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Transfer or Resale</w:t>
      </w:r>
      <w:r>
        <w:rPr>
          <w:rFonts w:ascii="Times New Roman" w:cs="Times New Roman" w:eastAsia="Times New Roman" w:hAnsi="Times New Roman"/>
          <w:sz w:val="21"/>
          <w:szCs w:val="21"/>
          <w:color w:val="auto"/>
        </w:rPr>
        <w:t>. The Buyer understands that: (i) the Securities have not been registered under U.S.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Laws, and may not be offered for sale, sold, assigned or transferred unless (A) subsequently registered thereunder, (B) the Buyer shall have delivered to the Company an opinion of counsel, in a form generally acceptable to the Company and the Company’s transfer agent, to the effect that such Securities to be sold, assigned or transferred may be sold, assigned or transferred pursuant to an exemption from such registration requirements, (C) the Buyer provides the Company with reasonable assurances (in the form of seller and broker representation letters reasonably acceptable to the Company) that such Securities can be sold, assigned or transferred pursuant to Rule 144 promulgated under the Securities Act, as amended (or a successor rule thereto) (collectively, </w:t>
      </w:r>
      <w:r>
        <w:rPr>
          <w:rFonts w:ascii="Times New Roman" w:cs="Times New Roman" w:eastAsia="Times New Roman" w:hAnsi="Times New Roman"/>
          <w:sz w:val="21"/>
          <w:szCs w:val="21"/>
          <w:b w:val="1"/>
          <w:bCs w:val="1"/>
          <w:color w:val="auto"/>
        </w:rPr>
        <w:t>“Rule 144”</w:t>
      </w:r>
      <w:r>
        <w:rPr>
          <w:rFonts w:ascii="Times New Roman" w:cs="Times New Roman" w:eastAsia="Times New Roman" w:hAnsi="Times New Roman"/>
          <w:sz w:val="21"/>
          <w:szCs w:val="21"/>
          <w:color w:val="auto"/>
        </w:rPr>
        <w:t>), in each case following the applicable holding period set forth therein; or (D) the Buyer shall have delivered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and the Company’s transfer agent and Rule 904 declaration in a form agreed to by the Company and the Company’s transfer agentand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w:t>
      </w:r>
    </w:p>
    <w:p>
      <w:pPr>
        <w:sectPr>
          <w:pgSz w:w="11900" w:h="16838" w:orient="portrait"/>
          <w:cols w:equalWidth="0" w:num="1">
            <w:col w:w="11240"/>
          </w:cols>
          <w:pgMar w:left="320" w:top="1391" w:right="339" w:bottom="1440" w:gutter="0" w:footer="0" w:header="0"/>
        </w:sectPr>
      </w:pPr>
    </w:p>
    <w:bookmarkStart w:id="26" w:name="page27"/>
    <w:bookmarkEnd w:id="26"/>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is defined in the Securities Act) may require compliance with some other exemption under the Securities Act or the rules and regulations of the SEC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including, without limitation, this Section 2(e). In addition, the Buyer understands that (i) the Securities have not been qualified for distribution by prospectus in any jurisdiction of Canada, and may not be offered for sale, sold, assigned or transferred in any jurisdiction of Canada during the course of the distribution thereof, except pursuant to a prospectus or exemption from the prospectus requirement under Canadian Securities Laws. The Buyer covenants and agrees that it shall not directly or indirectly, during the course of the distribution of the distribution of the Securities, make any offers or sales of securities in connection with this Agreement directly to any person whom, to the Buyer’s knowledge, is (A) a person resident or located in a jurisdiction of Canada; (B) a person acquiring such securities for the benefit of another person resident or located in a jurisdiction of Canada, or (C) on any </w:t>
      </w:r>
      <w:r>
        <w:rPr>
          <w:rFonts w:ascii="Times New Roman" w:cs="Times New Roman" w:eastAsia="Times New Roman" w:hAnsi="Times New Roman"/>
          <w:sz w:val="21"/>
          <w:szCs w:val="21"/>
          <w:b w:val="1"/>
          <w:bCs w:val="1"/>
          <w:color w:val="auto"/>
        </w:rPr>
        <w:t>“marketplace”</w:t>
      </w:r>
      <w:r>
        <w:rPr>
          <w:rFonts w:ascii="Times New Roman" w:cs="Times New Roman" w:eastAsia="Times New Roman" w:hAnsi="Times New Roman"/>
          <w:sz w:val="21"/>
          <w:szCs w:val="21"/>
          <w:color w:val="auto"/>
        </w:rPr>
        <w:t xml:space="preserve"> (as such term is defined in National Instrument 21-101 – Marketplace Operation) in Canada. The Company and the Buyer shall take all further steps reasonably required to ensure compliance with the provisions of OSC Rule 72-503. For clarity, a distribution made on or through the facilities of an exchange or market outside Canada is a distribution to a person or company outside Canada if neither the seller nor any person acting on its behalf has reason to believe that the distribution has been pre-arranged with a buyer in Canada.</w:t>
      </w:r>
    </w:p>
    <w:p>
      <w:pPr>
        <w:spacing w:after="0" w:line="155" w:lineRule="exact"/>
        <w:rPr>
          <w:sz w:val="20"/>
          <w:szCs w:val="20"/>
          <w:color w:val="auto"/>
        </w:rPr>
      </w:pPr>
    </w:p>
    <w:p>
      <w:pPr>
        <w:ind w:firstLine="656"/>
        <w:spacing w:after="0" w:line="238"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Legends</w:t>
      </w:r>
      <w:r>
        <w:rPr>
          <w:rFonts w:ascii="Times New Roman" w:cs="Times New Roman" w:eastAsia="Times New Roman" w:hAnsi="Times New Roman"/>
          <w:sz w:val="22"/>
          <w:szCs w:val="22"/>
          <w:color w:val="auto"/>
        </w:rPr>
        <w:t>. The Buyer agrees to the imprinting, so long as its required by this Section 2(f), of a restrictive legend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Securities in substantially the following form:</w:t>
      </w:r>
    </w:p>
    <w:p>
      <w:pPr>
        <w:spacing w:after="0" w:line="173" w:lineRule="exact"/>
        <w:rPr>
          <w:sz w:val="20"/>
          <w:szCs w:val="20"/>
          <w:color w:val="auto"/>
        </w:rPr>
      </w:pPr>
    </w:p>
    <w:p>
      <w:pPr>
        <w:jc w:val="both"/>
        <w:ind w:left="660" w:right="640"/>
        <w:spacing w:after="0" w:line="248" w:lineRule="auto"/>
        <w:rPr>
          <w:sz w:val="20"/>
          <w:szCs w:val="20"/>
          <w:color w:val="auto"/>
        </w:rPr>
      </w:pPr>
      <w:r>
        <w:rPr>
          <w:rFonts w:ascii="Times New Roman" w:cs="Times New Roman" w:eastAsia="Times New Roman" w:hAnsi="Times New Roman"/>
          <w:sz w:val="22"/>
          <w:szCs w:val="22"/>
          <w:color w:val="auto"/>
        </w:rPr>
        <w:t>THE SECURITIES REPRESENTED HEREBY [</w:t>
      </w:r>
      <w:r>
        <w:rPr>
          <w:rFonts w:ascii="Times New Roman" w:cs="Times New Roman" w:eastAsia="Times New Roman" w:hAnsi="Times New Roman"/>
          <w:sz w:val="22"/>
          <w:szCs w:val="22"/>
          <w:i w:val="1"/>
          <w:iCs w:val="1"/>
          <w:color w:val="auto"/>
        </w:rPr>
        <w:t>for Convertible Note add</w:t>
      </w:r>
      <w:r>
        <w:rPr>
          <w:rFonts w:ascii="Times New Roman" w:cs="Times New Roman" w:eastAsia="Times New Roman" w:hAnsi="Times New Roman"/>
          <w:sz w:val="22"/>
          <w:szCs w:val="22"/>
          <w:color w:val="auto"/>
        </w:rPr>
        <w:t>: AND THOSE SECURITIES INTO WHICH THEY ARE CONVERTIBLE] HAVE NOT BEEN REGISTERED UNDER THE UNITED STATES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OR APPLICABLE STATE SECURITIES LAWS. THE SECURITIES AND THOSE SECURITIES INTO WHICH THEY ARE CONVERTIBLE HAVE BEEN ACQUIRED SOLELY FOR INVESTMENT PURPOSES AND NOT WITH A VIEW TOWARD RESALE AND MAY ONLY BE OFFERED FOR SALE, SOLD, TRANSFERRED OR ASSIGNED (A) TO THE CORPORATION, (B) OUTSIDE THE UNITED STATES IN COMPLIANCE WITH RULE 904 OF REGULATION S UNDER THE SECURITIES ACT AND IN COMPLIANCE WITH LOCAL LAWS AND REGULATIONS, (C) IN COMPLIANCE WITH THE EXEMPTION FROM REGISTRATION UNDER THE SECURITIES ACT PROVIDED BY RULE 144 THEREUNDER, IF AVAILABLE, AND IN COMPLIANCE WITH ANY APPLICABLE STATE SECURITIES OR “BLUE SKY” LAWS, (D) IN A TRANSACTION THAT DOES NOT REQUIRE REGISTRATION UNDER THE SECURITIES ACT OR ANY APPLICABLE STATE SECURITIES LAWS, OR (E) PURSUANT TO AN EFFECTIVE REGISTRATION STATEMENT AND, IN THE CASE OF SUBPARAGRAPH (C) OR (D), THE SELLER FURNISHES TO THE CORPORATION AN OPINION OF COUNSEL OF RECOGNIZED STANDING OR SUCH OTHER EVIDENCE AS THE CORPORATION MAY REQUIRE IN FORM AND</w:t>
      </w:r>
    </w:p>
    <w:p>
      <w:pPr>
        <w:sectPr>
          <w:pgSz w:w="11900" w:h="16838" w:orient="portrait"/>
          <w:cols w:equalWidth="0" w:num="1">
            <w:col w:w="11240"/>
          </w:cols>
          <w:pgMar w:left="320" w:top="1395" w:right="339" w:bottom="1440" w:gutter="0" w:footer="0" w:header="0"/>
        </w:sectPr>
      </w:pPr>
    </w:p>
    <w:bookmarkStart w:id="27" w:name="page28"/>
    <w:bookmarkEnd w:id="27"/>
    <w:p>
      <w:pPr>
        <w:jc w:val="both"/>
        <w:ind w:left="660" w:right="660"/>
        <w:spacing w:after="0" w:line="253" w:lineRule="auto"/>
        <w:rPr>
          <w:sz w:val="20"/>
          <w:szCs w:val="20"/>
          <w:color w:val="auto"/>
        </w:rPr>
      </w:pPr>
      <w:r>
        <w:rPr>
          <w:rFonts w:ascii="Times New Roman" w:cs="Times New Roman" w:eastAsia="Times New Roman" w:hAnsi="Times New Roman"/>
          <w:sz w:val="22"/>
          <w:szCs w:val="22"/>
          <w:color w:val="auto"/>
        </w:rPr>
        <w:t>SUBSTANCE REASONABLY SATISFACTORY TO THE CORPORATION TO SUCH EFFECT. NOTWITHSTANDING THE FOREGOING, THE SECURITIES MAY BE PLEDGED IN CONNECTION WITH A BONA FIDE MARGIN ACCOUNT OR OTHER LOAN OR FINANCING ARRANGEMENT SECURED BY THE SECURITIES. DELIVERY OF THIS CERTIFICATE MAY NOT CONSTITUTE “GOOD DELIVERY” IN SETTLEMENT OF TRANSACTIONS ON STOCK EXCHANGES IN CANADA.</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Subject to the provision of representation letters from the Buyer and its representatives as the Company may require, certificates evidencing the Conversion Shares shall not contain any legend (including the legend set forth above), (i) while a registration statement covering the resale of such security is effective under the Securities Act, (ii) following any sale of such Conversion Shares pursuant to Rule 144, (iii) if such Conversion Shares are eligible for sale under Rule 144, or (iv) if such legend is not required under applicable requirements of the Securities Act (including judicial interpretations and pronouncements issued by the staff of the SEC). If a legend is not required pursuant to the foregoing, the Company shall no later than one (1) Trading Days (as defined in the Convertible Note) (or such earlier date as required pursuant to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or other applicable law, rule or regulation for the settlement of a trade initiated on the date the Buyer delivers such legended certificate representing such securities to the Company) following the delivery by a Buyer to the Company or the transfer agent (with notice to the Company) of a legended certificate representing such securities (endorsed or with stock powers attached, and otherwise in form necessary to affect the reissuance and/or transfer, if applicable), together with any other deliveries from the Buyer as may be required above in this Section 2(f), as directed by the Buyer, either:</w:t>
      </w:r>
    </w:p>
    <w:p>
      <w:pPr>
        <w:spacing w:after="0" w:line="2" w:lineRule="exact"/>
        <w:rPr>
          <w:sz w:val="20"/>
          <w:szCs w:val="20"/>
          <w:color w:val="auto"/>
        </w:rPr>
      </w:pPr>
    </w:p>
    <w:p>
      <w:pPr>
        <w:jc w:val="both"/>
        <w:ind w:firstLine="8"/>
        <w:spacing w:after="0" w:line="246" w:lineRule="auto"/>
        <w:tabs>
          <w:tab w:leader="none" w:pos="36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the Company’s transfer agent is participating in the DTC Fast Automated Securities Transfer Program, credit the aggregate number of shares of Common Shares to which the Buyer shall be entitled to the Buyer’s or its designee’s balance account with DTC through its Deposit/Withdrawal at Custodian system or (B) if the Company’s transfer agent is not participating in the DTC Fast Automated Securities Transfer Program, issue and deliver (via reputable overnight courier) to the Buyer, a certificate representing such securities that is free from all restrictive and other legends, registered in the name of the Buyer or its designee. The Company shall be responsible for any transfer agent fees or DTC fees with respect to any issuance of Securities or the removal of any legends with respect to any Securities in accordance herewith. The Buyer agrees that the removal of a restrictive legend from certificates representing Securities as set forth in this Section 2(f) is predicated upon the Company’s reliance that the Buyer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w:t>
      </w:r>
    </w:p>
    <w:p>
      <w:pPr>
        <w:spacing w:after="0" w:line="157"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1"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Organization; Authority</w:t>
      </w:r>
      <w:r>
        <w:rPr>
          <w:rFonts w:ascii="Times New Roman" w:cs="Times New Roman" w:eastAsia="Times New Roman" w:hAnsi="Times New Roman"/>
          <w:sz w:val="22"/>
          <w:szCs w:val="22"/>
          <w:color w:val="auto"/>
        </w:rPr>
        <w:t>. The Buyer is an entity duly organized, validly existing and in good standing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jurisdiction of its organization with the requisite power and authority to enter into and to consummate the transactions contemplated by the Transaction Documents (as defined below) to which it is a party and otherwise to carry out its obligations hereunder and thereunder.</w:t>
      </w:r>
    </w:p>
    <w:p>
      <w:pPr>
        <w:sectPr>
          <w:pgSz w:w="11900" w:h="16838" w:orient="portrait"/>
          <w:cols w:equalWidth="0" w:num="1">
            <w:col w:w="11240"/>
          </w:cols>
          <w:pgMar w:left="320" w:top="1422" w:right="339" w:bottom="1440" w:gutter="0" w:footer="0" w:header="0"/>
        </w:sectPr>
      </w:pPr>
    </w:p>
    <w:bookmarkStart w:id="28" w:name="page29"/>
    <w:bookmarkEnd w:id="28"/>
    <w:p>
      <w:pPr>
        <w:jc w:val="both"/>
        <w:ind w:left="-656" w:firstLine="656"/>
        <w:spacing w:after="0" w:line="218" w:lineRule="auto"/>
        <w:tabs>
          <w:tab w:leader="none" w:pos="63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Authorization, Enforcement</w:t>
      </w:r>
      <w:r>
        <w:rPr>
          <w:rFonts w:ascii="Times New Roman" w:cs="Times New Roman" w:eastAsia="Times New Roman" w:hAnsi="Times New Roman"/>
          <w:sz w:val="22"/>
          <w:szCs w:val="22"/>
          <w:color w:val="auto"/>
        </w:rPr>
        <w:t>. The Transaction Documents to which each the Buyer is a party have been duly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validly authorized, executed and delivered on behalf of the Buyer and constitute the legal, valid and binding obligations of the Buyer enforceable against the Buyer in accordance with its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47" w:lineRule="exact"/>
        <w:rPr>
          <w:rFonts w:ascii="Times New Roman" w:cs="Times New Roman" w:eastAsia="Times New Roman" w:hAnsi="Times New Roman"/>
          <w:sz w:val="22"/>
          <w:szCs w:val="22"/>
          <w:color w:val="auto"/>
        </w:rPr>
      </w:pPr>
    </w:p>
    <w:p>
      <w:pPr>
        <w:jc w:val="both"/>
        <w:ind w:left="-656" w:firstLine="656"/>
        <w:spacing w:after="0" w:line="223" w:lineRule="auto"/>
        <w:tabs>
          <w:tab w:leader="none" w:pos="62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Conflicts</w:t>
      </w:r>
      <w:r>
        <w:rPr>
          <w:rFonts w:ascii="Times New Roman" w:cs="Times New Roman" w:eastAsia="Times New Roman" w:hAnsi="Times New Roman"/>
          <w:sz w:val="21"/>
          <w:szCs w:val="21"/>
          <w:color w:val="auto"/>
        </w:rPr>
        <w:t>. The execution, delivery and performance by the Buyer of the Transaction Documents to which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Buyer is a party and the consummation by the Buyer of the transactions contemplated hereby and thereby will not (i) result in a violation of the organizational documents of the Buyer, (ii) conflict with, or constitute a default (or an event which with notice or lapse of time or both would become a default) under, or give to others any rights of termination, amendment, acceleration or cancellation of, any agreement, indenture or instrument to which the Buyer is a party or (iii) result in a violation of any law, rule, regulation, order, judgment or decree (including U.S. Securities Laws) applicable to the Buyer, except, in the case of clauses (ii) and (iii) above, for such conflicts, defaults, rights or violations which could not, individually or in the aggregate, reasonably be expected to have a material adverse effect on the ability of the Buyer to perform its obligations hereunder and thereunder.</w:t>
      </w:r>
    </w:p>
    <w:p>
      <w:pPr>
        <w:spacing w:after="0" w:line="148" w:lineRule="exact"/>
        <w:rPr>
          <w:rFonts w:ascii="Times New Roman" w:cs="Times New Roman" w:eastAsia="Times New Roman" w:hAnsi="Times New Roman"/>
          <w:sz w:val="21"/>
          <w:szCs w:val="21"/>
          <w:color w:val="auto"/>
        </w:rPr>
      </w:pPr>
    </w:p>
    <w:p>
      <w:pPr>
        <w:jc w:val="both"/>
        <w:ind w:left="-656" w:firstLine="656"/>
        <w:spacing w:after="0" w:line="221" w:lineRule="auto"/>
        <w:tabs>
          <w:tab w:leader="none" w:pos="62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Trading Activities</w:t>
      </w:r>
      <w:r>
        <w:rPr>
          <w:rFonts w:ascii="Times New Roman" w:cs="Times New Roman" w:eastAsia="Times New Roman" w:hAnsi="Times New Roman"/>
          <w:sz w:val="22"/>
          <w:szCs w:val="22"/>
          <w:color w:val="auto"/>
        </w:rPr>
        <w:t>. The Buyer has not directly or indirectly, nor has any Person acting on behalf of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any understanding with the Buyer, engaged in any transactions in the securities of the Company during the period commencing on or after 4:30 p.m. on June 26, 2025, and ending immediately prior to the execution of this Agreement by the Buyer.</w:t>
      </w:r>
    </w:p>
    <w:p>
      <w:pPr>
        <w:spacing w:after="0" w:line="148" w:lineRule="exact"/>
        <w:rPr>
          <w:rFonts w:ascii="Times New Roman" w:cs="Times New Roman" w:eastAsia="Times New Roman" w:hAnsi="Times New Roman"/>
          <w:sz w:val="22"/>
          <w:szCs w:val="22"/>
          <w:color w:val="auto"/>
        </w:rPr>
      </w:pPr>
    </w:p>
    <w:p>
      <w:pPr>
        <w:ind w:left="-656" w:firstLine="656"/>
        <w:spacing w:after="0" w:line="238" w:lineRule="auto"/>
        <w:tabs>
          <w:tab w:leader="none" w:pos="63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 Solicitation</w:t>
      </w:r>
      <w:r>
        <w:rPr>
          <w:rFonts w:ascii="Times New Roman" w:cs="Times New Roman" w:eastAsia="Times New Roman" w:hAnsi="Times New Roman"/>
          <w:sz w:val="22"/>
          <w:szCs w:val="22"/>
          <w:color w:val="auto"/>
        </w:rPr>
        <w:t>. The Buyer is not purchasing or acquiring the Securities as a result of any form of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solicitation or general advertising (within the meaning of Regulation D) in connection with the offer or sale of the Securities.</w:t>
      </w:r>
    </w:p>
    <w:p>
      <w:pPr>
        <w:spacing w:after="0" w:line="146" w:lineRule="exact"/>
        <w:rPr>
          <w:rFonts w:ascii="Times New Roman" w:cs="Times New Roman" w:eastAsia="Times New Roman" w:hAnsi="Times New Roman"/>
          <w:sz w:val="22"/>
          <w:szCs w:val="22"/>
          <w:color w:val="auto"/>
        </w:rPr>
      </w:pPr>
    </w:p>
    <w:p>
      <w:pPr>
        <w:jc w:val="both"/>
        <w:ind w:left="-656" w:firstLine="656"/>
        <w:spacing w:after="0" w:line="218" w:lineRule="auto"/>
        <w:tabs>
          <w:tab w:leader="none" w:pos="62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Evaluation of Risks</w:t>
      </w:r>
      <w:r>
        <w:rPr>
          <w:rFonts w:ascii="Times New Roman" w:cs="Times New Roman" w:eastAsia="Times New Roman" w:hAnsi="Times New Roman"/>
          <w:sz w:val="22"/>
          <w:szCs w:val="22"/>
          <w:color w:val="auto"/>
        </w:rPr>
        <w:t>. The Buyer has such knowledge and experience in financial, tax and business matters as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capable of evaluating the merits and risks of, and bearing the economic risks entailed by, an investment in the Common Shares of the Company and of protecting its interests in connection with the transactions contemplated hereby. The Buyer acknowledges and agrees that its investment in the Company involves a high degree of risk, and that the Buyer may lose all or a part of its investment.</w:t>
      </w:r>
    </w:p>
    <w:p>
      <w:pPr>
        <w:spacing w:after="0" w:line="147" w:lineRule="exact"/>
        <w:rPr>
          <w:rFonts w:ascii="Times New Roman" w:cs="Times New Roman" w:eastAsia="Times New Roman" w:hAnsi="Times New Roman"/>
          <w:sz w:val="22"/>
          <w:szCs w:val="22"/>
          <w:color w:val="auto"/>
        </w:rPr>
      </w:pPr>
    </w:p>
    <w:p>
      <w:pPr>
        <w:jc w:val="both"/>
        <w:ind w:left="-656" w:firstLine="656"/>
        <w:spacing w:after="0" w:line="227" w:lineRule="auto"/>
        <w:tabs>
          <w:tab w:leader="none" w:pos="62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 an Affiliate</w:t>
      </w:r>
      <w:r>
        <w:rPr>
          <w:rFonts w:ascii="Times New Roman" w:cs="Times New Roman" w:eastAsia="Times New Roman" w:hAnsi="Times New Roman"/>
          <w:sz w:val="22"/>
          <w:szCs w:val="22"/>
          <w:color w:val="auto"/>
        </w:rPr>
        <w:t>. The Buyer is not (i) an officer or director of the Company or any of its Subsidiaries (as defined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below), (ii) or an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xml:space="preserve"> (as defined in Rule 144) of the Company or any of its Subsidiaries or (iii) a </w:t>
      </w:r>
      <w:r>
        <w:rPr>
          <w:rFonts w:ascii="Times New Roman" w:cs="Times New Roman" w:eastAsia="Times New Roman" w:hAnsi="Times New Roman"/>
          <w:sz w:val="22"/>
          <w:szCs w:val="22"/>
          <w:b w:val="1"/>
          <w:bCs w:val="1"/>
          <w:color w:val="auto"/>
        </w:rPr>
        <w:t>“beneficial owner”</w:t>
      </w:r>
      <w:r>
        <w:rPr>
          <w:rFonts w:ascii="Times New Roman" w:cs="Times New Roman" w:eastAsia="Times New Roman" w:hAnsi="Times New Roman"/>
          <w:sz w:val="22"/>
          <w:szCs w:val="22"/>
          <w:color w:val="auto"/>
        </w:rPr>
        <w:t xml:space="preserve"> of more than 10% of the Common Shares (as defined for purposes of Rule 13d3­ of the Exchange Act).</w:t>
      </w:r>
    </w:p>
    <w:p>
      <w:pPr>
        <w:spacing w:after="0" w:line="146" w:lineRule="exact"/>
        <w:rPr>
          <w:rFonts w:ascii="Times New Roman" w:cs="Times New Roman" w:eastAsia="Times New Roman" w:hAnsi="Times New Roman"/>
          <w:sz w:val="22"/>
          <w:szCs w:val="22"/>
          <w:color w:val="auto"/>
        </w:rPr>
      </w:pPr>
    </w:p>
    <w:p>
      <w:pPr>
        <w:jc w:val="both"/>
        <w:ind w:left="-656" w:firstLine="656"/>
        <w:spacing w:after="0" w:line="212" w:lineRule="auto"/>
        <w:tabs>
          <w:tab w:leader="none" w:pos="63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Resident of Canada Status</w:t>
      </w:r>
      <w:r>
        <w:rPr>
          <w:rFonts w:ascii="Times New Roman" w:cs="Times New Roman" w:eastAsia="Times New Roman" w:hAnsi="Times New Roman"/>
          <w:sz w:val="22"/>
          <w:szCs w:val="22"/>
          <w:color w:val="auto"/>
        </w:rPr>
        <w:t>. The Buyer is not a resident in any province or territory of Canada, is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purchasing the Securities for the account of a Person resident in any province of territory of Canada, and is not a party to any transaction or series of transactions that is a part of a plan or scheme to avoid the prospectus requirements in connection with a distribution to a Person in Canada and acknowledges that (i) no Canadian securities commission or similar regulatory authority has reviewed or passed on the merits of Securities; (ii) there is no government or other insurance covering the Securities; and (iii) the Company hereby advises the Buyer that the Company is relying on an exemption from the requirements to provide the Buyer with a prospectus under Canadian Securities Laws and, as a consequence of acquiring the Securities pursuant to this exemption, certain protections, rights and remedies provided by Canadian Securities Laws, including statutory rights of rescission or damages, will not be available to the Buyer.</w:t>
      </w:r>
    </w:p>
    <w:p>
      <w:pPr>
        <w:sectPr>
          <w:pgSz w:w="11900" w:h="16838" w:orient="portrait"/>
          <w:cols w:equalWidth="0" w:num="1">
            <w:col w:w="10584"/>
          </w:cols>
          <w:pgMar w:left="976" w:top="1391" w:right="339" w:bottom="1440" w:gutter="0" w:footer="0" w:header="0"/>
        </w:sectPr>
      </w:pPr>
    </w:p>
    <w:bookmarkStart w:id="29" w:name="page30"/>
    <w:bookmarkEnd w:id="29"/>
    <w:p>
      <w:pPr>
        <w:jc w:val="both"/>
        <w:ind w:firstLine="656"/>
        <w:spacing w:after="0" w:line="212" w:lineRule="auto"/>
        <w:tabs>
          <w:tab w:leader="none" w:pos="129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PCMLA</w:t>
      </w:r>
      <w:r>
        <w:rPr>
          <w:rFonts w:ascii="Times New Roman" w:cs="Times New Roman" w:eastAsia="Times New Roman" w:hAnsi="Times New Roman"/>
          <w:sz w:val="22"/>
          <w:szCs w:val="22"/>
          <w:color w:val="auto"/>
        </w:rPr>
        <w:t>. The Purchase Price which will be advanced by the Buyer to the Company hereunder will not represent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proceeds of crime for the purposes of the </w:t>
      </w:r>
      <w:r>
        <w:rPr>
          <w:rFonts w:ascii="Times New Roman" w:cs="Times New Roman" w:eastAsia="Times New Roman" w:hAnsi="Times New Roman"/>
          <w:sz w:val="22"/>
          <w:szCs w:val="22"/>
          <w:i w:val="1"/>
          <w:iCs w:val="1"/>
          <w:color w:val="auto"/>
        </w:rPr>
        <w:t>Proceeds of Crime (Money Laundering) and Terrorist Financing Act</w:t>
      </w:r>
      <w:r>
        <w:rPr>
          <w:rFonts w:ascii="Times New Roman" w:cs="Times New Roman" w:eastAsia="Times New Roman" w:hAnsi="Times New Roman"/>
          <w:sz w:val="22"/>
          <w:szCs w:val="22"/>
          <w:color w:val="auto"/>
        </w:rPr>
        <w:t xml:space="preserve"> (Canada) (the </w:t>
      </w:r>
      <w:r>
        <w:rPr>
          <w:rFonts w:ascii="Times New Roman" w:cs="Times New Roman" w:eastAsia="Times New Roman" w:hAnsi="Times New Roman"/>
          <w:sz w:val="22"/>
          <w:szCs w:val="22"/>
          <w:b w:val="1"/>
          <w:bCs w:val="1"/>
          <w:color w:val="auto"/>
        </w:rPr>
        <w:t>“PCMLA”</w:t>
      </w:r>
      <w:r>
        <w:rPr>
          <w:rFonts w:ascii="Times New Roman" w:cs="Times New Roman" w:eastAsia="Times New Roman" w:hAnsi="Times New Roman"/>
          <w:sz w:val="22"/>
          <w:szCs w:val="22"/>
          <w:color w:val="auto"/>
        </w:rPr>
        <w:t>) and the Buyer acknowledges that the Company may in the future be required by law to disclose the Buyer’s name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other information relating to this Agreement and the Buyer’s subscription hereunder, on a confidential basis, pursuant to the PCMLA; and to the best of its knowledge (i) none of the subscription funds to be provided by the Buyer (A) have been or will be derived from or related to any activity that is deemed criminal under the laws of Canada, the United States of America, or any other jurisdiction, or (B) are being tendered on behalf of a person or entity who has not been identified to the Buyer, and (ii) it shall promptly notify the Company if the Buyer discovers that any of such representations ceases to be true, and to provide the Company with appropriate information in connection therewith.</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 OF THE COMPANY.</w:t>
      </w:r>
    </w:p>
    <w:p>
      <w:pPr>
        <w:spacing w:after="0" w:line="210"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Except as, other than with respect to Section 3(z), set forth in the Continuous Disclosure Materials (as defined below) that</w:t>
      </w:r>
    </w:p>
    <w:p>
      <w:pPr>
        <w:spacing w:after="0" w:line="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are available on the SEC’s website through the EDGAR system or through the SEDAR+ system at least one (1) Business Day prior to the date of this Agreement (unless the context provides otherwise), the Company hereby makes the representations and warranties set forth below to the Buyer:</w:t>
      </w:r>
    </w:p>
    <w:p>
      <w:pPr>
        <w:spacing w:after="0" w:line="147" w:lineRule="exact"/>
        <w:rPr>
          <w:sz w:val="20"/>
          <w:szCs w:val="20"/>
          <w:color w:val="auto"/>
        </w:rPr>
      </w:pPr>
    </w:p>
    <w:p>
      <w:pPr>
        <w:jc w:val="both"/>
        <w:ind w:firstLine="656"/>
        <w:spacing w:after="0" w:line="209" w:lineRule="auto"/>
        <w:tabs>
          <w:tab w:leader="none" w:pos="129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Organization and Qualification</w:t>
      </w:r>
      <w:r>
        <w:rPr>
          <w:rFonts w:ascii="Times New Roman" w:cs="Times New Roman" w:eastAsia="Times New Roman" w:hAnsi="Times New Roman"/>
          <w:sz w:val="22"/>
          <w:szCs w:val="22"/>
          <w:color w:val="auto"/>
        </w:rPr>
        <w:t>. The Company and each of its Subsidiaries are entities duly formed, validly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existing and in good standing under the laws of the jurisdiction in which they are formed, and have the requisite power and authority to own their properties and to carry on their business as now being conducted and as presently proposed to be conducted. The Company and each of its Subsidiaries is qualified to do business and is in good standing or subsisting (with respect to jurisdictions that recognize the concept of good standing or subsisting) as a foreign legal entity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22"/>
          <w:szCs w:val="22"/>
          <w:b w:val="1"/>
          <w:bCs w:val="1"/>
          <w:color w:val="auto"/>
        </w:rPr>
        <w:t>“Material Adverse Effect”</w:t>
      </w:r>
      <w:r>
        <w:rPr>
          <w:rFonts w:ascii="Times New Roman" w:cs="Times New Roman" w:eastAsia="Times New Roman" w:hAnsi="Times New Roman"/>
          <w:sz w:val="22"/>
          <w:szCs w:val="22"/>
          <w:color w:val="auto"/>
        </w:rPr>
        <w:t xml:space="preserve"> means any material adverse effect on (i) the business, properties, assets, liabilities, operations (including results thereof), condition (financial or otherwise) or prospects of the Company and its Subsidiaries, taken as a whole, (ii) the transactions contemplated hereby or in any of the other Transaction Documents or any other agreements or instruments to be entered into by the Company in connection herewith or therewith or (iii) the authority or ability of the Company to perform any of its obligations under any of the Transaction Documents. </w:t>
      </w:r>
      <w:r>
        <w:rPr>
          <w:rFonts w:ascii="Times New Roman" w:cs="Times New Roman" w:eastAsia="Times New Roman" w:hAnsi="Times New Roman"/>
          <w:sz w:val="22"/>
          <w:szCs w:val="22"/>
          <w:b w:val="1"/>
          <w:bCs w:val="1"/>
          <w:color w:val="auto"/>
        </w:rPr>
        <w:t xml:space="preserve">“Subsidiaries” </w:t>
      </w:r>
      <w:r>
        <w:rPr>
          <w:rFonts w:ascii="Times New Roman" w:cs="Times New Roman" w:eastAsia="Times New Roman" w:hAnsi="Times New Roman"/>
          <w:sz w:val="22"/>
          <w:szCs w:val="22"/>
          <w:color w:val="auto"/>
        </w:rPr>
        <w:t>means Cybin Corp., Cybin US Holdings Inc., Adelia Therapeutics, Cybin IRL Limited (“</w:t>
      </w:r>
      <w:r>
        <w:rPr>
          <w:rFonts w:ascii="Times New Roman" w:cs="Times New Roman" w:eastAsia="Times New Roman" w:hAnsi="Times New Roman"/>
          <w:sz w:val="22"/>
          <w:szCs w:val="22"/>
          <w:b w:val="1"/>
          <w:bCs w:val="1"/>
          <w:color w:val="auto"/>
        </w:rPr>
        <w:t>Cybin IRL</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Cybin UK Ltd., and any subsidiary that after the date of this Agreement becomes a </w:t>
      </w:r>
      <w:r>
        <w:rPr>
          <w:rFonts w:ascii="Times New Roman" w:cs="Times New Roman" w:eastAsia="Times New Roman" w:hAnsi="Times New Roman"/>
          <w:sz w:val="22"/>
          <w:szCs w:val="22"/>
          <w:b w:val="1"/>
          <w:bCs w:val="1"/>
          <w:color w:val="auto"/>
        </w:rPr>
        <w:t>“significant subsidiary”</w:t>
      </w:r>
      <w:r>
        <w:rPr>
          <w:rFonts w:ascii="Times New Roman" w:cs="Times New Roman" w:eastAsia="Times New Roman" w:hAnsi="Times New Roman"/>
          <w:sz w:val="22"/>
          <w:szCs w:val="22"/>
          <w:color w:val="auto"/>
        </w:rPr>
        <w:t xml:space="preserve"> of the Company (as defined in Rule 1-02(w) of Regulation S-X under the Exchange Act), and each of the foregoing, is individually referred to herein as a </w:t>
      </w:r>
      <w:r>
        <w:rPr>
          <w:rFonts w:ascii="Times New Roman" w:cs="Times New Roman" w:eastAsia="Times New Roman" w:hAnsi="Times New Roman"/>
          <w:sz w:val="22"/>
          <w:szCs w:val="22"/>
          <w:b w:val="1"/>
          <w:bCs w:val="1"/>
          <w:color w:val="auto"/>
        </w:rPr>
        <w:t>“Subsidiary.”</w:t>
      </w:r>
    </w:p>
    <w:p>
      <w:pPr>
        <w:spacing w:after="0" w:line="147"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Authorization; Enforcement; Validity</w:t>
      </w:r>
      <w:r>
        <w:rPr>
          <w:rFonts w:ascii="Times New Roman" w:cs="Times New Roman" w:eastAsia="Times New Roman" w:hAnsi="Times New Roman"/>
          <w:sz w:val="22"/>
          <w:szCs w:val="22"/>
          <w:color w:val="auto"/>
        </w:rPr>
        <w:t>. The Company has the requisite power and authority to enter into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its obligations under this Agreement and the other Transaction Documents and to issue the Securities in accordance with the terms hereof and thereof. The execution and delivery of this Agreement and the other Transaction Documents by the Company and the consummation by the Company of the transactions contemplated hereby and thereby (including, without limitation, the issuance of the Convertible Note, the reservation for issuance and issuance of the Conversion Shares issuable upon conversion of the Convertible Note), have been duly authorized by the Company’s board of directors and no further filing, consent or authorization is required by the Company, its board of directors or its shareholders or other governmental body. This Agreement has been, and the other Transaction Documents to</w:t>
      </w:r>
    </w:p>
    <w:p>
      <w:pPr>
        <w:sectPr>
          <w:pgSz w:w="11900" w:h="16838" w:orient="portrait"/>
          <w:cols w:equalWidth="0" w:num="1">
            <w:col w:w="11240"/>
          </w:cols>
          <w:pgMar w:left="320" w:top="1391" w:right="339" w:bottom="1440" w:gutter="0" w:footer="0" w:header="0"/>
        </w:sectPr>
      </w:pPr>
    </w:p>
    <w:bookmarkStart w:id="30" w:name="page31"/>
    <w:bookmarkEnd w:id="30"/>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which the Company is a party will be prior to the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U.S. Securities Laws. </w:t>
      </w: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Documents” </w:t>
      </w:r>
      <w:r>
        <w:rPr>
          <w:rFonts w:ascii="Times New Roman" w:cs="Times New Roman" w:eastAsia="Times New Roman" w:hAnsi="Times New Roman"/>
          <w:sz w:val="22"/>
          <w:szCs w:val="22"/>
          <w:color w:val="auto"/>
        </w:rPr>
        <w:t>means, collectively, this Agreement, the Registration Rights Agreement, the Convertible Note, and each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agreements and instruments entered into by the Company or delivered by the Company in connection with the transactions contemplated hereby and thereby, as may be amended from time to time.</w:t>
      </w:r>
    </w:p>
    <w:p>
      <w:pPr>
        <w:spacing w:after="0" w:line="152" w:lineRule="exact"/>
        <w:rPr>
          <w:sz w:val="20"/>
          <w:szCs w:val="20"/>
          <w:color w:val="auto"/>
        </w:rPr>
      </w:pPr>
    </w:p>
    <w:p>
      <w:pPr>
        <w:jc w:val="both"/>
        <w:ind w:firstLine="656"/>
        <w:spacing w:after="0" w:line="222" w:lineRule="auto"/>
        <w:tabs>
          <w:tab w:leader="none" w:pos="1293"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Issuance of Securities</w:t>
      </w:r>
      <w:r>
        <w:rPr>
          <w:rFonts w:ascii="Times New Roman" w:cs="Times New Roman" w:eastAsia="Times New Roman" w:hAnsi="Times New Roman"/>
          <w:sz w:val="21"/>
          <w:szCs w:val="21"/>
          <w:color w:val="auto"/>
        </w:rPr>
        <w:t>. The issuance of the Securities has been duly authorized and upon issuance and payment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accordance with the terms of the Transaction Documents, the Securities shall be validly issued, fully paid and nonassessable­ and free from all pre-emptive or similar rights, including any mortgage, defects, claims, pledges, taxes, rights of first refusal, encumbrances,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 and other encumbrances (collectively </w:t>
      </w:r>
      <w:r>
        <w:rPr>
          <w:rFonts w:ascii="Times New Roman" w:cs="Times New Roman" w:eastAsia="Times New Roman" w:hAnsi="Times New Roman"/>
          <w:sz w:val="21"/>
          <w:szCs w:val="21"/>
          <w:b w:val="1"/>
          <w:bCs w:val="1"/>
          <w:color w:val="auto"/>
        </w:rPr>
        <w:t>“Liens”</w:t>
      </w:r>
      <w:r>
        <w:rPr>
          <w:rFonts w:ascii="Times New Roman" w:cs="Times New Roman" w:eastAsia="Times New Roman" w:hAnsi="Times New Roman"/>
          <w:sz w:val="21"/>
          <w:szCs w:val="21"/>
          <w:color w:val="auto"/>
        </w:rPr>
        <w:t>) with respect to the issuance thereof. Upon issuance or conversion in accordance with the Convertible Note, the Conversion Shares, when issued, will be validly issued, fully paid and nonassessable and free from all pre-emptive or similar rights or Liens with respect to the issue thereof, with the holders being entitled to all rights accorded to a holder of Common Shares.</w:t>
      </w:r>
    </w:p>
    <w:p>
      <w:pPr>
        <w:spacing w:after="0" w:line="149" w:lineRule="exact"/>
        <w:rPr>
          <w:rFonts w:ascii="Times New Roman" w:cs="Times New Roman" w:eastAsia="Times New Roman" w:hAnsi="Times New Roman"/>
          <w:sz w:val="21"/>
          <w:szCs w:val="21"/>
          <w:color w:val="auto"/>
        </w:rPr>
      </w:pPr>
    </w:p>
    <w:p>
      <w:pPr>
        <w:jc w:val="both"/>
        <w:ind w:firstLine="656"/>
        <w:spacing w:after="0" w:line="209" w:lineRule="auto"/>
        <w:tabs>
          <w:tab w:leader="none" w:pos="129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Conflicts</w:t>
      </w:r>
      <w:r>
        <w:rPr>
          <w:rFonts w:ascii="Times New Roman" w:cs="Times New Roman" w:eastAsia="Times New Roman" w:hAnsi="Times New Roman"/>
          <w:sz w:val="22"/>
          <w:szCs w:val="22"/>
          <w:color w:val="auto"/>
        </w:rPr>
        <w:t>. The execution, delivery and performance of the Transaction Documents by the Company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consummation by the Company of the transactions contemplated hereby and thereby (including, without limitation, the issuance of the Convertible Note, the Conversion Shares, and the reservation for issuance of the Conversion Shares) will not (i) result in a violation of the Articles (as defined below), certificate of incorporation, certificate of formation, memorandum of association, or other organizational documents of the Company or any of its Subsidiaries, or any shares, capital stock or other securities of the Company or any of its Subsidiaries, (ii) conflict with, or constitute a default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U.S. Securities Laws and regulations, the securities laws of the jurisdictions of the Company’s incorporation or in which it or its Subsidiaries operate and the rules, regulations and requirements of the Cboe and NYSE American and including all applicable laws, rules and regulations of the jurisdiction of incorporation of the Company) applicable to the Company or any of its Subsidiaries or by which any property or asset of the Company or any of its Subsidiaries is bound or affected, except in the case of (ii) and (iii) for any conflict, default, right or violation that would not reasonably be expected to result in a Material Adverse Effect.</w:t>
      </w:r>
    </w:p>
    <w:p>
      <w:pPr>
        <w:spacing w:after="0" w:line="155"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3"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Consents</w:t>
      </w:r>
      <w:r>
        <w:rPr>
          <w:rFonts w:ascii="Times New Roman" w:cs="Times New Roman" w:eastAsia="Times New Roman" w:hAnsi="Times New Roman"/>
          <w:sz w:val="21"/>
          <w:szCs w:val="21"/>
          <w:color w:val="auto"/>
        </w:rPr>
        <w:t>. No consent, approval, authorization, filing with or order of any court or governmental agency or body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is required in connection with the transactions contemplated herein, except (i) such as required by Cboe, (ii) such as may be required under Canadian Securities Laws, including the filing of a report of the distribution on Form 72-503F – </w:t>
      </w:r>
      <w:r>
        <w:rPr>
          <w:rFonts w:ascii="Times New Roman" w:cs="Times New Roman" w:eastAsia="Times New Roman" w:hAnsi="Times New Roman"/>
          <w:sz w:val="21"/>
          <w:szCs w:val="21"/>
          <w:i w:val="1"/>
          <w:iCs w:val="1"/>
          <w:color w:val="auto"/>
        </w:rPr>
        <w:t>Report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Distributions Outside Canada </w:t>
      </w:r>
      <w:r>
        <w:rPr>
          <w:rFonts w:ascii="Times New Roman" w:cs="Times New Roman" w:eastAsia="Times New Roman" w:hAnsi="Times New Roman"/>
          <w:sz w:val="21"/>
          <w:szCs w:val="21"/>
          <w:color w:val="auto"/>
        </w:rPr>
        <w:t>in accordance with Ontario Securities Commission Rule 72-503 –</w:t>
      </w:r>
      <w:r>
        <w:rPr>
          <w:rFonts w:ascii="Times New Roman" w:cs="Times New Roman" w:eastAsia="Times New Roman" w:hAnsi="Times New Roman"/>
          <w:sz w:val="21"/>
          <w:szCs w:val="21"/>
          <w:i w:val="1"/>
          <w:iCs w:val="1"/>
          <w:color w:val="auto"/>
        </w:rPr>
        <w:t xml:space="preserve"> Distributions Outside Canada</w:t>
      </w:r>
      <w:r>
        <w:rPr>
          <w:rFonts w:ascii="Times New Roman" w:cs="Times New Roman" w:eastAsia="Times New Roman" w:hAnsi="Times New Roman"/>
          <w:sz w:val="21"/>
          <w:szCs w:val="21"/>
          <w:color w:val="auto"/>
        </w:rPr>
        <w:t>,</w:t>
      </w:r>
    </w:p>
    <w:p>
      <w:pPr>
        <w:spacing w:after="0" w:line="2" w:lineRule="exact"/>
        <w:rPr>
          <w:rFonts w:ascii="Times New Roman" w:cs="Times New Roman" w:eastAsia="Times New Roman" w:hAnsi="Times New Roman"/>
          <w:sz w:val="21"/>
          <w:szCs w:val="21"/>
          <w:color w:val="auto"/>
        </w:rPr>
      </w:pPr>
    </w:p>
    <w:p>
      <w:pPr>
        <w:jc w:val="both"/>
        <w:ind w:firstLine="8"/>
        <w:spacing w:after="0" w:line="214" w:lineRule="auto"/>
        <w:tabs>
          <w:tab w:leader="none" w:pos="38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 may be required under the Securities Act or the blue sky laws of any jurisdiction in connection with the purchase of the Convertible Note by the applicable Buyer in the manner contemplated herein, (iv) the filing of a listing application or listing of additional shares notification, as applicable, with the Principal U.S. Market with respect to the Conversion Shares, and (v) such other consents, approvals, authorizations, filings or</w:t>
      </w:r>
    </w:p>
    <w:p>
      <w:pPr>
        <w:sectPr>
          <w:pgSz w:w="11900" w:h="16838" w:orient="portrait"/>
          <w:cols w:equalWidth="0" w:num="1">
            <w:col w:w="11240"/>
          </w:cols>
          <w:pgMar w:left="320" w:top="1395" w:right="339" w:bottom="1440" w:gutter="0" w:footer="0" w:header="0"/>
        </w:sectPr>
      </w:pPr>
    </w:p>
    <w:bookmarkStart w:id="31" w:name="page32"/>
    <w:bookmarkEnd w:id="31"/>
    <w:p>
      <w:pPr>
        <w:spacing w:after="0" w:line="236" w:lineRule="auto"/>
        <w:rPr>
          <w:sz w:val="20"/>
          <w:szCs w:val="20"/>
          <w:color w:val="auto"/>
        </w:rPr>
      </w:pPr>
      <w:r>
        <w:rPr>
          <w:rFonts w:ascii="Times New Roman" w:cs="Times New Roman" w:eastAsia="Times New Roman" w:hAnsi="Times New Roman"/>
          <w:sz w:val="22"/>
          <w:szCs w:val="22"/>
          <w:color w:val="auto"/>
        </w:rPr>
        <w:t>orders, the failure of which to be made or obtained, individually or in the aggregate, would not reasonably be expected to result in a Material Adverse Effect.</w:t>
      </w:r>
    </w:p>
    <w:p>
      <w:pPr>
        <w:spacing w:after="0" w:line="146" w:lineRule="exact"/>
        <w:rPr>
          <w:sz w:val="20"/>
          <w:szCs w:val="20"/>
          <w:color w:val="auto"/>
        </w:rPr>
      </w:pPr>
    </w:p>
    <w:p>
      <w:pPr>
        <w:jc w:val="both"/>
        <w:ind w:firstLine="656"/>
        <w:spacing w:after="0" w:line="221"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Exchange Approvals</w:t>
      </w:r>
      <w:r>
        <w:rPr>
          <w:rFonts w:ascii="Times New Roman" w:cs="Times New Roman" w:eastAsia="Times New Roman" w:hAnsi="Times New Roman"/>
          <w:sz w:val="22"/>
          <w:szCs w:val="22"/>
          <w:color w:val="auto"/>
        </w:rPr>
        <w:t>. At the Closing Date, the Company has made all required submissions to Principal 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Market to reserve 16,500,000 Common Shares and shall have not received any notice objecting to the listing of these Common Shares from the Principal U.S. Market. Prior to the Closing Date, the Company shall have received the conditional approval of the Cboe to the transactions contemplated herein, in form and substance satisfactory to the Buyer acting reasonably.</w:t>
      </w:r>
    </w:p>
    <w:p>
      <w:pPr>
        <w:spacing w:after="0" w:line="148"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Acknowledgment Regarding Buyer’s Purchase of Securities</w:t>
      </w:r>
      <w:r>
        <w:rPr>
          <w:rFonts w:ascii="Times New Roman" w:cs="Times New Roman" w:eastAsia="Times New Roman" w:hAnsi="Times New Roman"/>
          <w:sz w:val="22"/>
          <w:szCs w:val="22"/>
          <w:color w:val="auto"/>
        </w:rPr>
        <w:t>. The Company acknowledges and agrees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Buyer is acting solely in the capacity of an arm’s-length purchaser with respect to the Transaction Documents and the transactions contemplated hereby and thereby and that no Buyer is (i) an officer or director of the Company or any of its Subsidiaries, (ii) to its knowledge, an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xml:space="preserve"> (as defined in Rule 144 promulgated under the Securities Act (or a successor rule thereto) (collectively, </w:t>
      </w:r>
      <w:r>
        <w:rPr>
          <w:rFonts w:ascii="Times New Roman" w:cs="Times New Roman" w:eastAsia="Times New Roman" w:hAnsi="Times New Roman"/>
          <w:sz w:val="22"/>
          <w:szCs w:val="22"/>
          <w:b w:val="1"/>
          <w:bCs w:val="1"/>
          <w:color w:val="auto"/>
        </w:rPr>
        <w:t>“Rule 144”</w:t>
      </w:r>
      <w:r>
        <w:rPr>
          <w:rFonts w:ascii="Times New Roman" w:cs="Times New Roman" w:eastAsia="Times New Roman" w:hAnsi="Times New Roman"/>
          <w:sz w:val="22"/>
          <w:szCs w:val="22"/>
          <w:color w:val="auto"/>
        </w:rPr>
        <w:t xml:space="preserve">)) of the Company or any of its Subsidiaries or (iii) to its knowledge, a </w:t>
      </w:r>
      <w:r>
        <w:rPr>
          <w:rFonts w:ascii="Times New Roman" w:cs="Times New Roman" w:eastAsia="Times New Roman" w:hAnsi="Times New Roman"/>
          <w:sz w:val="22"/>
          <w:szCs w:val="22"/>
          <w:b w:val="1"/>
          <w:bCs w:val="1"/>
          <w:color w:val="auto"/>
        </w:rPr>
        <w:t>“beneficial owner”</w:t>
      </w:r>
      <w:r>
        <w:rPr>
          <w:rFonts w:ascii="Times New Roman" w:cs="Times New Roman" w:eastAsia="Times New Roman" w:hAnsi="Times New Roman"/>
          <w:sz w:val="22"/>
          <w:szCs w:val="22"/>
          <w:color w:val="auto"/>
        </w:rPr>
        <w:t xml:space="preserve"> of more than 10% of the Common Shares (as defined for purposes of Rule 13d3­ of the Exchange Act). The Company further acknowledges that no Buyer (nor any affiliate of any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the Buyer’s purchase of the Securities. The Company further represents to the Buyer that the Company’s decision to enter into the Transaction Documents to which it is a party has been based solely on the independent evaluation by the Company and its representatives.</w:t>
      </w:r>
    </w:p>
    <w:p>
      <w:pPr>
        <w:spacing w:after="0" w:line="151" w:lineRule="exact"/>
        <w:rPr>
          <w:rFonts w:ascii="Times New Roman" w:cs="Times New Roman" w:eastAsia="Times New Roman" w:hAnsi="Times New Roman"/>
          <w:sz w:val="22"/>
          <w:szCs w:val="22"/>
          <w:color w:val="auto"/>
        </w:rPr>
      </w:pPr>
    </w:p>
    <w:p>
      <w:pPr>
        <w:jc w:val="both"/>
        <w:ind w:firstLine="656"/>
        <w:spacing w:after="0" w:line="224" w:lineRule="auto"/>
        <w:tabs>
          <w:tab w:leader="none" w:pos="1291"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Integrated Offering</w:t>
      </w:r>
      <w:r>
        <w:rPr>
          <w:rFonts w:ascii="Times New Roman" w:cs="Times New Roman" w:eastAsia="Times New Roman" w:hAnsi="Times New Roman"/>
          <w:sz w:val="21"/>
          <w:szCs w:val="21"/>
          <w:color w:val="auto"/>
        </w:rPr>
        <w:t>. None of the Company, its Subsidiaries or any of their affiliates, nor any Person acting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their behalf has, directly or indirectly, made any offers or sales of any security or solicited any offers to buy any security, under circumstances that would cause this offering of the Securities to require approval of shareholders of the Company under any applicable shareholder approval provisions, including, without limitation, under the rules and regulations of any exchange or automated quotation system on which any of the securities of the Company are listed or designated for quotation, other than as set forth herein. None of the Company, its Subsidiaries, their affiliates nor any Person acting on their behalf will take any action or steps that would cause the offering of any of the Securities to be integrated with other offerings of securities of the Company.</w:t>
      </w:r>
    </w:p>
    <w:p>
      <w:pPr>
        <w:spacing w:after="0" w:line="150" w:lineRule="exact"/>
        <w:rPr>
          <w:rFonts w:ascii="Times New Roman" w:cs="Times New Roman" w:eastAsia="Times New Roman" w:hAnsi="Times New Roman"/>
          <w:sz w:val="21"/>
          <w:szCs w:val="21"/>
          <w:color w:val="auto"/>
        </w:rPr>
      </w:pPr>
    </w:p>
    <w:p>
      <w:pPr>
        <w:ind w:firstLine="656"/>
        <w:spacing w:after="0" w:line="238" w:lineRule="auto"/>
        <w:tabs>
          <w:tab w:leader="none" w:pos="128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Dilutive Effect</w:t>
      </w:r>
      <w:r>
        <w:rPr>
          <w:rFonts w:ascii="Times New Roman" w:cs="Times New Roman" w:eastAsia="Times New Roman" w:hAnsi="Times New Roman"/>
          <w:sz w:val="22"/>
          <w:szCs w:val="22"/>
          <w:color w:val="auto"/>
        </w:rPr>
        <w:t>. The Company understands and acknowledges that the number of Conversion Shares will increase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certain circumstances and could cause dilution to existing shareholders.</w:t>
      </w:r>
    </w:p>
    <w:p>
      <w:pPr>
        <w:spacing w:after="0" w:line="146" w:lineRule="exact"/>
        <w:rPr>
          <w:rFonts w:ascii="Times New Roman" w:cs="Times New Roman" w:eastAsia="Times New Roman" w:hAnsi="Times New Roman"/>
          <w:sz w:val="22"/>
          <w:szCs w:val="22"/>
          <w:color w:val="auto"/>
        </w:rPr>
      </w:pPr>
    </w:p>
    <w:p>
      <w:pPr>
        <w:jc w:val="both"/>
        <w:ind w:firstLine="656"/>
        <w:spacing w:after="0" w:line="212" w:lineRule="auto"/>
        <w:tabs>
          <w:tab w:leader="none" w:pos="128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Continuous Disclosure Materials; Financial Statements</w:t>
      </w:r>
      <w:r>
        <w:rPr>
          <w:rFonts w:ascii="Times New Roman" w:cs="Times New Roman" w:eastAsia="Times New Roman" w:hAnsi="Times New Roman"/>
          <w:sz w:val="22"/>
          <w:szCs w:val="22"/>
          <w:color w:val="auto"/>
        </w:rPr>
        <w:t>. During the two (2) years prior to the date hereof,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 applicable, the Closing Date, the Company has timely filed, or will have timely filed, all reports, schedules, forms, proxy statements, statements and other documents required to be filed by it under Applicable Securities Laws (all of the foregoing filed prior to the date hereof and, as applicable, the Closing Date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22"/>
          <w:szCs w:val="22"/>
          <w:b w:val="1"/>
          <w:bCs w:val="1"/>
          <w:color w:val="auto"/>
        </w:rPr>
        <w:t>“Continuous Disclosure Materials”</w:t>
      </w:r>
      <w:r>
        <w:rPr>
          <w:rFonts w:ascii="Times New Roman" w:cs="Times New Roman" w:eastAsia="Times New Roman" w:hAnsi="Times New Roman"/>
          <w:sz w:val="22"/>
          <w:szCs w:val="22"/>
          <w:color w:val="auto"/>
        </w:rPr>
        <w:t>). The Company has delivered or has made available to the Buyer or its representatives true,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correct and complete copies of each of the Continuous Disclosure Materials not available on the EDGAR system or SEDAR+ system. As of their respective dates, the Continuous Disclosure Materials complied in all material respects with the requirements of the Applicable Securities Laws applicable to the Continuous Disclosure Materials, and none of the</w:t>
      </w:r>
    </w:p>
    <w:p>
      <w:pPr>
        <w:sectPr>
          <w:pgSz w:w="11900" w:h="16838" w:orient="portrait"/>
          <w:cols w:equalWidth="0" w:num="1">
            <w:col w:w="11240"/>
          </w:cols>
          <w:pgMar w:left="320" w:top="1395" w:right="339" w:bottom="1440" w:gutter="0" w:footer="0" w:header="0"/>
        </w:sectPr>
      </w:pPr>
    </w:p>
    <w:bookmarkStart w:id="32" w:name="page33"/>
    <w:bookmarkEnd w:id="32"/>
    <w:p>
      <w:pPr>
        <w:jc w:val="both"/>
        <w:spacing w:after="0" w:line="207" w:lineRule="auto"/>
        <w:rPr>
          <w:sz w:val="20"/>
          <w:szCs w:val="20"/>
          <w:color w:val="auto"/>
        </w:rPr>
      </w:pPr>
      <w:r>
        <w:rPr>
          <w:rFonts w:ascii="Times New Roman" w:cs="Times New Roman" w:eastAsia="Times New Roman" w:hAnsi="Times New Roman"/>
          <w:sz w:val="22"/>
          <w:szCs w:val="22"/>
          <w:color w:val="auto"/>
        </w:rPr>
        <w:t>Continuous Disclosure Materials, at the time they were filed on the EDGAR system or SEDAR+ system (subject to amendments thereto),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Continuous Disclosure Materials complied in all material respects with applicable accounting requirements and the Applicable Securities Laws with respect thereto as in effect as of the time of filing. Such financial statements have been prepared in accordance with International Financial Reporting Standards, as issued by the International Accounting Standards Board (</w:t>
      </w:r>
      <w:r>
        <w:rPr>
          <w:rFonts w:ascii="Times New Roman" w:cs="Times New Roman" w:eastAsia="Times New Roman" w:hAnsi="Times New Roman"/>
          <w:sz w:val="22"/>
          <w:szCs w:val="22"/>
          <w:b w:val="1"/>
          <w:bCs w:val="1"/>
          <w:color w:val="auto"/>
        </w:rPr>
        <w:t>“IFRS”</w:t>
      </w:r>
      <w:r>
        <w:rPr>
          <w:rFonts w:ascii="Times New Roman" w:cs="Times New Roman" w:eastAsia="Times New Roman" w:hAnsi="Times New Roman"/>
          <w:sz w:val="22"/>
          <w:szCs w:val="22"/>
          <w:color w:val="auto"/>
        </w:rPr>
        <w:t xml:space="preserve">),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applicable financial accounting standards of the Financial Accounting Standards Board which are not provided for by the Company in its financial statements or otherwise. No other information provided by or on behalf of the Company to the Buyer which is not included in the Continuous Disclosure Materials contains any untrue statement of a material fact or omits to state any material fact necessary in order to make the statements therein, in the light of the circumstance under which they are or were made, not misleading. The Company is not currently contemplating to further amend or restate any of the financial statements (including, without limitation, any notes or any letter of the independent accountants of the Company with respect thereto) included in the Continuous Disclosure Materials (the </w:t>
      </w:r>
      <w:r>
        <w:rPr>
          <w:rFonts w:ascii="Times New Roman" w:cs="Times New Roman" w:eastAsia="Times New Roman" w:hAnsi="Times New Roman"/>
          <w:sz w:val="22"/>
          <w:szCs w:val="22"/>
          <w:b w:val="1"/>
          <w:bCs w:val="1"/>
          <w:color w:val="auto"/>
        </w:rPr>
        <w:t>“Financial Statements”</w:t>
      </w:r>
      <w:r>
        <w:rPr>
          <w:rFonts w:ascii="Times New Roman" w:cs="Times New Roman" w:eastAsia="Times New Roman" w:hAnsi="Times New Roman"/>
          <w:sz w:val="22"/>
          <w:szCs w:val="22"/>
          <w:color w:val="auto"/>
        </w:rPr>
        <w:t>), nor is the Company currently aware of facts or circumstances which would require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further amend or restate any of the Financial Statements, in each case, in order for any of the Financial Statements to be in compliance with IFRS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157" w:lineRule="exact"/>
        <w:rPr>
          <w:sz w:val="20"/>
          <w:szCs w:val="20"/>
          <w:color w:val="auto"/>
        </w:rPr>
      </w:pPr>
    </w:p>
    <w:p>
      <w:pPr>
        <w:jc w:val="both"/>
        <w:ind w:firstLine="656"/>
        <w:spacing w:after="0" w:line="210" w:lineRule="auto"/>
        <w:tabs>
          <w:tab w:leader="none" w:pos="129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Absence of Certain Changes</w:t>
      </w:r>
      <w:r>
        <w:rPr>
          <w:rFonts w:ascii="Times New Roman" w:cs="Times New Roman" w:eastAsia="Times New Roman" w:hAnsi="Times New Roman"/>
          <w:sz w:val="22"/>
          <w:szCs w:val="22"/>
          <w:color w:val="auto"/>
        </w:rPr>
        <w:t>. Since the date of the Company’s most recent audited financial statements that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available on the SEC’s website through the EDGAR system or through the SEDAR+ system (the “</w:t>
      </w:r>
      <w:r>
        <w:rPr>
          <w:rFonts w:ascii="Times New Roman" w:cs="Times New Roman" w:eastAsia="Times New Roman" w:hAnsi="Times New Roman"/>
          <w:sz w:val="22"/>
          <w:szCs w:val="22"/>
          <w:b w:val="1"/>
          <w:bCs w:val="1"/>
          <w:color w:val="auto"/>
        </w:rPr>
        <w:t>Prior Annual 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Statements</w:t>
      </w:r>
      <w:r>
        <w:rPr>
          <w:rFonts w:ascii="Times New Roman" w:cs="Times New Roman" w:eastAsia="Times New Roman" w:hAnsi="Times New Roman"/>
          <w:sz w:val="22"/>
          <w:szCs w:val="22"/>
          <w:color w:val="auto"/>
        </w:rPr>
        <w:t>”), there has been no Material Adverse Effect, nor any event or occurrence specifically affecting the Company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Subsidiaries that would be reasonably expected to result in a Material Adverse Effect. Since the date of the Prior Annual Financial Statements, neither the Company nor any of its Subsidiaries has (i) declared or paid any dividends, (ii) sold any material assets, individually or in the aggregate, outside of the ordinary course of business or (iii) made any material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w:t>
      </w:r>
    </w:p>
    <w:p>
      <w:pPr>
        <w:spacing w:after="0" w:line="157" w:lineRule="exact"/>
        <w:rPr>
          <w:rFonts w:ascii="Times New Roman" w:cs="Times New Roman" w:eastAsia="Times New Roman" w:hAnsi="Times New Roman"/>
          <w:sz w:val="22"/>
          <w:szCs w:val="22"/>
          <w:color w:val="auto"/>
        </w:rPr>
      </w:pPr>
    </w:p>
    <w:p>
      <w:pPr>
        <w:jc w:val="both"/>
        <w:ind w:right="20" w:firstLine="656"/>
        <w:spacing w:after="0" w:line="227" w:lineRule="auto"/>
        <w:tabs>
          <w:tab w:leader="none" w:pos="128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Undisclosed Events, Liabilities, Developments or Circumstances</w:t>
      </w:r>
      <w:r>
        <w:rPr>
          <w:rFonts w:ascii="Times New Roman" w:cs="Times New Roman" w:eastAsia="Times New Roman" w:hAnsi="Times New Roman"/>
          <w:sz w:val="22"/>
          <w:szCs w:val="22"/>
          <w:color w:val="auto"/>
        </w:rPr>
        <w:t>. No event, liability, development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 has occurred or exists, or is reasonably expected to exist or occur specific to the Company, any of its Subsidiaries or any of their respective businesses, properties, liabilities, prospects, operations (including results thereof) or condition</w:t>
      </w:r>
    </w:p>
    <w:p>
      <w:pPr>
        <w:sectPr>
          <w:pgSz w:w="11900" w:h="16838" w:orient="portrait"/>
          <w:cols w:equalWidth="0" w:num="1">
            <w:col w:w="11240"/>
          </w:cols>
          <w:pgMar w:left="320" w:top="1395" w:right="339" w:bottom="1440" w:gutter="0" w:footer="0" w:header="0"/>
        </w:sectPr>
      </w:pPr>
    </w:p>
    <w:bookmarkStart w:id="33" w:name="page34"/>
    <w:bookmarkEnd w:id="33"/>
    <w:p>
      <w:pPr>
        <w:spacing w:after="0" w:line="236" w:lineRule="auto"/>
        <w:rPr>
          <w:sz w:val="20"/>
          <w:szCs w:val="20"/>
          <w:color w:val="auto"/>
        </w:rPr>
      </w:pPr>
      <w:r>
        <w:rPr>
          <w:rFonts w:ascii="Times New Roman" w:cs="Times New Roman" w:eastAsia="Times New Roman" w:hAnsi="Times New Roman"/>
          <w:sz w:val="22"/>
          <w:szCs w:val="22"/>
          <w:color w:val="auto"/>
        </w:rPr>
        <w:t>(financial or otherwise), that has not been publicly disclosed and would reasonably be expected to have a Material Adverse Effect.</w:t>
      </w:r>
    </w:p>
    <w:p>
      <w:pPr>
        <w:spacing w:after="0" w:line="146" w:lineRule="exact"/>
        <w:rPr>
          <w:sz w:val="20"/>
          <w:szCs w:val="20"/>
          <w:color w:val="auto"/>
        </w:rPr>
      </w:pPr>
    </w:p>
    <w:p>
      <w:pPr>
        <w:jc w:val="both"/>
        <w:ind w:firstLine="656"/>
        <w:spacing w:after="0" w:line="217" w:lineRule="auto"/>
        <w:tabs>
          <w:tab w:leader="none" w:pos="1284"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Conduct of Business; Regulatory Permits</w:t>
      </w:r>
      <w:r>
        <w:rPr>
          <w:rFonts w:ascii="Times New Roman" w:cs="Times New Roman" w:eastAsia="Times New Roman" w:hAnsi="Times New Roman"/>
          <w:sz w:val="21"/>
          <w:szCs w:val="21"/>
          <w:color w:val="auto"/>
        </w:rPr>
        <w:t>. Neither the Company nor any of its Subsidiaries is in violation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 under its certificate of incorporation, any certificate of designation, preferences or rights of any other outstanding series of preferred shares of the Company or any of its Subsidiaries or Articles or their organizational charter, certificate of formation, memorandum of association, articles of association, certificate of incorporation or articles,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violations which would not reasonably be expected to have a Material Adverse Effect. Without limiting the generality of the foregoing, the Company is not in violation of any of the rules, regulations or requirements of Principal U.S. Market or Cboe and has no knowledge of any facts or circumstances that could reasonably lead to delisting or suspension of the Common Shares by Principal U.S. Market or Cboe in the foreseeable future. During the one year prior to the date hereof, (i) the Common Shares have been listed or designated for quotation on Principal U.S. Market and Cboe,</w:t>
      </w:r>
    </w:p>
    <w:p>
      <w:pPr>
        <w:spacing w:after="0" w:line="2" w:lineRule="exact"/>
        <w:rPr>
          <w:rFonts w:ascii="Times New Roman" w:cs="Times New Roman" w:eastAsia="Times New Roman" w:hAnsi="Times New Roman"/>
          <w:sz w:val="21"/>
          <w:szCs w:val="21"/>
          <w:color w:val="auto"/>
        </w:rPr>
      </w:pPr>
    </w:p>
    <w:p>
      <w:pPr>
        <w:jc w:val="both"/>
        <w:ind w:firstLine="8"/>
        <w:spacing w:after="0" w:line="208" w:lineRule="auto"/>
        <w:tabs>
          <w:tab w:leader="none" w:pos="32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in the Common Shares has not been suspended by Principal U.S. Market or Cboe, and (iii) the Company has received no communication, written or oral, from Principal U.S. Market or Cboe regarding the suspension or delisting of the Common Shares from Principal U.S. Market or Cboe, which has not been publicly disclosed.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reasonably be expected to have, individually or in the aggregate, a Material Adverse Effect, and neither the Company nor any of its Subsidiaries has received any notice of proceedings relating to the revocation or modification of any such certificate, authorization or permit.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on the Company or any of its Subsidiaries.</w:t>
      </w:r>
    </w:p>
    <w:p>
      <w:pPr>
        <w:spacing w:after="0" w:line="145"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1"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Foreign Corrupt Practices</w:t>
      </w:r>
      <w:r>
        <w:rPr>
          <w:rFonts w:ascii="Times New Roman" w:cs="Times New Roman" w:eastAsia="Times New Roman" w:hAnsi="Times New Roman"/>
          <w:sz w:val="22"/>
          <w:szCs w:val="22"/>
          <w:color w:val="auto"/>
        </w:rPr>
        <w:t>. Except as, individually or in the aggregate, would not reasonably be expected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material to the Company and the Subsidiaries, taken as a whole, since January 1, 2021, none of the Company or the Subsidiaries, nor any director, manager, officer, employee, or, to the actual knowledge of the Company, agent or representative of the Company or any of the Subsidiaries, has directly or indirectly through another person made, offered to make, attempted to make, or accepted any contribution, gift, bribe, rebate, payoff, influence payment, kickback or other payment to or from any person, private or public, regardless of what form, whether in money, property or services, in violation of the U.S. Foreign Corrupt Practices Act of 1977, as amended, the Corruption of Foreign Public Officials Act (Canada), as amended, and any foreign or other anti-bribery or anti-corruption laws (collectively, </w:t>
      </w:r>
      <w:r>
        <w:rPr>
          <w:rFonts w:ascii="Times New Roman" w:cs="Times New Roman" w:eastAsia="Times New Roman" w:hAnsi="Times New Roman"/>
          <w:sz w:val="22"/>
          <w:szCs w:val="22"/>
          <w:b w:val="1"/>
          <w:bCs w:val="1"/>
          <w:color w:val="auto"/>
        </w:rPr>
        <w:t>“Anti-Corruption Laws”</w:t>
      </w:r>
      <w:r>
        <w:rPr>
          <w:rFonts w:ascii="Times New Roman" w:cs="Times New Roman" w:eastAsia="Times New Roman" w:hAnsi="Times New Roman"/>
          <w:sz w:val="22"/>
          <w:szCs w:val="22"/>
          <w:color w:val="auto"/>
        </w:rPr>
        <w:t xml:space="preserve">). Since January 1, 2021, none of the Company or any of the Subsidiaries, or any of their respective directors, officers, employees or representatives has been under internal or, to the actual knowledge of the Company, any federal, state, provincial, local, foreign or supranational government, any court, legislative, administrative, regulatory or other governmental agency, commission or authority or any non-governmental self-regulatory agency, commission or authority or any stock exchange (each, a </w:t>
      </w:r>
      <w:r>
        <w:rPr>
          <w:rFonts w:ascii="Times New Roman" w:cs="Times New Roman" w:eastAsia="Times New Roman" w:hAnsi="Times New Roman"/>
          <w:sz w:val="22"/>
          <w:szCs w:val="22"/>
          <w:b w:val="1"/>
          <w:bCs w:val="1"/>
          <w:color w:val="auto"/>
        </w:rPr>
        <w:t>“Governmental Entity”</w:t>
      </w:r>
      <w:r>
        <w:rPr>
          <w:rFonts w:ascii="Times New Roman" w:cs="Times New Roman" w:eastAsia="Times New Roman" w:hAnsi="Times New Roman"/>
          <w:sz w:val="22"/>
          <w:szCs w:val="22"/>
          <w:color w:val="auto"/>
        </w:rPr>
        <w:t>) investigation for any material violation of any Anti-Corruption Laws or has received any written notice or other communication from any Governmental Entity regarding a violation of, or failure to</w:t>
      </w:r>
    </w:p>
    <w:p>
      <w:pPr>
        <w:sectPr>
          <w:pgSz w:w="11900" w:h="16838" w:orient="portrait"/>
          <w:cols w:equalWidth="0" w:num="1">
            <w:col w:w="11240"/>
          </w:cols>
          <w:pgMar w:left="320" w:top="1395" w:right="339" w:bottom="1440" w:gutter="0" w:footer="0" w:header="0"/>
        </w:sectPr>
      </w:pPr>
    </w:p>
    <w:bookmarkStart w:id="34" w:name="page35"/>
    <w:bookmarkEnd w:id="34"/>
    <w:p>
      <w:pPr>
        <w:jc w:val="both"/>
        <w:spacing w:after="0" w:line="215" w:lineRule="auto"/>
        <w:rPr>
          <w:sz w:val="20"/>
          <w:szCs w:val="20"/>
          <w:color w:val="auto"/>
        </w:rPr>
      </w:pPr>
      <w:r>
        <w:rPr>
          <w:rFonts w:ascii="Times New Roman" w:cs="Times New Roman" w:eastAsia="Times New Roman" w:hAnsi="Times New Roman"/>
          <w:sz w:val="22"/>
          <w:szCs w:val="22"/>
          <w:color w:val="auto"/>
        </w:rPr>
        <w:t>comply with, any Anti-Corruption Laws. Since January 1, 2021, the Company and the Subsidiaries have implemented, maintained and enforced an adequate system or systems of internal controls reasonably designed to ensure compliance with the Anti-Corruption Laws and prevent and detect violations of the Anti-Corruption Laws. Since January 1, 2021, neither the Company nor any of the Subsidiaries has made any disclosure (voluntary or otherwise) to any Governmental Entity with respect to any alleged irregularity, misstatement or omission or other potential violation or liability arising under or relating to any Anti-Corruption Laws.</w:t>
      </w:r>
    </w:p>
    <w:p>
      <w:pPr>
        <w:spacing w:after="0" w:line="148" w:lineRule="exact"/>
        <w:rPr>
          <w:sz w:val="20"/>
          <w:szCs w:val="20"/>
          <w:color w:val="auto"/>
        </w:rPr>
      </w:pPr>
    </w:p>
    <w:p>
      <w:pPr>
        <w:jc w:val="both"/>
        <w:ind w:firstLine="656"/>
        <w:spacing w:after="0" w:line="220" w:lineRule="auto"/>
        <w:tabs>
          <w:tab w:leader="none" w:pos="129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Equity Capitalization</w:t>
      </w:r>
      <w:r>
        <w:rPr>
          <w:rFonts w:ascii="Times New Roman" w:cs="Times New Roman" w:eastAsia="Times New Roman" w:hAnsi="Times New Roman"/>
          <w:sz w:val="21"/>
          <w:szCs w:val="21"/>
          <w:color w:val="auto"/>
        </w:rPr>
        <w:t>. As of the date hereof, the authorized capital of the Company consists of an unlimited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number of Common Shares and an unlimited number of preferred shares. As of the date hereof, the Company had 23,023,631 Common Shares outstanding. As of the date of the Closing, the authorized share capital of the Company will be an unlimited number of Common Shares. The Common Shares are registered pursuant to Section 12(b) of the Exchange Act and are listed on a Principal U.S. Market. The Company has taken no action designed to, or likely to have the effect of, terminating the registration of the Common Shares under the Exchange Act, delisting the Common Shares from the Principal U.S. Market, nor has the Company received any notification that the SEC or the Principal U.S. Market is contemplating terminating such registration or listing. To the Company’s knowledge, it is in compliance with all applicable listing requirements of the Principal U.S. Market. For the purposes of this Agreement, </w:t>
      </w:r>
      <w:r>
        <w:rPr>
          <w:rFonts w:ascii="Times New Roman" w:cs="Times New Roman" w:eastAsia="Times New Roman" w:hAnsi="Times New Roman"/>
          <w:sz w:val="21"/>
          <w:szCs w:val="21"/>
          <w:b w:val="1"/>
          <w:bCs w:val="1"/>
          <w:color w:val="auto"/>
        </w:rPr>
        <w:t>“Principal U.S. Market”</w:t>
      </w:r>
      <w:r>
        <w:rPr>
          <w:rFonts w:ascii="Times New Roman" w:cs="Times New Roman" w:eastAsia="Times New Roman" w:hAnsi="Times New Roman"/>
          <w:sz w:val="21"/>
          <w:szCs w:val="21"/>
          <w:color w:val="auto"/>
        </w:rPr>
        <w:t xml:space="preserve"> shall mean the NYSE American; provided however, that in the event the Common Shares are ever listed or traded on the New York Stock Exchange, or the Nasdaq Stock Market, then the </w:t>
      </w:r>
      <w:r>
        <w:rPr>
          <w:rFonts w:ascii="Times New Roman" w:cs="Times New Roman" w:eastAsia="Times New Roman" w:hAnsi="Times New Roman"/>
          <w:sz w:val="21"/>
          <w:szCs w:val="21"/>
          <w:b w:val="1"/>
          <w:bCs w:val="1"/>
          <w:color w:val="auto"/>
        </w:rPr>
        <w:t xml:space="preserve">“Principal U.S. Market” </w:t>
      </w:r>
      <w:r>
        <w:rPr>
          <w:rFonts w:ascii="Times New Roman" w:cs="Times New Roman" w:eastAsia="Times New Roman" w:hAnsi="Times New Roman"/>
          <w:sz w:val="21"/>
          <w:szCs w:val="21"/>
          <w:color w:val="auto"/>
        </w:rPr>
        <w:t>shall mean such other market or exchange on which the Common Shares are then listed or traded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extent such other market or exchange is the principal trading market or exchange for the Common Shares in the United States.</w:t>
      </w:r>
    </w:p>
    <w:p>
      <w:pPr>
        <w:spacing w:after="0" w:line="151" w:lineRule="exact"/>
        <w:rPr>
          <w:rFonts w:ascii="Times New Roman" w:cs="Times New Roman" w:eastAsia="Times New Roman" w:hAnsi="Times New Roman"/>
          <w:sz w:val="21"/>
          <w:szCs w:val="21"/>
          <w:color w:val="auto"/>
        </w:rPr>
      </w:pPr>
    </w:p>
    <w:p>
      <w:pPr>
        <w:jc w:val="both"/>
        <w:ind w:firstLine="656"/>
        <w:spacing w:after="0" w:line="208" w:lineRule="auto"/>
        <w:tabs>
          <w:tab w:leader="none" w:pos="129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Existing Securities; Obligations</w:t>
      </w:r>
      <w:r>
        <w:rPr>
          <w:rFonts w:ascii="Times New Roman" w:cs="Times New Roman" w:eastAsia="Times New Roman" w:hAnsi="Times New Roman"/>
          <w:sz w:val="22"/>
          <w:szCs w:val="22"/>
          <w:color w:val="auto"/>
        </w:rPr>
        <w:t>. Except as disclosed in the Continuous Disclosure Materials or as disclosed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Company to the Buyer,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Securities Act (except pursuant to (i) this Agreement, and (ii) the Registration Rights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 (F) neither the Company nor any Subsidiary has any stock appreciation rights or </w:t>
      </w:r>
      <w:r>
        <w:rPr>
          <w:rFonts w:ascii="Times New Roman" w:cs="Times New Roman" w:eastAsia="Times New Roman" w:hAnsi="Times New Roman"/>
          <w:sz w:val="22"/>
          <w:szCs w:val="22"/>
          <w:b w:val="1"/>
          <w:bCs w:val="1"/>
          <w:color w:val="auto"/>
        </w:rPr>
        <w:t>“phantom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stock” </w:t>
      </w:r>
      <w:r>
        <w:rPr>
          <w:rFonts w:ascii="Times New Roman" w:cs="Times New Roman" w:eastAsia="Times New Roman" w:hAnsi="Times New Roman"/>
          <w:sz w:val="22"/>
          <w:szCs w:val="22"/>
          <w:color w:val="auto"/>
        </w:rPr>
        <w:t>plans or agreements or any similar plan or agreement.</w:t>
      </w:r>
    </w:p>
    <w:p>
      <w:pPr>
        <w:spacing w:after="0" w:line="160"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Organizational Documents</w:t>
      </w:r>
      <w:r>
        <w:rPr>
          <w:rFonts w:ascii="Times New Roman" w:cs="Times New Roman" w:eastAsia="Times New Roman" w:hAnsi="Times New Roman"/>
          <w:sz w:val="22"/>
          <w:szCs w:val="22"/>
          <w:color w:val="auto"/>
        </w:rPr>
        <w:t>. The Company has furnished to the Buyer or filed on EDGAR true, correct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complete copies of the Company’s articles, as amended and as in effect on the date hereof (the </w:t>
      </w:r>
      <w:r>
        <w:rPr>
          <w:rFonts w:ascii="Times New Roman" w:cs="Times New Roman" w:eastAsia="Times New Roman" w:hAnsi="Times New Roman"/>
          <w:sz w:val="22"/>
          <w:szCs w:val="22"/>
          <w:b w:val="1"/>
          <w:bCs w:val="1"/>
          <w:color w:val="auto"/>
        </w:rPr>
        <w:t>“Articles”</w:t>
      </w:r>
      <w:r>
        <w:rPr>
          <w:rFonts w:ascii="Times New Roman" w:cs="Times New Roman" w:eastAsia="Times New Roman" w:hAnsi="Times New Roman"/>
          <w:sz w:val="22"/>
          <w:szCs w:val="22"/>
          <w:color w:val="auto"/>
        </w:rPr>
        <w:t>), and the terms of all convertible securities and the material rights of the holders thereof in respect thereto.</w:t>
      </w:r>
    </w:p>
    <w:p>
      <w:pPr>
        <w:sectPr>
          <w:pgSz w:w="11900" w:h="16838" w:orient="portrait"/>
          <w:cols w:equalWidth="0" w:num="1">
            <w:col w:w="11240"/>
          </w:cols>
          <w:pgMar w:left="320" w:top="1395" w:right="339" w:bottom="1440" w:gutter="0" w:footer="0" w:header="0"/>
        </w:sectPr>
      </w:pPr>
    </w:p>
    <w:bookmarkStart w:id="35" w:name="page36"/>
    <w:bookmarkEnd w:id="35"/>
    <w:p>
      <w:pPr>
        <w:jc w:val="both"/>
        <w:ind w:left="-656" w:firstLine="656"/>
        <w:spacing w:after="0" w:line="210" w:lineRule="auto"/>
        <w:tabs>
          <w:tab w:leader="none" w:pos="6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Litigation</w:t>
      </w:r>
      <w:r>
        <w:rPr>
          <w:rFonts w:ascii="Times New Roman" w:cs="Times New Roman" w:eastAsia="Times New Roman" w:hAnsi="Times New Roman"/>
          <w:sz w:val="22"/>
          <w:szCs w:val="22"/>
          <w:color w:val="auto"/>
        </w:rPr>
        <w:t>. Except as disclosed by the Company in the Continuous Disclosure Materials, there is no action, suit,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arbitration, proceeding, inquiry or investigation before or by NYSE American, Cboe, any court, public board, other Governmental Entity, selfregulatory­ organization or body pending or, to the knowledge of the Company, threatened against or affecting the Company or, to the knowledge of the Company, any of its Subsidiaries, the Common Shares or any of the Company’s or its Subsidiaries’ officers or directors, whether of a civil or criminal nature or otherwise, in their capacities as such, which would reasonably be expected to result in a Material Adverse Effect. After reasonable inquiry of its employees, the Company is not aware of any event which might result in or form the basis for any such action, suit, arbitration, investigation, inquiry or other proceeding. Without limitation of the foregoing, there has not been, and to the knowledge of the Company, there is not pending or contemplated, any investigation by the SEC involving the Company, any of its Subsidiaries or, to the knowledge of the Company, any current or former director or officer of the Company or any of its Subsidiaries. Neither the Company nor any of its Subsidiaries is the subject of any order, writ, judgment, injunction, decree, determination or award of any Governmental Entity that would reasonably be expected to result in a Material Adverse Effect.</w:t>
      </w:r>
    </w:p>
    <w:p>
      <w:pPr>
        <w:spacing w:after="0" w:line="151" w:lineRule="exact"/>
        <w:rPr>
          <w:rFonts w:ascii="Times New Roman" w:cs="Times New Roman" w:eastAsia="Times New Roman" w:hAnsi="Times New Roman"/>
          <w:sz w:val="22"/>
          <w:szCs w:val="22"/>
          <w:color w:val="auto"/>
        </w:rPr>
      </w:pPr>
    </w:p>
    <w:p>
      <w:pPr>
        <w:jc w:val="both"/>
        <w:ind w:left="-656" w:firstLine="656"/>
        <w:spacing w:after="0" w:line="214" w:lineRule="auto"/>
        <w:tabs>
          <w:tab w:leader="none" w:pos="63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Insurance</w:t>
      </w:r>
      <w:r>
        <w:rPr>
          <w:rFonts w:ascii="Times New Roman" w:cs="Times New Roman" w:eastAsia="Times New Roman" w:hAnsi="Times New Roman"/>
          <w:sz w:val="22"/>
          <w:szCs w:val="22"/>
          <w:color w:val="auto"/>
        </w:rPr>
        <w:t>. Except as disclosed by the Company in the Continuous Disclosure Materials, the Company and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48" w:lineRule="exact"/>
        <w:rPr>
          <w:rFonts w:ascii="Times New Roman" w:cs="Times New Roman" w:eastAsia="Times New Roman" w:hAnsi="Times New Roman"/>
          <w:sz w:val="22"/>
          <w:szCs w:val="22"/>
          <w:color w:val="auto"/>
        </w:rPr>
      </w:pPr>
    </w:p>
    <w:p>
      <w:pPr>
        <w:jc w:val="both"/>
        <w:ind w:left="-656" w:firstLine="656"/>
        <w:spacing w:after="0" w:line="216" w:lineRule="auto"/>
        <w:tabs>
          <w:tab w:leader="none" w:pos="62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Manipulation of Price</w:t>
      </w:r>
      <w:r>
        <w:rPr>
          <w:rFonts w:ascii="Times New Roman" w:cs="Times New Roman" w:eastAsia="Times New Roman" w:hAnsi="Times New Roman"/>
          <w:sz w:val="22"/>
          <w:szCs w:val="22"/>
          <w:color w:val="auto"/>
        </w:rPr>
        <w:t>. Neither the Company nor any of its Subsidiaries has, and, to the knowledge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or any of its Subsidiaries.</w:t>
      </w:r>
    </w:p>
    <w:p>
      <w:pPr>
        <w:spacing w:after="0" w:line="145"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Shell Company Status</w:t>
      </w:r>
      <w:r>
        <w:rPr>
          <w:rFonts w:ascii="Times New Roman" w:cs="Times New Roman" w:eastAsia="Times New Roman" w:hAnsi="Times New Roman"/>
          <w:sz w:val="22"/>
          <w:szCs w:val="22"/>
          <w:color w:val="auto"/>
        </w:rPr>
        <w:t>. The Company is not, and has never been, an issuer described in Rule 144(i)(1)(i).</w:t>
      </w:r>
    </w:p>
    <w:p>
      <w:pPr>
        <w:spacing w:after="0" w:line="179" w:lineRule="exact"/>
        <w:rPr>
          <w:rFonts w:ascii="Times New Roman" w:cs="Times New Roman" w:eastAsia="Times New Roman" w:hAnsi="Times New Roman"/>
          <w:sz w:val="22"/>
          <w:szCs w:val="22"/>
          <w:color w:val="auto"/>
        </w:rPr>
      </w:pPr>
    </w:p>
    <w:p>
      <w:pPr>
        <w:jc w:val="both"/>
        <w:ind w:left="-656" w:firstLine="656"/>
        <w:spacing w:after="0" w:line="214" w:lineRule="auto"/>
        <w:tabs>
          <w:tab w:leader="none" w:pos="63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Money Laundering</w:t>
      </w:r>
      <w:r>
        <w:rPr>
          <w:rFonts w:ascii="Times New Roman" w:cs="Times New Roman" w:eastAsia="Times New Roman" w:hAnsi="Times New Roman"/>
          <w:sz w:val="22"/>
          <w:szCs w:val="22"/>
          <w:color w:val="auto"/>
        </w:rPr>
        <w:t>. The Company and its Subsidiaries are in compliance with, and have not previously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committed any violation of, the USA Patriot Act of 2001 and all other applicable U.S. and nonU­.S. antimoney­ laundering laws and regulations, including, but not limited to, the laws, regulations and Executive Orders and sanctions programs (</w:t>
      </w:r>
      <w:r>
        <w:rPr>
          <w:rFonts w:ascii="Times New Roman" w:cs="Times New Roman" w:eastAsia="Times New Roman" w:hAnsi="Times New Roman"/>
          <w:sz w:val="22"/>
          <w:szCs w:val="22"/>
          <w:b w:val="1"/>
          <w:bCs w:val="1"/>
          <w:color w:val="auto"/>
        </w:rPr>
        <w:t>“Sanctions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Programs”</w:t>
      </w:r>
      <w:r>
        <w:rPr>
          <w:rFonts w:ascii="Times New Roman" w:cs="Times New Roman" w:eastAsia="Times New Roman" w:hAnsi="Times New Roman"/>
          <w:sz w:val="22"/>
          <w:szCs w:val="22"/>
          <w:color w:val="auto"/>
        </w:rPr>
        <w:t>) administered by the U.S. Office of Foreign Assets Control (</w:t>
      </w:r>
      <w:r>
        <w:rPr>
          <w:rFonts w:ascii="Times New Roman" w:cs="Times New Roman" w:eastAsia="Times New Roman" w:hAnsi="Times New Roman"/>
          <w:sz w:val="22"/>
          <w:szCs w:val="22"/>
          <w:b w:val="1"/>
          <w:bCs w:val="1"/>
          <w:color w:val="auto"/>
        </w:rPr>
        <w:t>“OFAC”</w:t>
      </w:r>
      <w:r>
        <w:rPr>
          <w:rFonts w:ascii="Times New Roman" w:cs="Times New Roman" w:eastAsia="Times New Roman" w:hAnsi="Times New Roman"/>
          <w:sz w:val="22"/>
          <w:szCs w:val="22"/>
          <w:color w:val="auto"/>
        </w:rPr>
        <w:t>), including, without limitation, (i)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Order 13224 of September 23, 2001 entitled, “Blocking Property and Prohibiting Transactions With Persons Who Commit, Threaten to Commit, or Support Terrorism” (66 Fed. Reg. 49079 (2001)); and any regulations contained in 31 CFR, Subtitle B, Chapter V.</w:t>
      </w:r>
    </w:p>
    <w:p>
      <w:pPr>
        <w:spacing w:after="0" w:line="148" w:lineRule="exact"/>
        <w:rPr>
          <w:rFonts w:ascii="Times New Roman" w:cs="Times New Roman" w:eastAsia="Times New Roman" w:hAnsi="Times New Roman"/>
          <w:sz w:val="22"/>
          <w:szCs w:val="22"/>
          <w:color w:val="auto"/>
        </w:rPr>
      </w:pPr>
    </w:p>
    <w:p>
      <w:pPr>
        <w:jc w:val="both"/>
        <w:ind w:left="-656" w:firstLine="656"/>
        <w:spacing w:after="0" w:line="218" w:lineRule="auto"/>
        <w:tabs>
          <w:tab w:leader="none" w:pos="62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Disclosure</w:t>
      </w:r>
      <w:r>
        <w:rPr>
          <w:rFonts w:ascii="Times New Roman" w:cs="Times New Roman" w:eastAsia="Times New Roman" w:hAnsi="Times New Roman"/>
          <w:sz w:val="22"/>
          <w:szCs w:val="22"/>
          <w:color w:val="auto"/>
        </w:rPr>
        <w:t>. The Company confirms that neither it nor any other Person acting on its behalf has provided the Buyer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their agents or counsel with any information that constitutes or could reasonably be expected to constitute material, nonpublic­ information concerning the Company or any of its Subsidiaries, other than the existence of the transactions contemplated by this Agreement and the other Transaction Documents. The Company understands and confirms the Buyer will rely on the foregoing representations in effecting transactions in securities of the</w:t>
      </w:r>
    </w:p>
    <w:p>
      <w:pPr>
        <w:sectPr>
          <w:pgSz w:w="11900" w:h="16838" w:orient="portrait"/>
          <w:cols w:equalWidth="0" w:num="1">
            <w:col w:w="10584"/>
          </w:cols>
          <w:pgMar w:left="976" w:top="1391" w:right="339" w:bottom="1440" w:gutter="0" w:footer="0" w:header="0"/>
        </w:sectPr>
      </w:pPr>
    </w:p>
    <w:bookmarkStart w:id="36" w:name="page37"/>
    <w:bookmarkEnd w:id="36"/>
    <w:p>
      <w:pPr>
        <w:jc w:val="both"/>
        <w:spacing w:after="0" w:line="209" w:lineRule="auto"/>
        <w:rPr>
          <w:sz w:val="20"/>
          <w:szCs w:val="20"/>
          <w:color w:val="auto"/>
        </w:rPr>
      </w:pPr>
      <w:r>
        <w:rPr>
          <w:rFonts w:ascii="Times New Roman" w:cs="Times New Roman" w:eastAsia="Times New Roman" w:hAnsi="Times New Roman"/>
          <w:sz w:val="22"/>
          <w:szCs w:val="22"/>
          <w:color w:val="auto"/>
        </w:rPr>
        <w:t>Company. None of the disclosures provided to the Buyer regarding the Company and its Subsidiaries, their businesses and the transactions contemplated hereby, including the schedules to this Agreement (if any), furnished by or on behalf of the Company or any of its Subsidiaries, taken as a whole, contain any untrue statement of a material fact or omit to state any material fact necessary in order to make the statements made therein, in the light of the circumstances under which they were made, not misleading. None of the written information furnished after the date hereof by or on behalf of the Company or any of its Subsidiaries to the Buyer pursuant to or in connection with this Agreement and the other Transaction Documents, taken as a whole, will contain any untrue statement of a material fact or omit to state any material fact necessary in order to make the statements made therein, in the light of the circumstances under which they were made, not misleading. All financial projections and forecasts that have been prepared by or on behalf of the Company or any of its Subsidiaries and made available to the Buyer, if any, have been prepared in good faith based upon reasonable assumptions and represented, at the time each such financial projection or forecast was delivered to the Buyer, the Company’s best estimate of future financial performance (it being recognized that such financial projections or forecasts are not to be viewed as facts and that the actual results during the period or periods covered by any such financial projections or forecasts may differ from the projected or forecasted results).</w:t>
      </w:r>
    </w:p>
    <w:p>
      <w:pPr>
        <w:spacing w:after="0" w:line="156" w:lineRule="exact"/>
        <w:rPr>
          <w:sz w:val="20"/>
          <w:szCs w:val="20"/>
          <w:color w:val="auto"/>
        </w:rPr>
      </w:pPr>
    </w:p>
    <w:p>
      <w:pPr>
        <w:jc w:val="both"/>
        <w:ind w:firstLine="656"/>
        <w:spacing w:after="0" w:line="227" w:lineRule="auto"/>
        <w:tabs>
          <w:tab w:leader="none" w:pos="129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General Solicitation</w:t>
      </w:r>
      <w:r>
        <w:rPr>
          <w:rFonts w:ascii="Times New Roman" w:cs="Times New Roman" w:eastAsia="Times New Roman" w:hAnsi="Times New Roman"/>
          <w:sz w:val="22"/>
          <w:szCs w:val="22"/>
          <w:color w:val="auto"/>
        </w:rPr>
        <w:t>. Neither the Company, nor any of its affiliates, nor any Person acting on its or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behalf, has engaged in any form of general solicitation or general advertising (within the meaning of Regulation D under the Securities Act) in connection with the offer or sale of the Securities.</w:t>
      </w:r>
    </w:p>
    <w:p>
      <w:pPr>
        <w:spacing w:after="0" w:line="146"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Private Placement</w:t>
      </w:r>
      <w:r>
        <w:rPr>
          <w:rFonts w:ascii="Times New Roman" w:cs="Times New Roman" w:eastAsia="Times New Roman" w:hAnsi="Times New Roman"/>
          <w:sz w:val="22"/>
          <w:szCs w:val="22"/>
          <w:color w:val="auto"/>
        </w:rPr>
        <w:t>. Assuming the accuracy of the Buyer’s representations and warranties set forth in Section 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registration under the Securities Act is required for the offer and sale of the Securities by the Company to the Buyer as contemplated hereby. The issuance and sale of the Securities hereunder does not contravene the rules and regulations of the Primary Market. The Company shall timely file a Form 72-503F under OSC Rule 72-503 in respect of the distribution of the Securities to the Buyer.</w:t>
      </w:r>
    </w:p>
    <w:p>
      <w:pPr>
        <w:spacing w:after="0" w:line="147"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3"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Indebtedness and Other Contracts</w:t>
      </w:r>
      <w:r>
        <w:rPr>
          <w:rFonts w:ascii="Times New Roman" w:cs="Times New Roman" w:eastAsia="Times New Roman" w:hAnsi="Times New Roman"/>
          <w:sz w:val="21"/>
          <w:szCs w:val="21"/>
          <w:color w:val="auto"/>
        </w:rPr>
        <w:t>. Neither the Company nor any of its Subsidiaries, (i) has any outstanding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debt securities, notes, credit agreements, credit facilities or other agreements, documents or instruments evidencing Indebtedness of the Company or any of its Subsidiaries or by which the Company or any of its Subsidiaries is or may become bound, (ii) is a party to any contract, agreement or instrument, the violation of which, or default under which, by the other party(ies) to such contract, agreement or instrument could reasonably be expected to result in a Material Adverse Effect, (iii) has any financing statements securing obligations in any amounts filed in connection with the Company or any of its Subsidiaries; (iv) is in violation of any term of, or in default under, any contract, agreement or instrument relating to any Indebtedness, except where such violations and defaults would not result, individually or in the aggregate, in a Material Adverse Effect, (v) other than the equity distribution agreement entered into with Cantor Fitzgerald Canada Corporation and Cantor Fitzgerald &amp; Co, is a party to any Variable Rate Transaction (as defined below), or (vi) is a party to any contract, agreement or instrument relating to any Indebtedness, the performance of which, in the judgment of the Company’s officers, has or is expected to have a Material Adverse Effect.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could not have a Material Adverse Effect. For purposes of this Agreement: (x) </w:t>
      </w:r>
      <w:r>
        <w:rPr>
          <w:rFonts w:ascii="Times New Roman" w:cs="Times New Roman" w:eastAsia="Times New Roman" w:hAnsi="Times New Roman"/>
          <w:sz w:val="21"/>
          <w:szCs w:val="21"/>
          <w:b w:val="1"/>
          <w:bCs w:val="1"/>
          <w:color w:val="auto"/>
        </w:rPr>
        <w:t>“Indebtedness”</w:t>
      </w:r>
      <w:r>
        <w:rPr>
          <w:rFonts w:ascii="Times New Roman" w:cs="Times New Roman" w:eastAsia="Times New Roman" w:hAnsi="Times New Roman"/>
          <w:sz w:val="21"/>
          <w:szCs w:val="21"/>
          <w:color w:val="auto"/>
        </w:rPr>
        <w:t xml:space="preserve"> of any Person means, without duplication (A) all indebtedness for borrowed money, (B) all obligations issued, undertaken or assumed as the deferred purchase price of property or services (including, without limitation, </w:t>
      </w:r>
      <w:r>
        <w:rPr>
          <w:rFonts w:ascii="Times New Roman" w:cs="Times New Roman" w:eastAsia="Times New Roman" w:hAnsi="Times New Roman"/>
          <w:sz w:val="21"/>
          <w:szCs w:val="21"/>
          <w:b w:val="1"/>
          <w:bCs w:val="1"/>
          <w:color w:val="auto"/>
        </w:rPr>
        <w:t>“capital leases”</w:t>
      </w:r>
      <w:r>
        <w:rPr>
          <w:rFonts w:ascii="Times New Roman" w:cs="Times New Roman" w:eastAsia="Times New Roman" w:hAnsi="Times New Roman"/>
          <w:sz w:val="21"/>
          <w:szCs w:val="21"/>
          <w:color w:val="auto"/>
        </w:rPr>
        <w:t xml:space="preserve"> in accordance with IFRS), (C) all reimbursement or payment obligations with respect to letters of credit, surety bonds and other similar instruments, (D) all obligations evidenced by notes, bonds,</w:t>
      </w:r>
    </w:p>
    <w:p>
      <w:pPr>
        <w:sectPr>
          <w:pgSz w:w="11900" w:h="16838" w:orient="portrait"/>
          <w:cols w:equalWidth="0" w:num="1">
            <w:col w:w="11240"/>
          </w:cols>
          <w:pgMar w:left="320" w:top="1395" w:right="339" w:bottom="1440" w:gutter="0" w:footer="0" w:header="0"/>
        </w:sectPr>
      </w:pPr>
    </w:p>
    <w:bookmarkStart w:id="37" w:name="page38"/>
    <w:bookmarkEnd w:id="37"/>
    <w:p>
      <w:pPr>
        <w:jc w:val="both"/>
        <w:spacing w:after="0" w:line="208" w:lineRule="auto"/>
        <w:rPr>
          <w:sz w:val="20"/>
          <w:szCs w:val="20"/>
          <w:color w:val="auto"/>
        </w:rPr>
      </w:pPr>
      <w:r>
        <w:rPr>
          <w:rFonts w:ascii="Times New Roman" w:cs="Times New Roman" w:eastAsia="Times New Roman" w:hAnsi="Times New Roman"/>
          <w:sz w:val="22"/>
          <w:szCs w:val="22"/>
          <w:color w:val="auto"/>
        </w:rPr>
        <w:t xml:space="preserve">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IFRS,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and (y) </w:t>
      </w:r>
      <w:r>
        <w:rPr>
          <w:rFonts w:ascii="Times New Roman" w:cs="Times New Roman" w:eastAsia="Times New Roman" w:hAnsi="Times New Roman"/>
          <w:sz w:val="22"/>
          <w:szCs w:val="22"/>
          <w:b w:val="1"/>
          <w:bCs w:val="1"/>
          <w:color w:val="auto"/>
        </w:rPr>
        <w:t>“Contingent Obligation”</w:t>
      </w:r>
      <w:r>
        <w:rPr>
          <w:rFonts w:ascii="Times New Roman" w:cs="Times New Roman" w:eastAsia="Times New Roman" w:hAnsi="Times New Roman"/>
          <w:sz w:val="22"/>
          <w:szCs w:val="22"/>
          <w:color w:val="auto"/>
        </w:rPr>
        <w:t xml:space="preserve">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For greater certainty, “Indebtedness” shall not include trade payables entered into in the ordinary course of business consistent with past or industry practice.</w:t>
      </w:r>
    </w:p>
    <w:p>
      <w:pPr>
        <w:spacing w:after="0" w:line="157" w:lineRule="exact"/>
        <w:rPr>
          <w:sz w:val="20"/>
          <w:szCs w:val="20"/>
          <w:color w:val="auto"/>
        </w:rPr>
      </w:pPr>
    </w:p>
    <w:p>
      <w:pPr>
        <w:jc w:val="both"/>
        <w:ind w:firstLine="656"/>
        <w:spacing w:after="0" w:line="212" w:lineRule="auto"/>
        <w:tabs>
          <w:tab w:leader="none" w:pos="129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Disqualification Events. </w:t>
      </w:r>
      <w:r>
        <w:rPr>
          <w:rFonts w:ascii="Times New Roman" w:cs="Times New Roman" w:eastAsia="Times New Roman" w:hAnsi="Times New Roman"/>
          <w:sz w:val="22"/>
          <w:szCs w:val="22"/>
          <w:color w:val="auto"/>
        </w:rPr>
        <w:t>With respect to Securities to be offered and sold hereunder in reliance on Rule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506(b) under the Securities Act (“</w:t>
      </w:r>
      <w:r>
        <w:rPr>
          <w:rFonts w:ascii="Times New Roman" w:cs="Times New Roman" w:eastAsia="Times New Roman" w:hAnsi="Times New Roman"/>
          <w:sz w:val="22"/>
          <w:szCs w:val="22"/>
          <w:b w:val="1"/>
          <w:bCs w:val="1"/>
          <w:color w:val="auto"/>
        </w:rPr>
        <w:t>Regulation D Securities</w:t>
      </w:r>
      <w:r>
        <w:rPr>
          <w:rFonts w:ascii="Times New Roman" w:cs="Times New Roman" w:eastAsia="Times New Roman" w:hAnsi="Times New Roman"/>
          <w:sz w:val="22"/>
          <w:szCs w:val="22"/>
          <w:color w:val="auto"/>
        </w:rPr>
        <w:t>”),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22"/>
          <w:szCs w:val="22"/>
          <w:b w:val="1"/>
          <w:bCs w:val="1"/>
          <w:color w:val="auto"/>
        </w:rPr>
        <w:t>Issuer Covered Person</w:t>
      </w:r>
      <w:r>
        <w:rPr>
          <w:rFonts w:ascii="Times New Roman" w:cs="Times New Roman" w:eastAsia="Times New Roman" w:hAnsi="Times New Roman"/>
          <w:sz w:val="22"/>
          <w:szCs w:val="22"/>
          <w:color w:val="auto"/>
        </w:rPr>
        <w:t>” and, together, “</w:t>
      </w:r>
      <w:r>
        <w:rPr>
          <w:rFonts w:ascii="Times New Roman" w:cs="Times New Roman" w:eastAsia="Times New Roman" w:hAnsi="Times New Roman"/>
          <w:sz w:val="22"/>
          <w:szCs w:val="22"/>
          <w:b w:val="1"/>
          <w:bCs w:val="1"/>
          <w:color w:val="auto"/>
        </w:rPr>
        <w:t>Issuer Covered Persons</w:t>
      </w:r>
      <w:r>
        <w:rPr>
          <w:rFonts w:ascii="Times New Roman" w:cs="Times New Roman" w:eastAsia="Times New Roman" w:hAnsi="Times New Roman"/>
          <w:sz w:val="22"/>
          <w:szCs w:val="22"/>
          <w:color w:val="auto"/>
        </w:rPr>
        <w:t>”) is subject to any of the “Bad Actor” disqualifications described in Rule 506(d)(1)(i) to (viii) under the Securities Act (a “</w:t>
      </w:r>
      <w:r>
        <w:rPr>
          <w:rFonts w:ascii="Times New Roman" w:cs="Times New Roman" w:eastAsia="Times New Roman" w:hAnsi="Times New Roman"/>
          <w:sz w:val="22"/>
          <w:szCs w:val="22"/>
          <w:b w:val="1"/>
          <w:bCs w:val="1"/>
          <w:color w:val="auto"/>
        </w:rPr>
        <w:t>Disqualification Event</w:t>
      </w:r>
      <w:r>
        <w:rPr>
          <w:rFonts w:ascii="Times New Roman" w:cs="Times New Roman" w:eastAsia="Times New Roman" w:hAnsi="Times New Roman"/>
          <w:sz w:val="22"/>
          <w:szCs w:val="22"/>
          <w:color w:val="auto"/>
        </w:rPr>
        <w:t>”), except for a Disqualification Event covered by Rule 506(d)(2) or (d)(3). The Company has exercised reasonable care to determine whether any Issuer Covered Person is subject to a Disqualification Event.</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COVENANTS.</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16" w:lineRule="auto"/>
        <w:tabs>
          <w:tab w:leader="none" w:pos="1293"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Reporting Status</w:t>
      </w:r>
      <w:r>
        <w:rPr>
          <w:rFonts w:ascii="Times New Roman" w:cs="Times New Roman" w:eastAsia="Times New Roman" w:hAnsi="Times New Roman"/>
          <w:sz w:val="22"/>
          <w:szCs w:val="22"/>
          <w:color w:val="auto"/>
        </w:rPr>
        <w:t>. For the period beginning on the date hereof, and ending 12 months after the date on which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Convertible Note issued hereunder is no longer outstanding (the </w:t>
      </w:r>
      <w:r>
        <w:rPr>
          <w:rFonts w:ascii="Times New Roman" w:cs="Times New Roman" w:eastAsia="Times New Roman" w:hAnsi="Times New Roman"/>
          <w:sz w:val="22"/>
          <w:szCs w:val="22"/>
          <w:b w:val="1"/>
          <w:bCs w:val="1"/>
          <w:color w:val="auto"/>
        </w:rPr>
        <w:t>“Reporting Period”</w:t>
      </w:r>
      <w:r>
        <w:rPr>
          <w:rFonts w:ascii="Times New Roman" w:cs="Times New Roman" w:eastAsia="Times New Roman" w:hAnsi="Times New Roman"/>
          <w:sz w:val="22"/>
          <w:szCs w:val="22"/>
          <w:color w:val="auto"/>
        </w:rPr>
        <w:t>), the Company shall use commercially reasonable efforts to file on a timely basis all reports required to be filed with the SEC pursuant to the Exchange Act, all documents required to be filed under Canadian Securities Laws, and the Company shall not terminate its status as an issuer required to file reports under the Exchange Act even if the Exchange Act or the rules and regulations thereunder would no longer require or otherwise permit such termination.</w:t>
      </w:r>
    </w:p>
    <w:p>
      <w:pPr>
        <w:spacing w:after="0" w:line="145" w:lineRule="exact"/>
        <w:rPr>
          <w:rFonts w:ascii="Times New Roman" w:cs="Times New Roman" w:eastAsia="Times New Roman" w:hAnsi="Times New Roman"/>
          <w:sz w:val="22"/>
          <w:szCs w:val="22"/>
          <w:color w:val="auto"/>
        </w:rPr>
      </w:pPr>
    </w:p>
    <w:p>
      <w:pPr>
        <w:jc w:val="both"/>
        <w:ind w:firstLine="656"/>
        <w:spacing w:after="0" w:line="216" w:lineRule="auto"/>
        <w:tabs>
          <w:tab w:leader="none" w:pos="129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Use of Proceeds</w:t>
      </w:r>
      <w:r>
        <w:rPr>
          <w:rFonts w:ascii="Times New Roman" w:cs="Times New Roman" w:eastAsia="Times New Roman" w:hAnsi="Times New Roman"/>
          <w:sz w:val="22"/>
          <w:szCs w:val="22"/>
          <w:color w:val="auto"/>
        </w:rPr>
        <w:t>. The use of proceeds will be for general working capital purposes. Neither the Company nor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Subsidiary will, directly or indirectly, use the proceeds of the transactions contemplated herein to repay any loans to any executives or employees of the Company, to make any payments in respect of any related party debt, or to purchase any crypto currencies. Neither the Company nor any Subsidiary will, directly or indirectly, use the proceeds of the transactions contemplated herein, or lend, contribute, facilitate or otherwise make available such proceeds to any Person (i) to fund, either directly or indirectly, any activities or</w:t>
      </w:r>
    </w:p>
    <w:p>
      <w:pPr>
        <w:sectPr>
          <w:pgSz w:w="11900" w:h="16838" w:orient="portrait"/>
          <w:cols w:equalWidth="0" w:num="1">
            <w:col w:w="11240"/>
          </w:cols>
          <w:pgMar w:left="320" w:top="1395" w:right="339" w:bottom="1440" w:gutter="0" w:footer="0" w:header="0"/>
        </w:sectPr>
      </w:pPr>
    </w:p>
    <w:bookmarkStart w:id="38" w:name="page39"/>
    <w:bookmarkEnd w:id="38"/>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business of or with any Person that is identified on the list of Specially Designated Nationals and Blocker Persons maintained by OFAC, or in any country or territory, that, at the time of such funding, is, or whose government is, the subject of Sanctions Programs, or (ii) in any other manner that will result in a violation of Sanctions Programs. The Company shall not, without the prior written consent of the Buyer, loan, invest, transfer or </w:t>
      </w:r>
      <w:r>
        <w:rPr>
          <w:rFonts w:ascii="Times New Roman" w:cs="Times New Roman" w:eastAsia="Times New Roman" w:hAnsi="Times New Roman"/>
          <w:sz w:val="22"/>
          <w:szCs w:val="22"/>
          <w:b w:val="1"/>
          <w:bCs w:val="1"/>
          <w:color w:val="auto"/>
        </w:rPr>
        <w:t>“downstream”</w:t>
      </w:r>
      <w:r>
        <w:rPr>
          <w:rFonts w:ascii="Times New Roman" w:cs="Times New Roman" w:eastAsia="Times New Roman" w:hAnsi="Times New Roman"/>
          <w:sz w:val="22"/>
          <w:szCs w:val="22"/>
          <w:color w:val="auto"/>
        </w:rPr>
        <w:t xml:space="preserve"> any cash proceeds, or assets or property acquired with cash proceeds from the issuance and sale of the Convertible Note to any Subsidiary, except for Cybin IRL or unless such Subsidiary has enter into a guarantee in a form acceptable to the Buyer.</w:t>
      </w:r>
    </w:p>
    <w:p>
      <w:pPr>
        <w:spacing w:after="0" w:line="148" w:lineRule="exact"/>
        <w:rPr>
          <w:sz w:val="20"/>
          <w:szCs w:val="20"/>
          <w:color w:val="auto"/>
        </w:rPr>
      </w:pPr>
    </w:p>
    <w:p>
      <w:pPr>
        <w:jc w:val="both"/>
        <w:ind w:firstLine="656"/>
        <w:spacing w:after="0" w:line="210" w:lineRule="auto"/>
        <w:tabs>
          <w:tab w:leader="none" w:pos="129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Listing</w:t>
      </w:r>
      <w:r>
        <w:rPr>
          <w:rFonts w:ascii="Times New Roman" w:cs="Times New Roman" w:eastAsia="Times New Roman" w:hAnsi="Times New Roman"/>
          <w:sz w:val="22"/>
          <w:szCs w:val="22"/>
          <w:color w:val="auto"/>
        </w:rPr>
        <w:t>. The Company shall promptly secure the listing or designation for quotation (as the case may be) of all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Underlying Securities (as defined below) upon the Principal U.S. Market, subject to official notice of issuance, and shall use reasonable efforts to maintain such listing of all Underlying Securities from time to time issuable under the terms of the Transaction Documents on such Principal U.S. Market for the Reporting Period. Neither the Company nor any of its Subsidiaries shall take any action which could be reasonably expected to result in the delisting or suspension of the Common Shares on a Principal U.S. Market or Cboe during the Reporting Period, other than in connection with the listing of the Underlying Securities on another securities exchange in the United States registered as a national securities exchange under Section 6 of the Exchange Act. The Company shall pay all fees and expenses in connection with satisfying its obligations under this Section 4(c). </w:t>
      </w:r>
      <w:r>
        <w:rPr>
          <w:rFonts w:ascii="Times New Roman" w:cs="Times New Roman" w:eastAsia="Times New Roman" w:hAnsi="Times New Roman"/>
          <w:sz w:val="22"/>
          <w:szCs w:val="22"/>
          <w:b w:val="1"/>
          <w:bCs w:val="1"/>
          <w:color w:val="auto"/>
        </w:rPr>
        <w:t xml:space="preserve">“Underlying Securities” </w:t>
      </w:r>
      <w:r>
        <w:rPr>
          <w:rFonts w:ascii="Times New Roman" w:cs="Times New Roman" w:eastAsia="Times New Roman" w:hAnsi="Times New Roman"/>
          <w:sz w:val="22"/>
          <w:szCs w:val="22"/>
          <w:color w:val="auto"/>
        </w:rPr>
        <w:t>means the (i) the Conversion Shares and (ii) any Common Shares issued or issuable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Conversion Shares, including, without limitation, (1) as a result of any stock split, stock dividend, recapitalization, exchange or similar event or otherwise and (2) shares of the Company into which the Common Shares are converted or exchanged without regard to any limitations on conversion of the Convertible Note.</w:t>
      </w:r>
    </w:p>
    <w:p>
      <w:pPr>
        <w:spacing w:after="0" w:line="151"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Pledge of Securities</w:t>
      </w:r>
      <w:r>
        <w:rPr>
          <w:rFonts w:ascii="Times New Roman" w:cs="Times New Roman" w:eastAsia="Times New Roman" w:hAnsi="Times New Roman"/>
          <w:sz w:val="22"/>
          <w:szCs w:val="22"/>
          <w:color w:val="auto"/>
        </w:rPr>
        <w:t>. Notwithstanding anything to the contrary contained in this Agreement,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acknowledges and agrees that, subject to compliance with U.S. Securities Laws, the Securities may be pledged by the Buyer in connection with a bona fide margin agreement or other loan or financing arrangement that is secured by the Securities. The Company hereby agrees to execute and deliver such documentation as a pledgee of the Securities may reasonably request in connection with a pledge of the Securities to such pledgee by a Buyer.</w:t>
      </w:r>
    </w:p>
    <w:p>
      <w:pPr>
        <w:spacing w:after="0" w:line="147"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Disclosure of Transactions and Other Material Information</w:t>
      </w:r>
      <w:r>
        <w:rPr>
          <w:rFonts w:ascii="Times New Roman" w:cs="Times New Roman" w:eastAsia="Times New Roman" w:hAnsi="Times New Roman"/>
          <w:sz w:val="22"/>
          <w:szCs w:val="22"/>
          <w:color w:val="auto"/>
        </w:rPr>
        <w:t>. The Company shall file with the SEC a Current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Report on Form 6-K disclosing the execution of this Agreement by the Company and the Buyer (including any required exhibits thereto, the </w:t>
      </w:r>
      <w:r>
        <w:rPr>
          <w:rFonts w:ascii="Times New Roman" w:cs="Times New Roman" w:eastAsia="Times New Roman" w:hAnsi="Times New Roman"/>
          <w:sz w:val="22"/>
          <w:szCs w:val="22"/>
          <w:b w:val="1"/>
          <w:bCs w:val="1"/>
          <w:color w:val="auto"/>
        </w:rPr>
        <w:t>“Current Report</w:t>
      </w:r>
      <w:r>
        <w:rPr>
          <w:rFonts w:ascii="Times New Roman" w:cs="Times New Roman" w:eastAsia="Times New Roman" w:hAnsi="Times New Roman"/>
          <w:sz w:val="22"/>
          <w:szCs w:val="22"/>
          <w:color w:val="auto"/>
        </w:rPr>
        <w:t>”) promptly following execution of the Agreement, but in any event no later than 9:00 a.m. New York Time on the Trading Day following the date on which this Agreement is executed. The Company shall provide the Buyer and its legal counsel a reasonable opportunity to comment on a draft of the Current Report prior to filing the Current Report with the SEC and shall give due consideration to all such comments. From and after the filing of the Current Report with the SEC , the Company shall have publicly disclosed all material, non-public information delivered to the Buyer (or the Buyer’s representatives or agents) by the Company or any of its Subsidiaries, or any of their respective officers, directors, employees, agents or representatives (if any) in respect of the Company. The Company shall not, and the Company shall undertake reasonable efforts to cause each of its Subsidiaries and each of its and their respective officers, directors, employees and agents not to, provide the Buyer with any material, non-public information regarding the Company or any of its Subsidiaries without the express prior written consent of the Buyer (which may be granted or withheld in the Buyer’s sole discretion). Notwithstanding anything contained in this Agreement to the contrary, the Company expressly agrees that it shall publicly disclose in the Current Report any information communicated to the Buyer by or, to the knowledge of the Company, on behalf of the Company in connection with the transactions contemplated herein, which, following the date hereof would, if not so disclosed, constitute material, non-public information regarding the Company or its Subsidiaries. The Company</w:t>
      </w:r>
    </w:p>
    <w:p>
      <w:pPr>
        <w:sectPr>
          <w:pgSz w:w="11900" w:h="16838" w:orient="portrait"/>
          <w:cols w:equalWidth="0" w:num="1">
            <w:col w:w="11240"/>
          </w:cols>
          <w:pgMar w:left="320" w:top="1395" w:right="339" w:bottom="1440" w:gutter="0" w:footer="0" w:header="0"/>
        </w:sectPr>
      </w:pPr>
    </w:p>
    <w:bookmarkStart w:id="39" w:name="page40"/>
    <w:bookmarkEnd w:id="39"/>
    <w:p>
      <w:pPr>
        <w:jc w:val="both"/>
        <w:spacing w:after="0" w:line="215" w:lineRule="auto"/>
        <w:rPr>
          <w:sz w:val="20"/>
          <w:szCs w:val="20"/>
          <w:color w:val="auto"/>
        </w:rPr>
      </w:pPr>
      <w:r>
        <w:rPr>
          <w:rFonts w:ascii="Times New Roman" w:cs="Times New Roman" w:eastAsia="Times New Roman" w:hAnsi="Times New Roman"/>
          <w:sz w:val="22"/>
          <w:szCs w:val="22"/>
          <w:color w:val="auto"/>
        </w:rPr>
        <w:t>understands and confirms that the Buyer will rely on the foregoing representations in effecting resales of Conversion Shares. In addition, effective upon the filing of the Current Report, the Company acknowledges and agrees that any and all confidentiality or similar obligations with respect to the transactions contemplated by the Transaction Documents under any agreement, whether written or oral, between the Company, any of its Subsidiaries or any of their respective officers, directors, affiliates, employees or agents, on the one hand, and Buyer or any of their affiliates, on the other hand, including without limitation the NDA, shall terminate.</w:t>
      </w:r>
    </w:p>
    <w:p>
      <w:pPr>
        <w:spacing w:after="0" w:line="148" w:lineRule="exact"/>
        <w:rPr>
          <w:sz w:val="20"/>
          <w:szCs w:val="20"/>
          <w:color w:val="auto"/>
        </w:rPr>
      </w:pPr>
    </w:p>
    <w:p>
      <w:pPr>
        <w:jc w:val="both"/>
        <w:ind w:firstLine="656"/>
        <w:spacing w:after="0" w:line="221" w:lineRule="auto"/>
        <w:tabs>
          <w:tab w:leader="none" w:pos="12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Conduct of Business</w:t>
      </w:r>
      <w:r>
        <w:rPr>
          <w:rFonts w:ascii="Times New Roman" w:cs="Times New Roman" w:eastAsia="Times New Roman" w:hAnsi="Times New Roman"/>
          <w:sz w:val="22"/>
          <w:szCs w:val="22"/>
          <w:color w:val="auto"/>
        </w:rPr>
        <w:t>. From the date hereof until all the Convertible Note issued or issuable hereunder have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repaid or converted into Common Shares, the business of the Company and its Subsidiaries shall not be conducted in violation of any law, ordinance or regulation of any Governmental Entity, except where such violations would not reasonably be expected to result, either individually or in the aggregate, in a Material Adverse Effect.</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Post-Closing Obligations.</w:t>
      </w:r>
    </w:p>
    <w:p>
      <w:pPr>
        <w:spacing w:after="0" w:line="179" w:lineRule="exact"/>
        <w:rPr>
          <w:rFonts w:ascii="Times New Roman" w:cs="Times New Roman" w:eastAsia="Times New Roman" w:hAnsi="Times New Roman"/>
          <w:sz w:val="22"/>
          <w:szCs w:val="22"/>
          <w:color w:val="auto"/>
        </w:rPr>
      </w:pPr>
    </w:p>
    <w:p>
      <w:pPr>
        <w:jc w:val="both"/>
        <w:ind w:left="1960" w:hanging="656"/>
        <w:spacing w:after="0" w:line="221" w:lineRule="auto"/>
        <w:tabs>
          <w:tab w:leader="none" w:pos="1948"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Irrevocable Transfer Agent Instructions. </w:t>
      </w:r>
      <w:r>
        <w:rPr>
          <w:rFonts w:ascii="Times New Roman" w:cs="Times New Roman" w:eastAsia="Times New Roman" w:hAnsi="Times New Roman"/>
          <w:sz w:val="22"/>
          <w:szCs w:val="22"/>
          <w:color w:val="auto"/>
        </w:rPr>
        <w:t>As soon as possible, but in any event no later than the 10th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calendar day following the Closing Date, the Company shall delivered to the Buyer a copy of the Irrevocable Transfer Agent Instructions, dated as of such date, in the form acceptable to such Buyer, which instructions shall have been delivered to and acknowledged in writing by the Transfer Agent.</w:t>
      </w:r>
    </w:p>
    <w:p>
      <w:pPr>
        <w:spacing w:after="0" w:line="148" w:lineRule="exact"/>
        <w:rPr>
          <w:rFonts w:ascii="Times New Roman" w:cs="Times New Roman" w:eastAsia="Times New Roman" w:hAnsi="Times New Roman"/>
          <w:sz w:val="22"/>
          <w:szCs w:val="22"/>
          <w:color w:val="auto"/>
        </w:rPr>
      </w:pPr>
    </w:p>
    <w:p>
      <w:pPr>
        <w:jc w:val="both"/>
        <w:ind w:left="1960" w:hanging="656"/>
        <w:spacing w:after="0" w:line="221" w:lineRule="auto"/>
        <w:tabs>
          <w:tab w:leader="none" w:pos="195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NYSE American Supplemental Listing</w:t>
      </w:r>
      <w:r>
        <w:rPr>
          <w:rFonts w:ascii="Times New Roman" w:cs="Times New Roman" w:eastAsia="Times New Roman" w:hAnsi="Times New Roman"/>
          <w:sz w:val="22"/>
          <w:szCs w:val="22"/>
          <w:color w:val="auto"/>
        </w:rPr>
        <w:t>. As soon as possible, but in any event, no later than the second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Trading Day following the Closing Date, the Company shall file a new supplement listing application with NYSE American to reserve additional 3,500,000 Common Shares in connection with the transaction contemplated herein.</w:t>
      </w:r>
    </w:p>
    <w:p>
      <w:pPr>
        <w:spacing w:after="0" w:line="148" w:lineRule="exact"/>
        <w:rPr>
          <w:rFonts w:ascii="Times New Roman" w:cs="Times New Roman" w:eastAsia="Times New Roman" w:hAnsi="Times New Roman"/>
          <w:sz w:val="22"/>
          <w:szCs w:val="22"/>
          <w:color w:val="auto"/>
        </w:rPr>
      </w:pPr>
    </w:p>
    <w:p>
      <w:pPr>
        <w:jc w:val="both"/>
        <w:ind w:left="1960" w:hanging="656"/>
        <w:spacing w:after="0" w:line="227" w:lineRule="auto"/>
        <w:tabs>
          <w:tab w:leader="none" w:pos="196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Filing of a New Shelf Registration Statement</w:t>
      </w:r>
      <w:r>
        <w:rPr>
          <w:rFonts w:ascii="Times New Roman" w:cs="Times New Roman" w:eastAsia="Times New Roman" w:hAnsi="Times New Roman"/>
          <w:sz w:val="22"/>
          <w:szCs w:val="22"/>
          <w:color w:val="auto"/>
        </w:rPr>
        <w:t>. As soon as possible, but in any event, no later than July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31, 2025, the Company shall file a preliminary base shelf with the applicable Canadian securities authority and shall have such registration statement declared effective as soon as possible thereafter.</w:t>
      </w:r>
    </w:p>
    <w:p>
      <w:pPr>
        <w:spacing w:after="0" w:line="146"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Prohibited Transactions</w:t>
      </w:r>
      <w:r>
        <w:rPr>
          <w:rFonts w:ascii="Times New Roman" w:cs="Times New Roman" w:eastAsia="Times New Roman" w:hAnsi="Times New Roman"/>
          <w:sz w:val="22"/>
          <w:szCs w:val="22"/>
          <w:color w:val="auto"/>
        </w:rPr>
        <w:t>. From the date hereof until the Convertible Note has been repaid or converted into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Shares, without the prior written consent of the Buyer, the Company shall not, and shall not permit any of its subsidiaries (whether or not a subsidiary on the date hereof) to, directly or indirectly (i) other than Permitted Indebtedness, enter into, create, incur, assume, guarantee or suffer to exist, or remain liable with respect to, any Indebtedness, (ii) other than Permitted Liens, directly or indirectly, enter into, create, incur, assume or suffer to exist, or permit any Lien of any kind on or with respect to any of its property or assets now owned or hereafter acquired or any interest therein or any income or profits therefrom, or (iii) amend its charter documents, including, without limitation, its certificate of incorporation and bylaws, in any manner that materially and adversely affects any rights of the holder of the Convertible Note, (iv) make any payments in respect of any related party debt, or (v) enter into, agree to enter into, or effect any Variable Rate Transaction other than with the Buyer, provided, however, that the entry into and/or issuance of Common Shares in an “at-the-market” facility shall not be deemed a Variable Rate Transaction.</w:t>
      </w:r>
    </w:p>
    <w:p>
      <w:pPr>
        <w:spacing w:after="0" w:line="184"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“Permitted Indebtedness” </w:t>
      </w:r>
      <w:r>
        <w:rPr>
          <w:rFonts w:ascii="Times New Roman" w:cs="Times New Roman" w:eastAsia="Times New Roman" w:hAnsi="Times New Roman"/>
          <w:sz w:val="22"/>
          <w:szCs w:val="22"/>
          <w:color w:val="auto"/>
        </w:rPr>
        <w:t>shall mean: (i) Indebtedness evidenced by the Convertible Note; (ii) Indebtedness existing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or in connection with Liens which are Permitted Liens; (iii) Indebtedness incurred solely for the purpose of financing the acquisition or</w:t>
      </w:r>
    </w:p>
    <w:p>
      <w:pPr>
        <w:sectPr>
          <w:pgSz w:w="11900" w:h="16838" w:orient="portrait"/>
          <w:cols w:equalWidth="0" w:num="1">
            <w:col w:w="11240"/>
          </w:cols>
          <w:pgMar w:left="320" w:top="1395" w:right="339" w:bottom="1440" w:gutter="0" w:footer="0" w:header="0"/>
        </w:sectPr>
      </w:pPr>
    </w:p>
    <w:bookmarkStart w:id="40" w:name="page41"/>
    <w:bookmarkEnd w:id="40"/>
    <w:p>
      <w:pPr>
        <w:jc w:val="both"/>
        <w:spacing w:after="0" w:line="249" w:lineRule="auto"/>
        <w:rPr>
          <w:sz w:val="20"/>
          <w:szCs w:val="20"/>
          <w:color w:val="auto"/>
        </w:rPr>
      </w:pPr>
      <w:r>
        <w:rPr>
          <w:rFonts w:ascii="Times New Roman" w:cs="Times New Roman" w:eastAsia="Times New Roman" w:hAnsi="Times New Roman"/>
          <w:sz w:val="22"/>
          <w:szCs w:val="22"/>
          <w:color w:val="auto"/>
        </w:rPr>
        <w:t>lease of any equipment, including capital lease obligations with no recourse other than to such equipment and provided that such Indebtedness may be only secured by such equipment; (iv) subject to Buyer’s consent, Indebtedness (A) the repayment of which has been subordinated to the payment of the Convertible Note on terms and conditions acceptable to the Buyer, including with regard to interest payments and repayment of principal, (B) which does not mature or otherwise require or permit redemption or repayment prior to or on the 91st day after the maturity date of the Convertible Note then outstanding; and (C) which is not secured by any assets of the Company or its subsidiaries; and (v) any Indebtedness (other than the Indebtedness set out in (i) – (iv) above) incurred after the date hereof, provided that such indebtedness does not exceed $500,000 at any given time.</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“Permitted Liens” </w:t>
      </w:r>
      <w:r>
        <w:rPr>
          <w:rFonts w:ascii="Times New Roman" w:cs="Times New Roman" w:eastAsia="Times New Roman" w:hAnsi="Times New Roman"/>
          <w:sz w:val="22"/>
          <w:szCs w:val="22"/>
          <w:color w:val="auto"/>
        </w:rPr>
        <w:t>shall mean (1) any security interest granted to the Buyer to secure the obligations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Convertible Note, (2) any prior security interest granted to the Buyer, (3) inchoate Liens for taxes, assessments or governmental charges or levies not yet due, as to which the grace period, if any, related thereto has not yet expired, or being contested in good faith and by appropriate proceedings for which adequate reserves have been established in accordance with IFRS; (4) Liens of carriers, materialmen, warehousemen, mechanics and landlords and other similar Liens which secure amounts which are not yet overdue; (5) licenses, sublicenses, leases or subleases granted to other persons not materially interfering with the conduct of the business of the Company; (6) easements, rights-of-way, restrictions, encroachments, municipal zoning ordinances and other similar charges or encumbrances, and minor title deficiencies, in each case not securing debt and not materially interfering with the conduct of the business of the Company and not materially detracting from the value of the property subject thereto; (8) Liens arising out of the existence of judgments or awards which judgments or awards do not constitute an Event of Default; (9) Liens incurred in the ordinary course of business in connection with workers compensation claims, unemployment insurance, pension liabilities and social security benefits and Liens securing the performance of bids, tenders, leases and contracts in the ordinary course of business, statutory obligations, surety bonds, performance bonds and other obligations of a like nature (other than appeal bonds) incurred in the ordinary course of business (exclusive of obligations in respect of the payment for borrowed money); (10) Liens in favor of a banking institution arising by operation of law encumbering deposits (including the right of set-off) and contractual set-off rights held by such banking institution and which are within the general parameters customary in the banking industry and only burdening deposit accounts or other funds maintained with a creditor depository institution; (11) usual and customary set-off rights in leases and other contracts; (12) escrows in connection with acquisitions and dispositions and (13) royalties and other rights to revenue derived from the sale of the Company’s products that are granted in the ordinary course of business.</w:t>
      </w:r>
    </w:p>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“Variable Rate Transaction” </w:t>
      </w:r>
      <w:r>
        <w:rPr>
          <w:rFonts w:ascii="Times New Roman" w:cs="Times New Roman" w:eastAsia="Times New Roman" w:hAnsi="Times New Roman"/>
          <w:sz w:val="22"/>
          <w:szCs w:val="22"/>
          <w:color w:val="auto"/>
        </w:rPr>
        <w:t>shall mean a transaction in which the Company (i) issues or sells any equity, warrants,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debt securities or any other securities that are directly or indirectly convertible into, exchangeable or exercisable for, or include the right to receive additional Common Shares or otherwise entitles the holder to acquire Common Shares</w:t>
      </w:r>
    </w:p>
    <w:p>
      <w:pPr>
        <w:sectPr>
          <w:pgSz w:w="11900" w:h="16838" w:orient="portrait"/>
          <w:cols w:equalWidth="0" w:num="1">
            <w:col w:w="10580"/>
          </w:cols>
          <w:pgMar w:left="980" w:top="1422" w:right="339" w:bottom="1440" w:gutter="0" w:footer="0" w:header="0"/>
        </w:sectPr>
      </w:pPr>
    </w:p>
    <w:bookmarkStart w:id="41" w:name="page42"/>
    <w:bookmarkEnd w:id="41"/>
    <w:p>
      <w:pPr>
        <w:jc w:val="both"/>
        <w:ind w:left="652"/>
        <w:spacing w:after="0" w:line="262" w:lineRule="auto"/>
        <w:rPr>
          <w:sz w:val="20"/>
          <w:szCs w:val="20"/>
          <w:color w:val="auto"/>
        </w:rPr>
      </w:pPr>
      <w:r>
        <w:rPr>
          <w:rFonts w:ascii="Times New Roman" w:cs="Times New Roman" w:eastAsia="Times New Roman" w:hAnsi="Times New Roman"/>
          <w:sz w:val="21"/>
          <w:szCs w:val="21"/>
          <w:color w:val="auto"/>
        </w:rPr>
        <w:t>either (A) at a conversion price, exercise price, exchange rate or other price that is based upon and/or varies with the trading prices of or quotations for the Common Shares at any time after the initial issuance of such security, or (B) with a conversion, exercise or exchange price that is subject to being reset at some future date after the initial issuance of such security or upon the occurrence of specified or contingent events directly or indirectly related to the business of the Company or the market for the Common Shares (including, without limitation, any “full ratchet” or “weighted average” anti-dilution provisions, but not including any standard anti-dilution protection for any reorganization, recapitalization, non-cash dividend, stock split or other similar transaction), or (ii) enters into or effects any agreement, including but not limited to an “equity line of credit,” or other continuous offering or similar offering of Common Shares.</w:t>
      </w:r>
    </w:p>
    <w:p>
      <w:pPr>
        <w:spacing w:after="0" w:line="155" w:lineRule="exact"/>
        <w:rPr>
          <w:sz w:val="20"/>
          <w:szCs w:val="20"/>
          <w:color w:val="auto"/>
        </w:rPr>
      </w:pPr>
    </w:p>
    <w:p>
      <w:pPr>
        <w:jc w:val="both"/>
        <w:ind w:left="-8" w:firstLine="656"/>
        <w:spacing w:after="0" w:line="221" w:lineRule="auto"/>
        <w:tabs>
          <w:tab w:leader="none" w:pos="1276"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Matters</w:t>
      </w:r>
      <w:r>
        <w:rPr>
          <w:rFonts w:ascii="Times New Roman" w:cs="Times New Roman" w:eastAsia="Times New Roman" w:hAnsi="Times New Roman"/>
          <w:sz w:val="22"/>
          <w:szCs w:val="22"/>
          <w:color w:val="auto"/>
        </w:rPr>
        <w:t>. The Company and the Buyer intend that the Convertible Note will be properly treated as debt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tax purposes. No Buyer shall, or shall permit any affiliate to, take any tax position contrary to this treatment except as otherwise required by applicable law. The Buyer shall reasonably cooperate, and cause its respective affiliates to reasonably cooperate, with the Company to ensure such treatment.</w:t>
      </w:r>
    </w:p>
    <w:p>
      <w:pPr>
        <w:spacing w:after="0" w:line="148" w:lineRule="exact"/>
        <w:rPr>
          <w:rFonts w:ascii="Times New Roman" w:cs="Times New Roman" w:eastAsia="Times New Roman" w:hAnsi="Times New Roman"/>
          <w:sz w:val="22"/>
          <w:szCs w:val="22"/>
          <w:color w:val="auto"/>
        </w:rPr>
      </w:pPr>
    </w:p>
    <w:p>
      <w:pPr>
        <w:jc w:val="both"/>
        <w:ind w:left="-8" w:firstLine="656"/>
        <w:spacing w:after="0" w:line="213" w:lineRule="auto"/>
        <w:tabs>
          <w:tab w:leader="none" w:pos="1276"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Fees</w:t>
      </w:r>
      <w:r>
        <w:rPr>
          <w:rFonts w:ascii="Times New Roman" w:cs="Times New Roman" w:eastAsia="Times New Roman" w:hAnsi="Times New Roman"/>
          <w:sz w:val="22"/>
          <w:szCs w:val="22"/>
          <w:color w:val="auto"/>
        </w:rPr>
        <w:t>. The Company shall reimburse the Buyer for all costs and expenses incurred by it or its affiliates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the structuring, documentation, negotiation and closing of the transactions contemplated by the Transaction Documents (including without limitation, as applicable, all reasonable legal fees of outside counsel to the Buyer, any other reasonable fees and expenses in connection with the structuring, documentation, negotiation and closing of the transactions contemplated by the Transaction Documents) and shall be withheld by the Buyer from its purchase of the Convertible Note at the Closing. The Company shall be responsible for the payment of any placement agent’s fees, financial advisory fees, transfer agent fees, DTC (as defined below) fees or broker’s commissions (other than for Persons engaged by the Buyer) relating to or arising out of the transactions contemplated hereby.</w:t>
      </w:r>
    </w:p>
    <w:p>
      <w:pPr>
        <w:spacing w:after="0" w:line="147" w:lineRule="exact"/>
        <w:rPr>
          <w:rFonts w:ascii="Times New Roman" w:cs="Times New Roman" w:eastAsia="Times New Roman" w:hAnsi="Times New Roman"/>
          <w:sz w:val="22"/>
          <w:szCs w:val="22"/>
          <w:color w:val="auto"/>
        </w:rPr>
      </w:pPr>
    </w:p>
    <w:p>
      <w:pPr>
        <w:jc w:val="both"/>
        <w:ind w:left="-8" w:firstLine="656"/>
        <w:spacing w:after="0" w:line="211" w:lineRule="auto"/>
        <w:tabs>
          <w:tab w:leader="none" w:pos="1283"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Form D and Blue Sky. </w:t>
      </w:r>
      <w:r>
        <w:rPr>
          <w:rFonts w:ascii="Times New Roman" w:cs="Times New Roman" w:eastAsia="Times New Roman" w:hAnsi="Times New Roman"/>
          <w:sz w:val="22"/>
          <w:szCs w:val="22"/>
          <w:color w:val="auto"/>
        </w:rPr>
        <w:t>If applicable, the Company shall file a Form D with respect to the Securities as required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Regulation D and to provide a copy thereof to each Buyer promptly after such filing. The Company shall, on or before the Closing Date, take such action as the Company shall reasonably determine is necessary in order to obtain an exemption for, or to, qualify the Securities for sale to the Buyer at the Closing pursuant to this Agreement under applicable securities or “Blue Sky” laws of the states of the United States (or to obtain an exemption from such qualification), and shall provide evidence of any such action so taken to the Buyer on or prior to the Closing Date. Without limiting any other obligation of the Company under this Agreement, the Company shall timely make all filings and reports relating to the offer and sale of the Securities required under U.S.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Buyer.</w:t>
      </w:r>
    </w:p>
    <w:p>
      <w:pPr>
        <w:spacing w:after="0" w:line="151"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REGISTER; TRANSFER AGENT INSTRUCTIONS; LEGEND.</w:t>
      </w:r>
    </w:p>
    <w:p>
      <w:pPr>
        <w:spacing w:after="0" w:line="179" w:lineRule="exact"/>
        <w:rPr>
          <w:rFonts w:ascii="Times New Roman" w:cs="Times New Roman" w:eastAsia="Times New Roman" w:hAnsi="Times New Roman"/>
          <w:sz w:val="22"/>
          <w:szCs w:val="22"/>
          <w:b w:val="1"/>
          <w:bCs w:val="1"/>
          <w:color w:val="auto"/>
        </w:rPr>
      </w:pPr>
    </w:p>
    <w:p>
      <w:pPr>
        <w:jc w:val="both"/>
        <w:ind w:left="-8" w:firstLine="656"/>
        <w:spacing w:after="0" w:line="218" w:lineRule="auto"/>
        <w:tabs>
          <w:tab w:leader="none" w:pos="1285"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The Company shall maintain at its principal executive offices or with its transfer agent (or at such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 or agency of the Company as it may designate by notice to each holder of Securities), a register for the Convertible Note in which the Company shall record the name and address of the Person in whose name the Convertible Note has been issued (including the name and address of each transferee), the amount of Convertible Note held by such Person. The Company shall keep the register open and available at all times during business</w:t>
      </w:r>
    </w:p>
    <w:p>
      <w:pPr>
        <w:sectPr>
          <w:pgSz w:w="11900" w:h="16838" w:orient="portrait"/>
          <w:cols w:equalWidth="0" w:num="1">
            <w:col w:w="11232"/>
          </w:cols>
          <w:pgMar w:left="328" w:top="1422" w:right="339" w:bottom="1440" w:gutter="0" w:footer="0" w:header="0"/>
        </w:sectPr>
      </w:pPr>
    </w:p>
    <w:bookmarkStart w:id="42" w:name="page43"/>
    <w:bookmarkEnd w:id="42"/>
    <w:p>
      <w:pPr>
        <w:ind w:right="20"/>
        <w:spacing w:after="0" w:line="236" w:lineRule="auto"/>
        <w:rPr>
          <w:sz w:val="20"/>
          <w:szCs w:val="20"/>
          <w:color w:val="auto"/>
        </w:rPr>
      </w:pPr>
      <w:r>
        <w:rPr>
          <w:rFonts w:ascii="Times New Roman" w:cs="Times New Roman" w:eastAsia="Times New Roman" w:hAnsi="Times New Roman"/>
          <w:sz w:val="22"/>
          <w:szCs w:val="22"/>
          <w:color w:val="auto"/>
        </w:rPr>
        <w:t>hours for inspection by any Buyer or its legal representatives at any reasonable time and from time to time upon reasonable prior notice.</w:t>
      </w:r>
    </w:p>
    <w:p>
      <w:pPr>
        <w:spacing w:after="0" w:line="146" w:lineRule="exact"/>
        <w:rPr>
          <w:sz w:val="20"/>
          <w:szCs w:val="20"/>
          <w:color w:val="auto"/>
        </w:rPr>
      </w:pPr>
    </w:p>
    <w:p>
      <w:pPr>
        <w:jc w:val="both"/>
        <w:ind w:firstLine="656"/>
        <w:spacing w:after="0" w:line="213" w:lineRule="auto"/>
        <w:tabs>
          <w:tab w:leader="none" w:pos="129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Transfer Restrictions</w:t>
      </w:r>
      <w:r>
        <w:rPr>
          <w:rFonts w:ascii="Times New Roman" w:cs="Times New Roman" w:eastAsia="Times New Roman" w:hAnsi="Times New Roman"/>
          <w:sz w:val="22"/>
          <w:szCs w:val="22"/>
          <w:color w:val="auto"/>
        </w:rPr>
        <w:t>. The Securities may only be disposed of in compliance with Applicable Securities Laws.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any transfer of Securities other than pursuant to an effective registration statement or Rule 144, to the Company or to an Affiliate of a Buyer or in connection with a pledge as contemplated herein, the Company may require the transferor thereof to provide to the Company an opinion of counsel selected by the transferor and reasonably acceptable to the Company, the form and substance of which opinion shall be reasonably satisfactory to the Company and the Company’s transfer agent, to the effect that such transfer does not require registration of such transferred Securities under the Securities Act. As a condition of transfer, any such transferee shall agree in writing to be bound by the terms of this Agreement and shall have the rights and obligations of a Buyer under this Agreement.</w:t>
      </w:r>
    </w:p>
    <w:p>
      <w:pPr>
        <w:spacing w:after="0" w:line="147"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3"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Conversion and Exercise Procedures</w:t>
      </w:r>
      <w:r>
        <w:rPr>
          <w:rFonts w:ascii="Times New Roman" w:cs="Times New Roman" w:eastAsia="Times New Roman" w:hAnsi="Times New Roman"/>
          <w:sz w:val="22"/>
          <w:szCs w:val="22"/>
          <w:color w:val="auto"/>
        </w:rPr>
        <w:t>. The form of Conversion Notice included in the Convertible Note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totality of the procedures required of the Buyer in order to convert the Convertible Note. Except as provided in Section 2(f) and Section 5(b), no additional legal opinion, other information or instructions shall be required of the Buyer to convert their Convertible Note. The Company shall honor conversions of the Convertible Note and shall deliver the Conversion Shares in accordance with the terms, conditions and time periods set forth in the Convertible Note.</w:t>
      </w:r>
    </w:p>
    <w:p>
      <w:pPr>
        <w:spacing w:after="0" w:line="14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CONDITIONS TO THE COMPANY’S OBLIGATION TO SELL.</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obligation of the Company hereunder to issue and sell the Convertible Note to the Buyer at the Closing is subject to the satisfaction, at or before the Closing Date, of each of the following conditions, provided that these conditions are for the Company’s sole benefit and may be waived by the Company at any time in its sole discretion by providing the Buyer with prior written notice thereof:</w:t>
      </w:r>
    </w:p>
    <w:p>
      <w:pPr>
        <w:spacing w:after="0" w:line="148" w:lineRule="exact"/>
        <w:rPr>
          <w:sz w:val="20"/>
          <w:szCs w:val="20"/>
          <w:color w:val="auto"/>
        </w:rPr>
      </w:pPr>
    </w:p>
    <w:p>
      <w:pPr>
        <w:ind w:left="1300" w:hanging="644"/>
        <w:spacing w:after="0"/>
        <w:tabs>
          <w:tab w:leader="none" w:pos="1300"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Buyer shall have executed each of the Transaction Documents to which it is a party and delivered the same to</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Company.</w:t>
      </w:r>
    </w:p>
    <w:p>
      <w:pPr>
        <w:spacing w:after="0" w:line="155" w:lineRule="exact"/>
        <w:rPr>
          <w:rFonts w:ascii="Times New Roman" w:cs="Times New Roman" w:eastAsia="Times New Roman" w:hAnsi="Times New Roman"/>
          <w:sz w:val="21"/>
          <w:szCs w:val="21"/>
          <w:color w:val="auto"/>
        </w:rPr>
      </w:pPr>
    </w:p>
    <w:p>
      <w:pPr>
        <w:jc w:val="both"/>
        <w:ind w:right="20" w:firstLine="656"/>
        <w:spacing w:after="0" w:line="225" w:lineRule="auto"/>
        <w:tabs>
          <w:tab w:leader="none" w:pos="1291"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shall have delivered to the Company the Purchase Price for the Convertible Note being purchased by the Buyer at the Closing by wire transfer of immediately available funds in accordance with the Closing Statement (as defined below).</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Buyer shall be true and correct in all material respects as of the date when made and as of the Closing Date as though originally made at that time (except for representations and warranties that speak as of a specific date, which shall be true and correct as of such specific date), and the Buyer shall have performed, satisfied and complied in all material respects with the covenants, agreements and conditions required by this Agreement to be performed, satisfied or complied with by the Buyer at or prior to the Closing Date.</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have received (i) the conditional approval of Cboe to the transactions contemplated herein and</w:t>
      </w:r>
    </w:p>
    <w:p>
      <w:pPr>
        <w:ind w:firstLine="8"/>
        <w:spacing w:after="0" w:line="225" w:lineRule="auto"/>
        <w:tabs>
          <w:tab w:leader="none" w:pos="34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supplemental listing application authorization from NYSE American to reserve 16,500,000 Common Shares in connection with the transaction contemplated herein.</w:t>
      </w:r>
    </w:p>
    <w:p>
      <w:pPr>
        <w:sectPr>
          <w:pgSz w:w="11900" w:h="16838" w:orient="portrait"/>
          <w:cols w:equalWidth="0" w:num="1">
            <w:col w:w="11240"/>
          </w:cols>
          <w:pgMar w:left="320" w:top="1395" w:right="339" w:bottom="1440" w:gutter="0" w:footer="0" w:header="0"/>
        </w:sectPr>
      </w:pPr>
    </w:p>
    <w:bookmarkStart w:id="43" w:name="page44"/>
    <w:bookmarkEnd w:id="43"/>
    <w:p>
      <w:pPr>
        <w:ind w:left="660" w:hanging="652"/>
        <w:spacing w:after="0"/>
        <w:tabs>
          <w:tab w:leader="none" w:pos="66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CONDITIONS TO THE BUYER’S OBLIGATION TO PURCHASE.</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obligation of the Buyer hereunder to purchase Convertible Note at the Closing is subject to the satisfaction, at or before the Closing Date, of each of the following conditions, provided that these conditions are for the Buyer’s sole benefit and may be waived by the Buyer at any time in its sole discretion by providing the Company with prior written notice thereof:</w:t>
      </w:r>
    </w:p>
    <w:p>
      <w:pPr>
        <w:spacing w:after="0" w:line="159" w:lineRule="exact"/>
        <w:rPr>
          <w:sz w:val="20"/>
          <w:szCs w:val="20"/>
          <w:color w:val="auto"/>
        </w:rPr>
      </w:pPr>
    </w:p>
    <w:p>
      <w:pPr>
        <w:jc w:val="both"/>
        <w:ind w:firstLine="656"/>
        <w:spacing w:after="0" w:line="225" w:lineRule="auto"/>
        <w:tabs>
          <w:tab w:leader="none" w:pos="1293"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duly executed and delivered to the Buyer each of the Transaction Documents to which it is a party and the Company shall have duly executed and delivered to the Buyer a Convertible Note with a principal amount corresponding to the Subscription Amount.</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shall have received customary opinions of counsel to the Company, dated as of the Closing Date, in form and substance reasonably satisfactory to the Buyer.</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delivered to the Buyer a certificate evidencing the existence and good standing of the Company as of a date within 10 days of the Closing Date.</w:t>
      </w:r>
    </w:p>
    <w:p>
      <w:pPr>
        <w:spacing w:after="0" w:line="150"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and every representation and warranty of the Company shall be true and correct in all material respects (other than representations and warranties qualified by materiality, which shall be true and correct in all respects) as of the date when made and as of the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set forth in each Transaction Document required to be performed, satisfied or complied with by the Company at or prior to the Closing Date.</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3"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Shares (A) shall be approved for listing on Principal U.S. Market and Cboe and (B) shall not have been suspended, as of the Closing Date, by the SEC, Principal U.S. Market or Cboe or any applicable securities regulatory authority in Canada from trading on the Principal U.S. Market or Cboe nor shall suspension by the SEC, the Principal U.S. Market or Cboe or any applicable securities regulatory authority in Canada have been threatened, as of the Closing Date, either</w:t>
      </w:r>
    </w:p>
    <w:p>
      <w:pPr>
        <w:spacing w:after="0" w:line="2" w:lineRule="exact"/>
        <w:rPr>
          <w:rFonts w:ascii="Times New Roman" w:cs="Times New Roman" w:eastAsia="Times New Roman" w:hAnsi="Times New Roman"/>
          <w:sz w:val="22"/>
          <w:szCs w:val="22"/>
          <w:color w:val="auto"/>
        </w:rPr>
      </w:pPr>
    </w:p>
    <w:p>
      <w:pPr>
        <w:ind w:firstLine="8"/>
        <w:spacing w:after="0" w:line="225" w:lineRule="auto"/>
        <w:tabs>
          <w:tab w:leader="none" w:pos="2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writing by the SEC, the Principal U.S. Market, Cboe or any applicable securities regulatory authority in Canada or (II) by falling below the minimum maintenance requirements of the Principal U.S. Market or Cboe.</w:t>
      </w:r>
    </w:p>
    <w:p>
      <w:pPr>
        <w:spacing w:after="0" w:line="14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obtained all governmental, regulatory or third-party consents and approvals, if any, necessary for the sale of the Convertible Note, including without limitation, those required by the Principal U.S. Market and the Cboe.</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execution of this Agreement, no event or series of events shall have occurred that has resulted in or would reasonably be expected to result in a Material Adverse Effect, and as of the Closing Date no Event of Default (as defined in the Convertible Note) shall have occurred and be continuing and no event or condition that upon notice, lapse of time or both would, unless cured or waived, become an Event of Default (as defined in the Convertible Note) shall have occurred and be continuing.</w:t>
      </w:r>
    </w:p>
    <w:p>
      <w:pPr>
        <w:sectPr>
          <w:pgSz w:w="11900" w:h="16838" w:orient="portrait"/>
          <w:cols w:equalWidth="0" w:num="1">
            <w:col w:w="11240"/>
          </w:cols>
          <w:pgMar w:left="320" w:top="1391" w:right="339" w:bottom="1440" w:gutter="0" w:footer="0" w:header="0"/>
        </w:sectPr>
      </w:pPr>
    </w:p>
    <w:bookmarkStart w:id="44" w:name="page45"/>
    <w:bookmarkEnd w:id="44"/>
    <w:p>
      <w:pPr>
        <w:ind w:left="1292" w:hanging="644"/>
        <w:spacing w:after="0"/>
        <w:tabs>
          <w:tab w:leader="none" w:pos="1292"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have received (i) the conditional approval of Cboe to the transactions contemplated herein and</w:t>
      </w:r>
    </w:p>
    <w:p>
      <w:pPr>
        <w:ind w:left="-8" w:firstLine="8"/>
        <w:spacing w:after="0" w:line="225" w:lineRule="auto"/>
        <w:tabs>
          <w:tab w:leader="none" w:pos="33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supplemental listing application authorization from NYSE American to reserve 16,500,000 Common Shares in connection with the transaction contemplated herein.</w:t>
      </w:r>
    </w:p>
    <w:p>
      <w:pPr>
        <w:spacing w:after="0" w:line="150" w:lineRule="exact"/>
        <w:rPr>
          <w:sz w:val="20"/>
          <w:szCs w:val="20"/>
          <w:color w:val="auto"/>
        </w:rPr>
      </w:pPr>
    </w:p>
    <w:p>
      <w:pPr>
        <w:jc w:val="both"/>
        <w:ind w:left="-8" w:firstLine="656"/>
        <w:spacing w:after="0" w:line="220" w:lineRule="auto"/>
        <w:tabs>
          <w:tab w:leader="none" w:pos="1276"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of the Company has approved the transactions contemplated by the Transaction Documents; said approval has not been amended, rescinded or materially modified and remains in full force and effect as of such Closing, and a true, correct and complete copy of such resolutions duly adopted by the board of directors of the Company shall have been provided to the Buyer.</w:t>
      </w:r>
    </w:p>
    <w:p>
      <w:pPr>
        <w:spacing w:after="0" w:line="152" w:lineRule="exact"/>
        <w:rPr>
          <w:rFonts w:ascii="Times New Roman" w:cs="Times New Roman" w:eastAsia="Times New Roman" w:hAnsi="Times New Roman"/>
          <w:sz w:val="22"/>
          <w:szCs w:val="22"/>
          <w:color w:val="auto"/>
        </w:rPr>
      </w:pPr>
    </w:p>
    <w:p>
      <w:pPr>
        <w:jc w:val="both"/>
        <w:ind w:left="-8" w:firstLine="656"/>
        <w:spacing w:after="0" w:line="220" w:lineRule="auto"/>
        <w:tabs>
          <w:tab w:leader="none" w:pos="1283"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delivered to the Buyer a compliance certificate executed by an executive officer of the Company certifying that Company has complied with all of the conditions precedent to the applicable Closing set forth herein and which may be relied upon by the Buyer as evidence of satisfaction of such conditions without any obligation to independently verify.</w:t>
      </w:r>
    </w:p>
    <w:p>
      <w:pPr>
        <w:spacing w:after="0" w:line="152" w:lineRule="exact"/>
        <w:rPr>
          <w:rFonts w:ascii="Times New Roman" w:cs="Times New Roman" w:eastAsia="Times New Roman" w:hAnsi="Times New Roman"/>
          <w:sz w:val="22"/>
          <w:szCs w:val="22"/>
          <w:color w:val="auto"/>
        </w:rPr>
      </w:pPr>
    </w:p>
    <w:p>
      <w:pPr>
        <w:ind w:left="-8" w:firstLine="656"/>
        <w:spacing w:after="0" w:line="236" w:lineRule="auto"/>
        <w:tabs>
          <w:tab w:leader="none" w:pos="1276"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Buyer shall have received a letter, duly executed by an officer of the Company, setting forth the wire amounts of the Buyer and the wire transfer instructions of the Company (the </w:t>
      </w:r>
      <w:r>
        <w:rPr>
          <w:rFonts w:ascii="Times New Roman" w:cs="Times New Roman" w:eastAsia="Times New Roman" w:hAnsi="Times New Roman"/>
          <w:sz w:val="22"/>
          <w:szCs w:val="22"/>
          <w:b w:val="1"/>
          <w:bCs w:val="1"/>
          <w:color w:val="auto"/>
        </w:rPr>
        <w:t>“Closing Statement”</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w:t>
      </w:r>
    </w:p>
    <w:p>
      <w:pPr>
        <w:spacing w:after="0" w:line="179" w:lineRule="exact"/>
        <w:rPr>
          <w:rFonts w:ascii="Times New Roman" w:cs="Times New Roman" w:eastAsia="Times New Roman" w:hAnsi="Times New Roman"/>
          <w:sz w:val="22"/>
          <w:szCs w:val="22"/>
          <w:b w:val="1"/>
          <w:bCs w:val="1"/>
          <w:color w:val="auto"/>
        </w:rPr>
      </w:pPr>
    </w:p>
    <w:p>
      <w:pPr>
        <w:jc w:val="both"/>
        <w:ind w:left="-8" w:firstLine="656"/>
        <w:spacing w:after="0" w:line="232" w:lineRule="auto"/>
        <w:tabs>
          <w:tab w:leader="none" w:pos="1285"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the Closing shall not have occurred on or prior to July 15, 2025 (the </w:t>
      </w:r>
      <w:r>
        <w:rPr>
          <w:rFonts w:ascii="Times New Roman" w:cs="Times New Roman" w:eastAsia="Times New Roman" w:hAnsi="Times New Roman"/>
          <w:sz w:val="21"/>
          <w:szCs w:val="21"/>
          <w:b w:val="1"/>
          <w:bCs w:val="1"/>
          <w:color w:val="auto"/>
        </w:rPr>
        <w:t>“Termination Date”</w:t>
      </w:r>
      <w:r>
        <w:rPr>
          <w:rFonts w:ascii="Times New Roman" w:cs="Times New Roman" w:eastAsia="Times New Roman" w:hAnsi="Times New Roman"/>
          <w:sz w:val="21"/>
          <w:szCs w:val="21"/>
          <w:color w:val="auto"/>
        </w:rPr>
        <w:t>), then the Buyer shall have the right to terminate this Agreement without liability of the Buyer to any other party; provided, however, the right to terminate this Agreement under this Section 8 shall not be available to the Buyer if the failure of the transactions contemplated by this Agreement to have been consummated by such date is the result of the Buyer’s breach of this Agreement.</w:t>
      </w:r>
    </w:p>
    <w:p>
      <w:pPr>
        <w:spacing w:after="0" w:line="150" w:lineRule="exact"/>
        <w:rPr>
          <w:rFonts w:ascii="Times New Roman" w:cs="Times New Roman" w:eastAsia="Times New Roman" w:hAnsi="Times New Roman"/>
          <w:sz w:val="21"/>
          <w:szCs w:val="21"/>
          <w:color w:val="auto"/>
        </w:rPr>
      </w:pPr>
    </w:p>
    <w:p>
      <w:pPr>
        <w:jc w:val="both"/>
        <w:ind w:left="-8" w:firstLine="656"/>
        <w:spacing w:after="0" w:line="225" w:lineRule="auto"/>
        <w:tabs>
          <w:tab w:leader="none" w:pos="1283"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48"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179" w:lineRule="exact"/>
        <w:rPr>
          <w:rFonts w:ascii="Times New Roman" w:cs="Times New Roman" w:eastAsia="Times New Roman" w:hAnsi="Times New Roman"/>
          <w:sz w:val="22"/>
          <w:szCs w:val="22"/>
          <w:b w:val="1"/>
          <w:bCs w:val="1"/>
          <w:color w:val="auto"/>
        </w:rPr>
      </w:pPr>
    </w:p>
    <w:p>
      <w:pPr>
        <w:jc w:val="both"/>
        <w:ind w:left="-8" w:firstLine="656"/>
        <w:spacing w:after="0" w:line="221" w:lineRule="auto"/>
        <w:tabs>
          <w:tab w:leader="none" w:pos="1285"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Subsequent Convertible Notes. </w:t>
      </w:r>
      <w:r>
        <w:rPr>
          <w:rFonts w:ascii="Times New Roman" w:cs="Times New Roman" w:eastAsia="Times New Roman" w:hAnsi="Times New Roman"/>
          <w:sz w:val="22"/>
          <w:szCs w:val="22"/>
          <w:color w:val="auto"/>
        </w:rPr>
        <w:t>The parties may, upon mutual consent, enter into subsequent securities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for the purchase and sale of an additional $450,000,000 principal amount of Convertible Notes, in tranches, in amounts on such dates as may be mutually agreed by the parties hereof from time to time on substantially the same terms included in this Agreement, except that subsequent tranches shall include prepaid interest at a rate of 9.5%.</w:t>
      </w:r>
    </w:p>
    <w:p>
      <w:pPr>
        <w:spacing w:after="0" w:line="148" w:lineRule="exact"/>
        <w:rPr>
          <w:rFonts w:ascii="Times New Roman" w:cs="Times New Roman" w:eastAsia="Times New Roman" w:hAnsi="Times New Roman"/>
          <w:sz w:val="22"/>
          <w:szCs w:val="22"/>
          <w:color w:val="auto"/>
        </w:rPr>
      </w:pPr>
    </w:p>
    <w:p>
      <w:pPr>
        <w:jc w:val="both"/>
        <w:ind w:left="-8" w:firstLine="656"/>
        <w:spacing w:after="0" w:line="221" w:lineRule="auto"/>
        <w:tabs>
          <w:tab w:leader="none" w:pos="1283"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and the rights and obligations of the parties hereunder shall, in all respects,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and construed in accordance with, the laws (excluding the principles of conflict of laws) of the State of New York (including Section 5-1401 and Section 5-1402 of the General Obligations Law of the State of New York), including all matters of construction, validity and performance.</w:t>
      </w:r>
    </w:p>
    <w:p>
      <w:pPr>
        <w:spacing w:after="0" w:line="148"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Jurisdiction; Venue; Service.</w:t>
      </w:r>
    </w:p>
    <w:p>
      <w:pPr>
        <w:spacing w:after="0" w:line="183" w:lineRule="exact"/>
        <w:rPr>
          <w:rFonts w:ascii="Times New Roman" w:cs="Times New Roman" w:eastAsia="Times New Roman" w:hAnsi="Times New Roman"/>
          <w:sz w:val="22"/>
          <w:szCs w:val="22"/>
          <w:color w:val="auto"/>
        </w:rPr>
      </w:pPr>
    </w:p>
    <w:p>
      <w:pPr>
        <w:ind w:left="1952" w:right="20" w:hanging="656"/>
        <w:spacing w:after="0" w:line="236" w:lineRule="auto"/>
        <w:tabs>
          <w:tab w:leader="none" w:pos="1940"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hereby irrevocably consents to the non-exclusive personal jurisdiction of the state courts of the State of New York (the </w:t>
      </w:r>
      <w:r>
        <w:rPr>
          <w:rFonts w:ascii="Times New Roman" w:cs="Times New Roman" w:eastAsia="Times New Roman" w:hAnsi="Times New Roman"/>
          <w:sz w:val="22"/>
          <w:szCs w:val="22"/>
          <w:b w:val="1"/>
          <w:bCs w:val="1"/>
          <w:color w:val="auto"/>
        </w:rPr>
        <w:t>“Governing</w:t>
      </w:r>
    </w:p>
    <w:p>
      <w:pPr>
        <w:sectPr>
          <w:pgSz w:w="11900" w:h="16838" w:orient="portrait"/>
          <w:cols w:equalWidth="0" w:num="1">
            <w:col w:w="11232"/>
          </w:cols>
          <w:pgMar w:left="328" w:top="1393" w:right="339" w:bottom="1440" w:gutter="0" w:footer="0" w:header="0"/>
        </w:sectPr>
      </w:pPr>
    </w:p>
    <w:bookmarkStart w:id="45" w:name="page46"/>
    <w:bookmarkEnd w:id="45"/>
    <w:p>
      <w:pPr>
        <w:ind w:left="840"/>
        <w:spacing w:after="0" w:line="238" w:lineRule="auto"/>
        <w:rPr>
          <w:sz w:val="20"/>
          <w:szCs w:val="20"/>
          <w:color w:val="auto"/>
        </w:rPr>
      </w:pPr>
      <w:r>
        <w:rPr>
          <w:rFonts w:ascii="Times New Roman" w:cs="Times New Roman" w:eastAsia="Times New Roman" w:hAnsi="Times New Roman"/>
          <w:sz w:val="22"/>
          <w:szCs w:val="22"/>
          <w:b w:val="1"/>
          <w:bCs w:val="1"/>
          <w:color w:val="auto"/>
        </w:rPr>
        <w:t>Jurisdiction”</w:t>
      </w:r>
      <w:r>
        <w:rPr>
          <w:rFonts w:ascii="Times New Roman" w:cs="Times New Roman" w:eastAsia="Times New Roman" w:hAnsi="Times New Roman"/>
          <w:sz w:val="22"/>
          <w:szCs w:val="22"/>
          <w:color w:val="auto"/>
        </w:rPr>
        <w:t>) and, if a basis for federal jurisdiction exists, the non-exclusive personal jurisdiction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States District Court for the Governing Jurisdiction.</w:t>
      </w:r>
    </w:p>
    <w:p>
      <w:pPr>
        <w:spacing w:after="0" w:line="150" w:lineRule="exact"/>
        <w:rPr>
          <w:sz w:val="20"/>
          <w:szCs w:val="20"/>
          <w:color w:val="auto"/>
        </w:rPr>
      </w:pPr>
    </w:p>
    <w:p>
      <w:pPr>
        <w:jc w:val="both"/>
        <w:ind w:left="840" w:hanging="656"/>
        <w:spacing w:after="0" w:line="215" w:lineRule="auto"/>
        <w:tabs>
          <w:tab w:leader="none" w:pos="83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venue shall be proper in any court of the Governing Jurisdiction selected by the Buyer or, if a basis for federal jurisdiction exists, in any United States District Court in the Governing Jurisdiction.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pacing w:after="0" w:line="152" w:lineRule="exact"/>
        <w:rPr>
          <w:rFonts w:ascii="Times New Roman" w:cs="Times New Roman" w:eastAsia="Times New Roman" w:hAnsi="Times New Roman"/>
          <w:sz w:val="22"/>
          <w:szCs w:val="22"/>
          <w:color w:val="auto"/>
        </w:rPr>
      </w:pPr>
    </w:p>
    <w:p>
      <w:pPr>
        <w:jc w:val="both"/>
        <w:ind w:left="840" w:hanging="656"/>
        <w:spacing w:after="0" w:line="226" w:lineRule="auto"/>
        <w:tabs>
          <w:tab w:leader="none" w:pos="84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suit, claim, action, litigation or proceeding of any kind or description, whether in law or equity, whether in contract or tort or otherwise, brought by the Company against the Buyer arising out of or based upon this Agreement or any matter relating to this Agreement, or any other Transaction Document, or any contemplated transaction, shall be brought in a court only in the Governing Jurisdiction. The Company shall not file any counterclaim against the Buyer in any suit, claim, action, litigation or proceeding brought by the Buyer against the Company in a jurisdiction outside of the Governing Jurisdiction unless under the rules of the court in which the Buyer brought such suit, claim, action, litigation or proceeding the counterclaim is mandatory, and not permissive, and would be considered waived unless filed as a counterclaim in the suit, claim, action, litigation or proceeding instituted by the Buyer against the Company. The Company agrees that any forum outside the Governing Jurisdiction is an inconvenient forum and that any suit, claim, action, litigation or proceeding brought by the Company against the Buyer in any court outside the Governing Jurisdiction should be dismissed or transferred to a court located in the Governing Jurisdiction. Furthermore, the Company irrevocably and unconditionally agrees that it will not bring or commence any suit, claim, action, litigation or proceeding of any kind or description, whether in law or equity, whether in contract or in tort or otherwise, against the Buyer arising out of or based upon this Agreement or any matter relating to this Agreement,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Buyer agree that a final judgment in any such suit, claim, action, litigation or proceeding shall be conclusive and may be enforced in other jurisdictions by suit on the judgment or in any other manner provided by law.</w:t>
      </w:r>
    </w:p>
    <w:p>
      <w:pPr>
        <w:spacing w:after="0" w:line="169" w:lineRule="exact"/>
        <w:rPr>
          <w:rFonts w:ascii="Times New Roman" w:cs="Times New Roman" w:eastAsia="Times New Roman" w:hAnsi="Times New Roman"/>
          <w:sz w:val="21"/>
          <w:szCs w:val="21"/>
          <w:color w:val="auto"/>
        </w:rPr>
      </w:pPr>
    </w:p>
    <w:p>
      <w:pPr>
        <w:jc w:val="both"/>
        <w:ind w:left="840" w:hanging="656"/>
        <w:spacing w:after="0" w:line="225" w:lineRule="auto"/>
        <w:tabs>
          <w:tab w:leader="none" w:pos="82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Buyer irrevocably consent to the service of process out of any of the aforementioned courts in any such suit, claim, action, litigation or proceeding by the mailing of copies thereof by registered or certified mail postage prepaid, to it at the address provided for notices in</w:t>
      </w:r>
    </w:p>
    <w:p>
      <w:pPr>
        <w:sectPr>
          <w:pgSz w:w="11900" w:h="16838" w:orient="portrait"/>
          <w:cols w:equalWidth="0" w:num="1">
            <w:col w:w="10120"/>
          </w:cols>
          <w:pgMar w:left="1440" w:top="1391" w:right="339" w:bottom="1440" w:gutter="0" w:footer="0" w:header="0"/>
        </w:sectPr>
      </w:pPr>
    </w:p>
    <w:bookmarkStart w:id="46" w:name="page47"/>
    <w:bookmarkEnd w:id="46"/>
    <w:p>
      <w:pPr>
        <w:ind w:left="1304"/>
        <w:spacing w:after="0"/>
        <w:rPr>
          <w:sz w:val="20"/>
          <w:szCs w:val="20"/>
          <w:color w:val="auto"/>
        </w:rPr>
      </w:pPr>
      <w:r>
        <w:rPr>
          <w:rFonts w:ascii="Times New Roman" w:cs="Times New Roman" w:eastAsia="Times New Roman" w:hAnsi="Times New Roman"/>
          <w:sz w:val="22"/>
          <w:szCs w:val="22"/>
          <w:color w:val="auto"/>
        </w:rPr>
        <w:t>this Agreement, such service to become effective thirty (30) days after the date of mailing.</w:t>
      </w:r>
    </w:p>
    <w:p>
      <w:pPr>
        <w:spacing w:after="0" w:line="179" w:lineRule="exact"/>
        <w:rPr>
          <w:sz w:val="20"/>
          <w:szCs w:val="20"/>
          <w:color w:val="auto"/>
        </w:rPr>
      </w:pPr>
    </w:p>
    <w:p>
      <w:pPr>
        <w:jc w:val="both"/>
        <w:ind w:left="1304" w:hanging="656"/>
        <w:spacing w:after="0" w:line="225" w:lineRule="auto"/>
        <w:tabs>
          <w:tab w:leader="none" w:pos="1299"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affect the right of the Buyer to serve process in any other manner permitted by law or to commence legal proceedings or to otherwise proceed against the Company or any other Person in the Governing Jurisdiction or in any other jurisdiction.</w:t>
      </w:r>
    </w:p>
    <w:p>
      <w:pPr>
        <w:spacing w:after="0" w:line="152" w:lineRule="exact"/>
        <w:rPr>
          <w:rFonts w:ascii="Times New Roman" w:cs="Times New Roman" w:eastAsia="Times New Roman" w:hAnsi="Times New Roman"/>
          <w:sz w:val="22"/>
          <w:szCs w:val="22"/>
          <w:color w:val="auto"/>
        </w:rPr>
      </w:pPr>
    </w:p>
    <w:p>
      <w:pPr>
        <w:jc w:val="both"/>
        <w:ind w:left="-656" w:firstLine="656"/>
        <w:spacing w:after="0" w:line="213" w:lineRule="auto"/>
        <w:tabs>
          <w:tab w:leader="none" w:pos="63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MUTUALLY WAIVE ALL RIGHT TO TRIAL BY JURY OF ALL CLAIMS OF ANY KIND ARISING OUT OF OR BASED UPON THIS AGREEMENT OR ANY MATTER RELATING TO THIS AGREEMENT, OR ANY OTHER TRANSACTION DOCUMENT, OR ANY CONTEMPLATED TRANSACTION. THE PARTIES ACKNOWLEDGE THAT THIS IS A WAIVER OF A LEGAL RIGHT AND THAT THE PARTIES EACH MAKE THIS WAIVER VOLUNTARILY AND KNOWINGLY AFTER CONSULTATION WITH COUNSEL OF THEIR RESPECTIVE CHOICE. THE PARTIES AGREE THAT ALL SUCH CLAIMS SHALL BE TRIED BEFORE A JUDGE OF A COURT HAVING JURISDICTION, WITHOUT A JURY.</w:t>
      </w:r>
    </w:p>
    <w:p>
      <w:pPr>
        <w:spacing w:after="0" w:line="152" w:lineRule="exact"/>
        <w:rPr>
          <w:rFonts w:ascii="Times New Roman" w:cs="Times New Roman" w:eastAsia="Times New Roman" w:hAnsi="Times New Roman"/>
          <w:sz w:val="22"/>
          <w:szCs w:val="22"/>
          <w:color w:val="auto"/>
        </w:rPr>
      </w:pPr>
    </w:p>
    <w:p>
      <w:pPr>
        <w:jc w:val="both"/>
        <w:ind w:left="-656" w:firstLine="656"/>
        <w:spacing w:after="0" w:line="216" w:lineRule="auto"/>
        <w:tabs>
          <w:tab w:leader="none" w:pos="63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two or more identical counterparts, all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45" w:lineRule="exact"/>
        <w:rPr>
          <w:rFonts w:ascii="Times New Roman" w:cs="Times New Roman" w:eastAsia="Times New Roman" w:hAnsi="Times New Roman"/>
          <w:sz w:val="22"/>
          <w:szCs w:val="22"/>
          <w:color w:val="auto"/>
        </w:rPr>
      </w:pPr>
    </w:p>
    <w:p>
      <w:pPr>
        <w:jc w:val="both"/>
        <w:ind w:left="-656" w:firstLine="656"/>
        <w:spacing w:after="0" w:line="216" w:lineRule="auto"/>
        <w:tabs>
          <w:tab w:leader="none" w:pos="6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Headings; Gender</w:t>
      </w:r>
      <w:r>
        <w:rPr>
          <w:rFonts w:ascii="Times New Roman" w:cs="Times New Roman" w:eastAsia="Times New Roman" w:hAnsi="Times New Roman"/>
          <w:sz w:val="22"/>
          <w:szCs w:val="22"/>
          <w:color w:val="auto"/>
        </w:rPr>
        <w:t>. The headings of this Agreement are for convenience of reference and shall not form part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45" w:lineRule="exact"/>
        <w:rPr>
          <w:rFonts w:ascii="Times New Roman" w:cs="Times New Roman" w:eastAsia="Times New Roman" w:hAnsi="Times New Roman"/>
          <w:sz w:val="22"/>
          <w:szCs w:val="22"/>
          <w:color w:val="auto"/>
        </w:rPr>
      </w:pPr>
    </w:p>
    <w:p>
      <w:pPr>
        <w:jc w:val="both"/>
        <w:ind w:left="-656" w:firstLine="656"/>
        <w:spacing w:after="0" w:line="226" w:lineRule="auto"/>
        <w:tabs>
          <w:tab w:leader="none" w:pos="635"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Entire Agreement, Amendments</w:t>
      </w:r>
      <w:r>
        <w:rPr>
          <w:rFonts w:ascii="Times New Roman" w:cs="Times New Roman" w:eastAsia="Times New Roman" w:hAnsi="Times New Roman"/>
          <w:sz w:val="21"/>
          <w:szCs w:val="21"/>
          <w:color w:val="auto"/>
        </w:rPr>
        <w:t>. This Agreement supersedes all other prior oral or written agreements between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Buyer, the Company, their affiliates and persons acting on their behalf with respect to the matters discussed herein, and this Agreement and the instruments referenced herein contain the entire understanding of the parties with respect to the matters covered herein and therein and, except as specifically set forth herein or therein, neither the Company nor any Buyer makes any representation, warranty, covenant or undertaking with respect to such matters. No provision of this Agreement may be waived or amended other than by an instrument in writing signed by the party to be charged with enforcement.</w:t>
      </w:r>
    </w:p>
    <w:p>
      <w:pPr>
        <w:spacing w:after="0" w:line="147" w:lineRule="exact"/>
        <w:rPr>
          <w:rFonts w:ascii="Times New Roman" w:cs="Times New Roman" w:eastAsia="Times New Roman" w:hAnsi="Times New Roman"/>
          <w:sz w:val="21"/>
          <w:szCs w:val="21"/>
          <w:color w:val="auto"/>
        </w:rPr>
      </w:pPr>
    </w:p>
    <w:p>
      <w:pPr>
        <w:jc w:val="both"/>
        <w:ind w:left="-656" w:firstLine="656"/>
        <w:spacing w:after="0" w:line="218" w:lineRule="auto"/>
        <w:tabs>
          <w:tab w:leader="none" w:pos="63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notices, consents, waivers or other communications required or permitted to be given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of this Agreement must be in writing by letter and email and will be deemed to have been delivered: upon the later of (A) either (i) receipt, when delivered personally or (ii) one Business Day after deposit with an overnight courier service with next day delivery specified, in each case, properly addressed to the party to receive the same and (B) receipt, when sent by electronic mail. The addresses and email­ addresses for such communications shall be:</w:t>
      </w:r>
    </w:p>
    <w:p>
      <w:pPr>
        <w:sectPr>
          <w:pgSz w:w="11900" w:h="16838" w:orient="portrait"/>
          <w:cols w:equalWidth="0" w:num="1">
            <w:col w:w="10584"/>
          </w:cols>
          <w:pgMar w:left="976" w:top="1395" w:right="339" w:bottom="1440" w:gutter="0" w:footer="0" w:header="0"/>
        </w:sectPr>
      </w:pPr>
    </w:p>
    <w:bookmarkStart w:id="47" w:name="page48"/>
    <w:bookmarkEnd w:id="47"/>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right="1720"/>
        <w:spacing w:after="0" w:line="271" w:lineRule="auto"/>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If to the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right="1720"/>
        <w:spacing w:after="0" w:line="271" w:lineRule="auto"/>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Cybin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King Street West, Suite 5600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Toronto, Ontario M5X 1C9</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Attn: Gabriel Fahel, Chief Legal Officer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[REDACTED]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[REDACTED]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Aird &amp; Berlis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181 Bay Street, Suite 1800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Toronto, Ontario M5J 2T9</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Sherri Altshuler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416-865-3081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saltshuler@airdberlis.com</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High Trail Capital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221 River Street, 9th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Hoboken, NJ 07030</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Eric Helenek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[REDACTED]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Haynes and Boone,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Rockefeller Plaza; 26th Floor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10112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Rick A. Werner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[REDACTED]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[REDACTED]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Stikeman Elliott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666 Burrard Street, Suite 1700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Vancouver, British Columbia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Michael G. Urbani</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[REDACTED]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[REDACTED]</w:t>
      </w:r>
    </w:p>
    <w:p>
      <w:pPr>
        <w:spacing w:after="0" w:line="553" w:lineRule="exact"/>
        <w:rPr>
          <w:sz w:val="20"/>
          <w:szCs w:val="20"/>
          <w:color w:val="auto"/>
        </w:rPr>
      </w:pPr>
    </w:p>
    <w:p>
      <w:pPr>
        <w:sectPr>
          <w:pgSz w:w="11900" w:h="16838" w:orient="portrait"/>
          <w:cols w:equalWidth="0" w:num="2">
            <w:col w:w="4200" w:space="720"/>
            <w:col w:w="6320"/>
          </w:cols>
          <w:pgMar w:left="320" w:top="1440" w:right="339" w:bottom="1440" w:gutter="0" w:footer="0" w:header="0"/>
        </w:sectPr>
      </w:pPr>
    </w:p>
    <w:p>
      <w:pPr>
        <w:spacing w:after="0" w:line="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or to such other address, email­ address and/or to the attention of such other Person as the recipient party has specified by written notice given to each other party five days prior to the effectiveness of such change. Written confirmation of receipt (A) given by the recipient of such notice, consent, waiver or other communication, (B) electronically generated by the sender’s e-mail service provider containing the time, date, recipient e-mail address or (C) provided by an</w:t>
      </w:r>
    </w:p>
    <w:p>
      <w:pPr>
        <w:sectPr>
          <w:pgSz w:w="11900" w:h="16838" w:orient="portrait"/>
          <w:cols w:equalWidth="0" w:num="1">
            <w:col w:w="11240"/>
          </w:cols>
          <w:pgMar w:left="320" w:top="1440" w:right="339" w:bottom="1440" w:gutter="0" w:footer="0" w:header="0"/>
          <w:type w:val="continuous"/>
        </w:sectPr>
      </w:pPr>
    </w:p>
    <w:bookmarkStart w:id="48" w:name="page49"/>
    <w:bookmarkEnd w:id="48"/>
    <w:p>
      <w:pPr>
        <w:spacing w:after="0" w:line="271" w:lineRule="auto"/>
        <w:rPr>
          <w:sz w:val="20"/>
          <w:szCs w:val="20"/>
          <w:color w:val="auto"/>
        </w:rPr>
      </w:pPr>
      <w:r>
        <w:rPr>
          <w:rFonts w:ascii="Times New Roman" w:cs="Times New Roman" w:eastAsia="Times New Roman" w:hAnsi="Times New Roman"/>
          <w:sz w:val="22"/>
          <w:szCs w:val="22"/>
          <w:color w:val="auto"/>
        </w:rPr>
        <w:t>overnight courier service shall be rebuttable evidence of personal service, receipt by facsimile or receipt from an overnight courier service in accordance with clause (i), (ii) or (iii) above, respectively.</w:t>
      </w:r>
    </w:p>
    <w:p>
      <w:pPr>
        <w:spacing w:after="0" w:line="127" w:lineRule="exact"/>
        <w:rPr>
          <w:sz w:val="20"/>
          <w:szCs w:val="20"/>
          <w:color w:val="auto"/>
        </w:rPr>
      </w:pPr>
    </w:p>
    <w:p>
      <w:pPr>
        <w:jc w:val="both"/>
        <w:ind w:firstLine="656"/>
        <w:spacing w:after="0" w:line="218" w:lineRule="auto"/>
        <w:tabs>
          <w:tab w:leader="none" w:pos="128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 and Assigns</w:t>
      </w:r>
      <w:r>
        <w:rPr>
          <w:rFonts w:ascii="Times New Roman" w:cs="Times New Roman" w:eastAsia="Times New Roman" w:hAnsi="Times New Roman"/>
          <w:sz w:val="22"/>
          <w:szCs w:val="22"/>
          <w:color w:val="auto"/>
        </w:rPr>
        <w:t>. This Agreement shall be binding upon and inure to the benefit of the parties and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successors and assigns, including any purchasers of any of the Convertible Note (but excluding any purchasers of Underlying Securities). Neither party shall assign this Agreement or any rights or obligations hereunder without the prior written consent of the other party, which consent shall not be unreasonably withheld, provided that the Buyer may sell, transfer or assign this Agreement or any rights or obligations hereunder to its affiliates without prior written consent of the Company.</w:t>
      </w:r>
    </w:p>
    <w:p>
      <w:pPr>
        <w:spacing w:after="0" w:line="14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Indemnification</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960" w:hanging="656"/>
        <w:spacing w:after="0" w:line="208" w:lineRule="auto"/>
        <w:tabs>
          <w:tab w:leader="none" w:pos="1948"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of the Buyer’s execution and delivery of the Transaction Documents and acquiring the Securities thereunder and in addition to all of the Company’s other obligations under the Transaction Documents, the Company shall defend, protect, indemnify and hold harmless the Buyer and all of their shareholders,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Indemnitees”</w:t>
      </w:r>
      <w:r>
        <w:rPr>
          <w:rFonts w:ascii="Times New Roman" w:cs="Times New Roman" w:eastAsia="Times New Roman" w:hAnsi="Times New Roman"/>
          <w:sz w:val="22"/>
          <w:szCs w:val="22"/>
          <w:color w:val="auto"/>
        </w:rPr>
        <w:t>) from and against any and all actions, causes of action, suits, claims, losses, costs, penalties,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fees, liabilities and damages, and reasonable and documented expenses in connection therewith (irrespective of whether any the Buyer Indemnitee is a party to the action for which indemnification hereunder is sought), and including reasonable attorneys’ fees and disbursements (the </w:t>
      </w:r>
      <w:r>
        <w:rPr>
          <w:rFonts w:ascii="Times New Roman" w:cs="Times New Roman" w:eastAsia="Times New Roman" w:hAnsi="Times New Roman"/>
          <w:sz w:val="22"/>
          <w:szCs w:val="22"/>
          <w:b w:val="1"/>
          <w:bCs w:val="1"/>
          <w:color w:val="auto"/>
        </w:rPr>
        <w:t>“Indemnified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Liabilities”</w:t>
      </w:r>
      <w:r>
        <w:rPr>
          <w:rFonts w:ascii="Times New Roman" w:cs="Times New Roman" w:eastAsia="Times New Roman" w:hAnsi="Times New Roman"/>
          <w:sz w:val="22"/>
          <w:szCs w:val="22"/>
          <w:color w:val="auto"/>
        </w:rPr>
        <w:t>), incurred by any Buyer Indemnitee as a result of, or arising out of, or relating to (i)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 misrepresentation or material breach of any representation or warranty made by the Company in any of the Transaction Documents, or (ii) any material breach of any material covenant, material agreement or material obligation of the Company or any Subsidiary contained in any of the Transaction Documents.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160" w:lineRule="exact"/>
        <w:rPr>
          <w:rFonts w:ascii="Times New Roman" w:cs="Times New Roman" w:eastAsia="Times New Roman" w:hAnsi="Times New Roman"/>
          <w:sz w:val="22"/>
          <w:szCs w:val="22"/>
          <w:color w:val="auto"/>
        </w:rPr>
      </w:pPr>
    </w:p>
    <w:p>
      <w:pPr>
        <w:jc w:val="both"/>
        <w:ind w:left="1960" w:hanging="656"/>
        <w:spacing w:after="0" w:line="211" w:lineRule="auto"/>
        <w:tabs>
          <w:tab w:leader="none" w:pos="1954"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of the Company’s execution and delivery of the Transaction Documents and in addition to the Buyer’s obligations under the Transaction Documents, the Buyer shall defend, protect, indemnify and hold harmless the Company and its shareholders,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22"/>
          <w:szCs w:val="22"/>
          <w:b w:val="1"/>
          <w:bCs w:val="1"/>
          <w:color w:val="auto"/>
        </w:rPr>
        <w:t>“Company Indemnitees”</w:t>
      </w:r>
      <w:r>
        <w:rPr>
          <w:rFonts w:ascii="Times New Roman" w:cs="Times New Roman" w:eastAsia="Times New Roman" w:hAnsi="Times New Roman"/>
          <w:sz w:val="22"/>
          <w:szCs w:val="22"/>
          <w:color w:val="auto"/>
        </w:rPr>
        <w:t>) from and against any and all Indemnified Liabilities, incurred by any Company Indemnitees as a result of, or arising out of, or relating to (i) any misrepresentation or breach of any representation or warranty made by the Buyer in any of the Transaction Documents, or (ii) any material breach of any material covenant, material agreement or material obligation of the Buyer contained in any of the Transaction Documents. To the extent that</w:t>
      </w:r>
    </w:p>
    <w:p>
      <w:pPr>
        <w:sectPr>
          <w:pgSz w:w="11900" w:h="16838" w:orient="portrait"/>
          <w:cols w:equalWidth="0" w:num="1">
            <w:col w:w="11240"/>
          </w:cols>
          <w:pgMar w:left="320" w:top="1422" w:right="339" w:bottom="1440" w:gutter="0" w:footer="0" w:header="0"/>
        </w:sectPr>
      </w:pPr>
    </w:p>
    <w:bookmarkStart w:id="49" w:name="page50"/>
    <w:bookmarkEnd w:id="49"/>
    <w:p>
      <w:pPr>
        <w:jc w:val="both"/>
        <w:ind w:left="840"/>
        <w:spacing w:after="0" w:line="225" w:lineRule="auto"/>
        <w:rPr>
          <w:sz w:val="20"/>
          <w:szCs w:val="20"/>
          <w:color w:val="auto"/>
        </w:rPr>
      </w:pPr>
      <w:r>
        <w:rPr>
          <w:rFonts w:ascii="Times New Roman" w:cs="Times New Roman" w:eastAsia="Times New Roman" w:hAnsi="Times New Roman"/>
          <w:sz w:val="22"/>
          <w:szCs w:val="22"/>
          <w:color w:val="auto"/>
        </w:rPr>
        <w:t>the foregoing undertaking by the Buyer may be unenforceable for any reason, the Buyer shall make the maximum contribution to the payment and satisfaction of each of the Indemnified Liabilities which is permissible under applicable law.</w:t>
      </w:r>
    </w:p>
    <w:p>
      <w:pPr>
        <w:spacing w:after="0" w:line="153" w:lineRule="exact"/>
        <w:rPr>
          <w:sz w:val="20"/>
          <w:szCs w:val="20"/>
          <w:color w:val="auto"/>
        </w:rPr>
      </w:pPr>
    </w:p>
    <w:p>
      <w:pPr>
        <w:jc w:val="both"/>
        <w:ind w:left="840" w:hanging="656"/>
        <w:spacing w:after="0" w:line="223" w:lineRule="auto"/>
        <w:tabs>
          <w:tab w:leader="none" w:pos="84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receipt by a Buyer Indemnitee or Company Indemnitee under this Section 9(i) of notice of the commencement of any action or proceeding (including any governmental action or proceeding) involving an Indemnified Liability, the Buyer Indemnitee or Company Indemnitee shall, if a claim in respect thereof is to be made against the Company or a Buyer under this Section 9(i), deliver to the Company or Buyer, as applicable, a written notice of the commencement thereof, and the Company or Buyer shall have the right to participate in, and, to the extent the Company or Buyer, as applicable so desires, to assume control of the defense thereof with counsel mutually reasonably satisfactory to the Company or Buyer and the Buyer Indemnitee or Company Indemnitee, as applicable; provided, however, that a Buyer Indemnitee or Company Indemnitee shall have the right to retain its own counsel with the actual and reasonable fees and expenses of such counsel to be paid by the Company or Buyer, if applicable, if: (A) the Company or Buyer has agreed in writing to pay such fees and expenses; (B) the Company or Buyer shall have failed promptly to assume the defense of such Indemnified Liability and to employ counsel reasonably satisfactory to the Buyer Indemnitee or Company Indemnitee in any such Indemnified Liability; or (C) the named parties to any such Indemnified Liability (including any impleaded parties) include both the Buyer Indemnitee or Company Indemnitee and the Company or Buyer, as applicable, and the Buyer Indemnitee or Company Indemnitee shall have been advised by counsel that a conflict of interest is likely to exist if the same counsel were to represent such Indemnitee and the Company or the Buyer, as applicable (in which case, if the Buyer Indemnitee or Company Indemnitee notifies the Company or Buyer, as applicable, in writing that it elects to employ separate counsel at the expense of the Company or Buyer, as applicable, then the Company or Buyer, as applicable, shall not have the right to assume the defense thereof and such counsel shall be at the expense of the Company or Buyer, as applicable), provided further, that in the case of clause (C) above the Company or Buyer shall not be responsible for the reasonable fees and expenses of more than one separate legal counsel for the Indemnitees. The Buyer Indemnitee or Company Indemnitee shall reasonably cooperate with the Company or Buyer, as applicable, in connection with any negotiation or defense of any such action or Indemnified Liability by the Company or Buyer and shall furnish to the Company or Buyer all information reasonably available to the Indemnitee which relates to such action or Indemnified Liability. The Company or Buyer shall keep the Buyer Indemnitee or Company Indemnitee reasonably apprised at all times as to the status of the defense or any settlement negotiations with respect thereto. The Company or Buyer shall not be liable for any settlement of any action, claim or proceeding effected without its prior written consent, provided, however, that the Company or Buyer shall not unreasonably withhold, delay or condition its consent. The Company or Buyer, as applicable, shall not, without the prior written consent of the Buyer Indemnitee or Company Indemnitee, consent to entry of any judgment or enter into any settlement or other compromise which does not include as an unconditional term thereof the giving by the</w:t>
      </w:r>
    </w:p>
    <w:p>
      <w:pPr>
        <w:sectPr>
          <w:pgSz w:w="11900" w:h="16838" w:orient="portrait"/>
          <w:cols w:equalWidth="0" w:num="1">
            <w:col w:w="10120"/>
          </w:cols>
          <w:pgMar w:left="1440" w:top="1395" w:right="339" w:bottom="1440" w:gutter="0" w:footer="0" w:header="0"/>
        </w:sectPr>
      </w:pPr>
    </w:p>
    <w:bookmarkStart w:id="50" w:name="page51"/>
    <w:bookmarkEnd w:id="50"/>
    <w:p>
      <w:pPr>
        <w:jc w:val="both"/>
        <w:ind w:left="1940"/>
        <w:spacing w:after="0" w:line="211" w:lineRule="auto"/>
        <w:rPr>
          <w:sz w:val="20"/>
          <w:szCs w:val="20"/>
          <w:color w:val="auto"/>
        </w:rPr>
      </w:pPr>
      <w:r>
        <w:rPr>
          <w:rFonts w:ascii="Times New Roman" w:cs="Times New Roman" w:eastAsia="Times New Roman" w:hAnsi="Times New Roman"/>
          <w:sz w:val="22"/>
          <w:szCs w:val="22"/>
          <w:color w:val="auto"/>
        </w:rPr>
        <w:t>claimant or plaintiff to the Buyer Indemnitee or Company Indemnitee of a release from all liability in respect to such Indemnified Liability or litigation, and such settlement shall not include any admission as to fault on the part of the Buyer Indemnitee or Company Indemnitee. Following indemnification as provided for hereunder, the Company or Buyer, as applicable, shall be subrogated to all rights of the Indemnitee with respect to all third parties, firms or corporations relating to the matter for which indemnification has been made. The failure to deliver written notice to the Company or Buyer, as applicable, within a reasonable time of the commencement of any such action shall not relieve the Company or Buyer, as applicable, of any liability to the Buyer Indemnitee or Company Indemnitee under this Section 9(i), except to the extent that the Company or Buyer, as applicable, is materially and adversely prejudiced in its ability to defend such action.</w:t>
      </w:r>
    </w:p>
    <w:p>
      <w:pPr>
        <w:spacing w:after="0" w:line="152" w:lineRule="exact"/>
        <w:rPr>
          <w:sz w:val="20"/>
          <w:szCs w:val="20"/>
          <w:color w:val="auto"/>
        </w:rPr>
      </w:pPr>
    </w:p>
    <w:p>
      <w:pPr>
        <w:jc w:val="both"/>
        <w:ind w:left="1940" w:hanging="656"/>
        <w:spacing w:after="0" w:line="225" w:lineRule="auto"/>
        <w:tabs>
          <w:tab w:leader="none" w:pos="192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indemnification required by this Section 9(i) shall be made by periodic payments of the amount thereof during the course of the investigation or defense, within 10 days after bills supporting the Indemnified Liabilities are received by the Company or the Buyer, as applicable.</w:t>
      </w:r>
    </w:p>
    <w:p>
      <w:pPr>
        <w:spacing w:after="0" w:line="152" w:lineRule="exact"/>
        <w:rPr>
          <w:rFonts w:ascii="Times New Roman" w:cs="Times New Roman" w:eastAsia="Times New Roman" w:hAnsi="Times New Roman"/>
          <w:sz w:val="22"/>
          <w:szCs w:val="22"/>
          <w:color w:val="auto"/>
        </w:rPr>
      </w:pPr>
    </w:p>
    <w:p>
      <w:pPr>
        <w:jc w:val="both"/>
        <w:ind w:left="1940" w:hanging="656"/>
        <w:spacing w:after="0" w:line="226" w:lineRule="auto"/>
        <w:tabs>
          <w:tab w:leader="none" w:pos="1935"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indemnity agreement contained herein shall be in addition to (A) any cause of action or similar right of the Buyer Indemnitee or Company Indemnitee against the Company or Buyer, as applicable, or others, and</w:t>
      </w:r>
    </w:p>
    <w:p>
      <w:pPr>
        <w:spacing w:after="0" w:line="1" w:lineRule="exact"/>
        <w:rPr>
          <w:rFonts w:ascii="Times New Roman" w:cs="Times New Roman" w:eastAsia="Times New Roman" w:hAnsi="Times New Roman"/>
          <w:sz w:val="21"/>
          <w:szCs w:val="21"/>
          <w:color w:val="auto"/>
        </w:rPr>
      </w:pPr>
    </w:p>
    <w:p>
      <w:pPr>
        <w:ind w:left="1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any liabilities the Company or Buyer may be subject to pursuant to applicable law.</w:t>
      </w:r>
    </w:p>
    <w:p>
      <w:pPr>
        <w:spacing w:after="0" w:line="151" w:lineRule="exact"/>
        <w:rPr>
          <w:rFonts w:ascii="Times New Roman" w:cs="Times New Roman" w:eastAsia="Times New Roman" w:hAnsi="Times New Roman"/>
          <w:sz w:val="21"/>
          <w:szCs w:val="21"/>
          <w:color w:val="auto"/>
        </w:rPr>
      </w:pPr>
    </w:p>
    <w:p>
      <w:pPr>
        <w:ind w:left="-20" w:firstLine="656"/>
        <w:spacing w:after="0" w:line="238" w:lineRule="auto"/>
        <w:tabs>
          <w:tab w:leader="none" w:pos="126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Strict Construction</w:t>
      </w:r>
      <w:r>
        <w:rPr>
          <w:rFonts w:ascii="Times New Roman" w:cs="Times New Roman" w:eastAsia="Times New Roman" w:hAnsi="Times New Roman"/>
          <w:sz w:val="22"/>
          <w:szCs w:val="22"/>
          <w:color w:val="auto"/>
        </w:rPr>
        <w:t>. The language used in this Agreement will be deemed to be the language chosen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to express their mutual intent, and no rules of strict construction will be applied against any party.</w:t>
      </w:r>
    </w:p>
    <w:p>
      <w:pPr>
        <w:spacing w:after="0" w:line="146" w:lineRule="exact"/>
        <w:rPr>
          <w:rFonts w:ascii="Times New Roman" w:cs="Times New Roman" w:eastAsia="Times New Roman" w:hAnsi="Times New Roman"/>
          <w:sz w:val="22"/>
          <w:szCs w:val="22"/>
          <w:color w:val="auto"/>
        </w:rPr>
      </w:pPr>
    </w:p>
    <w:p>
      <w:pPr>
        <w:ind w:left="-20" w:firstLine="656"/>
        <w:spacing w:after="0" w:line="238" w:lineRule="auto"/>
        <w:tabs>
          <w:tab w:leader="none" w:pos="126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Currency</w:t>
      </w:r>
      <w:r>
        <w:rPr>
          <w:rFonts w:ascii="Times New Roman" w:cs="Times New Roman" w:eastAsia="Times New Roman" w:hAnsi="Times New Roman"/>
          <w:sz w:val="22"/>
          <w:szCs w:val="22"/>
          <w:color w:val="auto"/>
        </w:rPr>
        <w:t>. Unless otherwise specified, all references to “$” or “dollars” in this Agreement means the lawful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currency of the United States of America.</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ectPr>
          <w:pgSz w:w="11900" w:h="16838" w:orient="portrait"/>
          <w:cols w:equalWidth="0" w:num="1">
            <w:col w:w="11220"/>
          </w:cols>
          <w:pgMar w:left="340" w:top="1395" w:right="339" w:bottom="1440" w:gutter="0" w:footer="0" w:header="0"/>
        </w:sectPr>
      </w:pPr>
    </w:p>
    <w:bookmarkStart w:id="51" w:name="page52"/>
    <w:bookmarkEnd w:id="51"/>
    <w:p>
      <w:pPr>
        <w:spacing w:after="0" w:line="200" w:lineRule="exact"/>
        <w:rPr>
          <w:sz w:val="20"/>
          <w:szCs w:val="20"/>
          <w:color w:val="auto"/>
        </w:rPr>
      </w:pPr>
    </w:p>
    <w:p>
      <w:pPr>
        <w:spacing w:after="0" w:line="237"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Buyer and the Company have caused their respective signature page to this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Agreement to be duly executed as of the date first written above.</w:t>
      </w:r>
    </w:p>
    <w:p>
      <w:pPr>
        <w:spacing w:after="0" w:line="1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(signed) “</w:t>
      </w:r>
      <w:r>
        <w:rPr>
          <w:rFonts w:ascii="Times New Roman" w:cs="Times New Roman" w:eastAsia="Times New Roman" w:hAnsi="Times New Roman"/>
          <w:sz w:val="21"/>
          <w:szCs w:val="21"/>
          <w:i w:val="1"/>
          <w:iCs w:val="1"/>
          <w:color w:val="auto"/>
        </w:rPr>
        <w:t>Doug Drysdale</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-11430</wp:posOffset>
            </wp:positionV>
            <wp:extent cx="1721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721485" cy="8890"/>
                    </a:xfrm>
                    <a:prstGeom prst="rect">
                      <a:avLst/>
                    </a:prstGeom>
                    <a:noFill/>
                  </pic:spPr>
                </pic:pic>
              </a:graphicData>
            </a:graphic>
          </wp:anchor>
        </w:drawing>
      </w:r>
    </w:p>
    <w:p>
      <w:pPr>
        <w:spacing w:after="0" w:line="12"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Doug Drysdale</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ectPr>
          <w:pgSz w:w="11900" w:h="16838" w:orient="portrait"/>
          <w:cols w:equalWidth="0" w:num="1">
            <w:col w:w="11220"/>
          </w:cols>
          <w:pgMar w:left="320" w:top="1440" w:right="359" w:bottom="1440" w:gutter="0" w:footer="0" w:header="0"/>
        </w:sectPr>
      </w:pPr>
    </w:p>
    <w:bookmarkStart w:id="52" w:name="page53"/>
    <w:bookmarkEnd w:id="52"/>
    <w:p>
      <w:pPr>
        <w:spacing w:after="0" w:line="200" w:lineRule="exact"/>
        <w:rPr>
          <w:sz w:val="20"/>
          <w:szCs w:val="20"/>
          <w:color w:val="auto"/>
        </w:rPr>
      </w:pPr>
    </w:p>
    <w:p>
      <w:pPr>
        <w:spacing w:after="0" w:line="264"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Buyer and the Company have caused their respective signature page to this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Agreement to be duly executed as of the date first written above.</w:t>
      </w:r>
    </w:p>
    <w:p>
      <w:pPr>
        <w:spacing w:after="0" w:line="1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BUYER:</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HIGH TRAIL SPECIAL SITUATIONS LLC</w:t>
      </w:r>
    </w:p>
    <w:p>
      <w:pPr>
        <w:spacing w:after="0" w:line="200" w:lineRule="exact"/>
        <w:rPr>
          <w:sz w:val="20"/>
          <w:szCs w:val="20"/>
          <w:color w:val="auto"/>
        </w:rPr>
      </w:pPr>
    </w:p>
    <w:p>
      <w:pPr>
        <w:spacing w:after="0" w:line="29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(signed) “</w:t>
      </w:r>
      <w:r>
        <w:rPr>
          <w:rFonts w:ascii="Times New Roman" w:cs="Times New Roman" w:eastAsia="Times New Roman" w:hAnsi="Times New Roman"/>
          <w:sz w:val="21"/>
          <w:szCs w:val="21"/>
          <w:i w:val="1"/>
          <w:iCs w:val="1"/>
          <w:color w:val="auto"/>
        </w:rPr>
        <w:t>Erik Helenek</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-11430</wp:posOffset>
            </wp:positionV>
            <wp:extent cx="1736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736725" cy="8890"/>
                    </a:xfrm>
                    <a:prstGeom prst="rect">
                      <a:avLst/>
                    </a:prstGeom>
                    <a:noFill/>
                  </pic:spPr>
                </pic:pic>
              </a:graphicData>
            </a:graphic>
          </wp:anchor>
        </w:drawing>
      </w:r>
    </w:p>
    <w:p>
      <w:pPr>
        <w:spacing w:after="0" w:line="12"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Erik Helenek</w:t>
      </w:r>
    </w:p>
    <w:p>
      <w:pPr>
        <w:spacing w:after="0" w:line="4" w:lineRule="exact"/>
        <w:rPr>
          <w:sz w:val="20"/>
          <w:szCs w:val="20"/>
          <w:color w:val="auto"/>
        </w:rPr>
      </w:pPr>
    </w:p>
    <w:p>
      <w:pPr>
        <w:ind w:left="3900"/>
        <w:spacing w:after="0"/>
        <w:tabs>
          <w:tab w:leader="none" w:pos="45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ectPr>
          <w:pgSz w:w="11900" w:h="16838" w:orient="portrait"/>
          <w:cols w:equalWidth="0" w:num="1">
            <w:col w:w="11220"/>
          </w:cols>
          <w:pgMar w:left="320" w:top="1440" w:right="359" w:bottom="1440" w:gutter="0" w:footer="0" w:header="0"/>
        </w:sectPr>
      </w:pPr>
    </w:p>
    <w:bookmarkStart w:id="53" w:name="page54"/>
    <w:bookmarkEnd w:id="53"/>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FORM OF CONVERTIBLE NOTE</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[See attached]</w:t>
      </w:r>
    </w:p>
    <w:p>
      <w:pPr>
        <w:sectPr>
          <w:pgSz w:w="11900" w:h="16838" w:orient="portrait"/>
          <w:cols w:equalWidth="0" w:num="1">
            <w:col w:w="10139"/>
          </w:cols>
          <w:pgMar w:left="320" w:top="1391" w:right="1440" w:bottom="1440" w:gutter="0" w:footer="0" w:header="0"/>
        </w:sectPr>
      </w:pPr>
    </w:p>
    <w:bookmarkStart w:id="54" w:name="page55"/>
    <w:bookmarkEnd w:id="54"/>
    <w:p>
      <w:pPr>
        <w:spacing w:after="0" w:line="2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THE SECURITIES REPRESENTED HEREBY AND THOSE SECURITIES INTO WHICH THEY ARE CONVERTIBLE HAVE NOT BEEN REGISTERED UNDER THE UNITED STATES SECURITIES ACT OF 1933, AS AMENDED (THE “</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b w:val="1"/>
          <w:bCs w:val="1"/>
          <w:color w:val="auto"/>
        </w:rPr>
        <w:t>”), OR APPLICABLE STATE SECURITIES LAWS. THE SECURITIES AND THOSE SECURITIES INTO WHICH THEY ARE CONVERTIBLE HAVE BEEN ACQUIRED SOLELY FOR INVESTMENT PURPOSES AND NOT WITH A VIEW TOWARD RESALE AND MAY ONLY BE OFFERED FOR SALE, SOLD, TRANSFERRED OR ASSIGNED (A) TO THE CORPORATION, (B) OUTSIDE THE UNITED STATES IN COMPLIANCE WITH RULE 904 OF REGULATION S UNDER THE SECURITIES ACT AND IN COMPLIANCE WITH LOCAL LAWS AND REGULATIONS, (C) IN COMPLIANCE WITH THE EXEMPTION FROM REGISTRATION UNDER THE SECURITIES ACT PROVIDED BY RULE 144 THEREUNDER, IF AVAILABLE, AND IN COMPLIANCE WITH ANY APPLICABLE STATE SECURITIES OR “BLUE SKY” LAWS, (D) IN A TRANSACTION THAT DOES NOT REQUIRE REGISTRATION UNDER THE SECURITIES ACT OR ANY APPLICABLE STATE SECURITIES LAWS, OR (E) PURSUANT TO AN EFFECTIVE REGISTRATION STATEMENT AND, IN THE CASE OF SUBPARAGRAPH (C) OR (D), THE SELLER FURNISHES TO THE CORPORATION AN OPINION OF COUNSEL OF RECOGNIZED STANDING OR SUCH OTHER EVIDENCE AS THE CORPORATION MAY REQUIRE IN FORM AND SUBSTANCE REASONABLY SATISFACTORY TO THE CORPORATION TO SUCH EFFECT. NOTWITHSTANDING THE FOREGOING, THE SECURITIES MAY BE PLEDGED IN CONNECTION WITH A BONA FIDE MARGIN ACCOUNT OR OTHER LOAN OR FINANCING ARRANGEMENT SECURED BY THE SECURITIES. DELIVERY OF THIS CERTIFICATE MAY NOT CONSTITUTE “GOOD DELIVERY” IN SETTLEMENT OF TRANSACTIONS ON STOCK EXCHANGES IN CANADA</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Convertible Note</w:t>
      </w: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2800" w:val="left"/>
        </w:tabs>
        <w:rPr>
          <w:sz w:val="20"/>
          <w:szCs w:val="20"/>
          <w:color w:val="auto"/>
        </w:rPr>
      </w:pPr>
      <w:r>
        <w:rPr>
          <w:rFonts w:ascii="Times New Roman" w:cs="Times New Roman" w:eastAsia="Times New Roman" w:hAnsi="Times New Roman"/>
          <w:sz w:val="22"/>
          <w:szCs w:val="22"/>
          <w:b w:val="1"/>
          <w:bCs w:val="1"/>
          <w:color w:val="auto"/>
        </w:rPr>
        <w:t>Original Principal Amount:</w:t>
      </w:r>
      <w:r>
        <w:rPr>
          <w:sz w:val="20"/>
          <w:szCs w:val="20"/>
          <w:color w:val="auto"/>
        </w:rPr>
        <w:tab/>
      </w:r>
      <w:r>
        <w:rPr>
          <w:rFonts w:ascii="Times New Roman" w:cs="Times New Roman" w:eastAsia="Times New Roman" w:hAnsi="Times New Roman"/>
          <w:sz w:val="21"/>
          <w:szCs w:val="21"/>
          <w:b w:val="1"/>
          <w:bCs w:val="1"/>
          <w:color w:val="auto"/>
        </w:rPr>
        <w:t>$50,000,000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Issuance Date: June 30,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CYBN-1</w:t>
      </w:r>
    </w:p>
    <w:p>
      <w:pPr>
        <w:spacing w:after="0" w:line="19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FOR VALUE RECEIVED, </w:t>
      </w:r>
      <w:r>
        <w:rPr>
          <w:rFonts w:ascii="Times New Roman" w:cs="Times New Roman" w:eastAsia="Times New Roman" w:hAnsi="Times New Roman"/>
          <w:sz w:val="22"/>
          <w:szCs w:val="22"/>
          <w:color w:val="auto"/>
        </w:rPr>
        <w:t>CYBIN INC., a corporation organized under the Business Corporations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(Ontario)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promises to pay to the order of High Trail Special Situations LLC, 290 Harbor Drive, 3rd Floor Stamford, CT 06902 Attn: Capital Solutions or its registered assigns (the “</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the amount set out above as the Original Principal Amount (or such lesser amount as reduced pursuant to the terms hereof pursuant to repayment, redemption, conversion or otherwise, the “</w:t>
      </w:r>
      <w:r>
        <w:rPr>
          <w:rFonts w:ascii="Times New Roman" w:cs="Times New Roman" w:eastAsia="Times New Roman" w:hAnsi="Times New Roman"/>
          <w:sz w:val="22"/>
          <w:szCs w:val="22"/>
          <w:b w:val="1"/>
          <w:bCs w:val="1"/>
          <w:color w:val="auto"/>
        </w:rPr>
        <w:t>Principal</w:t>
      </w:r>
      <w:r>
        <w:rPr>
          <w:rFonts w:ascii="Times New Roman" w:cs="Times New Roman" w:eastAsia="Times New Roman" w:hAnsi="Times New Roman"/>
          <w:sz w:val="22"/>
          <w:szCs w:val="22"/>
          <w:color w:val="auto"/>
        </w:rPr>
        <w:t>”) and the Payment Premium (as defined below), in each case when due, and to pay Pre-Paid Interest Amount (as defined below), whether upon the Maturity Date or acceleration, conversion, redemption or otherwise (in each case in accordance with the terms hereof). The</w:t>
      </w:r>
    </w:p>
    <w:p>
      <w:pPr>
        <w:sectPr>
          <w:pgSz w:w="11900" w:h="16838" w:orient="portrait"/>
          <w:cols w:equalWidth="0" w:num="1">
            <w:col w:w="11240"/>
          </w:cols>
          <w:pgMar w:left="320" w:top="1440" w:right="339" w:bottom="1440" w:gutter="0" w:footer="0" w:header="0"/>
        </w:sectPr>
      </w:pPr>
    </w:p>
    <w:bookmarkStart w:id="55" w:name="page56"/>
    <w:bookmarkEnd w:id="55"/>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Date</w:t>
      </w:r>
      <w:r>
        <w:rPr>
          <w:rFonts w:ascii="Times New Roman" w:cs="Times New Roman" w:eastAsia="Times New Roman" w:hAnsi="Times New Roman"/>
          <w:sz w:val="22"/>
          <w:szCs w:val="22"/>
          <w:color w:val="auto"/>
        </w:rPr>
        <w:t>” is the date of the first issuance of this Convertible Note (as amended, amended and restated, extended, supplemented or otherwise modified in writing from time to time, this “</w:t>
      </w: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regardless of the number of transfers and regardless of the number of instruments, which may be issued to evidence such Note. This Note was originally issued pursuant to the Securities Purchase Agreement dated as of June 30, 2025, between the Company and High Trail Special Situations LLC (as it may be amended from time to time, the “</w:t>
      </w:r>
      <w:r>
        <w:rPr>
          <w:rFonts w:ascii="Times New Roman" w:cs="Times New Roman" w:eastAsia="Times New Roman" w:hAnsi="Times New Roman"/>
          <w:sz w:val="22"/>
          <w:szCs w:val="22"/>
          <w:b w:val="1"/>
          <w:bCs w:val="1"/>
          <w:color w:val="auto"/>
        </w:rPr>
        <w:t>Securities Purchase Agreement</w:t>
      </w:r>
      <w:r>
        <w:rPr>
          <w:rFonts w:ascii="Times New Roman" w:cs="Times New Roman" w:eastAsia="Times New Roman" w:hAnsi="Times New Roman"/>
          <w:sz w:val="22"/>
          <w:szCs w:val="22"/>
          <w:color w:val="auto"/>
        </w:rPr>
        <w:t>”). Certain capitalized terms used herein are defined in Section 14 and the Purchase Agreement.</w:t>
      </w:r>
    </w:p>
    <w:p>
      <w:pPr>
        <w:spacing w:after="0" w:line="148" w:lineRule="exact"/>
        <w:rPr>
          <w:sz w:val="20"/>
          <w:szCs w:val="20"/>
          <w:color w:val="auto"/>
        </w:rPr>
      </w:pPr>
    </w:p>
    <w:p>
      <w:pPr>
        <w:ind w:left="1280" w:hanging="624"/>
        <w:spacing w:after="0"/>
        <w:tabs>
          <w:tab w:leader="none" w:pos="128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TERMS</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21" w:lineRule="auto"/>
        <w:tabs>
          <w:tab w:leader="none" w:pos="194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Maturity Date. </w:t>
      </w:r>
      <w:r>
        <w:rPr>
          <w:rFonts w:ascii="Times New Roman" w:cs="Times New Roman" w:eastAsia="Times New Roman" w:hAnsi="Times New Roman"/>
          <w:sz w:val="22"/>
          <w:szCs w:val="22"/>
          <w:color w:val="auto"/>
        </w:rPr>
        <w:t>On the Maturity Date, the Company shall pay to the Holder an amount in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representing all outstanding Principal and any other amounts outstanding pursuant to the terms of this Note, if any. The “</w:t>
      </w:r>
      <w:r>
        <w:rPr>
          <w:rFonts w:ascii="Times New Roman" w:cs="Times New Roman" w:eastAsia="Times New Roman" w:hAnsi="Times New Roman"/>
          <w:sz w:val="22"/>
          <w:szCs w:val="22"/>
          <w:b w:val="1"/>
          <w:bCs w:val="1"/>
          <w:color w:val="auto"/>
        </w:rPr>
        <w:t>Maturity Date</w:t>
      </w:r>
      <w:r>
        <w:rPr>
          <w:rFonts w:ascii="Times New Roman" w:cs="Times New Roman" w:eastAsia="Times New Roman" w:hAnsi="Times New Roman"/>
          <w:sz w:val="22"/>
          <w:szCs w:val="22"/>
          <w:color w:val="auto"/>
        </w:rPr>
        <w:t>” shall be June 30, 2027. Other than as specifically permitted by this Note, the Company may not prepay or redeem any portion of the outstanding Principal.</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Pre-Paid Interest</w:t>
      </w:r>
      <w:r>
        <w:rPr>
          <w:rFonts w:ascii="Times New Roman" w:cs="Times New Roman" w:eastAsia="Times New Roman" w:hAnsi="Times New Roman"/>
          <w:sz w:val="22"/>
          <w:szCs w:val="22"/>
          <w:color w:val="auto"/>
        </w:rPr>
        <w:t>. The Company shall pay to the Holder on the Issuance Date the Pre-Paid Interest</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w:t>
      </w:r>
    </w:p>
    <w:p>
      <w:pPr>
        <w:spacing w:after="0" w:line="151" w:lineRule="exact"/>
        <w:rPr>
          <w:rFonts w:ascii="Times New Roman" w:cs="Times New Roman" w:eastAsia="Times New Roman" w:hAnsi="Times New Roman"/>
          <w:sz w:val="22"/>
          <w:szCs w:val="22"/>
          <w:color w:val="auto"/>
        </w:rPr>
      </w:pPr>
    </w:p>
    <w:p>
      <w:pPr>
        <w:jc w:val="both"/>
        <w:ind w:firstLine="1304"/>
        <w:spacing w:after="0" w:line="216" w:lineRule="auto"/>
        <w:tabs>
          <w:tab w:leader="none" w:pos="194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Default Interest. </w:t>
      </w:r>
      <w:r>
        <w:rPr>
          <w:rFonts w:ascii="Times New Roman" w:cs="Times New Roman" w:eastAsia="Times New Roman" w:hAnsi="Times New Roman"/>
          <w:sz w:val="22"/>
          <w:szCs w:val="22"/>
          <w:color w:val="auto"/>
        </w:rPr>
        <w:t>Upon the occurrence of an Event of Default (defined below), interest shall accrue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Principal balance at an annual rate of 18% (“</w:t>
      </w:r>
      <w:r>
        <w:rPr>
          <w:rFonts w:ascii="Times New Roman" w:cs="Times New Roman" w:eastAsia="Times New Roman" w:hAnsi="Times New Roman"/>
          <w:sz w:val="22"/>
          <w:szCs w:val="22"/>
          <w:b w:val="1"/>
          <w:bCs w:val="1"/>
          <w:color w:val="auto"/>
        </w:rPr>
        <w:t>Default Interest</w:t>
      </w:r>
      <w:r>
        <w:rPr>
          <w:rFonts w:ascii="Times New Roman" w:cs="Times New Roman" w:eastAsia="Times New Roman" w:hAnsi="Times New Roman"/>
          <w:sz w:val="22"/>
          <w:szCs w:val="22"/>
          <w:color w:val="auto"/>
        </w:rPr>
        <w:t>”), from and including the date of such Event of Default and to the date such Event of Default is cured and all outstanding Default Interest is paid. Default Interest shall be calculated based on a 360-day year and the actual number of days elapsed, to the extent permitted by applicable law and will be payable in arrears on the earlier of (i) the first day of each calendar month, (ii) the date such Event of Default is cured, and (iii) the date on which any portion of the outstanding Principal of this Note is reduced or otherwise retired.</w:t>
      </w:r>
    </w:p>
    <w:p>
      <w:pPr>
        <w:spacing w:after="0" w:line="145"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Amortization Event. </w:t>
      </w:r>
      <w:r>
        <w:rPr>
          <w:rFonts w:ascii="Times New Roman" w:cs="Times New Roman" w:eastAsia="Times New Roman" w:hAnsi="Times New Roman"/>
          <w:sz w:val="21"/>
          <w:szCs w:val="21"/>
          <w:color w:val="auto"/>
        </w:rPr>
        <w:t>If, any time after the Issuance Date set forth above, and from time to time thereafter,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Amortization Event has occurred, then the Company shall make monthly cash payments beginning on the fourteenth Trading Day after the Amortization Event Date and continuing on the same day of each successive calendar month (each, an “</w:t>
      </w:r>
      <w:r>
        <w:rPr>
          <w:rFonts w:ascii="Times New Roman" w:cs="Times New Roman" w:eastAsia="Times New Roman" w:hAnsi="Times New Roman"/>
          <w:sz w:val="21"/>
          <w:szCs w:val="21"/>
          <w:b w:val="1"/>
          <w:bCs w:val="1"/>
          <w:color w:val="auto"/>
        </w:rPr>
        <w:t>Amortization Event Payment Date</w:t>
      </w:r>
      <w:r>
        <w:rPr>
          <w:rFonts w:ascii="Times New Roman" w:cs="Times New Roman" w:eastAsia="Times New Roman" w:hAnsi="Times New Roman"/>
          <w:sz w:val="21"/>
          <w:szCs w:val="21"/>
          <w:color w:val="auto"/>
        </w:rPr>
        <w:t xml:space="preserve">”) until the entire outstanding amounts shall have been repaid. Each monthly cash payment shall be in an amount equal to the sum of (i) the Amortization Principal Amount,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the applicable Payment Premium in respect of such Amortization Principal Amount (the “Amortization Amount”). The obligation of the Company to make monthly cash payments related to an Amortization Event shall cease (with respect to any payment that has not yet come due) if at any time after the Amortization Event Date, the condition or event causing the Amortization Event has been cured or the Holder is able to resell the Common Shares issuable upon conversion of this Note in accordance with Rule 144 under the Securities Act, unless a subsequent Amortization Event occurs. Notwithstanding any provision of this Section 1(d) to the contrary, the Holder may, at its option and in its sole discretion, deliver a written notice to the Company no later than the Trading Day immediately prior to the applicable Amortization Event Payment Date electing to have the payment of all or any portion of such Amortization Amount payable on such Amortization Event Payment Date deferred to the next subsequent Amortization Event Payment Date.</w:t>
      </w:r>
    </w:p>
    <w:p>
      <w:pPr>
        <w:spacing w:after="0" w:line="146" w:lineRule="exact"/>
        <w:rPr>
          <w:rFonts w:ascii="Times New Roman" w:cs="Times New Roman" w:eastAsia="Times New Roman" w:hAnsi="Times New Roman"/>
          <w:sz w:val="21"/>
          <w:szCs w:val="21"/>
          <w:color w:val="auto"/>
        </w:rPr>
      </w:pPr>
    </w:p>
    <w:p>
      <w:pPr>
        <w:jc w:val="both"/>
        <w:ind w:firstLine="1304"/>
        <w:spacing w:after="0" w:line="227" w:lineRule="auto"/>
        <w:tabs>
          <w:tab w:leader="none" w:pos="194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Optional Prepayment. </w:t>
      </w:r>
      <w:r>
        <w:rPr>
          <w:rFonts w:ascii="Times New Roman" w:cs="Times New Roman" w:eastAsia="Times New Roman" w:hAnsi="Times New Roman"/>
          <w:sz w:val="22"/>
          <w:szCs w:val="22"/>
          <w:color w:val="auto"/>
        </w:rPr>
        <w:t>So long as no Event of Default has occurred and is continuing (or, after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passage of time or both, would be an Event of Default), the Company at its option shall have the right, but not the obligation, to prepay (“</w:t>
      </w:r>
      <w:r>
        <w:rPr>
          <w:rFonts w:ascii="Times New Roman" w:cs="Times New Roman" w:eastAsia="Times New Roman" w:hAnsi="Times New Roman"/>
          <w:sz w:val="22"/>
          <w:szCs w:val="22"/>
          <w:b w:val="1"/>
          <w:bCs w:val="1"/>
          <w:color w:val="auto"/>
        </w:rPr>
        <w:t>Optional</w:t>
      </w:r>
    </w:p>
    <w:p>
      <w:pPr>
        <w:sectPr>
          <w:pgSz w:w="11900" w:h="16838" w:orient="portrait"/>
          <w:cols w:equalWidth="0" w:num="1">
            <w:col w:w="11240"/>
          </w:cols>
          <w:pgMar w:left="320" w:top="1418" w:right="339" w:bottom="1440" w:gutter="0" w:footer="0" w:header="0"/>
        </w:sectPr>
      </w:pPr>
    </w:p>
    <w:bookmarkStart w:id="56" w:name="page57"/>
    <w:bookmarkEnd w:id="56"/>
    <w:p>
      <w:pPr>
        <w:jc w:val="both"/>
        <w:spacing w:after="0" w:line="210" w:lineRule="auto"/>
        <w:rPr>
          <w:sz w:val="20"/>
          <w:szCs w:val="20"/>
          <w:color w:val="auto"/>
        </w:rPr>
      </w:pPr>
      <w:r>
        <w:rPr>
          <w:rFonts w:ascii="Times New Roman" w:cs="Times New Roman" w:eastAsia="Times New Roman" w:hAnsi="Times New Roman"/>
          <w:sz w:val="22"/>
          <w:szCs w:val="22"/>
          <w:b w:val="1"/>
          <w:bCs w:val="1"/>
          <w:color w:val="auto"/>
        </w:rPr>
        <w:t>Prepayment</w:t>
      </w:r>
      <w:r>
        <w:rPr>
          <w:rFonts w:ascii="Times New Roman" w:cs="Times New Roman" w:eastAsia="Times New Roman" w:hAnsi="Times New Roman"/>
          <w:sz w:val="22"/>
          <w:szCs w:val="22"/>
          <w:color w:val="auto"/>
        </w:rPr>
        <w:t>”) early a portion or all amounts outstanding under this Note as described in this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provides the Holder with written notice (each, a “</w:t>
      </w:r>
      <w:r>
        <w:rPr>
          <w:rFonts w:ascii="Times New Roman" w:cs="Times New Roman" w:eastAsia="Times New Roman" w:hAnsi="Times New Roman"/>
          <w:sz w:val="22"/>
          <w:szCs w:val="22"/>
          <w:b w:val="1"/>
          <w:bCs w:val="1"/>
          <w:color w:val="auto"/>
        </w:rPr>
        <w:t>Prepayment Notice</w:t>
      </w:r>
      <w:r>
        <w:rPr>
          <w:rFonts w:ascii="Times New Roman" w:cs="Times New Roman" w:eastAsia="Times New Roman" w:hAnsi="Times New Roman"/>
          <w:sz w:val="22"/>
          <w:szCs w:val="22"/>
          <w:color w:val="auto"/>
        </w:rPr>
        <w:t>”) of its desire to exercise an Optional Prepayment, which Prepayment Notice shall be delivered to the Holder after the close of regular trading hours on a Trading Day. Each Prepayment Notice shall be irrevocable and shall specify the outstanding balance of the Note to be prepaid and the Prepayment Amount. The “</w:t>
      </w:r>
      <w:r>
        <w:rPr>
          <w:rFonts w:ascii="Times New Roman" w:cs="Times New Roman" w:eastAsia="Times New Roman" w:hAnsi="Times New Roman"/>
          <w:sz w:val="22"/>
          <w:szCs w:val="22"/>
          <w:b w:val="1"/>
          <w:bCs w:val="1"/>
          <w:color w:val="auto"/>
        </w:rPr>
        <w:t>Prepayment Amount</w:t>
      </w:r>
      <w:r>
        <w:rPr>
          <w:rFonts w:ascii="Times New Roman" w:cs="Times New Roman" w:eastAsia="Times New Roman" w:hAnsi="Times New Roman"/>
          <w:sz w:val="22"/>
          <w:szCs w:val="22"/>
          <w:color w:val="auto"/>
        </w:rPr>
        <w:t xml:space="preserve">” shall be an amount equal to (a) the outstanding Principal balance being prepaid by the Company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applicable Payment Premium in respect of such Principal amount. After receipt of a Prepayment Notice, the Holder shall have ten Trading Days (beginning with the Trading Day immediately following the date such Prepayment Notice is delivered to the Holder in accordance with this term of this Section 1(e) to elect to convert all or any portion of this Note. On the eleventh Trading Day following the delivery of the applicable Prepayment Notice, the Company shall deliver to the Holder the Prepayment Amount with respect to the Principal amount redeemed to the extent not converted and otherwise after giving effect to conversions or other payments made during such ten Trading Day period.</w:t>
      </w:r>
    </w:p>
    <w:p>
      <w:pPr>
        <w:spacing w:after="0" w:line="161" w:lineRule="exact"/>
        <w:rPr>
          <w:sz w:val="20"/>
          <w:szCs w:val="20"/>
          <w:color w:val="auto"/>
        </w:rPr>
      </w:pPr>
    </w:p>
    <w:p>
      <w:pPr>
        <w:ind w:firstLine="1304"/>
        <w:spacing w:after="0" w:line="236" w:lineRule="auto"/>
        <w:tabs>
          <w:tab w:leader="none" w:pos="195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specifically set forth in this Note, the Company shall not have the ability to make any early repayments without the consent of or at the request of the Holder.</w:t>
      </w:r>
    </w:p>
    <w:p>
      <w:pPr>
        <w:spacing w:after="0" w:line="146" w:lineRule="exact"/>
        <w:rPr>
          <w:rFonts w:ascii="Times New Roman" w:cs="Times New Roman" w:eastAsia="Times New Roman" w:hAnsi="Times New Roman"/>
          <w:sz w:val="22"/>
          <w:szCs w:val="22"/>
          <w:color w:val="auto"/>
        </w:rPr>
      </w:pPr>
    </w:p>
    <w:p>
      <w:pPr>
        <w:ind w:firstLine="1304"/>
        <w:spacing w:after="0" w:line="238" w:lineRule="auto"/>
        <w:tabs>
          <w:tab w:leader="none" w:pos="195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Payment Dates. </w:t>
      </w:r>
      <w:r>
        <w:rPr>
          <w:rFonts w:ascii="Times New Roman" w:cs="Times New Roman" w:eastAsia="Times New Roman" w:hAnsi="Times New Roman"/>
          <w:sz w:val="22"/>
          <w:szCs w:val="22"/>
          <w:color w:val="auto"/>
        </w:rPr>
        <w:t>Whenever any payment or other obligation hereunder shall be due on a day other than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Day, such payment shall be made on the next succeeding Business Day.</w:t>
      </w:r>
    </w:p>
    <w:p>
      <w:pPr>
        <w:spacing w:after="0" w:line="146"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3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Withholding Tax. </w:t>
      </w:r>
      <w:r>
        <w:rPr>
          <w:rFonts w:ascii="Times New Roman" w:cs="Times New Roman" w:eastAsia="Times New Roman" w:hAnsi="Times New Roman"/>
          <w:sz w:val="22"/>
          <w:szCs w:val="22"/>
          <w:color w:val="auto"/>
        </w:rPr>
        <w:t>All amounts paid or credited or deemed to have been paid or credited by or on behalf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under or with respect to this Note or any other Transaction Document (including, without limitation, any penalties, interest and other liabilities related thereto) will be made free and clear of and without withholding, or deduction for, or on account of, any present or future tax, duty, levy, impost, assessment or other governmental charge (including, without limitation, penalties, interest and other liabilities related hereto) imposed or levied by or on behalf of the Government of Canada or elsewhere, or of any province or territory thereof or by any authority or agency therein or thereof having power to tax (“</w:t>
      </w:r>
      <w:r>
        <w:rPr>
          <w:rFonts w:ascii="Times New Roman" w:cs="Times New Roman" w:eastAsia="Times New Roman" w:hAnsi="Times New Roman"/>
          <w:sz w:val="22"/>
          <w:szCs w:val="22"/>
          <w:b w:val="1"/>
          <w:bCs w:val="1"/>
          <w:color w:val="auto"/>
        </w:rPr>
        <w:t>Withholding Taxes</w:t>
      </w:r>
      <w:r>
        <w:rPr>
          <w:rFonts w:ascii="Times New Roman" w:cs="Times New Roman" w:eastAsia="Times New Roman" w:hAnsi="Times New Roman"/>
          <w:sz w:val="22"/>
          <w:szCs w:val="22"/>
          <w:color w:val="auto"/>
        </w:rPr>
        <w:t>”), unless the Company is required by law or the interpretation or administration thereof, to withhold or deduct any amounts for, or on account of Withholding Taxes. If the Company determines, in its sole and absolute discretion, that it is so required to withhold or deduct any amount for, or on account of, Withholding Taxes from any amount paid or credited or deemed to have been be paid or credited under or with respect to this Note or any other Transaction Document, the Company shall deduct and withhold such Withholding Taxes from any amount paid or credited or deemed to have been paid or credited under or with respect to this Note or any other Transaction Document and, provided that the Company forthwith remits such amount to the relevant governmental authority or agency, the amount of any such deduction or withholding will be considered an amount paid in satisfaction of the Company’s obligations under this Note or any other Transaction Document. There is no obligation on the Company to gross-up or pay any additional amounts to any holder of this Note or to any party under any other Transaction Document in respect of such deductions or withholdings. For greater certainty, if any amount is required to be deducted or withheld in respect of Withholding Taxes upon a conversion of this Note, the Company shall be entitled to liquidate (whether directly or through a broker) such number of Common Shares (or other securities) otherwise issuable as a result of such conversion as shall be necessary in order to satisfy such requirement plus any broker or other fees associated with such liquidation. The Company shall provide the applicable holder of this Note with</w:t>
      </w:r>
    </w:p>
    <w:p>
      <w:pPr>
        <w:sectPr>
          <w:pgSz w:w="11900" w:h="16838" w:orient="portrait"/>
          <w:cols w:equalWidth="0" w:num="1">
            <w:col w:w="11240"/>
          </w:cols>
          <w:pgMar w:left="320" w:top="1391" w:right="339" w:bottom="1440" w:gutter="0" w:footer="0" w:header="0"/>
        </w:sectPr>
      </w:pPr>
    </w:p>
    <w:bookmarkStart w:id="57" w:name="page58"/>
    <w:bookmarkEnd w:id="57"/>
    <w:p>
      <w:pPr>
        <w:jc w:val="both"/>
        <w:spacing w:after="0" w:line="217" w:lineRule="auto"/>
        <w:rPr>
          <w:sz w:val="20"/>
          <w:szCs w:val="20"/>
          <w:color w:val="auto"/>
        </w:rPr>
      </w:pPr>
      <w:r>
        <w:rPr>
          <w:rFonts w:ascii="Times New Roman" w:cs="Times New Roman" w:eastAsia="Times New Roman" w:hAnsi="Times New Roman"/>
          <w:sz w:val="22"/>
          <w:szCs w:val="22"/>
          <w:color w:val="auto"/>
        </w:rPr>
        <w:t>copies of receipts or other communications relating to the remittance of such withheld amount or the filing of any forms received from such government authority or agency promptly after receipt thereof. Each holder of this Note and each relevant party shall indemnify and hold the Company harmless from any loss, interest, penalties, tax or other amounts for which the Company may be liable for any failure to deduct, withhold or remit Withholding Taxes in connection with any amount paid or credited or deemed to have been paid or credited under this Note or any other Transaction Document.</w:t>
      </w:r>
    </w:p>
    <w:p>
      <w:pPr>
        <w:spacing w:after="0" w:line="148" w:lineRule="exact"/>
        <w:rPr>
          <w:sz w:val="20"/>
          <w:szCs w:val="20"/>
          <w:color w:val="auto"/>
        </w:rPr>
      </w:pPr>
    </w:p>
    <w:p>
      <w:pPr>
        <w:ind w:left="1280" w:hanging="624"/>
        <w:spacing w:after="0"/>
        <w:tabs>
          <w:tab w:leader="none" w:pos="128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EVENTS OF DEFAULT.</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27" w:lineRule="auto"/>
        <w:tabs>
          <w:tab w:leader="none" w:pos="194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 shall have occurred:</w:t>
      </w:r>
    </w:p>
    <w:p>
      <w:pPr>
        <w:spacing w:after="0" w:line="150" w:lineRule="exact"/>
        <w:rPr>
          <w:sz w:val="20"/>
          <w:szCs w:val="20"/>
          <w:color w:val="auto"/>
        </w:rPr>
      </w:pPr>
    </w:p>
    <w:p>
      <w:pPr>
        <w:jc w:val="both"/>
        <w:ind w:firstLine="1304"/>
        <w:spacing w:after="0" w:line="225" w:lineRule="auto"/>
        <w:tabs>
          <w:tab w:leader="none" w:pos="194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failure to pay to the Holder any amount of Principal, Prepayment Amount, Payment Premium, Pre-Paid Interest Amount, or other amounts when and as due under this Note or any other Transaction Document and within five (5) Trading Days after such payment is due;</w:t>
      </w:r>
    </w:p>
    <w:p>
      <w:pPr>
        <w:spacing w:after="0" w:line="152"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3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Company or any Subsidiary of the Company shall commence, or there shall be commenced against the Company or any Subsidiary of the Company, any proceeding under any applicable bankruptcy or insolvency laws as now or hereafter in effect or any successor thereto, or the Company or any Subsidiary of the Company commences any other proceeding under any reorganization, arrangement, adjustment of debt, relief of debtors, dissolution, insolvency or liquidation or similar law of any jurisdiction whether now or hereafter in effect relating to the Company or any Subsidiary of the Company, in any such bankruptcy, insolvency or other proceeding which remains undismissed for a period of sixty one (61) days; (B) the Company or any Subsidiary of the Company is adjudicated insolvent or bankrupt; (C) any order of relief or other order approving any such case or proceeding is entered; (D) the Company or any Subsidiary of the Company suffers any appointment of any custodian, private or court appointed receiver or the like for it or all or substantially all of its property which continues undischarged or unstayed for a period of sixty one (61) days; (E) the Company or any Subsidiary of the Company makes a general assignment of all or substantially all of its assets for the benefit of creditors; (F) the Company or any Subsidiary of the Company shall fail to pay or shall state that it is unable to pay its debts generally as they become due; (G) the Company or any Subsidiary of the Company shall call a meeting of its creditors with a view to arranging a composition, adjustment or restructuring of its debts; (H) the Company or any Subsidiary of the Company shall by any act or failure to act expressly indicate its consent to, approval of or acquiescence in any of the foregoing; or (I) any corporate or other action is taken by the Company or any Subsidiary of the Company for the purpose of effecting any of the foregoing;</w:t>
      </w:r>
    </w:p>
    <w:p>
      <w:pPr>
        <w:spacing w:after="0" w:line="164"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Subsidiary of the Company shall default in any of its obligations under any note, Note,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or any Subsidiary of the Company in an amount exceeding $10,000,000, whether such indebtedness now exists or shall hereafter be created and such default is not cured within the time prescribed by the documents governing such indebtedness or if no time is</w:t>
      </w:r>
    </w:p>
    <w:p>
      <w:pPr>
        <w:sectPr>
          <w:pgSz w:w="11900" w:h="16838" w:orient="portrait"/>
          <w:cols w:equalWidth="0" w:num="1">
            <w:col w:w="11240"/>
          </w:cols>
          <w:pgMar w:left="320" w:top="1395" w:right="339" w:bottom="1440" w:gutter="0" w:footer="0" w:header="0"/>
        </w:sectPr>
      </w:pPr>
    </w:p>
    <w:bookmarkStart w:id="58" w:name="page59"/>
    <w:bookmarkEnd w:id="58"/>
    <w:p>
      <w:pPr>
        <w:jc w:val="both"/>
        <w:spacing w:after="0" w:line="225" w:lineRule="auto"/>
        <w:rPr>
          <w:sz w:val="20"/>
          <w:szCs w:val="20"/>
          <w:color w:val="auto"/>
        </w:rPr>
      </w:pPr>
      <w:r>
        <w:rPr>
          <w:rFonts w:ascii="Times New Roman" w:cs="Times New Roman" w:eastAsia="Times New Roman" w:hAnsi="Times New Roman"/>
          <w:sz w:val="22"/>
          <w:szCs w:val="22"/>
          <w:color w:val="auto"/>
        </w:rPr>
        <w:t>prescribed, within thirty (30) days, and as a result, such indebtedness becomes or is declared due and payable before its stated maturity and such acceleration shall not have been rescinded or annulled or such default shall not have been cured or waived, or such indebtedness is not paid or discharged;</w:t>
      </w:r>
    </w:p>
    <w:p>
      <w:pPr>
        <w:spacing w:after="0" w:line="152" w:lineRule="exact"/>
        <w:rPr>
          <w:sz w:val="20"/>
          <w:szCs w:val="20"/>
          <w:color w:val="auto"/>
        </w:rPr>
      </w:pPr>
    </w:p>
    <w:p>
      <w:pPr>
        <w:ind w:right="20" w:firstLine="1304"/>
        <w:spacing w:after="0" w:line="236" w:lineRule="auto"/>
        <w:tabs>
          <w:tab w:leader="none" w:pos="193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Shares shall cease to be quoted or listed for trading, as applicable, on any Principal U.S. Market for a period of ten (10) consecutive Trading Days;</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a party to any Change of Control Transaction unless in connection with such Change of Control Transaction this Note is retired;</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5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 failure to deliver the required number of Common Shares to the Holder within two (2) Trading Days after the applicable Share Delivery Date or (B) notice, written or oral, to any holder of the Note, including by way of public announcement, at any time, of its intention not to comply with a request for conversion of all or a portion of this Note into Common Shares that is tendered in accordance with the provisions of this Note;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5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fail for any reason to deliver the payment in cash pursuant to a Buy-In (as defined below) within five (5) Business Days after such payment is due;</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failure to timely file with the Commission any Periodic Report on or before the due date of such filing as established by the Commission, it being understood, for the avoidance of doubt, that due date includes any permitted filing deadline extension under Rule 12b-25 under the Exchange Act, if such failure is not cured within five (5) Business Days;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5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representation or warranty made or deemed to be made by or on behalf of the Company in or in connection with any Transaction Document, or any waiver hereunder or thereunder, shall prove to have been incorrect in any material respect (or, in the case of any such representation or warranty already qualified by materiality, such representation or warranty shall prove to have been incorrect) when made or deemed made;</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5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material provision of any Transaction Document, at any time after its execution and delivery and for any reason other than as expressly permitted hereunder or thereunder, ceases to be in full force and effect; (B) the Company contests in writing the validity or enforceability of any provision of any Transaction Document; or (C) the Company denies in writing that it has any or further liability or obligation under any Transaction Document, or purports in writing to revoke, terminate (other than in accordance with the relevant termination provisions) or rescind any Transaction Document;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5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uses the proceeds of the issuance of this Note, whether directly or indirectly, and whether immediately, incidentally or ultimately, to purchase or carry margin stock (within the meaning of Regulations T, U and X of the Federal Reserve Board, as in effect from time to time and all official rulings and interpretations thereunder or thereof), or to extend credit to others for the purpose of purchasing or carrying margin stock or to refund indebtedness originally incurred for such purpose;</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5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cease trade order (including a management cease trade order), or any other order, decree, ruling or injunction, is issued by any Governmental Entity or court</w:t>
      </w:r>
    </w:p>
    <w:p>
      <w:pPr>
        <w:sectPr>
          <w:pgSz w:w="11900" w:h="16838" w:orient="portrait"/>
          <w:cols w:equalWidth="0" w:num="1">
            <w:col w:w="11240"/>
          </w:cols>
          <w:pgMar w:left="320" w:top="1395" w:right="339" w:bottom="1440" w:gutter="0" w:footer="0" w:header="0"/>
        </w:sectPr>
      </w:pPr>
    </w:p>
    <w:bookmarkStart w:id="59" w:name="page60"/>
    <w:bookmarkEnd w:id="59"/>
    <w:p>
      <w:pPr>
        <w:jc w:val="both"/>
        <w:spacing w:after="0" w:line="225" w:lineRule="auto"/>
        <w:rPr>
          <w:sz w:val="20"/>
          <w:szCs w:val="20"/>
          <w:color w:val="auto"/>
        </w:rPr>
      </w:pPr>
      <w:r>
        <w:rPr>
          <w:rFonts w:ascii="Times New Roman" w:cs="Times New Roman" w:eastAsia="Times New Roman" w:hAnsi="Times New Roman"/>
          <w:sz w:val="22"/>
          <w:szCs w:val="22"/>
          <w:color w:val="auto"/>
        </w:rPr>
        <w:t>ordering the cessation of trading of the Common Shares, precluding the Holder from converting any portion of this Note into Underlying Shares, or completing any resale of Underlying Shares or prohibiting, impeding, or interfering in any material way with the exercise of any of the Investor’s rights under this Note</w:t>
      </w:r>
    </w:p>
    <w:p>
      <w:pPr>
        <w:spacing w:after="0" w:line="152" w:lineRule="exact"/>
        <w:rPr>
          <w:sz w:val="20"/>
          <w:szCs w:val="20"/>
          <w:color w:val="auto"/>
        </w:rPr>
      </w:pPr>
    </w:p>
    <w:p>
      <w:pPr>
        <w:jc w:val="both"/>
        <w:ind w:firstLine="1304"/>
        <w:spacing w:after="0" w:line="220" w:lineRule="auto"/>
        <w:tabs>
          <w:tab w:leader="none" w:pos="194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of Default (as defined in the Other Notes or in any Transaction Document other than this Note) occurs with respect to any Other Notes, or any breach of any material term of any other Note, note, or instrument held by the Holder in the Company or any agreement between or among the Company and the Holder and has not been cured within the applicable cure period;</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fail to observe or perform any covenant, agreement or warranty contained in, or otherwise commit any breach or default of any provision of this Note (except as may be otherwise covered by Sections 2(a)(i) through 2(a)(xiii) hereof) or any other Transaction Document, which is not cured or remedied within the time prescribed or if, in case of any agreement or warranty, no time is prescribed, within ten (10) Business Days of such breach or default; or</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Shares shall fail to be freely tradable without restriction or legend under any applicable federal or state securities laws following the Effectiveness Deadline (as defined in the Registration Rights Agreement).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time that any portion of this Note is outstanding, if any Event of Default has occurred, the Company shall within one (1) Business Day deliver written notice thereof via electronic mail and overnight courier (with next day delivery specified) (an “</w:t>
      </w:r>
      <w:r>
        <w:rPr>
          <w:rFonts w:ascii="Times New Roman" w:cs="Times New Roman" w:eastAsia="Times New Roman" w:hAnsi="Times New Roman"/>
          <w:sz w:val="21"/>
          <w:szCs w:val="21"/>
          <w:b w:val="1"/>
          <w:bCs w:val="1"/>
          <w:color w:val="auto"/>
        </w:rPr>
        <w:t>Event of Default Notice</w:t>
      </w:r>
      <w:r>
        <w:rPr>
          <w:rFonts w:ascii="Times New Roman" w:cs="Times New Roman" w:eastAsia="Times New Roman" w:hAnsi="Times New Roman"/>
          <w:sz w:val="21"/>
          <w:szCs w:val="21"/>
          <w:color w:val="auto"/>
        </w:rPr>
        <w:t>”) to the Holder. At any time after the earlier of (i) the Holder’s receipt of an Event of Default Notice and (ii) the Holder providing notice to the Company that is has become aware of an Event of Default and, if the Event of Default is cured, ending (such ending date, the “</w:t>
      </w:r>
      <w:r>
        <w:rPr>
          <w:rFonts w:ascii="Times New Roman" w:cs="Times New Roman" w:eastAsia="Times New Roman" w:hAnsi="Times New Roman"/>
          <w:sz w:val="21"/>
          <w:szCs w:val="21"/>
          <w:b w:val="1"/>
          <w:bCs w:val="1"/>
          <w:color w:val="auto"/>
        </w:rPr>
        <w:t>Event of Default Right Expiration Date</w:t>
      </w:r>
      <w:r>
        <w:rPr>
          <w:rFonts w:ascii="Times New Roman" w:cs="Times New Roman" w:eastAsia="Times New Roman" w:hAnsi="Times New Roman"/>
          <w:sz w:val="21"/>
          <w:szCs w:val="21"/>
          <w:color w:val="auto"/>
        </w:rPr>
        <w:t>”) on the date such Event of Default is cured, the Holder may require the Company to redeem (if such Event of Default has not been cured on or prior to the Event of Default Right Expiration Date) all or any portion of this Note by delivering written notice thereof (the “</w:t>
      </w:r>
      <w:r>
        <w:rPr>
          <w:rFonts w:ascii="Times New Roman" w:cs="Times New Roman" w:eastAsia="Times New Roman" w:hAnsi="Times New Roman"/>
          <w:sz w:val="21"/>
          <w:szCs w:val="21"/>
          <w:b w:val="1"/>
          <w:bCs w:val="1"/>
          <w:color w:val="auto"/>
        </w:rPr>
        <w:t>Event of Default Redemption Notice</w:t>
      </w:r>
      <w:r>
        <w:rPr>
          <w:rFonts w:ascii="Times New Roman" w:cs="Times New Roman" w:eastAsia="Times New Roman" w:hAnsi="Times New Roman"/>
          <w:sz w:val="21"/>
          <w:szCs w:val="21"/>
          <w:color w:val="auto"/>
        </w:rPr>
        <w:t>” and the date the Holder delivers such notice to the Company, the “</w:t>
      </w:r>
      <w:r>
        <w:rPr>
          <w:rFonts w:ascii="Times New Roman" w:cs="Times New Roman" w:eastAsia="Times New Roman" w:hAnsi="Times New Roman"/>
          <w:sz w:val="21"/>
          <w:szCs w:val="21"/>
          <w:b w:val="1"/>
          <w:bCs w:val="1"/>
          <w:color w:val="auto"/>
        </w:rPr>
        <w:t>Event of Default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Redemption Notice Date</w:t>
      </w:r>
      <w:r>
        <w:rPr>
          <w:rFonts w:ascii="Times New Roman" w:cs="Times New Roman" w:eastAsia="Times New Roman" w:hAnsi="Times New Roman"/>
          <w:sz w:val="21"/>
          <w:szCs w:val="21"/>
          <w:color w:val="auto"/>
        </w:rPr>
        <w:t>”) to the Company, which Event of Default Redemption Notice shall indicate the portion of this Note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Holder is electing to redeem. Each portion of this Note subject to redemption by the Company pursuant to this Section 2(b) shall be redeemed by the Company in cash, at a price equal to, at the election of the Holder given by notice pursuant to Section 5, the sum of (A) (x) the full unpaid Principal amount of this Note </w:t>
      </w:r>
      <w:r>
        <w:rPr>
          <w:rFonts w:ascii="Times New Roman" w:cs="Times New Roman" w:eastAsia="Times New Roman" w:hAnsi="Times New Roman"/>
          <w:sz w:val="21"/>
          <w:szCs w:val="21"/>
          <w:i w:val="1"/>
          <w:iCs w:val="1"/>
          <w:color w:val="auto"/>
        </w:rPr>
        <w:t>multiplied</w:t>
      </w:r>
      <w:r>
        <w:rPr>
          <w:rFonts w:ascii="Times New Roman" w:cs="Times New Roman" w:eastAsia="Times New Roman" w:hAnsi="Times New Roman"/>
          <w:sz w:val="21"/>
          <w:szCs w:val="21"/>
          <w:color w:val="auto"/>
        </w:rPr>
        <w:t xml:space="preserve"> by (y) 115% and (B) all accrued and unpaid interest thereon and all other amounts owing in respect of this Note to the date of election ; provided that, in the case of any event with respect to the Company described in Section 2(a)(ii), the sum of (A) (x) the full unpaid Principal amount of this Note, </w:t>
      </w:r>
      <w:r>
        <w:rPr>
          <w:rFonts w:ascii="Times New Roman" w:cs="Times New Roman" w:eastAsia="Times New Roman" w:hAnsi="Times New Roman"/>
          <w:sz w:val="21"/>
          <w:szCs w:val="21"/>
          <w:i w:val="1"/>
          <w:iCs w:val="1"/>
          <w:color w:val="auto"/>
        </w:rPr>
        <w:t>multiplied</w:t>
      </w:r>
      <w:r>
        <w:rPr>
          <w:rFonts w:ascii="Times New Roman" w:cs="Times New Roman" w:eastAsia="Times New Roman" w:hAnsi="Times New Roman"/>
          <w:sz w:val="21"/>
          <w:szCs w:val="21"/>
          <w:color w:val="auto"/>
        </w:rPr>
        <w:t xml:space="preserve"> by (y) 115% and (B) all accrued and unpaid interest thereon and all other amounts owing in respect of this Note to the date of acceleration shall automatically become due and payable. All such amounts payable hereunder shall be due within two (2) Trading Days following receipt of the Event of Default Redemption Notice. Furthermore, in addition to any other remedies, the Holder shall have the right (but not the obligation) to convert, on one or more occasions all or part of the Note in accordance with Section 3 (and subject to the limitations set out in Section 3(c)(i)) at any time after an Event of Default has occurred and is continuing until all amounts outstanding under this Note have been repaid in full. The Holder need not provide, and the Company hereby waives, any presentment demand, protest or other notice of any kind (other than any required notice of conversion), and the Holder may immediately enforce any and all of its rights and remedies hereunder and all</w:t>
      </w:r>
    </w:p>
    <w:p>
      <w:pPr>
        <w:sectPr>
          <w:pgSz w:w="11900" w:h="16838" w:orient="portrait"/>
          <w:cols w:equalWidth="0" w:num="1">
            <w:col w:w="11240"/>
          </w:cols>
          <w:pgMar w:left="320" w:top="1395" w:right="339" w:bottom="1440" w:gutter="0" w:footer="0" w:header="0"/>
        </w:sectPr>
      </w:pPr>
    </w:p>
    <w:bookmarkStart w:id="60" w:name="page61"/>
    <w:bookmarkEnd w:id="60"/>
    <w:p>
      <w:pPr>
        <w:jc w:val="both"/>
        <w:spacing w:after="0" w:line="225" w:lineRule="auto"/>
        <w:rPr>
          <w:sz w:val="20"/>
          <w:szCs w:val="20"/>
          <w:color w:val="auto"/>
        </w:rPr>
      </w:pPr>
      <w:r>
        <w:rPr>
          <w:rFonts w:ascii="Times New Roman" w:cs="Times New Roman" w:eastAsia="Times New Roman" w:hAnsi="Times New Roman"/>
          <w:sz w:val="22"/>
          <w:szCs w:val="22"/>
          <w:color w:val="auto"/>
        </w:rPr>
        <w:t>other remedies available to it under applicable law. Such declaration may be rescinded and annulled by the Holder in writing at any time prior to payment hereunder. No such rescission or annulment shall affect any subsequent Event of Default or impair any right consequent thereon.</w:t>
      </w:r>
    </w:p>
    <w:p>
      <w:pPr>
        <w:spacing w:after="0" w:line="148" w:lineRule="exact"/>
        <w:rPr>
          <w:sz w:val="20"/>
          <w:szCs w:val="20"/>
          <w:color w:val="auto"/>
        </w:rPr>
      </w:pPr>
    </w:p>
    <w:p>
      <w:pPr>
        <w:ind w:firstLine="656"/>
        <w:spacing w:after="0" w:line="238" w:lineRule="auto"/>
        <w:tabs>
          <w:tab w:leader="none" w:pos="1269"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CONVERSION OF NOTE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Note shall be convertible into Common Shares, on the terms and conditions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in this Section 3.</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10" w:lineRule="auto"/>
        <w:tabs>
          <w:tab w:leader="none" w:pos="1941"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Conversion Right. </w:t>
      </w:r>
      <w:r>
        <w:rPr>
          <w:rFonts w:ascii="Times New Roman" w:cs="Times New Roman" w:eastAsia="Times New Roman" w:hAnsi="Times New Roman"/>
          <w:sz w:val="22"/>
          <w:szCs w:val="22"/>
          <w:color w:val="auto"/>
        </w:rPr>
        <w:t>Subject to the limitations of Section 3(c), at any time or times on or after the Issuance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the Holder shall be entitled to convert any portion of the outstanding and unpaid Conversion Amount into fully paid and non-assessable Common Shares in accordance with Section 3(b), at the Conversion Price. The number of Common Shares issuable upon conversion of any Conversion Amount pursuant to this Section 3(a) shall be determined by dividing (x) such Conversion Amount by (y) the Conversion Price. The Company shall not issue any fraction of a Common Shares upon any conversion. All calculations under this Section 4 shall be rounded to the nearest $0.0001. If the issuance would result in the issuance of a fraction of a Common Share, the Company shall round such fraction of a Common Share down to the nearest whole Common Share. The Company shall pay any and all transfer, stamp and similar taxes that may be payable with respect to the issuance and delivery of Common Shares upon conversion of any Conversion Amount, unless such taxes are due because the Holder requests such Common Shares to be issued in a name other than the Holder’s name, in which case the Holder shall pay such taxes.</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Mechanics of Conversion.</w:t>
      </w:r>
    </w:p>
    <w:p>
      <w:pPr>
        <w:spacing w:after="0" w:line="179" w:lineRule="exact"/>
        <w:rPr>
          <w:sz w:val="20"/>
          <w:szCs w:val="20"/>
          <w:color w:val="auto"/>
        </w:rPr>
      </w:pPr>
    </w:p>
    <w:p>
      <w:pPr>
        <w:jc w:val="both"/>
        <w:ind w:firstLine="1304"/>
        <w:spacing w:after="0" w:line="215" w:lineRule="auto"/>
        <w:tabs>
          <w:tab w:leader="none" w:pos="1941"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Optional Conversion. </w:t>
      </w:r>
      <w:r>
        <w:rPr>
          <w:rFonts w:ascii="Times New Roman" w:cs="Times New Roman" w:eastAsia="Times New Roman" w:hAnsi="Times New Roman"/>
          <w:sz w:val="21"/>
          <w:szCs w:val="21"/>
          <w:color w:val="auto"/>
        </w:rPr>
        <w:t>To convert any Conversion Amount into Common Shares on any date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Conversion Date</w:t>
      </w:r>
      <w:r>
        <w:rPr>
          <w:rFonts w:ascii="Times New Roman" w:cs="Times New Roman" w:eastAsia="Times New Roman" w:hAnsi="Times New Roman"/>
          <w:sz w:val="21"/>
          <w:szCs w:val="21"/>
          <w:color w:val="auto"/>
        </w:rPr>
        <w:t xml:space="preserve">”), the Holder shall (A) transmit by email (or otherwise deliver), for receipt on or prior to 11:59 p.m., New York time, on such date, a copy of an executed notice of conversion in the form attached hereto as </w:t>
      </w:r>
      <w:r>
        <w:rPr>
          <w:rFonts w:ascii="Times New Roman" w:cs="Times New Roman" w:eastAsia="Times New Roman" w:hAnsi="Times New Roman"/>
          <w:sz w:val="21"/>
          <w:szCs w:val="21"/>
          <w:b w:val="1"/>
          <w:bCs w:val="1"/>
          <w:color w:val="auto"/>
        </w:rPr>
        <w:t>Exhibit I</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Conversion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to the Company and (B) if required by Section 3(b)(iii), surrender this Note to a nationally recognized overnight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delivery service for delivery to the Company (or an indemnification undertaking reasonably satisfactory to the Company with respect to this Note in the case of its loss, theft or destruction). On or before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Trading Day following the date of receipt of a Conversion Notice (the “</w:t>
      </w:r>
      <w:r>
        <w:rPr>
          <w:rFonts w:ascii="Times New Roman" w:cs="Times New Roman" w:eastAsia="Times New Roman" w:hAnsi="Times New Roman"/>
          <w:sz w:val="21"/>
          <w:szCs w:val="21"/>
          <w:b w:val="1"/>
          <w:bCs w:val="1"/>
          <w:color w:val="auto"/>
        </w:rPr>
        <w:t>Share Delivery Date</w:t>
      </w:r>
      <w:r>
        <w:rPr>
          <w:rFonts w:ascii="Times New Roman" w:cs="Times New Roman" w:eastAsia="Times New Roman" w:hAnsi="Times New Roman"/>
          <w:sz w:val="21"/>
          <w:szCs w:val="21"/>
          <w:color w:val="auto"/>
        </w:rPr>
        <w:t>”), the Company shall (X) if legends are not required to be placed on certificates or the book-entry position of the Common Shares and provided that the Company’s transfer agent is participating in the Depository Trust Company’s (“</w:t>
      </w:r>
      <w:r>
        <w:rPr>
          <w:rFonts w:ascii="Times New Roman" w:cs="Times New Roman" w:eastAsia="Times New Roman" w:hAnsi="Times New Roman"/>
          <w:sz w:val="21"/>
          <w:szCs w:val="21"/>
          <w:b w:val="1"/>
          <w:bCs w:val="1"/>
          <w:color w:val="auto"/>
        </w:rPr>
        <w:t>DTC</w:t>
      </w:r>
      <w:r>
        <w:rPr>
          <w:rFonts w:ascii="Times New Roman" w:cs="Times New Roman" w:eastAsia="Times New Roman" w:hAnsi="Times New Roman"/>
          <w:sz w:val="21"/>
          <w:szCs w:val="21"/>
          <w:color w:val="auto"/>
        </w:rPr>
        <w:t>”) Fast Automated Securities Transfer Program, instruct such transfer agent to credit such aggregate number of Common Shares to which the Holder shall be entitled to the Holder’s or its designee’s balance account with DTC through its Deposit Withdrawal Agent Commission system or (Y) if the Company’s transfer agent is not participating in the DTC Fast Automated Securities Transfer Program, issue and deliver to the address as specified in the Conversion Notice, a certificate or book-entry position, registered in the name of the Holder or its designee, for the number of Common Shares to which the Holder shall be entitled which certificates shall not bear any restrictive legends unless required pursuant to rules and regulations of the Commission. If this Note is physically surrendered for conversion and the outstanding Principal of this Note is greater than the Principal portion of the Conversion Amount being converted, then the Company shall as soon as practicable and in no event later than three (3) Business Days after receipt of this Note and at its own expense, issue and deliver to the holder a new Note representing the outstanding Principal not converted. The Person or Persons entitled to receive the Common Shares issuable upon a conversion of this Note shall be treated for all purposes as the record holder or holders of such Common Shares</w:t>
      </w:r>
    </w:p>
    <w:p>
      <w:pPr>
        <w:sectPr>
          <w:pgSz w:w="11900" w:h="16838" w:orient="portrait"/>
          <w:cols w:equalWidth="0" w:num="1">
            <w:col w:w="11240"/>
          </w:cols>
          <w:pgMar w:left="320" w:top="1395" w:right="339" w:bottom="1440" w:gutter="0" w:footer="0" w:header="0"/>
        </w:sectPr>
      </w:pPr>
    </w:p>
    <w:bookmarkStart w:id="61" w:name="page62"/>
    <w:bookmarkEnd w:id="61"/>
    <w:p>
      <w:pPr>
        <w:jc w:val="both"/>
        <w:spacing w:after="0" w:line="217" w:lineRule="auto"/>
        <w:rPr>
          <w:sz w:val="20"/>
          <w:szCs w:val="20"/>
          <w:color w:val="auto"/>
        </w:rPr>
      </w:pPr>
      <w:r>
        <w:rPr>
          <w:rFonts w:ascii="Times New Roman" w:cs="Times New Roman" w:eastAsia="Times New Roman" w:hAnsi="Times New Roman"/>
          <w:sz w:val="22"/>
          <w:szCs w:val="22"/>
          <w:color w:val="auto"/>
        </w:rPr>
        <w:t>upon the transmission of a Conversion Notice; provided, that the Holder shall be deemed to have waived any voting rights of any such Conversion Shares that may arise during the period commencing on such Conversion Date, through, and including, such applicable Share Delivery Deadline, as necessary, such that the aggregate voting rights of any Common Shares (including such Conversion Shares) beneficially owned by the Holder and/or any Attribution Parties, collectively, shall not exceed the Beneficial Ownership Limitation (as defined below) as a result of any such conversion of this Note.</w:t>
      </w:r>
    </w:p>
    <w:p>
      <w:pPr>
        <w:spacing w:after="0" w:line="148" w:lineRule="exact"/>
        <w:rPr>
          <w:sz w:val="20"/>
          <w:szCs w:val="20"/>
          <w:color w:val="auto"/>
        </w:rPr>
      </w:pPr>
    </w:p>
    <w:p>
      <w:pPr>
        <w:jc w:val="both"/>
        <w:ind w:firstLine="1304"/>
        <w:spacing w:after="0" w:line="210" w:lineRule="auto"/>
        <w:tabs>
          <w:tab w:leader="none" w:pos="193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Company’s Failure to Timely Convert</w:t>
      </w:r>
      <w:r>
        <w:rPr>
          <w:rFonts w:ascii="Times New Roman" w:cs="Times New Roman" w:eastAsia="Times New Roman" w:hAnsi="Times New Roman"/>
          <w:sz w:val="22"/>
          <w:szCs w:val="22"/>
          <w:color w:val="auto"/>
        </w:rPr>
        <w:t>. If the Company shall fail, for any reason or for no reason, 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to the applicable Share Delivery Date to issue and deliver a certificate to the Holder or credit the Holder’s balance account with DTC for the number of Common Shares to which the Holder is entitled upon such Holder’s conversion of any Conversion Amount (a “</w:t>
      </w:r>
      <w:r>
        <w:rPr>
          <w:rFonts w:ascii="Times New Roman" w:cs="Times New Roman" w:eastAsia="Times New Roman" w:hAnsi="Times New Roman"/>
          <w:sz w:val="22"/>
          <w:szCs w:val="22"/>
          <w:b w:val="1"/>
          <w:bCs w:val="1"/>
          <w:color w:val="auto"/>
        </w:rPr>
        <w:t>Conversion Failure</w:t>
      </w:r>
      <w:r>
        <w:rPr>
          <w:rFonts w:ascii="Times New Roman" w:cs="Times New Roman" w:eastAsia="Times New Roman" w:hAnsi="Times New Roman"/>
          <w:sz w:val="22"/>
          <w:szCs w:val="22"/>
          <w:color w:val="auto"/>
        </w:rPr>
        <w:t>”), and if on or after such Trading Day the Holder purchases (in an open market transaction or otherwise) Common Shares to deliver in satisfaction of a sale by the Holder of Common Shares issuable upon such conversion that the Holder anticipated receiving from the Company (a “</w:t>
      </w:r>
      <w:r>
        <w:rPr>
          <w:rFonts w:ascii="Times New Roman" w:cs="Times New Roman" w:eastAsia="Times New Roman" w:hAnsi="Times New Roman"/>
          <w:sz w:val="22"/>
          <w:szCs w:val="22"/>
          <w:b w:val="1"/>
          <w:bCs w:val="1"/>
          <w:color w:val="auto"/>
        </w:rPr>
        <w:t>Buy-In</w:t>
      </w:r>
      <w:r>
        <w:rPr>
          <w:rFonts w:ascii="Times New Roman" w:cs="Times New Roman" w:eastAsia="Times New Roman" w:hAnsi="Times New Roman"/>
          <w:sz w:val="22"/>
          <w:szCs w:val="22"/>
          <w:color w:val="auto"/>
        </w:rPr>
        <w:t>”), then the Company shall, within three (3) Business Days after the Holder’s request and in the Holder’s discretion, either (i) pay cash to the Holder in an amount equal to the Holder’s total purchase price (including brokerage commissions and other out of pocket expenses, if any) for the Common Shares so purchased (the “</w:t>
      </w:r>
      <w:r>
        <w:rPr>
          <w:rFonts w:ascii="Times New Roman" w:cs="Times New Roman" w:eastAsia="Times New Roman" w:hAnsi="Times New Roman"/>
          <w:sz w:val="22"/>
          <w:szCs w:val="22"/>
          <w:u w:val="single" w:color="auto"/>
          <w:color w:val="auto"/>
        </w:rPr>
        <w:t>Buy-In Price</w:t>
      </w:r>
      <w:r>
        <w:rPr>
          <w:rFonts w:ascii="Times New Roman" w:cs="Times New Roman" w:eastAsia="Times New Roman" w:hAnsi="Times New Roman"/>
          <w:sz w:val="22"/>
          <w:szCs w:val="22"/>
          <w:color w:val="auto"/>
        </w:rPr>
        <w:t xml:space="preserve">”), at which point the Company’s obligation to deliver such certificate (and to issue such Common Shares) shall terminate, or (ii) promptly honor its obligation to deliver to the Holder a certificate or certificates representing such Common Shares to which the Holder is entitled with respect to such Conversion Notice and pay cash to the Holder in an amount equal to the excess (if any) of the Buy-In Price over the product of (A) such number of Common Shares,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the Closing Price on the Conversion Date.</w:t>
      </w:r>
    </w:p>
    <w:p>
      <w:pPr>
        <w:spacing w:after="0" w:line="146" w:lineRule="exact"/>
        <w:rPr>
          <w:rFonts w:ascii="Times New Roman" w:cs="Times New Roman" w:eastAsia="Times New Roman" w:hAnsi="Times New Roman"/>
          <w:sz w:val="22"/>
          <w:szCs w:val="22"/>
          <w:color w:val="auto"/>
        </w:rPr>
      </w:pPr>
    </w:p>
    <w:p>
      <w:pPr>
        <w:jc w:val="both"/>
        <w:ind w:firstLine="1304"/>
        <w:spacing w:after="0" w:line="214" w:lineRule="auto"/>
        <w:tabs>
          <w:tab w:leader="none" w:pos="194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Book-Entry</w:t>
      </w:r>
      <w:r>
        <w:rPr>
          <w:rFonts w:ascii="Times New Roman" w:cs="Times New Roman" w:eastAsia="Times New Roman" w:hAnsi="Times New Roman"/>
          <w:sz w:val="22"/>
          <w:szCs w:val="22"/>
          <w:color w:val="auto"/>
        </w:rPr>
        <w:t>. Notwithstanding anything to the contrary set forth herein, upon conversion of any portion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Note in accordance with the terms hereof, the Holder shall not be required to physically surrender this Note to the Company unless (A) the full Conversion Amount represented by this Note is being converted or (B) the Holder has provided the Company with prior written notice (which notice may be included in a Conversion Notice) requesting reissuance of this Note upon physical surrender of this Note. The Holder and the Company shall maintain records showing the Principal converted and the dates of such conversions or shall use such other method, reasonably satisfactory to the Holder and the Company, so as not to require physical surrender of this Note upon any conversion.</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Limitations on Conversions.</w:t>
      </w:r>
    </w:p>
    <w:p>
      <w:pPr>
        <w:spacing w:after="0" w:line="179" w:lineRule="exact"/>
        <w:rPr>
          <w:sz w:val="20"/>
          <w:szCs w:val="20"/>
          <w:color w:val="auto"/>
        </w:rPr>
      </w:pPr>
    </w:p>
    <w:p>
      <w:pPr>
        <w:jc w:val="both"/>
        <w:ind w:firstLine="1304"/>
        <w:spacing w:after="0" w:line="222" w:lineRule="auto"/>
        <w:tabs>
          <w:tab w:leader="none" w:pos="1941"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Beneficial Ownership. </w:t>
      </w:r>
      <w:r>
        <w:rPr>
          <w:rFonts w:ascii="Times New Roman" w:cs="Times New Roman" w:eastAsia="Times New Roman" w:hAnsi="Times New Roman"/>
          <w:sz w:val="21"/>
          <w:szCs w:val="21"/>
          <w:color w:val="auto"/>
        </w:rPr>
        <w:t>The Company shall not effect any conversion of this Note, and a Holder shall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have the right to convert any portion of this Note, to the extent that after giving effect to the conversion set forth on the applicable notice of conversion, the Holder (together with the Holder’s affiliates, and any other Persons acting as a group together with the Holder or any of the Holder’s affiliates (such Persons, “</w:t>
      </w:r>
      <w:r>
        <w:rPr>
          <w:rFonts w:ascii="Times New Roman" w:cs="Times New Roman" w:eastAsia="Times New Roman" w:hAnsi="Times New Roman"/>
          <w:sz w:val="21"/>
          <w:szCs w:val="21"/>
          <w:b w:val="1"/>
          <w:bCs w:val="1"/>
          <w:color w:val="auto"/>
        </w:rPr>
        <w:t>Attribution Parties</w:t>
      </w:r>
      <w:r>
        <w:rPr>
          <w:rFonts w:ascii="Times New Roman" w:cs="Times New Roman" w:eastAsia="Times New Roman" w:hAnsi="Times New Roman"/>
          <w:sz w:val="21"/>
          <w:szCs w:val="21"/>
          <w:color w:val="auto"/>
        </w:rPr>
        <w:t>”)) would beneficially own in excess of the Beneficial Ownership Limitation (as defined below). For purposes of the foregoing sentence, the number of Common Shares beneficially owned by the Holder and its affiliates and Attribution Parties shall include the number of Common Shares issuable upon conversion of this Note with respect to which such determination is being made, but shall exclude the number of Common Shares which would be issuable upon (i) conversion of the remaining, unconverted principal amount of this Note (plus, if applicable, any accrued and unpaid interest thereon) beneficially owned by the Holder or any of its affiliates or Attribution</w:t>
      </w:r>
    </w:p>
    <w:p>
      <w:pPr>
        <w:sectPr>
          <w:pgSz w:w="11900" w:h="16838" w:orient="portrait"/>
          <w:cols w:equalWidth="0" w:num="1">
            <w:col w:w="11240"/>
          </w:cols>
          <w:pgMar w:left="320" w:top="1395" w:right="339" w:bottom="1440" w:gutter="0" w:footer="0" w:header="0"/>
        </w:sectPr>
      </w:pPr>
    </w:p>
    <w:bookmarkStart w:id="62" w:name="page63"/>
    <w:bookmarkEnd w:id="62"/>
    <w:p>
      <w:pPr>
        <w:jc w:val="both"/>
        <w:spacing w:after="0" w:line="207" w:lineRule="auto"/>
        <w:rPr>
          <w:sz w:val="20"/>
          <w:szCs w:val="20"/>
          <w:color w:val="auto"/>
        </w:rPr>
      </w:pPr>
      <w:r>
        <w:rPr>
          <w:rFonts w:ascii="Times New Roman" w:cs="Times New Roman" w:eastAsia="Times New Roman" w:hAnsi="Times New Roman"/>
          <w:sz w:val="22"/>
          <w:szCs w:val="22"/>
          <w:color w:val="auto"/>
        </w:rPr>
        <w:t>Parties and (ii) exercise or conversion of the unexercised or unconverted portion of any other securities of the Company subject to a limitation on conversion or exercise analogous to the limitation contained herein (including, without limitation, any other Notes) beneficially owned by the Holder or any of its affiliates or Attribution Parties. Except as set forth in the preceding sentence, for purposes of this Section 3(c), beneficial ownership shall be calculated in accordance with Section 13(d) of the Exchange Act and the rules and regulations promulgated thereunder. To the extent that the limitation contained in this Section 3(c) applies, the determination of whether this Note is convertible (in relation to other securities owned by the Holder together with any affiliates and Attribution Parties) and of which principal amount (plus, if applicable, any accrued and unpaid interest thereon) of this Note is convertible shall be in the sole discretion of the Holder, and the submission of a notice of conversion shall be deemed to be the Holder’s determination of whether this Note may be converted (in relation to other securities owned by the Holder together with any affiliates or Attribution Parties) and which principal amount (plus, if applicable, any accrued and unpaid interest thereon) of this Note is convertible,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3(c), in determining the number of outstanding Common Shares, the Holder may rely on the number of Common Shares as reflected in (A) the Company’s most recent periodic or annual report filed with the Commission, as the case may be, (B) a more recent public announcement by the Company, or (C) a more recent written notice by the Company or the Company’s transfer agent setting forth the number of Common Shares outstanding. Upon the written or oral request of a Holder, the Company shall within one Trading Day confirm orally and in writing to the Holder the number of Common Shares then outstanding. In any case, the number of outstanding Common Shares shall be determined after giving effect to the conversion or exercise of securities of the Company, including this Note, by the Holder or its affiliates since the date as of which such number of outstanding Common Shares was reported. The “</w:t>
      </w:r>
      <w:r>
        <w:rPr>
          <w:rFonts w:ascii="Times New Roman" w:cs="Times New Roman" w:eastAsia="Times New Roman" w:hAnsi="Times New Roman"/>
          <w:sz w:val="22"/>
          <w:szCs w:val="22"/>
          <w:b w:val="1"/>
          <w:bCs w:val="1"/>
          <w:color w:val="auto"/>
        </w:rPr>
        <w:t>Beneficial Ownership Limitation</w:t>
      </w:r>
      <w:r>
        <w:rPr>
          <w:rFonts w:ascii="Times New Roman" w:cs="Times New Roman" w:eastAsia="Times New Roman" w:hAnsi="Times New Roman"/>
          <w:sz w:val="22"/>
          <w:szCs w:val="22"/>
          <w:color w:val="auto"/>
        </w:rPr>
        <w:t>” shall be 4.99% of the number of Common Shares outstanding immediately after giving effect to the issuance Common Shares issuable upon conversion of this Note. The Beneficial Ownership Limitation provisions of this paragraph shall be construed and implemented in a manner otherwise than in strict conformity with the terms of this Section 3(c)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this Note.</w:t>
      </w:r>
    </w:p>
    <w:p>
      <w:pPr>
        <w:spacing w:after="0" w:line="153" w:lineRule="exact"/>
        <w:rPr>
          <w:sz w:val="20"/>
          <w:szCs w:val="20"/>
          <w:color w:val="auto"/>
        </w:rPr>
      </w:pPr>
    </w:p>
    <w:p>
      <w:pPr>
        <w:ind w:left="1940" w:hanging="636"/>
        <w:spacing w:after="0"/>
        <w:tabs>
          <w:tab w:leader="none" w:pos="19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Provisions.</w:t>
      </w:r>
    </w:p>
    <w:p>
      <w:pPr>
        <w:spacing w:after="0" w:line="183" w:lineRule="exact"/>
        <w:rPr>
          <w:sz w:val="20"/>
          <w:szCs w:val="20"/>
          <w:color w:val="auto"/>
        </w:rPr>
      </w:pPr>
    </w:p>
    <w:p>
      <w:pPr>
        <w:ind w:left="1940" w:hanging="636"/>
        <w:spacing w:after="0"/>
        <w:tabs>
          <w:tab w:leader="none" w:pos="19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calculations under this Section 3 shall be rounded to the nearest $0.0001 or whole share.</w:t>
      </w:r>
    </w:p>
    <w:p>
      <w:pPr>
        <w:spacing w:after="0" w:line="179"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limit a Holder’s right to pursue actual damages or declare an Event of Default pursuant to Section 2 herein for the Company’s failure to deliver certificates representing Common Shares upon conversion within the period specified herein and such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sectPr>
          <w:pgSz w:w="11900" w:h="16838" w:orient="portrait"/>
          <w:cols w:equalWidth="0" w:num="1">
            <w:col w:w="11240"/>
          </w:cols>
          <w:pgMar w:left="320" w:top="1395" w:right="339" w:bottom="1440" w:gutter="0" w:footer="0" w:header="0"/>
        </w:sectPr>
      </w:pPr>
    </w:p>
    <w:bookmarkStart w:id="63" w:name="page64"/>
    <w:bookmarkEnd w:id="63"/>
    <w:p>
      <w:pPr>
        <w:jc w:val="both"/>
        <w:ind w:left="-8" w:firstLine="1304"/>
        <w:spacing w:after="0" w:line="213" w:lineRule="auto"/>
        <w:tabs>
          <w:tab w:leader="none" w:pos="1933"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Legal Opinions. </w:t>
      </w:r>
      <w:r>
        <w:rPr>
          <w:rFonts w:ascii="Times New Roman" w:cs="Times New Roman" w:eastAsia="Times New Roman" w:hAnsi="Times New Roman"/>
          <w:sz w:val="22"/>
          <w:szCs w:val="22"/>
          <w:color w:val="auto"/>
        </w:rPr>
        <w:t>The Company is obligated to cause its legal counsel to deliver legal opinions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transfer agent in connection with any legend removal upon the expiration of any holding period or other requirement for which the Underlying Shares may bear legends restricting the transfer thereof. To the extent a legal opinion is not provided (either timely or at all), then, in addition to being an Event of Default hereunder, the Company agrees to reimburse the Holder for all reasonable costs incurred by the Holder in connection with any legal opinions paid for by the Holder in connection with the sale or transfer of the Underlying Shares. The Holder shall notify the Company of any such costs and expenses it incurs that are referred to in this section from time to time and all amounts owed hereunder shall be paid by the Company with reasonable promptness.</w:t>
      </w:r>
    </w:p>
    <w:p>
      <w:pPr>
        <w:spacing w:after="0" w:line="147" w:lineRule="exact"/>
        <w:rPr>
          <w:rFonts w:ascii="Times New Roman" w:cs="Times New Roman" w:eastAsia="Times New Roman" w:hAnsi="Times New Roman"/>
          <w:sz w:val="22"/>
          <w:szCs w:val="22"/>
          <w:color w:val="auto"/>
        </w:rPr>
      </w:pPr>
    </w:p>
    <w:p>
      <w:pPr>
        <w:jc w:val="both"/>
        <w:ind w:left="-8" w:firstLine="1304"/>
        <w:spacing w:after="0" w:line="210" w:lineRule="auto"/>
        <w:tabs>
          <w:tab w:leader="none" w:pos="193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Adjustment of Conversion Price upon Subdivision or Combination of Common Shares. </w:t>
      </w:r>
      <w:r>
        <w:rPr>
          <w:rFonts w:ascii="Times New Roman" w:cs="Times New Roman" w:eastAsia="Times New Roman" w:hAnsi="Times New Roman"/>
          <w:sz w:val="22"/>
          <w:szCs w:val="22"/>
          <w:color w:val="auto"/>
        </w:rPr>
        <w:t>If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at any time while this Note is outstanding, shall (i) pay a stock dividend or otherwise make a distribution or distributions on its Common Shares or any other equity or equity equivalent securities payable in Common Shares, (ii) subdivide outstanding Common Shares into a larger number of shares, (iii) combine (including by way of reverse stock split) outstanding Common Shares into a smaller number of shares, or (iv) issue by reclassification of Common Shares any shares of capital stock of the Company, then the Fixed Price shall be multiplied by a fraction of which the numerator shall be the number of Common Shares (excluding treasury shares, if any) outstanding before such event and of which the denominator shall be the number of Common Shares outstanding after such event. Any adjustment made pursuant to this Section shall become effective, in the case of a dividend distribution, immediately after the record date for the determination of stockholders entitled to receive such dividend or distribution or, in the case of a subdivision, combination or re-classification, and shall become effective immediately after the effective date of such subdivision, combination or re-classification.</w:t>
      </w:r>
    </w:p>
    <w:p>
      <w:pPr>
        <w:spacing w:after="0" w:line="157" w:lineRule="exact"/>
        <w:rPr>
          <w:rFonts w:ascii="Times New Roman" w:cs="Times New Roman" w:eastAsia="Times New Roman" w:hAnsi="Times New Roman"/>
          <w:sz w:val="22"/>
          <w:szCs w:val="22"/>
          <w:color w:val="auto"/>
        </w:rPr>
      </w:pPr>
    </w:p>
    <w:p>
      <w:pPr>
        <w:jc w:val="both"/>
        <w:ind w:left="-8" w:firstLine="1304"/>
        <w:spacing w:after="0" w:line="221" w:lineRule="auto"/>
        <w:tabs>
          <w:tab w:leader="none" w:pos="1933"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Other Corporate Events. </w:t>
      </w:r>
      <w:r>
        <w:rPr>
          <w:rFonts w:ascii="Times New Roman" w:cs="Times New Roman" w:eastAsia="Times New Roman" w:hAnsi="Times New Roman"/>
          <w:sz w:val="21"/>
          <w:szCs w:val="21"/>
          <w:color w:val="auto"/>
        </w:rPr>
        <w:t>In addition to and not in substitution for any other rights hereunder, prior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consummation of any Fundamental Transaction pursuant to which holders of Common Shares are entitled to receive securities or other assets with respect to or in exchange for Common Shares (a “</w:t>
      </w:r>
      <w:r>
        <w:rPr>
          <w:rFonts w:ascii="Times New Roman" w:cs="Times New Roman" w:eastAsia="Times New Roman" w:hAnsi="Times New Roman"/>
          <w:sz w:val="21"/>
          <w:szCs w:val="21"/>
          <w:b w:val="1"/>
          <w:bCs w:val="1"/>
          <w:color w:val="auto"/>
        </w:rPr>
        <w:t>Corporate Event</w:t>
      </w:r>
      <w:r>
        <w:rPr>
          <w:rFonts w:ascii="Times New Roman" w:cs="Times New Roman" w:eastAsia="Times New Roman" w:hAnsi="Times New Roman"/>
          <w:sz w:val="21"/>
          <w:szCs w:val="21"/>
          <w:color w:val="auto"/>
        </w:rPr>
        <w:t>”), the Company shall make appropriate provision to ensure that the Holder will thereafter have the right to receive upon a conversion of this Note, at the Holder’s option,</w:t>
      </w:r>
    </w:p>
    <w:p>
      <w:pPr>
        <w:spacing w:after="0" w:line="2" w:lineRule="exact"/>
        <w:rPr>
          <w:rFonts w:ascii="Times New Roman" w:cs="Times New Roman" w:eastAsia="Times New Roman" w:hAnsi="Times New Roman"/>
          <w:sz w:val="21"/>
          <w:szCs w:val="21"/>
          <w:color w:val="auto"/>
        </w:rPr>
      </w:pPr>
    </w:p>
    <w:p>
      <w:pPr>
        <w:jc w:val="both"/>
        <w:ind w:left="-8" w:firstLine="8"/>
        <w:spacing w:after="0" w:line="208" w:lineRule="auto"/>
        <w:tabs>
          <w:tab w:leader="none" w:pos="25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Common Shares receivable upon such conversion, such securities or other assets to which the Holder would have been entitled with respect to such Common Shares had such Common Shares been held by the Holder upon the consummation of such Corporate Event (without taking into account any limitations or restrictions on the convertibility of this Note) or (ii) in lieu of the Common Shares otherwise receivable upon such conversion, such securities or other assets received by the holders of Common Shares in connection with the consummation of such Corporate Event in such amounts as the Holder would have been entitled to receive had this Note initially been issued with conversion rights for the form of such consideration (as opposed to Common Shares) at a conversion rate for such consideration commensurate with the Conversion Price. Provision made pursuant to the preceding sentence shall be in a form and substance satisfactory to the Required Holders. The provisions of this Section shall apply similarly and equally to successive Corporate Events and shall be applied without regard to any limitations on the conversion or prepayment of this Note.</w:t>
      </w:r>
    </w:p>
    <w:p>
      <w:pPr>
        <w:spacing w:after="0" w:line="159" w:lineRule="exact"/>
        <w:rPr>
          <w:rFonts w:ascii="Times New Roman" w:cs="Times New Roman" w:eastAsia="Times New Roman" w:hAnsi="Times New Roman"/>
          <w:sz w:val="22"/>
          <w:szCs w:val="22"/>
          <w:color w:val="auto"/>
        </w:rPr>
      </w:pPr>
    </w:p>
    <w:p>
      <w:pPr>
        <w:ind w:left="-8" w:right="20" w:firstLine="1304"/>
        <w:spacing w:after="0" w:line="236" w:lineRule="auto"/>
        <w:tabs>
          <w:tab w:leader="none" w:pos="1949"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Conversion Price is adjusted pursuant to this Section 3, the Company shall promptly provide the Holder with a written notice setting forth the</w:t>
      </w:r>
    </w:p>
    <w:p>
      <w:pPr>
        <w:sectPr>
          <w:pgSz w:w="11900" w:h="16838" w:orient="portrait"/>
          <w:cols w:equalWidth="0" w:num="1">
            <w:col w:w="11232"/>
          </w:cols>
          <w:pgMar w:left="328" w:top="139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Conversion Price after such adjustment and setting forth a brief statement of the facts requiring such adjustment.</w:t>
      </w:r>
    </w:p>
    <w:p>
      <w:pPr>
        <w:spacing w:after="0" w:line="179" w:lineRule="exact"/>
        <w:rPr>
          <w:sz w:val="20"/>
          <w:szCs w:val="20"/>
          <w:color w:val="auto"/>
        </w:rPr>
      </w:pPr>
    </w:p>
    <w:p>
      <w:pPr>
        <w:jc w:val="both"/>
        <w:ind w:firstLine="1304"/>
        <w:spacing w:after="0" w:line="218" w:lineRule="auto"/>
        <w:tabs>
          <w:tab w:leader="none" w:pos="1953"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of any (1) merger or consolidation of the Company or any Subsidiary of the Company with or into another Person, or (2) sale by the Company or any Subsidiary of the Company of more than one-half of the assets of the Company in one or a series of related transactions, a Holder shall have the right to (A) exercise any rights under Section 3(f), (B) convert the aggregate amount of this Note then outstanding into the shares of stock and other securities, cash and property receivable upon or deemed to be held by holders of Common Shares following such merger, consolidation or sale, and such Holder shall be entitled upon such event or series of related events to receive such amount of securities, cash and property as the Common Shares into which such aggregate Principal amount of this Note could have been converted immediately prior to such merger, consolidation or sales would have been entitled, or (C) in the case of a merger or consolidation, require the surviving entity to issue to the Holder a convertible Note with a Principal amount equal to the aggregate Principal amount of this Note then held by such Holder, plus all other amounts owing thereon, which such newly issued convertible Note shall have terms identical (including with respect to conversion) to the terms of this Note, and shall be entitled to all of the rights and privileges of the Holder of this Note set forth herein and the agreements pursuant to which this Note was issued. In the case of clause (C), the conversion price applicable for the newly issued convertible debentures or convertible Notes shall be based upon the amount of securities, cash and property that each Common Share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prepayment following such event. This provision shall similarly apply to successive such events.</w:t>
      </w:r>
    </w:p>
    <w:p>
      <w:pPr>
        <w:spacing w:after="0" w:line="155" w:lineRule="exact"/>
        <w:rPr>
          <w:rFonts w:ascii="Times New Roman" w:cs="Times New Roman" w:eastAsia="Times New Roman" w:hAnsi="Times New Roman"/>
          <w:sz w:val="21"/>
          <w:szCs w:val="21"/>
          <w:color w:val="auto"/>
        </w:rPr>
      </w:pPr>
    </w:p>
    <w:p>
      <w:pPr>
        <w:ind w:left="1280" w:hanging="624"/>
        <w:spacing w:after="0"/>
        <w:tabs>
          <w:tab w:leader="none" w:pos="128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REISSUANCE OF THIS NOTE.</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10" w:lineRule="auto"/>
        <w:tabs>
          <w:tab w:leader="none" w:pos="1941"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If this Note is to be transferred, the Holder shall surrender this Note to the Company, whereupon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will forthwith issue and deliver upon the order of the Holder a new Note (in accordance with Section 4(d)), registered in the name of the registered transferee or assignee, representing the outstanding Principal being transferred by the Holder and, if less than the entire outstanding Principal is being transferred, a new Note (in accordance with Section 4(d)) to the Holder representing the outstanding Principal not being transferred. The Holder and any assignee, by acceptance of this Note, acknowledge and agree that, by reason of the provisions of Section 3(b)(iii) following conversion or prepayment of any portion of this Note, the outstanding Principal represented by this Note may be less than the Principal stated on the face of this Note. This Note and the Common Shares issuable on the conversion thereof have not been registered under the Securities Act or the securities laws of any state of the United States; accordingly, this Note and the Common Shares issuable on the conversion thereof are (or will be when issued) “restricted securities” as defined under Rule 144(a)(3) under the Securities Act and the certificates representing such securities shall bear the restrictive legends in substantially the following form:</w:t>
      </w:r>
    </w:p>
    <w:p>
      <w:pPr>
        <w:spacing w:after="0" w:line="157" w:lineRule="exact"/>
        <w:rPr>
          <w:rFonts w:ascii="Times New Roman" w:cs="Times New Roman" w:eastAsia="Times New Roman" w:hAnsi="Times New Roman"/>
          <w:sz w:val="22"/>
          <w:szCs w:val="22"/>
          <w:color w:val="auto"/>
        </w:rPr>
      </w:pPr>
    </w:p>
    <w:p>
      <w:pPr>
        <w:jc w:val="both"/>
        <w:ind w:firstLine="1304"/>
        <w:spacing w:after="0" w:line="232" w:lineRule="auto"/>
        <w:tabs>
          <w:tab w:leader="none" w:pos="1939"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SECURITIES REPRESENTED HEREBY [</w:t>
      </w:r>
      <w:r>
        <w:rPr>
          <w:rFonts w:ascii="Times New Roman" w:cs="Times New Roman" w:eastAsia="Times New Roman" w:hAnsi="Times New Roman"/>
          <w:sz w:val="21"/>
          <w:szCs w:val="21"/>
          <w:i w:val="1"/>
          <w:iCs w:val="1"/>
          <w:color w:val="auto"/>
        </w:rPr>
        <w:t>for Convertible Notes add</w:t>
      </w:r>
      <w:r>
        <w:rPr>
          <w:rFonts w:ascii="Times New Roman" w:cs="Times New Roman" w:eastAsia="Times New Roman" w:hAnsi="Times New Roman"/>
          <w:sz w:val="21"/>
          <w:szCs w:val="21"/>
          <w:color w:val="auto"/>
        </w:rPr>
        <w:t>: AND THOSE SECURITIES INTO WHICH THEY ARE CONVERTIBLE] HAVE NOT BEEN REGISTERED UNDER THE UNITED STATES SECURITIES ACT OF 1933, AS AMENDED (THE “SECURITIES ACT”), OR APPLICABLE STATE SECURITIES LAWS. THE SECURITIES AND THOSE SECURITIES INTO WHICH THEY ARE CONVERTIBLE HAVE BEEN ACQUIRED</w:t>
      </w:r>
    </w:p>
    <w:p>
      <w:pPr>
        <w:sectPr>
          <w:pgSz w:w="11900" w:h="16838" w:orient="portrait"/>
          <w:cols w:equalWidth="0" w:num="1">
            <w:col w:w="11240"/>
          </w:cols>
          <w:pgMar w:left="320" w:top="1395" w:right="339" w:bottom="1440" w:gutter="0" w:footer="0" w:header="0"/>
        </w:sectPr>
      </w:pPr>
    </w:p>
    <w:bookmarkStart w:id="65" w:name="page66"/>
    <w:bookmarkEnd w:id="65"/>
    <w:p>
      <w:pPr>
        <w:jc w:val="both"/>
        <w:spacing w:after="0" w:line="219" w:lineRule="auto"/>
        <w:rPr>
          <w:sz w:val="20"/>
          <w:szCs w:val="20"/>
          <w:color w:val="auto"/>
        </w:rPr>
      </w:pPr>
      <w:r>
        <w:rPr>
          <w:rFonts w:ascii="Times New Roman" w:cs="Times New Roman" w:eastAsia="Times New Roman" w:hAnsi="Times New Roman"/>
          <w:sz w:val="21"/>
          <w:szCs w:val="21"/>
          <w:color w:val="auto"/>
        </w:rPr>
        <w:t>SOLELY FOR INVESTMENT PURPOSES AND NOT WITH A VIEW TOWARD RESALE AND MAY ONLY BE OFFERED FOR SALE, SOLD, TRANSFERRED OR ASSIGNED (A) TO THE CORPORATION, (B) OUTSIDE THE UNITED STATES IN COMPLIANCE WITH RULE 904 OF REGULATION S UNDER THE SECURITIES ACT AND IN COMPLIANCE WITH LOCAL LAWS AND REGULATIONS, (C) IN COMPLIANCE WITH THE EXEMPTION FROM REGISTRATION UNDER THE SECURITIES ACT PROVIDED BY RULE 144 THEREUNDER, IF AVAILABLE, AND IN COMPLIANCE WITH ANY APPLICABLE STATE SECURITIES OR “BLUE SKY” LAWS, (D) IN A TRANSACTION THAT DOES NOT REQUIRE REGISTRATION UNDER THE SECURITIES ACT OR ANY APPLICABLE STATE SECURITIES LAWS, OR (E) PURSUANT TO AN EFFECTIVE REGISTRATION STATEMENT AND, IN THE CASE OF SUBPARAGRAPH (C) OR (D), THE SELLER FURNISHES TO THE CORPORATION AN OPINION OF COUNSEL OF RECOGNIZED STANDING OR SUCH OTHER EVIDENCE AS THE CORPORATION MAY REQUIRE IN FORM AND SUBSTANCE REASONABLY SATISFACTORY TO THE CORPORATION TO SUCH EFFECT. NOTWITHSTANDING THE FOREGOING, THE SECURITIES MAY BE PLEDGED IN CONNECTION WITH A BONA FIDE MARGIN ACCOUNT OR OTHER LOAN OR FINANCING ARRANGEMENT SECURED BY THE SECURITIES. DELIVERY OF THIS CERTIFICATE MAY NOT CONSTITUTE “GOOD DELIVERY” IN SETTLEMENT OF TRANSACTIONS ON STOCK EXCHANGES IN CANADA.</w:t>
      </w:r>
    </w:p>
    <w:p>
      <w:pPr>
        <w:spacing w:after="0" w:line="182" w:lineRule="exact"/>
        <w:rPr>
          <w:sz w:val="20"/>
          <w:szCs w:val="20"/>
          <w:color w:val="auto"/>
        </w:rPr>
      </w:pPr>
    </w:p>
    <w:p>
      <w:pPr>
        <w:jc w:val="both"/>
        <w:ind w:firstLine="8"/>
        <w:spacing w:after="0" w:line="251" w:lineRule="auto"/>
        <w:tabs>
          <w:tab w:leader="none" w:pos="64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Certificates evidencing the Common Shares issuable on the conversion of the Note shall not contain any legend (including the legend set forth above), (i) while a registration statement covering the resale of such security is effective under the Securities Act, (ii) following any sale of such Common Shares issuable on the conversion of the Note pursuant to Rule 144, (iii) if such Common Shares issuable on the conversion of the Note are eligible for sale under Rule 144, or (iv) if such legend is not required under applicable requirements of the Securities Act (including judicial interpretations and pronouncements issued by the staff of the SEC). This Note may only be transferred, upon compliance with the conditions prescribed in </w:t>
      </w:r>
      <w:r>
        <w:rPr>
          <w:rFonts w:ascii="Times New Roman" w:cs="Times New Roman" w:eastAsia="Times New Roman" w:hAnsi="Times New Roman"/>
          <w:sz w:val="22"/>
          <w:szCs w:val="22"/>
          <w:u w:val="single" w:color="auto"/>
          <w:color w:val="auto"/>
        </w:rPr>
        <w:t>Exhibit II.</w:t>
      </w:r>
    </w:p>
    <w:p>
      <w:pPr>
        <w:spacing w:after="0" w:line="150"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9"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Lost, Stolen or Mutilated Note. </w:t>
      </w:r>
      <w:r>
        <w:rPr>
          <w:rFonts w:ascii="Times New Roman" w:cs="Times New Roman" w:eastAsia="Times New Roman" w:hAnsi="Times New Roman"/>
          <w:sz w:val="22"/>
          <w:szCs w:val="22"/>
          <w:color w:val="auto"/>
        </w:rPr>
        <w:t>Upon receipt by the Company of evidence reasonably satisfactory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of the loss, theft, destruction or mutilation of this Note, and, in the case of loss, theft or destruction, of any indemnification undertaking by the Holder to the Company in customary form and substance and, in the case of mutilation, upon surrender and cancellation of this Note, the Company shall execute and deliver to the Holder a new Note (in accordance with Section 4(d)) representing the outstanding Principal.</w:t>
      </w:r>
    </w:p>
    <w:p>
      <w:pPr>
        <w:spacing w:after="0" w:line="147"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41"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Note Exchangeable for Different Denominations</w:t>
      </w:r>
      <w:r>
        <w:rPr>
          <w:rFonts w:ascii="Times New Roman" w:cs="Times New Roman" w:eastAsia="Times New Roman" w:hAnsi="Times New Roman"/>
          <w:sz w:val="22"/>
          <w:szCs w:val="22"/>
          <w:color w:val="auto"/>
        </w:rPr>
        <w:t>. This Note is exchangeable, upon the surrender 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Holder at the principal office of the Company, for a new Note or Notes (in accordance with Section 4(d)) representing in the aggregate the outstanding Principal of this Note, and each such new Note will represent such portion of such outstanding Principal as is designated by the Holder at the time of such surrender.</w:t>
      </w:r>
    </w:p>
    <w:p>
      <w:pPr>
        <w:spacing w:after="0" w:line="148"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57"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Issuance of New Notes</w:t>
      </w:r>
      <w:r>
        <w:rPr>
          <w:rFonts w:ascii="Times New Roman" w:cs="Times New Roman" w:eastAsia="Times New Roman" w:hAnsi="Times New Roman"/>
          <w:sz w:val="22"/>
          <w:szCs w:val="22"/>
          <w:color w:val="auto"/>
        </w:rPr>
        <w:t>. Whenever the Company is required to issue a new Note pursuant to the terms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Note, such new Note (i) shall be of like tenor with this Note, (ii) shall represent, as indicated on the face of such new Note, the Principal remaining outstanding (or in the case of a new Note being issued pursuant to Section 4(a) or Section 4(c), the Principal designated by the Holder which, when added to the Principal represented by the other new Notes issued in connection with such issuance, does not exceed the Principal remaining outstanding under this Note immediately prior to such</w:t>
      </w:r>
    </w:p>
    <w:p>
      <w:pPr>
        <w:sectPr>
          <w:pgSz w:w="11900" w:h="16838" w:orient="portrait"/>
          <w:cols w:equalWidth="0" w:num="1">
            <w:col w:w="11240"/>
          </w:cols>
          <w:pgMar w:left="320" w:top="1395" w:right="339" w:bottom="1440" w:gutter="0" w:footer="0" w:header="0"/>
        </w:sectPr>
      </w:pPr>
    </w:p>
    <w:bookmarkStart w:id="66" w:name="page67"/>
    <w:bookmarkEnd w:id="66"/>
    <w:p>
      <w:pPr>
        <w:spacing w:after="0" w:line="236" w:lineRule="auto"/>
        <w:rPr>
          <w:sz w:val="20"/>
          <w:szCs w:val="20"/>
          <w:color w:val="auto"/>
        </w:rPr>
      </w:pPr>
      <w:r>
        <w:rPr>
          <w:rFonts w:ascii="Times New Roman" w:cs="Times New Roman" w:eastAsia="Times New Roman" w:hAnsi="Times New Roman"/>
          <w:sz w:val="22"/>
          <w:szCs w:val="22"/>
          <w:color w:val="auto"/>
        </w:rPr>
        <w:t>issuance of new Notes), (iii) shall have an issuance date, as indicated on the face of such new Note, which is the same as the Issuance Date of this Note, and (iv) shall have the same rights and conditions as this Note.</w:t>
      </w:r>
    </w:p>
    <w:p>
      <w:pPr>
        <w:spacing w:after="0" w:line="146" w:lineRule="exact"/>
        <w:rPr>
          <w:sz w:val="20"/>
          <w:szCs w:val="20"/>
          <w:color w:val="auto"/>
        </w:rPr>
      </w:pPr>
    </w:p>
    <w:p>
      <w:pPr>
        <w:jc w:val="both"/>
        <w:ind w:firstLine="656"/>
        <w:spacing w:after="0" w:line="218" w:lineRule="auto"/>
        <w:tabs>
          <w:tab w:leader="none" w:pos="1269"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NOTICES. </w:t>
      </w:r>
      <w:r>
        <w:rPr>
          <w:rFonts w:ascii="Times New Roman" w:cs="Times New Roman" w:eastAsia="Times New Roman" w:hAnsi="Times New Roman"/>
          <w:sz w:val="22"/>
          <w:szCs w:val="22"/>
          <w:color w:val="auto"/>
        </w:rPr>
        <w:t>Any notices, consents, waivers or other communications required or permitted to be given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hereof must be in writing by letter or electronic mail (“e-mail”) and will be deemed to have been delivered (i) upon receipt, when delivered personally, (ii) one (1) business day after deposit with an overnight courier service with next day delivery specified, as applicable or (iii) receipt, when sent by e-mail, and, in each case of the foregoing clauses (i), (ii) and (iii), properly addressed to the party to receive the same. The addresses and email­ addresses for such communications shall be:</w:t>
      </w:r>
    </w:p>
    <w:p>
      <w:pPr>
        <w:sectPr>
          <w:pgSz w:w="11900" w:h="16838" w:orient="portrait"/>
          <w:cols w:equalWidth="0" w:num="1">
            <w:col w:w="11240"/>
          </w:cols>
          <w:pgMar w:left="320" w:top="1395" w:right="339" w:bottom="1440" w:gutter="0" w:footer="0" w:header="0"/>
        </w:sectPr>
      </w:pPr>
    </w:p>
    <w:bookmarkStart w:id="67" w:name="page68"/>
    <w:bookmarkEnd w:id="67"/>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If to the Company, to:</w:t>
            </w: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Cybin Inc.</w:t>
            </w:r>
          </w:p>
        </w:tc>
      </w:tr>
      <w:tr>
        <w:trPr>
          <w:trHeight w:val="257"/>
        </w:trPr>
        <w:tc>
          <w:tcPr>
            <w:tcW w:w="3680" w:type="dxa"/>
            <w:vAlign w:val="bottom"/>
          </w:tcPr>
          <w:p>
            <w:pPr>
              <w:spacing w:after="0"/>
              <w:rPr>
                <w:sz w:val="22"/>
                <w:szCs w:val="22"/>
                <w:color w:val="auto"/>
              </w:rPr>
            </w:pP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100 King Street West, Suite 5600</w:t>
            </w:r>
          </w:p>
        </w:tc>
      </w:tr>
      <w:tr>
        <w:trPr>
          <w:trHeight w:val="282"/>
        </w:trPr>
        <w:tc>
          <w:tcPr>
            <w:tcW w:w="3680" w:type="dxa"/>
            <w:vAlign w:val="bottom"/>
          </w:tcPr>
          <w:p>
            <w:pPr>
              <w:spacing w:after="0"/>
              <w:rPr>
                <w:sz w:val="24"/>
                <w:szCs w:val="24"/>
                <w:color w:val="auto"/>
              </w:rPr>
            </w:pP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Toronto, Ontario M5X 1C9</w:t>
            </w:r>
          </w:p>
        </w:tc>
      </w:tr>
      <w:tr>
        <w:trPr>
          <w:trHeight w:val="567"/>
        </w:trPr>
        <w:tc>
          <w:tcPr>
            <w:tcW w:w="3680" w:type="dxa"/>
            <w:vAlign w:val="bottom"/>
          </w:tcPr>
          <w:p>
            <w:pPr>
              <w:spacing w:after="0"/>
              <w:rPr>
                <w:sz w:val="24"/>
                <w:szCs w:val="24"/>
                <w:color w:val="auto"/>
              </w:rPr>
            </w:pP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7"/>
              </w:rPr>
              <w:t>Attn: Gabriel Fahel, Chief Legal Officer</w:t>
            </w:r>
          </w:p>
        </w:tc>
      </w:tr>
      <w:tr>
        <w:trPr>
          <w:trHeight w:val="297"/>
        </w:trPr>
        <w:tc>
          <w:tcPr>
            <w:tcW w:w="3680" w:type="dxa"/>
            <w:vAlign w:val="bottom"/>
          </w:tcPr>
          <w:p>
            <w:pPr>
              <w:spacing w:after="0"/>
              <w:rPr>
                <w:sz w:val="24"/>
                <w:szCs w:val="24"/>
                <w:color w:val="auto"/>
              </w:rPr>
            </w:pP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Telephone: [REDACTED]</w:t>
            </w:r>
          </w:p>
        </w:tc>
      </w:tr>
      <w:tr>
        <w:trPr>
          <w:trHeight w:val="311"/>
        </w:trPr>
        <w:tc>
          <w:tcPr>
            <w:tcW w:w="3680" w:type="dxa"/>
            <w:vAlign w:val="bottom"/>
          </w:tcPr>
          <w:p>
            <w:pPr>
              <w:spacing w:after="0"/>
              <w:rPr>
                <w:sz w:val="24"/>
                <w:szCs w:val="24"/>
                <w:color w:val="auto"/>
              </w:rPr>
            </w:pP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Email: [REDACTED]</w:t>
            </w:r>
          </w:p>
        </w:tc>
      </w:tr>
      <w:tr>
        <w:trPr>
          <w:trHeight w:val="555"/>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with a copy (which shall not</w:t>
            </w: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Aird &amp; Berlis LLP</w:t>
            </w:r>
          </w:p>
        </w:tc>
      </w:tr>
      <w:tr>
        <w:trPr>
          <w:trHeight w:val="25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constitute notice) to:</w:t>
            </w: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181 Bay Street, Suite 1800</w:t>
            </w:r>
          </w:p>
        </w:tc>
      </w:tr>
      <w:tr>
        <w:trPr>
          <w:trHeight w:val="270"/>
        </w:trPr>
        <w:tc>
          <w:tcPr>
            <w:tcW w:w="3680" w:type="dxa"/>
            <w:vAlign w:val="bottom"/>
          </w:tcPr>
          <w:p>
            <w:pPr>
              <w:spacing w:after="0"/>
              <w:rPr>
                <w:sz w:val="23"/>
                <w:szCs w:val="23"/>
                <w:color w:val="auto"/>
              </w:rPr>
            </w:pP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Toronto, Ontario M5J 2T9</w:t>
            </w:r>
          </w:p>
        </w:tc>
      </w:tr>
      <w:tr>
        <w:trPr>
          <w:trHeight w:val="282"/>
        </w:trPr>
        <w:tc>
          <w:tcPr>
            <w:tcW w:w="3680" w:type="dxa"/>
            <w:vAlign w:val="bottom"/>
          </w:tcPr>
          <w:p>
            <w:pPr>
              <w:spacing w:after="0"/>
              <w:rPr>
                <w:sz w:val="24"/>
                <w:szCs w:val="24"/>
                <w:color w:val="auto"/>
              </w:rPr>
            </w:pP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Attention: Sherri Altshuler</w:t>
            </w:r>
          </w:p>
        </w:tc>
      </w:tr>
      <w:tr>
        <w:trPr>
          <w:trHeight w:val="474"/>
        </w:trPr>
        <w:tc>
          <w:tcPr>
            <w:tcW w:w="3680" w:type="dxa"/>
            <w:vAlign w:val="bottom"/>
          </w:tcPr>
          <w:p>
            <w:pPr>
              <w:spacing w:after="0"/>
              <w:rPr>
                <w:sz w:val="24"/>
                <w:szCs w:val="24"/>
                <w:color w:val="auto"/>
              </w:rPr>
            </w:pP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Telephone: 416-865-3081</w:t>
            </w:r>
          </w:p>
        </w:tc>
      </w:tr>
      <w:tr>
        <w:trPr>
          <w:trHeight w:val="282"/>
        </w:trPr>
        <w:tc>
          <w:tcPr>
            <w:tcW w:w="3680" w:type="dxa"/>
            <w:vAlign w:val="bottom"/>
          </w:tcPr>
          <w:p>
            <w:pPr>
              <w:spacing w:after="0"/>
              <w:rPr>
                <w:sz w:val="24"/>
                <w:szCs w:val="24"/>
                <w:color w:val="auto"/>
              </w:rPr>
            </w:pP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Email: saltshuler@airdberlis.com</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If to the Holder:</w:t>
            </w: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High Trail Capital</w:t>
            </w:r>
          </w:p>
        </w:tc>
      </w:tr>
      <w:tr>
        <w:trPr>
          <w:trHeight w:val="257"/>
        </w:trPr>
        <w:tc>
          <w:tcPr>
            <w:tcW w:w="3680" w:type="dxa"/>
            <w:vAlign w:val="bottom"/>
          </w:tcPr>
          <w:p>
            <w:pPr>
              <w:spacing w:after="0"/>
              <w:rPr>
                <w:sz w:val="22"/>
                <w:szCs w:val="22"/>
                <w:color w:val="auto"/>
              </w:rPr>
            </w:pP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221 River Street, 9th Floor</w:t>
            </w:r>
          </w:p>
        </w:tc>
      </w:tr>
      <w:tr>
        <w:trPr>
          <w:trHeight w:val="282"/>
        </w:trPr>
        <w:tc>
          <w:tcPr>
            <w:tcW w:w="3680" w:type="dxa"/>
            <w:vAlign w:val="bottom"/>
          </w:tcPr>
          <w:p>
            <w:pPr>
              <w:spacing w:after="0"/>
              <w:rPr>
                <w:sz w:val="24"/>
                <w:szCs w:val="24"/>
                <w:color w:val="auto"/>
              </w:rPr>
            </w:pP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Hoboken, NJ 07030</w:t>
            </w:r>
          </w:p>
        </w:tc>
      </w:tr>
      <w:tr>
        <w:trPr>
          <w:trHeight w:val="298"/>
        </w:trPr>
        <w:tc>
          <w:tcPr>
            <w:tcW w:w="3680" w:type="dxa"/>
            <w:vAlign w:val="bottom"/>
          </w:tcPr>
          <w:p>
            <w:pPr>
              <w:spacing w:after="0"/>
              <w:rPr>
                <w:sz w:val="24"/>
                <w:szCs w:val="24"/>
                <w:color w:val="auto"/>
              </w:rPr>
            </w:pP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Attention: Eric Helenek</w:t>
            </w:r>
          </w:p>
        </w:tc>
      </w:tr>
      <w:tr>
        <w:trPr>
          <w:trHeight w:val="282"/>
        </w:trPr>
        <w:tc>
          <w:tcPr>
            <w:tcW w:w="3680" w:type="dxa"/>
            <w:vAlign w:val="bottom"/>
          </w:tcPr>
          <w:p>
            <w:pPr>
              <w:spacing w:after="0"/>
              <w:rPr>
                <w:sz w:val="24"/>
                <w:szCs w:val="24"/>
                <w:color w:val="auto"/>
              </w:rPr>
            </w:pP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Email: [REDACTED]</w:t>
            </w:r>
          </w:p>
        </w:tc>
      </w:tr>
      <w:tr>
        <w:trPr>
          <w:trHeight w:val="555"/>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with a copy (which shall not</w:t>
            </w: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Haynes and Boone, LLP</w:t>
            </w:r>
          </w:p>
        </w:tc>
      </w:tr>
      <w:tr>
        <w:trPr>
          <w:trHeight w:val="25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constitute notice) to:</w:t>
            </w: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7"/>
              </w:rPr>
              <w:t>30 Rockefeller Plaza; 26th Floor</w:t>
            </w:r>
          </w:p>
        </w:tc>
      </w:tr>
      <w:tr>
        <w:trPr>
          <w:trHeight w:val="270"/>
        </w:trPr>
        <w:tc>
          <w:tcPr>
            <w:tcW w:w="3680" w:type="dxa"/>
            <w:vAlign w:val="bottom"/>
          </w:tcPr>
          <w:p>
            <w:pPr>
              <w:spacing w:after="0"/>
              <w:rPr>
                <w:sz w:val="23"/>
                <w:szCs w:val="23"/>
                <w:color w:val="auto"/>
              </w:rPr>
            </w:pP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New York, NY 10112</w:t>
            </w:r>
          </w:p>
        </w:tc>
      </w:tr>
      <w:tr>
        <w:trPr>
          <w:trHeight w:val="282"/>
        </w:trPr>
        <w:tc>
          <w:tcPr>
            <w:tcW w:w="3680" w:type="dxa"/>
            <w:vAlign w:val="bottom"/>
          </w:tcPr>
          <w:p>
            <w:pPr>
              <w:spacing w:after="0"/>
              <w:rPr>
                <w:sz w:val="24"/>
                <w:szCs w:val="24"/>
                <w:color w:val="auto"/>
              </w:rPr>
            </w:pP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Attention: Rick A. Werner</w:t>
            </w:r>
          </w:p>
        </w:tc>
      </w:tr>
      <w:tr>
        <w:trPr>
          <w:trHeight w:val="474"/>
        </w:trPr>
        <w:tc>
          <w:tcPr>
            <w:tcW w:w="3680" w:type="dxa"/>
            <w:vAlign w:val="bottom"/>
          </w:tcPr>
          <w:p>
            <w:pPr>
              <w:spacing w:after="0"/>
              <w:rPr>
                <w:sz w:val="24"/>
                <w:szCs w:val="24"/>
                <w:color w:val="auto"/>
              </w:rPr>
            </w:pP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Telephone: [REDACTED]</w:t>
            </w:r>
          </w:p>
        </w:tc>
      </w:tr>
      <w:tr>
        <w:trPr>
          <w:trHeight w:val="282"/>
        </w:trPr>
        <w:tc>
          <w:tcPr>
            <w:tcW w:w="3680" w:type="dxa"/>
            <w:vAlign w:val="bottom"/>
          </w:tcPr>
          <w:p>
            <w:pPr>
              <w:spacing w:after="0"/>
              <w:rPr>
                <w:sz w:val="24"/>
                <w:szCs w:val="24"/>
                <w:color w:val="auto"/>
              </w:rPr>
            </w:pP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Email: [REDACTED]</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or at such other address and/or e-mail address and/or to the attention of such other person as the recipient party has specified by written notice given to each other party in accordance with this Section at least three (3) Business Days prior to the effectiveness of such change. Written confirmation of receipt (a) given by the recipient of such notice, consent, waiver or other communication, (b) electronically generated by the sender’s email service provider containing the time, date, recipient email address or (c) provided by a nationally recognized overnight delivery service, shall be rebuttable evidence of personal</w:t>
      </w:r>
    </w:p>
    <w:p>
      <w:pPr>
        <w:sectPr>
          <w:pgSz w:w="11900" w:h="16838" w:orient="portrait"/>
          <w:cols w:equalWidth="0" w:num="1">
            <w:col w:w="11240"/>
          </w:cols>
          <w:pgMar w:left="320" w:top="144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1"/>
          <w:szCs w:val="21"/>
          <w:color w:val="auto"/>
        </w:rPr>
        <w:t>service, receipt from a nationally recognized overnight delivery service or receipt by e-mail in accordance with clause (i), (ii) or</w:t>
      </w:r>
    </w:p>
    <w:p>
      <w:pPr>
        <w:spacing w:after="0" w:line="39" w:lineRule="exact"/>
        <w:rPr>
          <w:sz w:val="20"/>
          <w:szCs w:val="20"/>
          <w:color w:val="auto"/>
        </w:rPr>
      </w:pPr>
    </w:p>
    <w:p>
      <w:pPr>
        <w:ind w:left="380" w:hanging="372"/>
        <w:spacing w:after="0"/>
        <w:tabs>
          <w:tab w:leader="none" w:pos="3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respectively.</w:t>
      </w:r>
    </w:p>
    <w:p>
      <w:pPr>
        <w:spacing w:after="0" w:line="164" w:lineRule="exact"/>
        <w:rPr>
          <w:rFonts w:ascii="Times New Roman" w:cs="Times New Roman" w:eastAsia="Times New Roman" w:hAnsi="Times New Roman"/>
          <w:sz w:val="22"/>
          <w:szCs w:val="22"/>
          <w:color w:val="auto"/>
        </w:rPr>
      </w:pPr>
    </w:p>
    <w:p>
      <w:pPr>
        <w:jc w:val="both"/>
        <w:ind w:firstLine="656"/>
        <w:spacing w:after="0" w:line="214" w:lineRule="auto"/>
        <w:tabs>
          <w:tab w:leader="none" w:pos="1269" w:val="left"/>
        </w:tabs>
        <w:numPr>
          <w:ilvl w:val="1"/>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IMPAIRMENT. </w:t>
      </w:r>
      <w:r>
        <w:rPr>
          <w:rFonts w:ascii="Times New Roman" w:cs="Times New Roman" w:eastAsia="Times New Roman" w:hAnsi="Times New Roman"/>
          <w:sz w:val="22"/>
          <w:szCs w:val="22"/>
          <w:color w:val="auto"/>
        </w:rPr>
        <w:t>Except as expressly provided herein, no provision of this Note shall alter or impair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of the Company, which are absolute and unconditional, to pay the Principal of, and other charges (if any) on, this Note at the time, place, and rate, and in the currency, herein prescribed. This Note is a direct obligation of the Company. As long as this Note is outstanding, the Company shall not and shall cause each of its Subsidiaries not to, without the consent of the Holder, (i) amend its certificate of incorporation, bylaws or other charter documents so as to adversely affect any rights of the Holder; (ii) repay, repurchase or offer to repay, repurchase or otherwise acquire shares of its Common Shares or other equity securities; or (iii) enter into any agreement with respect to any of the foregoing.</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21" w:lineRule="auto"/>
        <w:tabs>
          <w:tab w:leader="none" w:pos="1269" w:val="left"/>
        </w:tabs>
        <w:numPr>
          <w:ilvl w:val="1"/>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RIGHTS AS SHAREHOLDER. </w:t>
      </w:r>
      <w:r>
        <w:rPr>
          <w:rFonts w:ascii="Times New Roman" w:cs="Times New Roman" w:eastAsia="Times New Roman" w:hAnsi="Times New Roman"/>
          <w:sz w:val="22"/>
          <w:szCs w:val="22"/>
          <w:color w:val="auto"/>
        </w:rPr>
        <w:t>This Note shall not entitle the Holder to any of the rights of a shareholder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Company, including without limitation, the right to vote, to receive dividends and other distributions, or to receive any notice of, or to attend, meetings of stockholders or any other proceedings of the Company, unless and to the extent converted into Common Shares in accordance with the terms hereof.</w:t>
      </w:r>
    </w:p>
    <w:p>
      <w:pPr>
        <w:spacing w:after="0" w:line="148" w:lineRule="exact"/>
        <w:rPr>
          <w:rFonts w:ascii="Times New Roman" w:cs="Times New Roman" w:eastAsia="Times New Roman" w:hAnsi="Times New Roman"/>
          <w:sz w:val="22"/>
          <w:szCs w:val="22"/>
          <w:b w:val="1"/>
          <w:bCs w:val="1"/>
          <w:color w:val="auto"/>
        </w:rPr>
      </w:pPr>
    </w:p>
    <w:p>
      <w:pPr>
        <w:ind w:left="1280" w:hanging="624"/>
        <w:spacing w:after="0"/>
        <w:tabs>
          <w:tab w:leader="none" w:pos="1280" w:val="left"/>
        </w:tabs>
        <w:numPr>
          <w:ilvl w:val="1"/>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CHOICE OF LAW; VENUE; WAIVER OF JURY TRIAL</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21" w:lineRule="auto"/>
        <w:tabs>
          <w:tab w:leader="none" w:pos="1941" w:val="left"/>
        </w:tabs>
        <w:numPr>
          <w:ilvl w:val="2"/>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Note and the rights and obligations of the Parties hereunder shall, in all respects,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and construed in accordance with, the laws (excluding the principles of conflict of laws) of the State of New York (the “</w:t>
      </w:r>
      <w:r>
        <w:rPr>
          <w:rFonts w:ascii="Times New Roman" w:cs="Times New Roman" w:eastAsia="Times New Roman" w:hAnsi="Times New Roman"/>
          <w:sz w:val="22"/>
          <w:szCs w:val="22"/>
          <w:b w:val="1"/>
          <w:bCs w:val="1"/>
          <w:color w:val="auto"/>
        </w:rPr>
        <w:t>Governing Jurisdiction</w:t>
      </w:r>
      <w:r>
        <w:rPr>
          <w:rFonts w:ascii="Times New Roman" w:cs="Times New Roman" w:eastAsia="Times New Roman" w:hAnsi="Times New Roman"/>
          <w:sz w:val="22"/>
          <w:szCs w:val="22"/>
          <w:color w:val="auto"/>
        </w:rPr>
        <w:t>”) (including Section 5-1401 and Section 5-1402 of the General Obligations Law of the State of New York), including all matters of construction, validity and performance.</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Jurisdiction; Venue; Service.</w:t>
      </w:r>
    </w:p>
    <w:p>
      <w:pPr>
        <w:spacing w:after="0" w:line="183" w:lineRule="exact"/>
        <w:rPr>
          <w:sz w:val="20"/>
          <w:szCs w:val="20"/>
          <w:color w:val="auto"/>
        </w:rPr>
      </w:pPr>
    </w:p>
    <w:p>
      <w:pPr>
        <w:jc w:val="both"/>
        <w:ind w:firstLine="1304"/>
        <w:spacing w:after="0" w:line="225" w:lineRule="auto"/>
        <w:tabs>
          <w:tab w:leader="none" w:pos="194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irrevocably consents to the non-exclusive personal jurisdiction of the state courts of the Governing Jurisdiction and, if a basis for federal jurisdiction exists, the non-exclusive personal jurisdiction of any United States District Court for the Governing Jurisdiction.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venue shall be proper in any court of the Governing Jurisdiction selected by the Holder or, if a basis for federal jurisdiction exists, in any United States District Court in the Governing Jurisdiction selected by the Holder.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suit, claim, action, litigation or proceeding of any kind or description, whether in law or equity, whether in contract or tort or otherwise, brought by the Company against the Holder arising out of or based upon this Note or any matter relating to this Note, or any other Transaction Document, or any contemplated transaction, shall be brought in a court only in the Governing Jurisdiction. The Company shall not file any counterclaim against the Holder in any suit, claim, action, litigation or proceeding brought by the Holder against the Company in a jurisdiction outside of the Governing Jurisdiction unless under the rules of the court in which the Holder brought such suit, claim, action, litigation or proceeding the counterclaim is mandatory, and not permissive,</w:t>
      </w:r>
    </w:p>
    <w:p>
      <w:pPr>
        <w:sectPr>
          <w:pgSz w:w="11900" w:h="16838" w:orient="portrait"/>
          <w:cols w:equalWidth="0" w:num="1">
            <w:col w:w="11240"/>
          </w:cols>
          <w:pgMar w:left="320" w:top="1422" w:right="339" w:bottom="1440" w:gutter="0" w:footer="0" w:header="0"/>
        </w:sectPr>
      </w:pPr>
    </w:p>
    <w:bookmarkStart w:id="69" w:name="page70"/>
    <w:bookmarkEnd w:id="69"/>
    <w:p>
      <w:pPr>
        <w:jc w:val="both"/>
        <w:spacing w:after="0" w:line="209" w:lineRule="auto"/>
        <w:rPr>
          <w:sz w:val="20"/>
          <w:szCs w:val="20"/>
          <w:color w:val="auto"/>
        </w:rPr>
      </w:pPr>
      <w:r>
        <w:rPr>
          <w:rFonts w:ascii="Times New Roman" w:cs="Times New Roman" w:eastAsia="Times New Roman" w:hAnsi="Times New Roman"/>
          <w:sz w:val="22"/>
          <w:szCs w:val="22"/>
          <w:color w:val="auto"/>
        </w:rPr>
        <w:t>and would be considered waived unless filed as a counterclaim in the suit, claim, action, litigation or proceeding instituted by the Holder against the Company. The Company agrees that any forum outside the Governing Jurisdiction is an inconvenient forum and that any suit, claim, action, litigation or proceeding brought by the Company against the Holder in any court outside the Governing Jurisdiction should be dismissed or transferred to a court located in the Governing Jurisdiction. Furthermore, the Company irrevocably and unconditionally agrees that it will not bring or commence any suit, claim, action, litigation or proceeding of any kind or description, whether in law or equity, whether in contract or in tort or otherwise, against the Holder arising out of or based upon this Note or any matter relating to this Note,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Holder agree that a final judgment in any such suit, claim, action, litigation or proceeding shall be conclusive and may be enforced in other jurisdictions by suit on the judgment or in any other manner provided by law.</w:t>
      </w:r>
    </w:p>
    <w:p>
      <w:pPr>
        <w:spacing w:after="0" w:line="156" w:lineRule="exact"/>
        <w:rPr>
          <w:sz w:val="20"/>
          <w:szCs w:val="20"/>
          <w:color w:val="auto"/>
        </w:rPr>
      </w:pPr>
    </w:p>
    <w:p>
      <w:pPr>
        <w:jc w:val="both"/>
        <w:ind w:firstLine="1304"/>
        <w:spacing w:after="0" w:line="215" w:lineRule="auto"/>
        <w:tabs>
          <w:tab w:leader="none" w:pos="1939"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Holder irrevocably consent to the service of process out of any of the aforementioned courts in any such suit, claim, action, litigation or proceeding by e-mail or the mailing of copies thereof by registered or certified mail postage prepaid, to it at the e-mail address or physical address, as applicable, provided for notices in this Note, such service to become effective immediately after the date of such e-mail or mailing, as applicable. The Company and the Holder each irrevocably waive any defense it may have on the grounds of insufficient or improper service with respect to service of process effected in accordance with this Section 8(b)(iv).</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affect the right of the Holder to serve process in any other manner permitted by law or to commence legal proceedings or to otherwise proceed against the Company or any other Person in the Governing Jurisdiction or in any other jurisdiction.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57"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MUTUALLY WAIVE ALL RIGHT TO TRIAL BY JURY OF ALL CLAIMS OF ANY KIND ARISING OUT OF OR BASED UPON THIS NOTE OR ANY MATTER RELATING TO THIS NOTE, OR ANY OTHER TRANSACTION DOCUMENT, OR ANY CONTEMPLATED TRANSACTION. THE PARTIES ACKNOWLEDGE THAT THIS IS A WAIVER OF A LEGAL RIGHT AND THAT THE PARTIES EACH MAKE THIS WAIVER VOLUNTARILY AND KNOWINGLY AFTER CONSULTATION WITH COUNSEL OF THEIR RESPECTIVE CHOICE. THE PARTIES AGREE THAT ALL SUCH CLAIMS SHALL BE TRIED BEFORE A JUDGE OF A COURT HAVING JURISDICTION, WITHOUT A JURY.</w:t>
      </w:r>
    </w:p>
    <w:p>
      <w:pPr>
        <w:spacing w:after="0" w:line="156" w:lineRule="exact"/>
        <w:rPr>
          <w:rFonts w:ascii="Times New Roman" w:cs="Times New Roman" w:eastAsia="Times New Roman" w:hAnsi="Times New Roman"/>
          <w:sz w:val="22"/>
          <w:szCs w:val="22"/>
          <w:color w:val="auto"/>
        </w:rPr>
      </w:pPr>
    </w:p>
    <w:p>
      <w:pPr>
        <w:jc w:val="both"/>
        <w:ind w:firstLine="656"/>
        <w:spacing w:after="0" w:line="215" w:lineRule="auto"/>
        <w:tabs>
          <w:tab w:leader="none" w:pos="1269"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Company fails to strictly comply with the terms of this Note, then the Company shall reimburse the Holder promptly for all fees, costs and expenses, including, without limitation, attorneys’ fees and expenses incurred by the Holder in any action in connection with this Note,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sectPr>
          <w:pgSz w:w="11900" w:h="16838" w:orient="portrait"/>
          <w:cols w:equalWidth="0" w:num="1">
            <w:col w:w="11240"/>
          </w:cols>
          <w:pgMar w:left="320" w:top="1395" w:right="339" w:bottom="1440" w:gutter="0" w:footer="0" w:header="0"/>
        </w:sectPr>
      </w:pPr>
    </w:p>
    <w:bookmarkStart w:id="70" w:name="page71"/>
    <w:bookmarkEnd w:id="70"/>
    <w:p>
      <w:pPr>
        <w:jc w:val="both"/>
        <w:ind w:left="-656" w:firstLine="656"/>
        <w:spacing w:after="0" w:line="217" w:lineRule="auto"/>
        <w:tabs>
          <w:tab w:leader="none" w:pos="613"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waiver by the Holder of a breach of any provision of this Note shall not operate as or be construed to be a waiver of any other breach of such provision or of any breach of any other provision of this Note. The failure of the Holder to insist upon strict adherence to any term of this Note on one or more occasions shall not be considered a waiver or deprive that party of the right thereafter to insist upon strict adherence to that term or any other term of this Note. Any waiver must be in writing.</w:t>
      </w:r>
    </w:p>
    <w:p>
      <w:pPr>
        <w:spacing w:after="0" w:line="152" w:lineRule="exact"/>
        <w:rPr>
          <w:rFonts w:ascii="Times New Roman" w:cs="Times New Roman" w:eastAsia="Times New Roman" w:hAnsi="Times New Roman"/>
          <w:sz w:val="22"/>
          <w:szCs w:val="22"/>
          <w:b w:val="1"/>
          <w:bCs w:val="1"/>
          <w:color w:val="auto"/>
        </w:rPr>
      </w:pPr>
    </w:p>
    <w:p>
      <w:pPr>
        <w:jc w:val="both"/>
        <w:ind w:left="-656" w:firstLine="656"/>
        <w:spacing w:after="0" w:line="220" w:lineRule="auto"/>
        <w:tabs>
          <w:tab w:leader="none" w:pos="601" w:val="left"/>
        </w:tabs>
        <w:numPr>
          <w:ilvl w:val="0"/>
          <w:numId w:val="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any provision of this Note is invalid, illegal or unenforceable, the balance of this Note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Note as contemplated herein, wherever enacted, now or at any time hereafter in force, or which may affect the covenants or the performance of this Note, and the Company (to the extent it may lawfully do so) hereby expressly waives all benefits or advantage of any such law, and covenants that it will not, by resort to any such law, hinder, delay or impede the execution of any power herein granted to the Holder, but will suffer and permit the execution of every such power as though no such law has been enacted.</w:t>
      </w:r>
    </w:p>
    <w:p>
      <w:pPr>
        <w:spacing w:after="0" w:line="153" w:lineRule="exact"/>
        <w:rPr>
          <w:rFonts w:ascii="Times New Roman" w:cs="Times New Roman" w:eastAsia="Times New Roman" w:hAnsi="Times New Roman"/>
          <w:sz w:val="21"/>
          <w:szCs w:val="21"/>
          <w:b w:val="1"/>
          <w:bCs w:val="1"/>
          <w:color w:val="auto"/>
        </w:rPr>
      </w:pPr>
    </w:p>
    <w:p>
      <w:pPr>
        <w:ind w:left="-656" w:firstLine="656"/>
        <w:spacing w:after="0" w:line="238" w:lineRule="auto"/>
        <w:tabs>
          <w:tab w:leader="none" w:pos="613"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CURRENCY. </w:t>
      </w:r>
      <w:r>
        <w:rPr>
          <w:rFonts w:ascii="Times New Roman" w:cs="Times New Roman" w:eastAsia="Times New Roman" w:hAnsi="Times New Roman"/>
          <w:sz w:val="22"/>
          <w:szCs w:val="22"/>
          <w:color w:val="auto"/>
        </w:rPr>
        <w:t>Unless otherwise specified, all references to “$” or “dollars” in this Note mean the lawful currency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United States of America.</w:t>
      </w:r>
    </w:p>
    <w:p>
      <w:pPr>
        <w:spacing w:after="0" w:line="146" w:lineRule="exact"/>
        <w:rPr>
          <w:rFonts w:ascii="Times New Roman" w:cs="Times New Roman" w:eastAsia="Times New Roman" w:hAnsi="Times New Roman"/>
          <w:sz w:val="22"/>
          <w:szCs w:val="22"/>
          <w:b w:val="1"/>
          <w:bCs w:val="1"/>
          <w:color w:val="auto"/>
        </w:rPr>
      </w:pPr>
    </w:p>
    <w:p>
      <w:pPr>
        <w:ind w:left="624" w:hanging="624"/>
        <w:spacing w:after="0"/>
        <w:tabs>
          <w:tab w:leader="none" w:pos="624"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AFFIRMATIVE AND NEGATIVE COVENANTS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ind w:left="-656" w:firstLine="1304"/>
        <w:spacing w:after="0" w:line="236" w:lineRule="auto"/>
        <w:tabs>
          <w:tab w:leader="none" w:pos="1285"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at all times have sufficient number of shares by the Principal U.S. Exchange for the registration of the Conversion Shares pursuant to provisions of Section 3 hereof.</w:t>
      </w:r>
    </w:p>
    <w:p>
      <w:pPr>
        <w:spacing w:after="0" w:line="150" w:lineRule="exact"/>
        <w:rPr>
          <w:rFonts w:ascii="Times New Roman" w:cs="Times New Roman" w:eastAsia="Times New Roman" w:hAnsi="Times New Roman"/>
          <w:sz w:val="22"/>
          <w:szCs w:val="22"/>
          <w:color w:val="auto"/>
        </w:rPr>
      </w:pPr>
    </w:p>
    <w:p>
      <w:pPr>
        <w:jc w:val="both"/>
        <w:ind w:left="-656" w:firstLine="1304"/>
        <w:spacing w:after="0" w:line="215" w:lineRule="auto"/>
        <w:tabs>
          <w:tab w:leader="none" w:pos="1283"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and shall cause its Subsidiaries not to, directly or indirectly, without the prior written consent of the holders of a majority in aggregate principal amount of the Notes then outstanding, (i) issue any Notes (other than as contemplated by the Purchase Agreement and the Notes) or (ii) issue any other securities or incur any Indebtedness, in each case, that would cause a breach or Event of Default under the Notes or that by its terms would prohibit or restrict the performance of any of the Company’s or its Subsidiaries’ obligations under the Note, including, without limitation, the payment of principal thereon.</w:t>
      </w:r>
    </w:p>
    <w:p>
      <w:pPr>
        <w:spacing w:after="0" w:line="152" w:lineRule="exact"/>
        <w:rPr>
          <w:rFonts w:ascii="Times New Roman" w:cs="Times New Roman" w:eastAsia="Times New Roman" w:hAnsi="Times New Roman"/>
          <w:sz w:val="22"/>
          <w:szCs w:val="22"/>
          <w:color w:val="auto"/>
        </w:rPr>
      </w:pPr>
    </w:p>
    <w:p>
      <w:pPr>
        <w:jc w:val="both"/>
        <w:ind w:left="-656" w:firstLine="1304"/>
        <w:spacing w:after="0" w:line="217" w:lineRule="auto"/>
        <w:tabs>
          <w:tab w:leader="none" w:pos="1285"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and the Company shall cause each of its Subsidiaries to not, directly or indirectly, engage in any material line of business substantially different from those lines of business conducted by or publicly contemplated to be conducted by the Company and/or its Subsidiaries on the Closing Date or any business reasonably related or incidental thereto. The Company shall not, and the Company shall cause each of its Subsidiaries to not, directly or indirectly, modify its or their corporate structure or purpose in any material respect.</w:t>
      </w:r>
    </w:p>
    <w:p>
      <w:pPr>
        <w:spacing w:after="0" w:line="152" w:lineRule="exact"/>
        <w:rPr>
          <w:rFonts w:ascii="Times New Roman" w:cs="Times New Roman" w:eastAsia="Times New Roman" w:hAnsi="Times New Roman"/>
          <w:sz w:val="22"/>
          <w:szCs w:val="22"/>
          <w:color w:val="auto"/>
        </w:rPr>
      </w:pPr>
    </w:p>
    <w:p>
      <w:pPr>
        <w:jc w:val="both"/>
        <w:ind w:left="-656" w:firstLine="1304"/>
        <w:spacing w:after="0" w:line="225" w:lineRule="auto"/>
        <w:tabs>
          <w:tab w:leader="none" w:pos="1283"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consolidate with or merge with or into, or (directly, or indirectly through one or more of its Subsidiaries) sell, lease or otherwise transfer, in one transaction or a series of transactions, all or substantially all of the assets</w:t>
      </w:r>
    </w:p>
    <w:p>
      <w:pPr>
        <w:sectPr>
          <w:pgSz w:w="11900" w:h="16838" w:orient="portrait"/>
          <w:cols w:equalWidth="0" w:num="1">
            <w:col w:w="10584"/>
          </w:cols>
          <w:pgMar w:left="976" w:top="1395" w:right="339" w:bottom="1440" w:gutter="0" w:footer="0" w:header="0"/>
        </w:sectPr>
      </w:pPr>
    </w:p>
    <w:bookmarkStart w:id="71" w:name="page72"/>
    <w:bookmarkEnd w:id="71"/>
    <w:p>
      <w:pPr>
        <w:ind w:right="20"/>
        <w:spacing w:after="0" w:line="236" w:lineRule="auto"/>
        <w:rPr>
          <w:sz w:val="20"/>
          <w:szCs w:val="20"/>
          <w:color w:val="auto"/>
        </w:rPr>
      </w:pPr>
      <w:r>
        <w:rPr>
          <w:rFonts w:ascii="Times New Roman" w:cs="Times New Roman" w:eastAsia="Times New Roman" w:hAnsi="Times New Roman"/>
          <w:sz w:val="22"/>
          <w:szCs w:val="22"/>
          <w:color w:val="auto"/>
        </w:rPr>
        <w:t>of the Company and its Subsidiaries, taken as a whole, to another Person, other than the Holder or any of its affiliates (a “Business Combination Event”), unless:</w:t>
      </w:r>
    </w:p>
    <w:p>
      <w:pPr>
        <w:spacing w:after="0" w:line="150" w:lineRule="exact"/>
        <w:rPr>
          <w:sz w:val="20"/>
          <w:szCs w:val="20"/>
          <w:color w:val="auto"/>
        </w:rPr>
      </w:pPr>
    </w:p>
    <w:p>
      <w:pPr>
        <w:jc w:val="both"/>
        <w:ind w:firstLine="1304"/>
        <w:spacing w:after="0" w:line="220" w:lineRule="auto"/>
        <w:tabs>
          <w:tab w:leader="none" w:pos="1941"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resulting, surviving or transferee Person either (x) is the Company or (y) if not the Company, is a corporation (the “Successor Corporation”) duly organized and existing under the laws of its applicable jurisdiction that expressly assumes (by executing and delivering to the Holder, at or before the effective time of such Business Combination Event, a supplement to this instrument) all of the Company’s obligations under this Note; and</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Business Combination Event, no Event of Default will have occurred that has not been waived.</w:t>
      </w:r>
    </w:p>
    <w:p>
      <w:pPr>
        <w:spacing w:after="0" w:line="177" w:lineRule="exact"/>
        <w:rPr>
          <w:rFonts w:ascii="Times New Roman" w:cs="Times New Roman" w:eastAsia="Times New Roman" w:hAnsi="Times New Roman"/>
          <w:sz w:val="22"/>
          <w:szCs w:val="22"/>
          <w:color w:val="auto"/>
        </w:rPr>
      </w:pPr>
    </w:p>
    <w:p>
      <w:pPr>
        <w:jc w:val="both"/>
        <w:ind w:right="20" w:firstLine="1142"/>
        <w:spacing w:after="0" w:line="256" w:lineRule="auto"/>
        <w:tabs>
          <w:tab w:leader="none" w:pos="194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effective time of any Business Combination Event, the Successor Corporation (if not the Company) will succeed to, and may exercise every right and power of, the Company under this Note with the same effect as if such Successor Corporation had been named as the Company in this Note, and, except in the case of a lease, the predecessor Company will be discharged from its obligations under this Note.</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(d)</w:t>
      </w:r>
    </w:p>
    <w:p>
      <w:pPr>
        <w:spacing w:after="0" w:line="189" w:lineRule="exact"/>
        <w:rPr>
          <w:sz w:val="20"/>
          <w:szCs w:val="20"/>
          <w:color w:val="auto"/>
        </w:rPr>
      </w:pPr>
    </w:p>
    <w:p>
      <w:pPr>
        <w:ind w:left="1280" w:hanging="624"/>
        <w:spacing w:after="0"/>
        <w:tabs>
          <w:tab w:leader="none" w:pos="128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CERTAIN DEFINITIONS. </w:t>
      </w:r>
      <w:r>
        <w:rPr>
          <w:rFonts w:ascii="Times New Roman" w:cs="Times New Roman" w:eastAsia="Times New Roman" w:hAnsi="Times New Roman"/>
          <w:sz w:val="22"/>
          <w:szCs w:val="22"/>
          <w:color w:val="auto"/>
        </w:rPr>
        <w:t>For purposes of this Note, the following terms shall have the following meanings:</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21" w:lineRule="auto"/>
        <w:tabs>
          <w:tab w:leader="none" w:pos="1941"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Amortization Event</w:t>
      </w:r>
      <w:r>
        <w:rPr>
          <w:rFonts w:ascii="Times New Roman" w:cs="Times New Roman" w:eastAsia="Times New Roman" w:hAnsi="Times New Roman"/>
          <w:sz w:val="22"/>
          <w:szCs w:val="22"/>
          <w:color w:val="auto"/>
        </w:rPr>
        <w:t>” shall mean an occurrence after a Registration Statement is required to be filed by the Company pursuant to the Registration Rights Agreement where a Registration Statement is not available for the sale of the Underlying Shares for a period of twelve (12) consecutive Trading Days (the last day of each such occurrence, an “</w:t>
      </w:r>
      <w:r>
        <w:rPr>
          <w:rFonts w:ascii="Times New Roman" w:cs="Times New Roman" w:eastAsia="Times New Roman" w:hAnsi="Times New Roman"/>
          <w:sz w:val="22"/>
          <w:szCs w:val="22"/>
          <w:b w:val="1"/>
          <w:bCs w:val="1"/>
          <w:color w:val="auto"/>
        </w:rPr>
        <w:t>Amortization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Event Date</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Amortization Event Payment Date</w:t>
      </w:r>
      <w:r>
        <w:rPr>
          <w:rFonts w:ascii="Times New Roman" w:cs="Times New Roman" w:eastAsia="Times New Roman" w:hAnsi="Times New Roman"/>
          <w:sz w:val="22"/>
          <w:szCs w:val="22"/>
          <w:color w:val="auto"/>
        </w:rPr>
        <w:t>” shall have the meaning set forth in Section 1(c).</w:t>
      </w:r>
    </w:p>
    <w:p>
      <w:pPr>
        <w:spacing w:after="0" w:line="179"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41"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Amortization Principal Amount</w:t>
      </w:r>
      <w:r>
        <w:rPr>
          <w:rFonts w:ascii="Times New Roman" w:cs="Times New Roman" w:eastAsia="Times New Roman" w:hAnsi="Times New Roman"/>
          <w:sz w:val="22"/>
          <w:szCs w:val="22"/>
          <w:color w:val="auto"/>
        </w:rPr>
        <w:t>” shall mean an amount equal to 17% of the outstanding Principal balance of this Note as of the most recent Amortization Event (or the outstanding Principal, if less than such amount) in respect of which a payment is due pursuant to Section 1(c).</w:t>
      </w:r>
    </w:p>
    <w:p>
      <w:pPr>
        <w:spacing w:after="0" w:line="146" w:lineRule="exact"/>
        <w:rPr>
          <w:rFonts w:ascii="Times New Roman" w:cs="Times New Roman" w:eastAsia="Times New Roman" w:hAnsi="Times New Roman"/>
          <w:sz w:val="22"/>
          <w:szCs w:val="22"/>
          <w:color w:val="auto"/>
        </w:rPr>
      </w:pPr>
    </w:p>
    <w:p>
      <w:pPr>
        <w:ind w:firstLine="1304"/>
        <w:spacing w:after="0" w:line="238" w:lineRule="auto"/>
        <w:tabs>
          <w:tab w:leader="none" w:pos="1939"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Bloomberg</w:t>
      </w:r>
      <w:r>
        <w:rPr>
          <w:rFonts w:ascii="Times New Roman" w:cs="Times New Roman" w:eastAsia="Times New Roman" w:hAnsi="Times New Roman"/>
          <w:sz w:val="22"/>
          <w:szCs w:val="22"/>
          <w:color w:val="auto"/>
        </w:rPr>
        <w:t>” means Bloomberg Financial Markets (or if not available, a similar service provider of national recognized standing).</w:t>
      </w:r>
    </w:p>
    <w:p>
      <w:pPr>
        <w:spacing w:after="0" w:line="146" w:lineRule="exact"/>
        <w:rPr>
          <w:rFonts w:ascii="Times New Roman" w:cs="Times New Roman" w:eastAsia="Times New Roman" w:hAnsi="Times New Roman"/>
          <w:sz w:val="22"/>
          <w:szCs w:val="22"/>
          <w:color w:val="auto"/>
        </w:rPr>
      </w:pPr>
    </w:p>
    <w:p>
      <w:pPr>
        <w:jc w:val="both"/>
        <w:ind w:right="20" w:firstLine="1304"/>
        <w:spacing w:after="0" w:line="227" w:lineRule="auto"/>
        <w:tabs>
          <w:tab w:leader="none" w:pos="1941"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except Saturday, Sunday and any day which shall be a federal legal holiday in the United States or Canada or a day on which banking institutions in the State of New York or the Province of Ontario are authorized or required by law or other government action to close.</w:t>
      </w:r>
    </w:p>
    <w:p>
      <w:pPr>
        <w:spacing w:after="0" w:line="1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Buy-In</w:t>
      </w:r>
      <w:r>
        <w:rPr>
          <w:rFonts w:ascii="Times New Roman" w:cs="Times New Roman" w:eastAsia="Times New Roman" w:hAnsi="Times New Roman"/>
          <w:sz w:val="22"/>
          <w:szCs w:val="22"/>
          <w:color w:val="auto"/>
        </w:rPr>
        <w:t>” shall have the meaning set forth in Section 3(b)(ii).</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Buy-In Price</w:t>
      </w:r>
      <w:r>
        <w:rPr>
          <w:rFonts w:ascii="Times New Roman" w:cs="Times New Roman" w:eastAsia="Times New Roman" w:hAnsi="Times New Roman"/>
          <w:sz w:val="22"/>
          <w:szCs w:val="22"/>
          <w:color w:val="auto"/>
        </w:rPr>
        <w:t>” shall have the meaning set forth in Section 3(b)(ii).</w:t>
      </w:r>
    </w:p>
    <w:p>
      <w:pPr>
        <w:spacing w:after="0" w:line="179" w:lineRule="exact"/>
        <w:rPr>
          <w:rFonts w:ascii="Times New Roman" w:cs="Times New Roman" w:eastAsia="Times New Roman" w:hAnsi="Times New Roman"/>
          <w:sz w:val="22"/>
          <w:szCs w:val="22"/>
          <w:color w:val="auto"/>
        </w:rPr>
      </w:pPr>
    </w:p>
    <w:p>
      <w:pPr>
        <w:ind w:firstLine="1304"/>
        <w:spacing w:after="0" w:line="238" w:lineRule="auto"/>
        <w:tabs>
          <w:tab w:leader="none" w:pos="1939"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 Transaction</w:t>
      </w:r>
      <w:r>
        <w:rPr>
          <w:rFonts w:ascii="Times New Roman" w:cs="Times New Roman" w:eastAsia="Times New Roman" w:hAnsi="Times New Roman"/>
          <w:sz w:val="22"/>
          <w:szCs w:val="22"/>
          <w:color w:val="auto"/>
        </w:rPr>
        <w:t>” means the occurrence of (a) an acquisition after the date hereof by an individual or legal entity or “group” (as described in</w:t>
      </w:r>
    </w:p>
    <w:p>
      <w:pPr>
        <w:sectPr>
          <w:pgSz w:w="11900" w:h="16838" w:orient="portrait"/>
          <w:cols w:equalWidth="0" w:num="1">
            <w:col w:w="11240"/>
          </w:cols>
          <w:pgMar w:left="320" w:top="1395" w:right="339" w:bottom="1440" w:gutter="0" w:footer="0" w:header="0"/>
        </w:sectPr>
      </w:pPr>
    </w:p>
    <w:bookmarkStart w:id="72" w:name="page73"/>
    <w:bookmarkEnd w:id="72"/>
    <w:p>
      <w:pPr>
        <w:jc w:val="both"/>
        <w:spacing w:after="0" w:line="216" w:lineRule="auto"/>
        <w:rPr>
          <w:sz w:val="20"/>
          <w:szCs w:val="20"/>
          <w:color w:val="auto"/>
        </w:rPr>
      </w:pPr>
      <w:r>
        <w:rPr>
          <w:rFonts w:ascii="Times New Roman" w:cs="Times New Roman" w:eastAsia="Times New Roman" w:hAnsi="Times New Roman"/>
          <w:sz w:val="21"/>
          <w:szCs w:val="21"/>
          <w:color w:val="auto"/>
        </w:rPr>
        <w:t>Rule 13d-5(b)(1) promulgated under the Exchange Act) of effective control (whether through legal or beneficial ownership of the Common Shares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a replacement at one time or over time of more than one-half of the members of the board of directors of the Company (other than as due to the death or disability of a member of the board of directors) which is not approved by a majority of those individuals who are members of the board of directors on the date hereof (or by those individuals who are serving as members of the board of directors on any date whose nomination to the board of directors was approved by a majority of the members of the board of directors who are members on the date hereof); (c) the merger, consolidation or sale of fifty percent (50%) or more of the assets of the Company or any Subsidiary of the Company in one or a series of related transactions with or into another entity; (d) the execution by the Company of an agreement to which the Company is a party or by which it is bound, providing for any of the events set forth above in (a),</w:t>
      </w:r>
    </w:p>
    <w:p>
      <w:pPr>
        <w:ind w:left="320" w:hanging="312"/>
        <w:spacing w:after="0" w:line="213" w:lineRule="auto"/>
        <w:tabs>
          <w:tab w:leader="none" w:pos="3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(c); or (e) the Company’s shareholders approve any plan or proposal for the liquidation or dissolution of the Company or</w:t>
      </w:r>
    </w:p>
    <w:p>
      <w:pPr>
        <w:jc w:val="both"/>
        <w:ind w:firstLine="8"/>
        <w:spacing w:after="0" w:line="214" w:lineRule="auto"/>
        <w:tabs>
          <w:tab w:leader="none" w:pos="29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Shares cease to be listed on any of any of The New York Stock Exchange, The NYSE American LLC, The Nasdaq Stock Market, The Nasdaq Capital Market, The Nasdaq Global Market or The Nasdaq Global Select Market (or any of their respective successors). No transfer to a wholly-owned Subsidiary shall be deemed a Change of Control Transaction under this provision.</w:t>
      </w:r>
    </w:p>
    <w:p>
      <w:pPr>
        <w:spacing w:after="0" w:line="149" w:lineRule="exact"/>
        <w:rPr>
          <w:rFonts w:ascii="Times New Roman" w:cs="Times New Roman" w:eastAsia="Times New Roman" w:hAnsi="Times New Roman"/>
          <w:sz w:val="22"/>
          <w:szCs w:val="22"/>
          <w:color w:val="auto"/>
        </w:rPr>
      </w:pPr>
    </w:p>
    <w:p>
      <w:pPr>
        <w:ind w:firstLine="1304"/>
        <w:spacing w:after="0" w:line="238" w:lineRule="auto"/>
        <w:tabs>
          <w:tab w:leader="none" w:pos="1959"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Price</w:t>
      </w:r>
      <w:r>
        <w:rPr>
          <w:rFonts w:ascii="Times New Roman" w:cs="Times New Roman" w:eastAsia="Times New Roman" w:hAnsi="Times New Roman"/>
          <w:sz w:val="22"/>
          <w:szCs w:val="22"/>
          <w:color w:val="auto"/>
        </w:rPr>
        <w:t>” means the price per share in the last reported trade of the Common Shares on a Principal U.S. Market or on the exchange which the Common Shares is then listed as quoted by Bloomberg.</w:t>
      </w:r>
    </w:p>
    <w:p>
      <w:pPr>
        <w:spacing w:after="0" w:line="1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means the Securities and Exchange Commission.</w:t>
      </w:r>
    </w:p>
    <w:p>
      <w:pPr>
        <w:spacing w:after="0" w:line="179" w:lineRule="exact"/>
        <w:rPr>
          <w:rFonts w:ascii="Times New Roman" w:cs="Times New Roman" w:eastAsia="Times New Roman" w:hAnsi="Times New Roman"/>
          <w:sz w:val="22"/>
          <w:szCs w:val="22"/>
          <w:color w:val="auto"/>
        </w:rPr>
      </w:pPr>
    </w:p>
    <w:p>
      <w:pPr>
        <w:ind w:firstLine="1304"/>
        <w:spacing w:after="0" w:line="238" w:lineRule="auto"/>
        <w:tabs>
          <w:tab w:leader="none" w:pos="1953"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means the common shares, with no par value, of the Company and shares of any other class into which such shares may hereafter be changed or reclassified.</w:t>
      </w:r>
    </w:p>
    <w:p>
      <w:pPr>
        <w:spacing w:after="0" w:line="146" w:lineRule="exact"/>
        <w:rPr>
          <w:rFonts w:ascii="Times New Roman" w:cs="Times New Roman" w:eastAsia="Times New Roman" w:hAnsi="Times New Roman"/>
          <w:sz w:val="22"/>
          <w:szCs w:val="22"/>
          <w:color w:val="auto"/>
        </w:rPr>
      </w:pPr>
    </w:p>
    <w:p>
      <w:pPr>
        <w:ind w:firstLine="1304"/>
        <w:spacing w:after="0" w:line="238" w:lineRule="auto"/>
        <w:tabs>
          <w:tab w:leader="none" w:pos="1959"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Amount</w:t>
      </w:r>
      <w:r>
        <w:rPr>
          <w:rFonts w:ascii="Times New Roman" w:cs="Times New Roman" w:eastAsia="Times New Roman" w:hAnsi="Times New Roman"/>
          <w:sz w:val="22"/>
          <w:szCs w:val="22"/>
          <w:color w:val="auto"/>
        </w:rPr>
        <w:t>” means the portion of the Principal or other amounts outstanding under this Note to be converted, redeemed or otherwise with respect to which this determination is being made.</w:t>
      </w:r>
    </w:p>
    <w:p>
      <w:pPr>
        <w:spacing w:after="0" w:line="1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Date</w:t>
      </w:r>
      <w:r>
        <w:rPr>
          <w:rFonts w:ascii="Times New Roman" w:cs="Times New Roman" w:eastAsia="Times New Roman" w:hAnsi="Times New Roman"/>
          <w:sz w:val="22"/>
          <w:szCs w:val="22"/>
          <w:color w:val="auto"/>
        </w:rPr>
        <w:t>” shall have the meaning set forth in Section 3(b)(i).</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Failure</w:t>
      </w:r>
      <w:r>
        <w:rPr>
          <w:rFonts w:ascii="Times New Roman" w:cs="Times New Roman" w:eastAsia="Times New Roman" w:hAnsi="Times New Roman"/>
          <w:sz w:val="22"/>
          <w:szCs w:val="22"/>
          <w:color w:val="auto"/>
        </w:rPr>
        <w:t>” shall have the meaning set forth in Section 3(b)(ii).</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Notice</w:t>
      </w:r>
      <w:r>
        <w:rPr>
          <w:rFonts w:ascii="Times New Roman" w:cs="Times New Roman" w:eastAsia="Times New Roman" w:hAnsi="Times New Roman"/>
          <w:sz w:val="22"/>
          <w:szCs w:val="22"/>
          <w:color w:val="auto"/>
        </w:rPr>
        <w:t>” shall have the meaning set forth in Section 3(b)(i).</w:t>
      </w:r>
    </w:p>
    <w:p>
      <w:pPr>
        <w:spacing w:after="0" w:line="179"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9"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Price</w:t>
      </w:r>
      <w:r>
        <w:rPr>
          <w:rFonts w:ascii="Times New Roman" w:cs="Times New Roman" w:eastAsia="Times New Roman" w:hAnsi="Times New Roman"/>
          <w:sz w:val="22"/>
          <w:szCs w:val="22"/>
          <w:color w:val="auto"/>
        </w:rPr>
        <w:t>” means, as of any Conversion Date or other date of determination the lower of (i) $10.92 per Common Share (the “</w:t>
      </w:r>
      <w:r>
        <w:rPr>
          <w:rFonts w:ascii="Times New Roman" w:cs="Times New Roman" w:eastAsia="Times New Roman" w:hAnsi="Times New Roman"/>
          <w:sz w:val="22"/>
          <w:szCs w:val="22"/>
          <w:b w:val="1"/>
          <w:bCs w:val="1"/>
          <w:color w:val="auto"/>
        </w:rPr>
        <w:t>Fixed Price</w:t>
      </w:r>
      <w:r>
        <w:rPr>
          <w:rFonts w:ascii="Times New Roman" w:cs="Times New Roman" w:eastAsia="Times New Roman" w:hAnsi="Times New Roman"/>
          <w:sz w:val="22"/>
          <w:szCs w:val="22"/>
          <w:color w:val="auto"/>
        </w:rPr>
        <w:t>”), or (ii) the average of the daily VWAPs on the Principal U.S. Market during the 5 Trading Days immediately preceding the Conversion Date or other date of determination (the “</w:t>
      </w:r>
      <w:r>
        <w:rPr>
          <w:rFonts w:ascii="Times New Roman" w:cs="Times New Roman" w:eastAsia="Times New Roman" w:hAnsi="Times New Roman"/>
          <w:sz w:val="22"/>
          <w:szCs w:val="22"/>
          <w:b w:val="1"/>
          <w:bCs w:val="1"/>
          <w:color w:val="auto"/>
        </w:rPr>
        <w:t>Variable Price</w:t>
      </w:r>
      <w:r>
        <w:rPr>
          <w:rFonts w:ascii="Times New Roman" w:cs="Times New Roman" w:eastAsia="Times New Roman" w:hAnsi="Times New Roman"/>
          <w:sz w:val="22"/>
          <w:szCs w:val="22"/>
          <w:color w:val="auto"/>
        </w:rPr>
        <w:t>”). The Conversion Price shall be adjusted from time to time pursuant to the other terms and conditions of this Note.</w:t>
      </w:r>
    </w:p>
    <w:p>
      <w:pPr>
        <w:sectPr>
          <w:pgSz w:w="11900" w:h="16838" w:orient="portrait"/>
          <w:cols w:equalWidth="0" w:num="1">
            <w:col w:w="11240"/>
          </w:cols>
          <w:pgMar w:left="320" w:top="1395" w:right="339" w:bottom="1440" w:gutter="0" w:footer="0" w:header="0"/>
        </w:sectPr>
      </w:pPr>
    </w:p>
    <w:bookmarkStart w:id="73" w:name="page74"/>
    <w:bookmarkEnd w:id="73"/>
    <w:p>
      <w:pPr>
        <w:ind w:left="1940" w:hanging="636"/>
        <w:spacing w:after="0"/>
        <w:tabs>
          <w:tab w:leader="none" w:pos="19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179"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5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Transaction”</w:t>
      </w:r>
      <w:r>
        <w:rPr>
          <w:rFonts w:ascii="Times New Roman" w:cs="Times New Roman" w:eastAsia="Times New Roman" w:hAnsi="Times New Roman"/>
          <w:sz w:val="22"/>
          <w:szCs w:val="22"/>
          <w:color w:val="auto"/>
        </w:rPr>
        <w:t xml:space="preserve">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Common Shares are permitted to tender or exchange their shares for other securities, cash or property, or (4) the Company effects any reclassification of the Common Shares or any compulsory share exchange pursuant to which the Common Shares is effectively converted into or exchanged for other securities, cash or property.</w:t>
      </w:r>
    </w:p>
    <w:p>
      <w:pPr>
        <w:spacing w:after="0" w:line="14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Maturity Date</w:t>
      </w:r>
      <w:r>
        <w:rPr>
          <w:rFonts w:ascii="Times New Roman" w:cs="Times New Roman" w:eastAsia="Times New Roman" w:hAnsi="Times New Roman"/>
          <w:sz w:val="22"/>
          <w:szCs w:val="22"/>
          <w:color w:val="auto"/>
        </w:rPr>
        <w:t>” shall have the meaning set forth in Section 1(a).</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Optional Prepayment</w:t>
      </w:r>
      <w:r>
        <w:rPr>
          <w:rFonts w:ascii="Times New Roman" w:cs="Times New Roman" w:eastAsia="Times New Roman" w:hAnsi="Times New Roman"/>
          <w:sz w:val="22"/>
          <w:szCs w:val="22"/>
          <w:color w:val="auto"/>
        </w:rPr>
        <w:t>” shall have the meaning set forth in Section 1(d).</w:t>
      </w:r>
    </w:p>
    <w:p>
      <w:pPr>
        <w:spacing w:after="0" w:line="179" w:lineRule="exact"/>
        <w:rPr>
          <w:rFonts w:ascii="Times New Roman" w:cs="Times New Roman" w:eastAsia="Times New Roman" w:hAnsi="Times New Roman"/>
          <w:sz w:val="22"/>
          <w:szCs w:val="22"/>
          <w:color w:val="auto"/>
        </w:rPr>
      </w:pPr>
    </w:p>
    <w:p>
      <w:pPr>
        <w:ind w:right="20" w:firstLine="1304"/>
        <w:spacing w:after="0" w:line="238" w:lineRule="auto"/>
        <w:tabs>
          <w:tab w:leader="none" w:pos="193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Notes</w:t>
      </w:r>
      <w:r>
        <w:rPr>
          <w:rFonts w:ascii="Times New Roman" w:cs="Times New Roman" w:eastAsia="Times New Roman" w:hAnsi="Times New Roman"/>
          <w:sz w:val="22"/>
          <w:szCs w:val="22"/>
          <w:color w:val="auto"/>
        </w:rPr>
        <w:t>” means any other Notes issued pursuant to the Securities Purchase Agreement and any other Notes, notes, or other instruments issued in exchange, replacement, or modification of the foregoing.</w:t>
      </w:r>
    </w:p>
    <w:p>
      <w:pPr>
        <w:spacing w:after="0" w:line="146" w:lineRule="exact"/>
        <w:rPr>
          <w:rFonts w:ascii="Times New Roman" w:cs="Times New Roman" w:eastAsia="Times New Roman" w:hAnsi="Times New Roman"/>
          <w:sz w:val="22"/>
          <w:szCs w:val="22"/>
          <w:color w:val="auto"/>
        </w:rPr>
      </w:pPr>
    </w:p>
    <w:p>
      <w:pPr>
        <w:ind w:firstLine="1304"/>
        <w:spacing w:after="0" w:line="259" w:lineRule="auto"/>
        <w:tabs>
          <w:tab w:leader="none" w:pos="1966"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Payment Premium</w:t>
      </w:r>
      <w:r>
        <w:rPr>
          <w:rFonts w:ascii="Times New Roman" w:cs="Times New Roman" w:eastAsia="Times New Roman" w:hAnsi="Times New Roman"/>
          <w:sz w:val="21"/>
          <w:szCs w:val="21"/>
          <w:color w:val="auto"/>
        </w:rPr>
        <w:t>” means 5% of the Principal Amount being paid if such Principal Amount is paid within one year from the Issuance Date, and 3% of the Principal Amount being paid if such Principal Amount is paid thereafter.</w:t>
      </w:r>
    </w:p>
    <w:p>
      <w:pPr>
        <w:spacing w:after="0" w:line="126" w:lineRule="exact"/>
        <w:rPr>
          <w:rFonts w:ascii="Times New Roman" w:cs="Times New Roman" w:eastAsia="Times New Roman" w:hAnsi="Times New Roman"/>
          <w:sz w:val="21"/>
          <w:szCs w:val="21"/>
          <w:color w:val="auto"/>
        </w:rPr>
      </w:pPr>
    </w:p>
    <w:p>
      <w:pPr>
        <w:jc w:val="both"/>
        <w:ind w:firstLine="1304"/>
        <w:spacing w:after="0" w:line="216" w:lineRule="auto"/>
        <w:tabs>
          <w:tab w:leader="none" w:pos="19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Periodic Reports</w:t>
      </w:r>
      <w:r>
        <w:rPr>
          <w:rFonts w:ascii="Times New Roman" w:cs="Times New Roman" w:eastAsia="Times New Roman" w:hAnsi="Times New Roman"/>
          <w:sz w:val="22"/>
          <w:szCs w:val="22"/>
          <w:color w:val="auto"/>
        </w:rPr>
        <w:t xml:space="preserve">” shall mean all of the Company’s reports required to be filed by the Company with the Commission under applicable laws and regulations (including, without limitation, Regulation S-K), including annual reports (on Form 10-K), quarterly reports (on Form 10-Q), and current reports (on Form 8-K), for so long as any amounts are outstanding under this Note;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such Periodic Reports shall include, when filed, all information, financial statements, audit reports (when applicable) and other information required to be included in such Periodic Reports in compliance with all applicable laws and regulations.</w:t>
      </w:r>
    </w:p>
    <w:p>
      <w:pPr>
        <w:spacing w:after="0" w:line="145" w:lineRule="exact"/>
        <w:rPr>
          <w:rFonts w:ascii="Times New Roman" w:cs="Times New Roman" w:eastAsia="Times New Roman" w:hAnsi="Times New Roman"/>
          <w:sz w:val="22"/>
          <w:szCs w:val="22"/>
          <w:color w:val="auto"/>
        </w:rPr>
      </w:pPr>
    </w:p>
    <w:p>
      <w:pPr>
        <w:ind w:right="20" w:firstLine="1304"/>
        <w:spacing w:after="0" w:line="238" w:lineRule="auto"/>
        <w:tabs>
          <w:tab w:leader="none" w:pos="196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 corporation, an association, a partnership, organization, a business, an individual, a government or political subdivision thereof or a governmental agency.</w:t>
      </w:r>
    </w:p>
    <w:p>
      <w:pPr>
        <w:spacing w:after="0" w:line="146" w:lineRule="exact"/>
        <w:rPr>
          <w:rFonts w:ascii="Times New Roman" w:cs="Times New Roman" w:eastAsia="Times New Roman" w:hAnsi="Times New Roman"/>
          <w:sz w:val="22"/>
          <w:szCs w:val="22"/>
          <w:color w:val="auto"/>
        </w:rPr>
      </w:pPr>
    </w:p>
    <w:p>
      <w:pPr>
        <w:ind w:left="1980" w:hanging="676"/>
        <w:spacing w:after="0"/>
        <w:tabs>
          <w:tab w:leader="none" w:pos="198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Prepayment Amount</w:t>
      </w:r>
      <w:r>
        <w:rPr>
          <w:rFonts w:ascii="Times New Roman" w:cs="Times New Roman" w:eastAsia="Times New Roman" w:hAnsi="Times New Roman"/>
          <w:sz w:val="22"/>
          <w:szCs w:val="22"/>
          <w:color w:val="auto"/>
        </w:rPr>
        <w:t>” shall have the meaning set forth in Section 1(d).</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Prepayment Notice</w:t>
      </w:r>
      <w:r>
        <w:rPr>
          <w:rFonts w:ascii="Times New Roman" w:cs="Times New Roman" w:eastAsia="Times New Roman" w:hAnsi="Times New Roman"/>
          <w:sz w:val="22"/>
          <w:szCs w:val="22"/>
          <w:color w:val="auto"/>
        </w:rPr>
        <w:t>” shall have the meaning set forth in Section 1(d).</w:t>
      </w:r>
    </w:p>
    <w:p>
      <w:pPr>
        <w:spacing w:after="0" w:line="179" w:lineRule="exact"/>
        <w:rPr>
          <w:sz w:val="20"/>
          <w:szCs w:val="20"/>
          <w:color w:val="auto"/>
        </w:rPr>
      </w:pPr>
    </w:p>
    <w:p>
      <w:pPr>
        <w:ind w:firstLine="1304"/>
        <w:spacing w:after="0" w:line="238" w:lineRule="auto"/>
        <w:tabs>
          <w:tab w:leader="none" w:pos="191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Pre-Paid Interest Amount</w:t>
      </w:r>
      <w:r>
        <w:rPr>
          <w:rFonts w:ascii="Times New Roman" w:cs="Times New Roman" w:eastAsia="Times New Roman" w:hAnsi="Times New Roman"/>
          <w:sz w:val="22"/>
          <w:szCs w:val="22"/>
          <w:color w:val="auto"/>
        </w:rPr>
        <w:t>” shall mean the amount of $5,500,000, reflecting pre-paid interest of 5.5% of the Principal per annum for the period from the Issuance Date to the Maturity Date.</w:t>
      </w:r>
    </w:p>
    <w:p>
      <w:pPr>
        <w:spacing w:after="0" w:line="146"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2"/>
          <w:szCs w:val="22"/>
          <w:color w:val="auto"/>
        </w:rPr>
        <w:t>(ab) “</w:t>
      </w:r>
      <w:r>
        <w:rPr>
          <w:rFonts w:ascii="Times New Roman" w:cs="Times New Roman" w:eastAsia="Times New Roman" w:hAnsi="Times New Roman"/>
          <w:sz w:val="22"/>
          <w:szCs w:val="22"/>
          <w:b w:val="1"/>
          <w:bCs w:val="1"/>
          <w:color w:val="auto"/>
        </w:rPr>
        <w:t>Principal U.S. Market</w:t>
      </w:r>
      <w:r>
        <w:rPr>
          <w:rFonts w:ascii="Times New Roman" w:cs="Times New Roman" w:eastAsia="Times New Roman" w:hAnsi="Times New Roman"/>
          <w:sz w:val="22"/>
          <w:szCs w:val="22"/>
          <w:color w:val="auto"/>
        </w:rPr>
        <w:t>” shall mean the NYSE American; provided however, that in the event the Company’s Common Shares are ever listed or traded on the</w:t>
      </w:r>
    </w:p>
    <w:p>
      <w:pPr>
        <w:sectPr>
          <w:pgSz w:w="11900" w:h="16838" w:orient="portrait"/>
          <w:cols w:equalWidth="0" w:num="1">
            <w:col w:w="11240"/>
          </w:cols>
          <w:pgMar w:left="320" w:top="1391" w:right="339" w:bottom="1440" w:gutter="0" w:footer="0" w:header="0"/>
        </w:sectPr>
      </w:pPr>
    </w:p>
    <w:bookmarkStart w:id="74" w:name="page75"/>
    <w:bookmarkEnd w:id="74"/>
    <w:p>
      <w:pPr>
        <w:jc w:val="both"/>
        <w:spacing w:after="0" w:line="225" w:lineRule="auto"/>
        <w:rPr>
          <w:sz w:val="20"/>
          <w:szCs w:val="20"/>
          <w:color w:val="auto"/>
        </w:rPr>
      </w:pPr>
      <w:r>
        <w:rPr>
          <w:rFonts w:ascii="Times New Roman" w:cs="Times New Roman" w:eastAsia="Times New Roman" w:hAnsi="Times New Roman"/>
          <w:sz w:val="22"/>
          <w:szCs w:val="22"/>
          <w:color w:val="auto"/>
        </w:rPr>
        <w:t>New York Stock Exchange or the Nasdaq Stock Market, then the “Principal U.S. Market” shall mean such other market or exchange on which the Company’s Common Shares are then listed or traded to the extent such other market or exchange is the principal trading market or exchange for the Common Shares in the United States.</w:t>
      </w:r>
    </w:p>
    <w:p>
      <w:pPr>
        <w:sectPr>
          <w:pgSz w:w="11900" w:h="16838" w:orient="portrait"/>
          <w:cols w:equalWidth="0" w:num="1">
            <w:col w:w="11240"/>
          </w:cols>
          <w:pgMar w:left="320" w:top="1395" w:right="339" w:bottom="1440" w:gutter="0" w:footer="0" w:header="0"/>
        </w:sectPr>
      </w:pP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(ac)</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Registration Rights Agreement</w:t>
      </w:r>
      <w:r>
        <w:rPr>
          <w:rFonts w:ascii="Times New Roman" w:cs="Times New Roman" w:eastAsia="Times New Roman" w:hAnsi="Times New Roman"/>
          <w:sz w:val="21"/>
          <w:szCs w:val="21"/>
          <w:color w:val="auto"/>
        </w:rPr>
        <w:t>” has the meaning given such term in the Securities Purchase Agreement.</w:t>
      </w:r>
    </w:p>
    <w:p>
      <w:pPr>
        <w:spacing w:after="0" w:line="191" w:lineRule="exact"/>
        <w:rPr>
          <w:sz w:val="20"/>
          <w:szCs w:val="20"/>
          <w:color w:val="auto"/>
        </w:rPr>
      </w:pPr>
    </w:p>
    <w:p>
      <w:pPr>
        <w:sectPr>
          <w:pgSz w:w="11900" w:h="16838" w:orient="portrait"/>
          <w:cols w:equalWidth="0" w:num="2">
            <w:col w:w="1640" w:space="280"/>
            <w:col w:w="9320"/>
          </w:cols>
          <w:pgMar w:left="320" w:top="1395" w:right="339" w:bottom="1440" w:gutter="0" w:footer="0" w:header="0"/>
          <w:type w:val="continuous"/>
        </w:sectPr>
      </w:pPr>
    </w:p>
    <w:p>
      <w:pPr>
        <w:ind w:firstLine="1296"/>
        <w:spacing w:after="0" w:line="238" w:lineRule="auto"/>
        <w:rPr>
          <w:sz w:val="20"/>
          <w:szCs w:val="20"/>
          <w:color w:val="auto"/>
        </w:rPr>
      </w:pPr>
      <w:r>
        <w:rPr>
          <w:rFonts w:ascii="Times New Roman" w:cs="Times New Roman" w:eastAsia="Times New Roman" w:hAnsi="Times New Roman"/>
          <w:sz w:val="22"/>
          <w:szCs w:val="22"/>
          <w:color w:val="auto"/>
        </w:rPr>
        <w:t>(ad)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means a registration statement meeting the requirements set forth in the Registration Rights Agreement, covering among other things the resale of the Underlying Shares.</w:t>
      </w:r>
    </w:p>
    <w:p>
      <w:pPr>
        <w:sectPr>
          <w:pgSz w:w="11900" w:h="16838" w:orient="portrait"/>
          <w:cols w:equalWidth="0" w:num="1">
            <w:col w:w="11240"/>
          </w:cols>
          <w:pgMar w:left="320" w:top="1395" w:right="339" w:bottom="1440" w:gutter="0" w:footer="0" w:header="0"/>
          <w:type w:val="continuous"/>
        </w:sectPr>
      </w:pP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Securities Act</w:t>
      </w:r>
      <w:r>
        <w:rPr>
          <w:rFonts w:ascii="Times New Roman" w:cs="Times New Roman" w:eastAsia="Times New Roman" w:hAnsi="Times New Roman"/>
          <w:sz w:val="21"/>
          <w:szCs w:val="21"/>
          <w:color w:val="auto"/>
        </w:rPr>
        <w:t>” means the Securities Act of 1933, as amended, and the rules and regulations promulgated</w:t>
      </w:r>
    </w:p>
    <w:p>
      <w:pPr>
        <w:spacing w:after="0" w:line="8" w:lineRule="exact"/>
        <w:rPr>
          <w:sz w:val="20"/>
          <w:szCs w:val="20"/>
          <w:color w:val="auto"/>
        </w:rPr>
      </w:pPr>
    </w:p>
    <w:p>
      <w:pPr>
        <w:sectPr>
          <w:pgSz w:w="11900" w:h="16838" w:orient="portrait"/>
          <w:cols w:equalWidth="0" w:num="2">
            <w:col w:w="1640" w:space="280"/>
            <w:col w:w="9320"/>
          </w:cols>
          <w:pgMar w:left="320" w:top="139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thereunder.</w:t>
      </w:r>
    </w:p>
    <w:p>
      <w:pPr>
        <w:spacing w:after="0" w:line="14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(af)</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 Delivery Date</w:t>
      </w:r>
      <w:r>
        <w:rPr>
          <w:rFonts w:ascii="Times New Roman" w:cs="Times New Roman" w:eastAsia="Times New Roman" w:hAnsi="Times New Roman"/>
          <w:sz w:val="22"/>
          <w:szCs w:val="22"/>
          <w:color w:val="auto"/>
        </w:rPr>
        <w:t>” shall have the meaning set forth in Section 3(b)(i).</w:t>
      </w:r>
    </w:p>
    <w:p>
      <w:pPr>
        <w:spacing w:after="0" w:line="17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(ag)</w:t>
        <w:tab/>
        <w:t>“</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shall mean any Person in which the Company, directly or indirectly, (x) owns a majority of</w:t>
      </w:r>
    </w:p>
    <w:p>
      <w:pPr>
        <w:sectPr>
          <w:pgSz w:w="11900" w:h="16838" w:orient="portrait"/>
          <w:cols w:equalWidth="0" w:num="1">
            <w:col w:w="11240"/>
          </w:cols>
          <w:pgMar w:left="320" w:top="1395" w:right="339" w:bottom="1440" w:gutter="0" w:footer="0" w:header="0"/>
          <w:type w:val="continuous"/>
        </w:sectPr>
      </w:pPr>
    </w:p>
    <w:p>
      <w:pPr>
        <w:spacing w:after="0" w:line="45"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2"/>
          <w:szCs w:val="22"/>
          <w:color w:val="auto"/>
        </w:rPr>
        <w:t>the outstanding capital stock or holds a majority of the equity or similar interest of such Person or (y) controls or operates all or substantially all of the business, operations or administration of such Person, and the foregoing are collectively referred to herein as “</w:t>
      </w:r>
      <w:r>
        <w:rPr>
          <w:rFonts w:ascii="Times New Roman" w:cs="Times New Roman" w:eastAsia="Times New Roman" w:hAnsi="Times New Roman"/>
          <w:sz w:val="22"/>
          <w:szCs w:val="22"/>
          <w:b w:val="1"/>
          <w:bCs w:val="1"/>
          <w:color w:val="auto"/>
        </w:rPr>
        <w:t>Subsidiaries</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right="20" w:firstLine="1296"/>
        <w:spacing w:after="0" w:line="227" w:lineRule="auto"/>
        <w:rPr>
          <w:sz w:val="20"/>
          <w:szCs w:val="20"/>
          <w:color w:val="auto"/>
        </w:rPr>
      </w:pPr>
      <w:r>
        <w:rPr>
          <w:rFonts w:ascii="Times New Roman" w:cs="Times New Roman" w:eastAsia="Times New Roman" w:hAnsi="Times New Roman"/>
          <w:sz w:val="22"/>
          <w:szCs w:val="22"/>
          <w:color w:val="auto"/>
        </w:rPr>
        <w:t>(ah) “</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on which the Common Shares are quoted or traded on a Principal U.S. Market on which the Common Shares are then quoted or listed; provided, that in the event that the Common Shares are not listed or quoted, then Trading Day shall mean a Business Day.</w:t>
      </w:r>
    </w:p>
    <w:p>
      <w:pPr>
        <w:sectPr>
          <w:pgSz w:w="11900" w:h="16838" w:orient="portrait"/>
          <w:cols w:equalWidth="0" w:num="1">
            <w:col w:w="11240"/>
          </w:cols>
          <w:pgMar w:left="320" w:top="1395" w:right="339" w:bottom="1440" w:gutter="0" w:footer="0" w:header="0"/>
          <w:type w:val="continuous"/>
        </w:sectPr>
      </w:pP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(ai)</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(aj)</w:t>
      </w:r>
    </w:p>
    <w:p>
      <w:pPr>
        <w:spacing w:after="0"/>
        <w:rPr>
          <w:sz w:val="20"/>
          <w:szCs w:val="20"/>
          <w:color w:val="auto"/>
        </w:rPr>
      </w:pPr>
      <w:r>
        <w:rPr>
          <w:rFonts w:ascii="Times New Roman" w:cs="Times New Roman" w:eastAsia="Times New Roman" w:hAnsi="Times New Roman"/>
          <w:sz w:val="21"/>
          <w:szCs w:val="21"/>
          <w:color w:val="auto"/>
        </w:rPr>
        <w:t>with the terms hereof.</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 Document</w:t>
      </w:r>
      <w:r>
        <w:rPr>
          <w:rFonts w:ascii="Times New Roman" w:cs="Times New Roman" w:eastAsia="Times New Roman" w:hAnsi="Times New Roman"/>
          <w:sz w:val="22"/>
          <w:szCs w:val="22"/>
          <w:color w:val="auto"/>
        </w:rPr>
        <w:t>” has the meaning given such term in the Securities Purchase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Underlying Shares</w:t>
      </w:r>
      <w:r>
        <w:rPr>
          <w:rFonts w:ascii="Times New Roman" w:cs="Times New Roman" w:eastAsia="Times New Roman" w:hAnsi="Times New Roman"/>
          <w:sz w:val="22"/>
          <w:szCs w:val="22"/>
          <w:color w:val="auto"/>
        </w:rPr>
        <w:t>” means the Common Shares issuable upon conversion of this Note in accordance</w:t>
      </w:r>
    </w:p>
    <w:p>
      <w:pPr>
        <w:spacing w:after="0" w:line="395" w:lineRule="exact"/>
        <w:rPr>
          <w:sz w:val="20"/>
          <w:szCs w:val="20"/>
          <w:color w:val="auto"/>
        </w:rPr>
      </w:pPr>
    </w:p>
    <w:p>
      <w:pPr>
        <w:sectPr>
          <w:pgSz w:w="11900" w:h="16838" w:orient="portrait"/>
          <w:cols w:equalWidth="0" w:num="2">
            <w:col w:w="1900" w:space="60"/>
            <w:col w:w="9280"/>
          </w:cols>
          <w:pgMar w:left="320" w:top="1395" w:right="339" w:bottom="1440" w:gutter="0" w:footer="0" w:header="0"/>
          <w:type w:val="continuous"/>
        </w:sect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(ak)</w:t>
        <w:tab/>
        <w:t>“</w:t>
      </w:r>
      <w:r>
        <w:rPr>
          <w:rFonts w:ascii="Times New Roman" w:cs="Times New Roman" w:eastAsia="Times New Roman" w:hAnsi="Times New Roman"/>
          <w:sz w:val="21"/>
          <w:szCs w:val="21"/>
          <w:b w:val="1"/>
          <w:bCs w:val="1"/>
          <w:color w:val="auto"/>
        </w:rPr>
        <w:t>VWAP</w:t>
      </w:r>
      <w:r>
        <w:rPr>
          <w:rFonts w:ascii="Times New Roman" w:cs="Times New Roman" w:eastAsia="Times New Roman" w:hAnsi="Times New Roman"/>
          <w:sz w:val="21"/>
          <w:szCs w:val="21"/>
          <w:color w:val="auto"/>
        </w:rPr>
        <w:t>” means, for any Trading Day, the daily volume weighted average price of the Common Shares for</w:t>
      </w:r>
    </w:p>
    <w:p>
      <w:pPr>
        <w:sectPr>
          <w:pgSz w:w="11900" w:h="16838" w:orient="portrait"/>
          <w:cols w:equalWidth="0" w:num="1">
            <w:col w:w="11240"/>
          </w:cols>
          <w:pgMar w:left="320" w:top="1395"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such Trading Day on the Principal U.S. Market during regular trading hours as reported by Bloomberg L.P.</w:t>
      </w:r>
    </w:p>
    <w:p>
      <w:pPr>
        <w:spacing w:after="0" w:line="17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ectPr>
          <w:pgSz w:w="11900" w:h="16838" w:orient="portrait"/>
          <w:cols w:equalWidth="0" w:num="1">
            <w:col w:w="11240"/>
          </w:cols>
          <w:pgMar w:left="320" w:top="1395" w:right="339" w:bottom="1440" w:gutter="0" w:footer="0" w:header="0"/>
          <w:type w:val="continuous"/>
        </w:sectPr>
      </w:pPr>
    </w:p>
    <w:bookmarkStart w:id="75" w:name="page76"/>
    <w:bookmarkEnd w:id="75"/>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has caused this Convertible Note to be duly executed by a duly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(signed) “</w:t>
      </w:r>
      <w:r>
        <w:rPr>
          <w:rFonts w:ascii="Times New Roman" w:cs="Times New Roman" w:eastAsia="Times New Roman" w:hAnsi="Times New Roman"/>
          <w:sz w:val="22"/>
          <w:szCs w:val="22"/>
          <w:i w:val="1"/>
          <w:iCs w:val="1"/>
          <w:color w:val="auto"/>
        </w:rPr>
        <w:t>Doug Drysdale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-11430</wp:posOffset>
            </wp:positionV>
            <wp:extent cx="172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721485" cy="8890"/>
                    </a:xfrm>
                    <a:prstGeom prst="rect">
                      <a:avLst/>
                    </a:prstGeom>
                    <a:noFill/>
                  </pic:spPr>
                </pic:pic>
              </a:graphicData>
            </a:graphic>
          </wp:anchor>
        </w:drawing>
      </w:r>
    </w:p>
    <w:p>
      <w:pPr>
        <w:spacing w:after="0" w:line="15" w:lineRule="exact"/>
        <w:rPr>
          <w:sz w:val="20"/>
          <w:szCs w:val="20"/>
          <w:color w:val="auto"/>
        </w:rPr>
      </w:pPr>
    </w:p>
    <w:p>
      <w:pPr>
        <w:ind w:left="5620"/>
        <w:spacing w:after="0"/>
        <w:tabs>
          <w:tab w:leader="none" w:pos="6440" w:val="left"/>
        </w:tabs>
        <w:rPr>
          <w:sz w:val="20"/>
          <w:szCs w:val="20"/>
          <w:color w:val="auto"/>
        </w:rPr>
      </w:pPr>
      <w:r>
        <w:rPr>
          <w:rFonts w:ascii="Times New Roman" w:cs="Times New Roman" w:eastAsia="Times New Roman" w:hAnsi="Times New Roman"/>
          <w:sz w:val="22"/>
          <w:szCs w:val="22"/>
          <w:color w:val="auto"/>
        </w:rPr>
        <w:t>Name:</w:t>
        <w:tab/>
        <w:t>Doug Drysdale</w:t>
      </w:r>
    </w:p>
    <w:p>
      <w:pPr>
        <w:spacing w:after="0" w:line="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Title: Chief Executive Officer</w:t>
      </w:r>
    </w:p>
    <w:p>
      <w:pPr>
        <w:sectPr>
          <w:pgSz w:w="11900" w:h="16838" w:orient="portrait"/>
          <w:cols w:equalWidth="0" w:num="1">
            <w:col w:w="11240"/>
          </w:cols>
          <w:pgMar w:left="320" w:top="1418" w:right="339" w:bottom="1440" w:gutter="0" w:footer="0" w:header="0"/>
        </w:sectPr>
      </w:pPr>
    </w:p>
    <w:bookmarkStart w:id="76" w:name="page77"/>
    <w:bookmarkEnd w:id="76"/>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CONVERSION NOTICE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be executed by the Holder in order to Convert the Note)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 CYBIN INC.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Via Email:</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The undersigned hereby irrevocably elects to convert a portion of the outstanding and unpaid Conversion Amount of Note No. </w:t>
      </w:r>
      <w:r>
        <w:rPr>
          <w:rFonts w:ascii="Times New Roman" w:cs="Times New Roman" w:eastAsia="Times New Roman" w:hAnsi="Times New Roman"/>
          <w:sz w:val="22"/>
          <w:szCs w:val="22"/>
          <w:u w:val="single" w:color="auto"/>
          <w:color w:val="auto"/>
        </w:rPr>
        <w:t>CYBN-1</w:t>
      </w:r>
      <w:r>
        <w:rPr>
          <w:rFonts w:ascii="Times New Roman" w:cs="Times New Roman" w:eastAsia="Times New Roman" w:hAnsi="Times New Roman"/>
          <w:sz w:val="22"/>
          <w:szCs w:val="22"/>
          <w:color w:val="auto"/>
        </w:rPr>
        <w:t xml:space="preserve"> into Common Shares of </w:t>
      </w:r>
      <w:r>
        <w:rPr>
          <w:rFonts w:ascii="Times New Roman" w:cs="Times New Roman" w:eastAsia="Times New Roman" w:hAnsi="Times New Roman"/>
          <w:sz w:val="22"/>
          <w:szCs w:val="22"/>
          <w:b w:val="1"/>
          <w:bCs w:val="1"/>
          <w:color w:val="auto"/>
        </w:rPr>
        <w:t>CYBIN INC.</w:t>
      </w:r>
      <w:r>
        <w:rPr>
          <w:rFonts w:ascii="Times New Roman" w:cs="Times New Roman" w:eastAsia="Times New Roman" w:hAnsi="Times New Roman"/>
          <w:sz w:val="22"/>
          <w:szCs w:val="22"/>
          <w:color w:val="auto"/>
        </w:rPr>
        <w:t>, according to the conditions stated therein, as of the Conversion Date written below.</w:t>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Conversion Date:</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Principal Amount to be Converted:</w:t>
      </w: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Total Conversion Amount to be converted:</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Fixed Price: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Variable Price: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Applicable Conversion Price: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Number of Common Shares to be issued:</w:t>
      </w: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Please issue the Common Shares in the following name and deliver them to the following account:</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Issue to:</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Broker DTC Participant Code:</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Account Number:</w:t>
      </w: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Authorized Signature:</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-148590</wp:posOffset>
            </wp:positionV>
            <wp:extent cx="47059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116205</wp:posOffset>
            </wp:positionV>
            <wp:extent cx="47059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470598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-148590</wp:posOffset>
            </wp:positionV>
            <wp:extent cx="47059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470598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EXHIBIT II</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FORM OF TRANSFER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VALUE RECEIVED</w:t>
      </w:r>
      <w:r>
        <w:rPr>
          <w:rFonts w:ascii="Times New Roman" w:cs="Times New Roman" w:eastAsia="Times New Roman" w:hAnsi="Times New Roman"/>
          <w:sz w:val="20"/>
          <w:szCs w:val="20"/>
          <w:color w:val="auto"/>
        </w:rPr>
        <w:t>, the undersigned transferor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of the Notes registered in the name of the undersigned transferor represented by the attached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969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96900" cy="8255"/>
                    </a:xfrm>
                    <a:prstGeom prst="rect">
                      <a:avLst/>
                    </a:prstGeom>
                    <a:noFill/>
                  </pic:spPr>
                </pic:pic>
              </a:graphicData>
            </a:graphic>
          </wp:anchor>
        </w:drawing>
      </w:r>
    </w:p>
    <w:p>
      <w:pPr>
        <w:spacing w:after="0" w:line="2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undersigned hereby represents, warrants and certifies that the transfer is being made in accordance with a transaction that does not require registration under the United States Securities Act of 1933, as amended (the “Securities Act”) or any applicable state securities laws, and the undersigned has furnished to the Company an opinion of counsel of recognized standing or other evidence of exemption, in form and substance reasonably satisfactory to the Company to such effect.</w:t>
      </w:r>
    </w:p>
    <w:p>
      <w:pPr>
        <w:spacing w:after="0" w:line="209" w:lineRule="exact"/>
        <w:rPr>
          <w:sz w:val="20"/>
          <w:szCs w:val="20"/>
          <w:color w:val="auto"/>
        </w:rPr>
      </w:pPr>
    </w:p>
    <w:p>
      <w:pPr>
        <w:ind w:left="200"/>
        <w:spacing w:after="0"/>
        <w:tabs>
          <w:tab w:leader="none" w:pos="1800" w:val="left"/>
          <w:tab w:leader="none" w:pos="3780" w:val="left"/>
          <w:tab w:leader="none" w:pos="4420" w:val="left"/>
        </w:tabs>
        <w:rPr>
          <w:sz w:val="20"/>
          <w:szCs w:val="20"/>
          <w:color w:val="auto"/>
        </w:rPr>
      </w:pPr>
      <w:r>
        <w:rPr>
          <w:rFonts w:ascii="Times New Roman" w:cs="Times New Roman" w:eastAsia="Times New Roman" w:hAnsi="Times New Roman"/>
          <w:sz w:val="20"/>
          <w:szCs w:val="20"/>
          <w:b w:val="1"/>
          <w:bCs w:val="1"/>
          <w:color w:val="auto"/>
        </w:rPr>
        <w:t xml:space="preserve">DATED </w:t>
      </w:r>
      <w:r>
        <w:rPr>
          <w:rFonts w:ascii="Times New Roman" w:cs="Times New Roman" w:eastAsia="Times New Roman" w:hAnsi="Times New Roman"/>
          <w:sz w:val="20"/>
          <w:szCs w:val="20"/>
          <w:color w:val="auto"/>
        </w:rPr>
        <w:t>this</w:t>
      </w:r>
      <w:r>
        <w:rPr>
          <w:sz w:val="20"/>
          <w:szCs w:val="20"/>
          <w:color w:val="auto"/>
        </w:rPr>
        <w:tab/>
      </w:r>
      <w:r>
        <w:rPr>
          <w:rFonts w:ascii="Times New Roman" w:cs="Times New Roman" w:eastAsia="Times New Roman" w:hAnsi="Times New Roman"/>
          <w:sz w:val="20"/>
          <w:szCs w:val="20"/>
          <w:color w:val="auto"/>
        </w:rPr>
        <w:t>day of</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-8255</wp:posOffset>
            </wp:positionV>
            <wp:extent cx="20135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01358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445135</wp:posOffset>
            </wp:positionV>
            <wp:extent cx="1257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Signature of Holder</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287655</wp:posOffset>
            </wp:positionV>
            <wp:extent cx="1257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Print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297180</wp:posOffset>
            </wp:positionV>
            <wp:extent cx="1257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596900</wp:posOffset>
            </wp:positionV>
            <wp:extent cx="1257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Address</w:t>
      </w:r>
    </w:p>
    <w:p>
      <w:pPr>
        <w:spacing w:after="0" w:line="200" w:lineRule="exact"/>
        <w:rPr>
          <w:sz w:val="20"/>
          <w:szCs w:val="20"/>
          <w:color w:val="auto"/>
        </w:rPr>
      </w:pPr>
    </w:p>
    <w:p>
      <w:pPr>
        <w:spacing w:after="0" w:line="381" w:lineRule="exact"/>
        <w:rPr>
          <w:sz w:val="20"/>
          <w:szCs w:val="20"/>
          <w:color w:val="auto"/>
        </w:rPr>
      </w:pPr>
    </w:p>
    <w:p>
      <w:pPr>
        <w:ind w:left="780" w:hanging="1295"/>
        <w:spacing w:after="0" w:line="258" w:lineRule="auto"/>
        <w:tabs>
          <w:tab w:leader="none" w:pos="760" w:val="left"/>
        </w:tabs>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signature on this transfer form must correspond with the name as recorded on the face of the certificate in every particular without alteration or enlargement or any change whatsoever or this transfer form must be signed by a duly authorized trustee, executor, administrator, curator, guardian, attorney of the Holder or a duly authorized signing officer in the case of a corporation. If this transfer form is signed by any of the foregoing, or any person acting in a fiduciary or representative capacity, the certificate must be accompanied by evidence of authority to sign.</w:t>
      </w:r>
    </w:p>
    <w:p>
      <w:pPr>
        <w:sectPr>
          <w:pgSz w:w="11900" w:h="16838" w:orient="portrait"/>
          <w:cols w:equalWidth="0" w:num="1">
            <w:col w:w="11200"/>
          </w:cols>
          <w:pgMar w:left="320" w:top="1440" w:right="379" w:bottom="1440" w:gutter="0" w:footer="0" w:header="0"/>
        </w:sectPr>
      </w:pPr>
    </w:p>
    <w:bookmarkStart w:id="78" w:name="page79"/>
    <w:bookmarkEnd w:id="78"/>
    <w:p>
      <w:pPr>
        <w:spacing w:after="0" w:line="18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This transfer form must be accompanied by an opinion of counsel or other evidence (which must be reasonably satisfactory to the Company), to the effect that the transfer is exempt from the registration requirements of the </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b w:val="1"/>
          <w:bCs w:val="1"/>
          <w:color w:val="auto"/>
        </w:rPr>
        <w:t xml:space="preserve"> and the securities laws of all applicable states of the United States.</w:t>
      </w:r>
    </w:p>
    <w:p>
      <w:pPr>
        <w:sectPr>
          <w:pgSz w:w="11900" w:h="16838" w:orient="portrait"/>
          <w:cols w:equalWidth="0" w:num="1">
            <w:col w:w="10860"/>
          </w:cols>
          <w:pgMar w:left="320" w:top="1440" w:right="7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22"/>
          <w:szCs w:val="22"/>
          <w:b w:val="1"/>
          <w:bCs w:val="1"/>
          <w:color w:val="auto"/>
        </w:rPr>
        <w:t>SECURITIES PURCHASE AGREEMENT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THIS SECURITIES PURCHASE AGREEMENT </w:t>
      </w:r>
      <w:r>
        <w:rPr>
          <w:rFonts w:ascii="Times New Roman" w:cs="Times New Roman" w:eastAsia="Times New Roman" w:hAnsi="Times New Roman"/>
          <w:sz w:val="22"/>
          <w:szCs w:val="22"/>
          <w:color w:val="auto"/>
        </w:rPr>
        <w:t>(as amended, supplemented or otherwise modified from time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time,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xml:space="preserve">), dated as of June 30, 2025, is between CYBIN INC., a company organized under the laws of the Province of Ontario, Canada, with principal executive offices located at 100 King Street West, Suite 5600, Toronto, Ontario, Canada M5X 1C9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High Trail Special Situations LLC with principal executive offices located at 290 Harbor Drive, 3rd Floor Stamford, CT 06902 Attn: Capital Solutions Team (the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Buyer desire to enter into this transaction for the Company to sell and the Buyer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purchase the Convertible Note (as defined below) pursuant to (i) an exemption from registration pursuant to Section 4(a)(2) of the Securities Act of 1933, as amended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and/or Rule 506 of Regulation D (</w:t>
      </w:r>
      <w:r>
        <w:rPr>
          <w:rFonts w:ascii="Times New Roman" w:cs="Times New Roman" w:eastAsia="Times New Roman" w:hAnsi="Times New Roman"/>
          <w:sz w:val="22"/>
          <w:szCs w:val="22"/>
          <w:b w:val="1"/>
          <w:bCs w:val="1"/>
          <w:color w:val="auto"/>
        </w:rPr>
        <w:t>“Regulation D”</w:t>
      </w:r>
      <w:r>
        <w:rPr>
          <w:rFonts w:ascii="Times New Roman" w:cs="Times New Roman" w:eastAsia="Times New Roman" w:hAnsi="Times New Roman"/>
          <w:sz w:val="22"/>
          <w:szCs w:val="22"/>
          <w:color w:val="auto"/>
        </w:rPr>
        <w:t xml:space="preserve">) as promulgated by the U.S.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xml:space="preserve">) and (ii) an exemption from the prospectus requirements of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xml:space="preserve"> (Ontario) under Section 2.3 of Ontario Securities Commission Rule 72-503 – </w:t>
      </w:r>
      <w:r>
        <w:rPr>
          <w:rFonts w:ascii="Times New Roman" w:cs="Times New Roman" w:eastAsia="Times New Roman" w:hAnsi="Times New Roman"/>
          <w:sz w:val="22"/>
          <w:szCs w:val="22"/>
          <w:i w:val="1"/>
          <w:iCs w:val="1"/>
          <w:color w:val="auto"/>
        </w:rPr>
        <w:t>Distributions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Outside Canada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“OSC Rule 72-503”</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desire that, upon the terms and subject to the conditions contained herein, on the date hereof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xml:space="preserve">”), the Company shall issue and sell to the Buyer, as provided herein, and the Buyer shall purchase unsecured convertible note in the form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“Convertible Note”</w:t>
      </w:r>
      <w:r>
        <w:rPr>
          <w:rFonts w:ascii="Times New Roman" w:cs="Times New Roman" w:eastAsia="Times New Roman" w:hAnsi="Times New Roman"/>
          <w:sz w:val="22"/>
          <w:szCs w:val="22"/>
          <w:color w:val="auto"/>
        </w:rPr>
        <w:t xml:space="preserve">) in the principal amount of $50,000,000 (the </w:t>
      </w:r>
      <w:r>
        <w:rPr>
          <w:rFonts w:ascii="Times New Roman" w:cs="Times New Roman" w:eastAsia="Times New Roman" w:hAnsi="Times New Roman"/>
          <w:sz w:val="22"/>
          <w:szCs w:val="22"/>
          <w:b w:val="1"/>
          <w:bCs w:val="1"/>
          <w:color w:val="auto"/>
        </w:rPr>
        <w:t>“Subscription Amount”</w:t>
      </w:r>
      <w:r>
        <w:rPr>
          <w:rFonts w:ascii="Times New Roman" w:cs="Times New Roman" w:eastAsia="Times New Roman" w:hAnsi="Times New Roman"/>
          <w:sz w:val="22"/>
          <w:szCs w:val="22"/>
          <w:color w:val="auto"/>
        </w:rPr>
        <w:t xml:space="preserve">), which shall be convertible into common shares of the Company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xml:space="preserve">) (as converted, the </w:t>
      </w:r>
      <w:r>
        <w:rPr>
          <w:rFonts w:ascii="Times New Roman" w:cs="Times New Roman" w:eastAsia="Times New Roman" w:hAnsi="Times New Roman"/>
          <w:sz w:val="22"/>
          <w:szCs w:val="22"/>
          <w:b w:val="1"/>
          <w:bCs w:val="1"/>
          <w:color w:val="auto"/>
        </w:rPr>
        <w:t>“Conversion Shares”</w:t>
      </w:r>
      <w:r>
        <w:rPr>
          <w:rFonts w:ascii="Times New Roman" w:cs="Times New Roman" w:eastAsia="Times New Roman" w:hAnsi="Times New Roman"/>
          <w:sz w:val="22"/>
          <w:szCs w:val="22"/>
          <w:color w:val="auto"/>
        </w:rPr>
        <w:t xml:space="preserve">), at a purchase price equal to the Subscription Amount (the </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contemporaneously with the execution and delivery of this Agreement, the parties hereto are executing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delivering a registration rights agreement (as amended, supplemented or otherwise modified from time to time, the </w:t>
      </w:r>
      <w:r>
        <w:rPr>
          <w:rFonts w:ascii="Times New Roman" w:cs="Times New Roman" w:eastAsia="Times New Roman" w:hAnsi="Times New Roman"/>
          <w:sz w:val="22"/>
          <w:szCs w:val="22"/>
          <w:b w:val="1"/>
          <w:bCs w:val="1"/>
          <w:color w:val="auto"/>
        </w:rPr>
        <w:t>“Registration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Rights Agreement”</w:t>
      </w:r>
      <w:r>
        <w:rPr>
          <w:rFonts w:ascii="Times New Roman" w:cs="Times New Roman" w:eastAsia="Times New Roman" w:hAnsi="Times New Roman"/>
          <w:sz w:val="22"/>
          <w:szCs w:val="22"/>
          <w:color w:val="auto"/>
        </w:rPr>
        <w:t>) pursuant to which the Company has agreed to provide certain registration rights under the Securities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rules and regulations promulgated thereunder, and applicable state securities laws; and</w:t>
      </w:r>
    </w:p>
    <w:p>
      <w:pPr>
        <w:spacing w:after="0" w:line="168" w:lineRule="exact"/>
        <w:rPr>
          <w:sz w:val="20"/>
          <w:szCs w:val="20"/>
          <w:color w:val="auto"/>
        </w:rPr>
      </w:pPr>
    </w:p>
    <w:p>
      <w:pPr>
        <w:jc w:val="center"/>
        <w:ind w:left="500" w:right="480"/>
        <w:spacing w:after="0" w:line="45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Convertible Note and the Conversion Shares are collectively referred to herein as the</w:t>
      </w:r>
      <w:r>
        <w:rPr>
          <w:rFonts w:ascii="Times New Roman" w:cs="Times New Roman" w:eastAsia="Times New Roman" w:hAnsi="Times New Roman"/>
          <w:sz w:val="22"/>
          <w:szCs w:val="22"/>
          <w:b w:val="1"/>
          <w:bCs w:val="1"/>
          <w:color w:val="auto"/>
        </w:rPr>
        <w:t xml:space="preserve"> “Securities.” AGREEMENT</w:t>
      </w:r>
    </w:p>
    <w:p>
      <w:pPr>
        <w:spacing w:after="0" w:line="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the mutual covenants contained herein and for other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valuable consideration, the receipt and sufficiency of which are hereby acknowledged, the Company and the Buyer hereby agree as follows:</w:t>
      </w:r>
    </w:p>
    <w:p>
      <w:pPr>
        <w:sectPr>
          <w:pgSz w:w="11900" w:h="16838" w:orient="portrait"/>
          <w:cols w:equalWidth="0" w:num="1">
            <w:col w:w="11240"/>
          </w:cols>
          <w:pgMar w:left="320" w:top="1418" w:right="339" w:bottom="1440" w:gutter="0" w:footer="0" w:header="0"/>
        </w:sectPr>
      </w:pPr>
    </w:p>
    <w:bookmarkStart w:id="80" w:name="page81"/>
    <w:bookmarkEnd w:id="80"/>
    <w:p>
      <w:pPr>
        <w:ind w:left="652" w:hanging="652"/>
        <w:spacing w:after="0"/>
        <w:tabs>
          <w:tab w:leader="none" w:pos="652"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PURCHASE AND SALE OF CONVERTIBLE NOTE.</w:t>
      </w:r>
    </w:p>
    <w:p>
      <w:pPr>
        <w:spacing w:after="0" w:line="179" w:lineRule="exact"/>
        <w:rPr>
          <w:rFonts w:ascii="Times New Roman" w:cs="Times New Roman" w:eastAsia="Times New Roman" w:hAnsi="Times New Roman"/>
          <w:sz w:val="22"/>
          <w:szCs w:val="22"/>
          <w:b w:val="1"/>
          <w:bCs w:val="1"/>
          <w:color w:val="auto"/>
        </w:rPr>
      </w:pPr>
    </w:p>
    <w:p>
      <w:pPr>
        <w:jc w:val="both"/>
        <w:ind w:left="-8" w:firstLine="656"/>
        <w:spacing w:after="0" w:line="227" w:lineRule="auto"/>
        <w:tabs>
          <w:tab w:leader="none" w:pos="1285"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Purchase of Convertible Note</w:t>
      </w:r>
      <w:r>
        <w:rPr>
          <w:rFonts w:ascii="Times New Roman" w:cs="Times New Roman" w:eastAsia="Times New Roman" w:hAnsi="Times New Roman"/>
          <w:sz w:val="22"/>
          <w:szCs w:val="22"/>
          <w:color w:val="auto"/>
        </w:rPr>
        <w:t>. Subject to the satisfaction (or waiver) of the respective conditions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Sections 6 and 7 below, the Company shall issue and sell to the Buyer, and the Buyer agrees to purchase from the Company at Closing the Convertible Note in a principal amount equal to the Subscription Amount.</w:t>
      </w:r>
    </w:p>
    <w:p>
      <w:pPr>
        <w:spacing w:after="0" w:line="146" w:lineRule="exact"/>
        <w:rPr>
          <w:rFonts w:ascii="Times New Roman" w:cs="Times New Roman" w:eastAsia="Times New Roman" w:hAnsi="Times New Roman"/>
          <w:sz w:val="22"/>
          <w:szCs w:val="22"/>
          <w:color w:val="auto"/>
        </w:rPr>
      </w:pPr>
    </w:p>
    <w:p>
      <w:pPr>
        <w:jc w:val="both"/>
        <w:ind w:left="-8" w:firstLine="656"/>
        <w:spacing w:after="0" w:line="218" w:lineRule="auto"/>
        <w:tabs>
          <w:tab w:leader="none" w:pos="1283"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The Closing shall occur remotely by conference call and electronic delivery of documentation.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Closing shall occur at or about 8:00 a.m., New York time, on the first Business Day on which the conditions to the Closing set forth in Sections 6 and 7 below are satisfied or waived (or such other date as is mutually agreed to by the Company and the Buyer) (the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xml:space="preserve">). As used herein </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xml:space="preserve"> means any day other than a Saturday, Sunday or other day on which commercial banks in New York, New York or Toronto, Ontario are authorized or required by law to remain closed</w:t>
      </w:r>
    </w:p>
    <w:p>
      <w:pPr>
        <w:spacing w:after="0" w:line="147" w:lineRule="exact"/>
        <w:rPr>
          <w:rFonts w:ascii="Times New Roman" w:cs="Times New Roman" w:eastAsia="Times New Roman" w:hAnsi="Times New Roman"/>
          <w:sz w:val="22"/>
          <w:szCs w:val="22"/>
          <w:color w:val="auto"/>
        </w:rPr>
      </w:pPr>
    </w:p>
    <w:p>
      <w:pPr>
        <w:jc w:val="both"/>
        <w:ind w:left="-8" w:firstLine="656"/>
        <w:spacing w:after="0" w:line="218" w:lineRule="auto"/>
        <w:tabs>
          <w:tab w:leader="none" w:pos="1285"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Form of Payment; Deliveries</w:t>
      </w:r>
      <w:r>
        <w:rPr>
          <w:rFonts w:ascii="Times New Roman" w:cs="Times New Roman" w:eastAsia="Times New Roman" w:hAnsi="Times New Roman"/>
          <w:sz w:val="22"/>
          <w:szCs w:val="22"/>
          <w:color w:val="auto"/>
        </w:rPr>
        <w:t>. Subject to the satisfaction (or waiver) of the terms and conditions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on the Closing Date, (i) the Buyer shall deliver to the Company, in immediately available funds to a bank account designated by the Company, the Purchase Price for the Convertible Note to be issued and sold to the Buyer at the Closing, and (ii) the Company shall deliver to the Buyer, the Convertible Note which the Buyer is purchasing at the Closing with a principal amount corresponding with the Subscription Amount.</w:t>
      </w:r>
    </w:p>
    <w:p>
      <w:pPr>
        <w:spacing w:after="0" w:line="147" w:lineRule="exact"/>
        <w:rPr>
          <w:rFonts w:ascii="Times New Roman" w:cs="Times New Roman" w:eastAsia="Times New Roman" w:hAnsi="Times New Roman"/>
          <w:sz w:val="22"/>
          <w:szCs w:val="22"/>
          <w:color w:val="auto"/>
        </w:rPr>
      </w:pPr>
    </w:p>
    <w:p>
      <w:pPr>
        <w:jc w:val="both"/>
        <w:ind w:left="-8" w:firstLine="656"/>
        <w:spacing w:after="0" w:line="210" w:lineRule="auto"/>
        <w:tabs>
          <w:tab w:leader="none" w:pos="1283"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Home Country Practice</w:t>
      </w:r>
      <w:r>
        <w:rPr>
          <w:rFonts w:ascii="Times New Roman" w:cs="Times New Roman" w:eastAsia="Times New Roman" w:hAnsi="Times New Roman"/>
          <w:sz w:val="22"/>
          <w:szCs w:val="22"/>
          <w:color w:val="auto"/>
        </w:rPr>
        <w:t>. Prior to the date hereof, the Company has taken all actions required pursuant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rules and regulations of the NYSE American LLC (the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xml:space="preserve">) to duly and validly rely on the exemption for foreign private issuers from applicable rules and regulations of the NYSE American by adopting the home country practice (the </w:t>
      </w:r>
      <w:r>
        <w:rPr>
          <w:rFonts w:ascii="Times New Roman" w:cs="Times New Roman" w:eastAsia="Times New Roman" w:hAnsi="Times New Roman"/>
          <w:sz w:val="22"/>
          <w:szCs w:val="22"/>
          <w:b w:val="1"/>
          <w:bCs w:val="1"/>
          <w:color w:val="auto"/>
        </w:rPr>
        <w:t>“Home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Country Practice”</w:t>
      </w:r>
      <w:r>
        <w:rPr>
          <w:rFonts w:ascii="Times New Roman" w:cs="Times New Roman" w:eastAsia="Times New Roman" w:hAnsi="Times New Roman"/>
          <w:sz w:val="22"/>
          <w:szCs w:val="22"/>
          <w:color w:val="auto"/>
        </w:rPr>
        <w:t>) in connection with the transactions contemplated hereunder (including an exemption from any NYSE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American rules that would otherwise require seeking shareholder approval in respect of such transactions). The Company may issue the relevant Conversion Shares upon conversion of any outstanding Convertible Note without regard to the limitations imposed by the NYSE American. So long as any Convertible Note is outstanding, the Company shall comply with the Home Country Practice rules and shall not take any action to change its Home Country Practice or become subject to the NYSE American shareholder approval rules with respect to transactions contemplated herein. The Company’s practices in connection with the transactions contemplated hereunder are not prohibited by its home country’s laws and are not subject to shareholder approval under the rules, regulations and requirements of the Cboe Canada (</w:t>
      </w:r>
      <w:r>
        <w:rPr>
          <w:rFonts w:ascii="Times New Roman" w:cs="Times New Roman" w:eastAsia="Times New Roman" w:hAnsi="Times New Roman"/>
          <w:sz w:val="22"/>
          <w:szCs w:val="22"/>
          <w:b w:val="1"/>
          <w:bCs w:val="1"/>
          <w:color w:val="auto"/>
        </w:rPr>
        <w:t>“Cboe”</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BUYER’S REPRESENTATIONS AND WARRANTIES.</w:t>
      </w:r>
    </w:p>
    <w:p>
      <w:pPr>
        <w:spacing w:after="0" w:line="210" w:lineRule="exact"/>
        <w:rPr>
          <w:rFonts w:ascii="Times New Roman" w:cs="Times New Roman" w:eastAsia="Times New Roman" w:hAnsi="Times New Roman"/>
          <w:sz w:val="22"/>
          <w:szCs w:val="22"/>
          <w:b w:val="1"/>
          <w:bCs w:val="1"/>
          <w:color w:val="auto"/>
        </w:rPr>
      </w:pPr>
    </w:p>
    <w:p>
      <w:pPr>
        <w:ind w:left="65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Buyer represents and warrants to the Company that as of the date hereof and as of the Closing Date:</w:t>
      </w:r>
    </w:p>
    <w:p>
      <w:pPr>
        <w:spacing w:after="0" w:line="188" w:lineRule="exact"/>
        <w:rPr>
          <w:rFonts w:ascii="Times New Roman" w:cs="Times New Roman" w:eastAsia="Times New Roman" w:hAnsi="Times New Roman"/>
          <w:sz w:val="22"/>
          <w:szCs w:val="22"/>
          <w:b w:val="1"/>
          <w:bCs w:val="1"/>
          <w:color w:val="auto"/>
        </w:rPr>
      </w:pPr>
    </w:p>
    <w:p>
      <w:pPr>
        <w:jc w:val="both"/>
        <w:ind w:left="-8" w:firstLine="656"/>
        <w:spacing w:after="0" w:line="213" w:lineRule="auto"/>
        <w:tabs>
          <w:tab w:leader="none" w:pos="1285"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Investment Purpose</w:t>
      </w:r>
      <w:r>
        <w:rPr>
          <w:rFonts w:ascii="Times New Roman" w:cs="Times New Roman" w:eastAsia="Times New Roman" w:hAnsi="Times New Roman"/>
          <w:sz w:val="22"/>
          <w:szCs w:val="22"/>
          <w:color w:val="auto"/>
        </w:rPr>
        <w:t>. The Buyer is acquiring the Securities for its own account for investment purposes and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 view towards, or for resale in connection with, the public sale or distribution thereof, except pursuant to sales registered under or exempt from the registration requirements of the Securities Act; provided, however, that by making the representations herein, the Buyer does not agree, or make any representation or warranty, to hold any of the Securities for any minimum or other specific term and reserves the right to dispose of the Securities at any time in accordance with, or pursuant to, a registration statement covering such Securities or an available exemption under the Securities Act. The Buyer does not presently have any agreement or understanding, directly or indirectly, with any Person (as defined below) to distribute any of the Securities in violation of Applicable Securities Laws. As used herein,</w:t>
      </w:r>
    </w:p>
    <w:p>
      <w:pPr>
        <w:sectPr>
          <w:pgSz w:w="11900" w:h="16838" w:orient="portrait"/>
          <w:cols w:equalWidth="0" w:num="1">
            <w:col w:w="11232"/>
          </w:cols>
          <w:pgMar w:left="328" w:top="1391" w:right="339" w:bottom="1440" w:gutter="0" w:footer="0" w:header="0"/>
        </w:sectPr>
      </w:pPr>
    </w:p>
    <w:bookmarkStart w:id="81" w:name="page82"/>
    <w:bookmarkEnd w:id="81"/>
    <w:p>
      <w:pPr>
        <w:jc w:val="both"/>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“Person” </w:t>
      </w:r>
      <w:r>
        <w:rPr>
          <w:rFonts w:ascii="Times New Roman" w:cs="Times New Roman" w:eastAsia="Times New Roman" w:hAnsi="Times New Roman"/>
          <w:sz w:val="22"/>
          <w:szCs w:val="22"/>
          <w:color w:val="auto"/>
        </w:rPr>
        <w:t>means a corporation, a limited liability company, an association, a partnership, an organization, a business,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governmental or political subdivision thereof or a governmental agency. As used herein, “</w:t>
      </w:r>
      <w:r>
        <w:rPr>
          <w:rFonts w:ascii="Times New Roman" w:cs="Times New Roman" w:eastAsia="Times New Roman" w:hAnsi="Times New Roman"/>
          <w:sz w:val="22"/>
          <w:szCs w:val="22"/>
          <w:b w:val="1"/>
          <w:bCs w:val="1"/>
          <w:color w:val="auto"/>
        </w:rPr>
        <w:t>Applicable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Laws</w:t>
      </w:r>
      <w:r>
        <w:rPr>
          <w:rFonts w:ascii="Times New Roman" w:cs="Times New Roman" w:eastAsia="Times New Roman" w:hAnsi="Times New Roman"/>
          <w:sz w:val="22"/>
          <w:szCs w:val="22"/>
          <w:color w:val="auto"/>
        </w:rPr>
        <w:t>” means (a) the applicable securities laws of each of the provinces and territories of Canada, their respective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rulings, rules, orders (including blanket orders and discretionary orders), instruments (including national and multilateral instruments), fee schedules and prescribed forms thereunder, and the applicable policy statements issued by the applicable securities commissions or regulatory authority or similar authority thereunder (“</w:t>
      </w:r>
      <w:r>
        <w:rPr>
          <w:rFonts w:ascii="Times New Roman" w:cs="Times New Roman" w:eastAsia="Times New Roman" w:hAnsi="Times New Roman"/>
          <w:sz w:val="22"/>
          <w:szCs w:val="22"/>
          <w:b w:val="1"/>
          <w:bCs w:val="1"/>
          <w:color w:val="auto"/>
        </w:rPr>
        <w:t>Canadian Securities Laws</w:t>
      </w:r>
      <w:r>
        <w:rPr>
          <w:rFonts w:ascii="Times New Roman" w:cs="Times New Roman" w:eastAsia="Times New Roman" w:hAnsi="Times New Roman"/>
          <w:sz w:val="22"/>
          <w:szCs w:val="22"/>
          <w:color w:val="auto"/>
        </w:rPr>
        <w:t>”) and (b) all applicable securities laws in the United States, including, without limitation, the Securities Act, the Exchange Act and the rules and regulations promulgated thereunder, and any applicable state securities laws (“</w:t>
      </w:r>
      <w:r>
        <w:rPr>
          <w:rFonts w:ascii="Times New Roman" w:cs="Times New Roman" w:eastAsia="Times New Roman" w:hAnsi="Times New Roman"/>
          <w:sz w:val="22"/>
          <w:szCs w:val="22"/>
          <w:b w:val="1"/>
          <w:bCs w:val="1"/>
          <w:color w:val="auto"/>
        </w:rPr>
        <w:t>U.S. Securities Laws</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Accredited Investor Status</w:t>
      </w:r>
      <w:r>
        <w:rPr>
          <w:rFonts w:ascii="Times New Roman" w:cs="Times New Roman" w:eastAsia="Times New Roman" w:hAnsi="Times New Roman"/>
          <w:sz w:val="21"/>
          <w:szCs w:val="21"/>
          <w:color w:val="auto"/>
        </w:rPr>
        <w:t>. The Buyer is an</w:t>
      </w:r>
      <w:r>
        <w:rPr>
          <w:rFonts w:ascii="Times New Roman" w:cs="Times New Roman" w:eastAsia="Times New Roman" w:hAnsi="Times New Roman"/>
          <w:sz w:val="21"/>
          <w:szCs w:val="21"/>
          <w:b w:val="1"/>
          <w:bCs w:val="1"/>
          <w:color w:val="auto"/>
        </w:rPr>
        <w:t xml:space="preserve"> “Accredited Investor” </w:t>
      </w:r>
      <w:r>
        <w:rPr>
          <w:rFonts w:ascii="Times New Roman" w:cs="Times New Roman" w:eastAsia="Times New Roman" w:hAnsi="Times New Roman"/>
          <w:sz w:val="21"/>
          <w:szCs w:val="21"/>
          <w:color w:val="auto"/>
        </w:rPr>
        <w:t>as that term is defined in Rule 501(a)(3) of</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Regulation D.</w:t>
      </w:r>
    </w:p>
    <w:p>
      <w:pPr>
        <w:spacing w:after="0" w:line="151" w:lineRule="exact"/>
        <w:rPr>
          <w:rFonts w:ascii="Times New Roman" w:cs="Times New Roman" w:eastAsia="Times New Roman" w:hAnsi="Times New Roman"/>
          <w:sz w:val="21"/>
          <w:szCs w:val="21"/>
          <w:color w:val="auto"/>
        </w:rPr>
      </w:pPr>
    </w:p>
    <w:p>
      <w:pPr>
        <w:jc w:val="both"/>
        <w:ind w:firstLine="656"/>
        <w:spacing w:after="0" w:line="216" w:lineRule="auto"/>
        <w:tabs>
          <w:tab w:leader="none" w:pos="129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Reliance on Exemptions</w:t>
      </w:r>
      <w:r>
        <w:rPr>
          <w:rFonts w:ascii="Times New Roman" w:cs="Times New Roman" w:eastAsia="Times New Roman" w:hAnsi="Times New Roman"/>
          <w:sz w:val="22"/>
          <w:szCs w:val="22"/>
          <w:color w:val="auto"/>
        </w:rPr>
        <w:t>. The Buyer understands that the Securities are being offered and sold to it in reliance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specific exemptions from: (i) the registration requirements of U.S. Securities Laws; and (ii) the exemption from the prospectus requirements of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xml:space="preserve"> (Ontario) under Section 2.3 of OSC Rule 72-503, and that, in each case, the Company is relying in part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spacing w:after="0" w:line="145"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The Buyer has been furnished with all materials relating to the business, finances and operations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information the Buyer deemed material to making an informed investment decision regarding its purchase of the Securities, which have been requested by the Buyer. The Buyer has been afforded the opportunity to ask questions of the Company and its management and has received answers to such questions. Neither such inquiries nor any other due diligence investigations conducted by the Buyer or its representatives shall modify, amend or affect the Buyer’s right to rely on the Company’s representations and warranties contained in Section 3 below. The Buyer understands that its investment in the Securities involves a high degree of risk. The Buyer has sought such accounting, legal and tax advice, as it has considered necessary to make an informed investment decision with respect to its acquisition of the Securities. The Buyer acknowledges and agrees that the Company does not make and has not made any representation or warranties with respect to the transactions contemplated hereby other than those specifically set forth in Section 3.</w:t>
      </w:r>
    </w:p>
    <w:p>
      <w:pPr>
        <w:spacing w:after="0" w:line="151"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Transfer or Resale</w:t>
      </w:r>
      <w:r>
        <w:rPr>
          <w:rFonts w:ascii="Times New Roman" w:cs="Times New Roman" w:eastAsia="Times New Roman" w:hAnsi="Times New Roman"/>
          <w:sz w:val="21"/>
          <w:szCs w:val="21"/>
          <w:color w:val="auto"/>
        </w:rPr>
        <w:t>. The Buyer understands that: (i) the Securities have not been registered under U.S.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Laws, and may not be offered for sale, sold, assigned or transferred unless (A) subsequently registered thereunder, (B) the Buyer shall have delivered to the Company an opinion of counsel, in a form generally acceptable to the Company and the Company’s transfer agent, to the effect that such Securities to be sold, assigned or transferred may be sold, assigned or transferred pursuant to an exemption from such registration requirements, (C) the Buyer provides the Company with reasonable assurances (in the form of seller and broker representation letters reasonably acceptable to the Company) that such Securities can be sold, assigned or transferred pursuant to Rule 144 promulgated under the Securities Act, as amended (or a successor rule thereto) (collectively, </w:t>
      </w:r>
      <w:r>
        <w:rPr>
          <w:rFonts w:ascii="Times New Roman" w:cs="Times New Roman" w:eastAsia="Times New Roman" w:hAnsi="Times New Roman"/>
          <w:sz w:val="21"/>
          <w:szCs w:val="21"/>
          <w:b w:val="1"/>
          <w:bCs w:val="1"/>
          <w:color w:val="auto"/>
        </w:rPr>
        <w:t>“Rule 144”</w:t>
      </w:r>
      <w:r>
        <w:rPr>
          <w:rFonts w:ascii="Times New Roman" w:cs="Times New Roman" w:eastAsia="Times New Roman" w:hAnsi="Times New Roman"/>
          <w:sz w:val="21"/>
          <w:szCs w:val="21"/>
          <w:color w:val="auto"/>
        </w:rPr>
        <w:t>), in each case following the applicable holding period set forth therein; or (D) the Buyer shall have delivered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and the Company’s transfer agent and Rule 904 declaration in a form agreed to by the Company and the Company’s transfer agentand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w:t>
      </w:r>
    </w:p>
    <w:p>
      <w:pPr>
        <w:sectPr>
          <w:pgSz w:w="11900" w:h="16838" w:orient="portrait"/>
          <w:cols w:equalWidth="0" w:num="1">
            <w:col w:w="11240"/>
          </w:cols>
          <w:pgMar w:left="320" w:top="1391" w:right="339" w:bottom="1440" w:gutter="0" w:footer="0" w:header="0"/>
        </w:sectPr>
      </w:pPr>
    </w:p>
    <w:bookmarkStart w:id="82" w:name="page83"/>
    <w:bookmarkEnd w:id="82"/>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is defined in the Securities Act) may require compliance with some other exemption under the Securities Act or the rules and regulations of the SEC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including, without limitation, this Section 2(e). In addition, the Buyer understands that (i) the Securities have not been qualified for distribution by prospectus in any jurisdiction of Canada, and may not be offered for sale, sold, assigned or transferred in any jurisdiction of Canada during the course of the distribution thereof, except pursuant to a prospectus or exemption from the prospectus requirement under Canadian Securities Laws. The Buyer covenants and agrees that it shall not directly or indirectly, during the course of the distribution of the distribution of the Securities, make any offers or sales of securities in connection with this Agreement directly to any person whom, to the Buyer’s knowledge, is (A) a person resident or located in a jurisdiction of Canada; (B) a person acquiring such securities for the benefit of another person resident or located in a jurisdiction of Canada, or (C) on any </w:t>
      </w:r>
      <w:r>
        <w:rPr>
          <w:rFonts w:ascii="Times New Roman" w:cs="Times New Roman" w:eastAsia="Times New Roman" w:hAnsi="Times New Roman"/>
          <w:sz w:val="21"/>
          <w:szCs w:val="21"/>
          <w:b w:val="1"/>
          <w:bCs w:val="1"/>
          <w:color w:val="auto"/>
        </w:rPr>
        <w:t>“marketplace”</w:t>
      </w:r>
      <w:r>
        <w:rPr>
          <w:rFonts w:ascii="Times New Roman" w:cs="Times New Roman" w:eastAsia="Times New Roman" w:hAnsi="Times New Roman"/>
          <w:sz w:val="21"/>
          <w:szCs w:val="21"/>
          <w:color w:val="auto"/>
        </w:rPr>
        <w:t xml:space="preserve"> (as such term is defined in National Instrument 21-101 – Marketplace Operation) in Canada. The Company and the Buyer shall take all further steps reasonably required to ensure compliance with the provisions of OSC Rule 72-503. For clarity, a distribution made on or through the facilities of an exchange or market outside Canada is a distribution to a person or company outside Canada if neither the seller nor any person acting on its behalf has reason to believe that the distribution has been pre-arranged with a buyer in Canada.</w:t>
      </w:r>
    </w:p>
    <w:p>
      <w:pPr>
        <w:spacing w:after="0" w:line="155" w:lineRule="exact"/>
        <w:rPr>
          <w:sz w:val="20"/>
          <w:szCs w:val="20"/>
          <w:color w:val="auto"/>
        </w:rPr>
      </w:pPr>
    </w:p>
    <w:p>
      <w:pPr>
        <w:ind w:firstLine="656"/>
        <w:spacing w:after="0" w:line="238" w:lineRule="auto"/>
        <w:tabs>
          <w:tab w:leader="none" w:pos="129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Legends</w:t>
      </w:r>
      <w:r>
        <w:rPr>
          <w:rFonts w:ascii="Times New Roman" w:cs="Times New Roman" w:eastAsia="Times New Roman" w:hAnsi="Times New Roman"/>
          <w:sz w:val="22"/>
          <w:szCs w:val="22"/>
          <w:color w:val="auto"/>
        </w:rPr>
        <w:t>. The Buyer agrees to the imprinting, so long as its required by this Section 2(f), of a restrictive legend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Securities in substantially the following form:</w:t>
      </w:r>
    </w:p>
    <w:p>
      <w:pPr>
        <w:spacing w:after="0" w:line="173" w:lineRule="exact"/>
        <w:rPr>
          <w:sz w:val="20"/>
          <w:szCs w:val="20"/>
          <w:color w:val="auto"/>
        </w:rPr>
      </w:pPr>
    </w:p>
    <w:p>
      <w:pPr>
        <w:jc w:val="both"/>
        <w:ind w:left="660" w:right="640"/>
        <w:spacing w:after="0" w:line="248" w:lineRule="auto"/>
        <w:rPr>
          <w:sz w:val="20"/>
          <w:szCs w:val="20"/>
          <w:color w:val="auto"/>
        </w:rPr>
      </w:pPr>
      <w:r>
        <w:rPr>
          <w:rFonts w:ascii="Times New Roman" w:cs="Times New Roman" w:eastAsia="Times New Roman" w:hAnsi="Times New Roman"/>
          <w:sz w:val="22"/>
          <w:szCs w:val="22"/>
          <w:color w:val="auto"/>
        </w:rPr>
        <w:t>THE SECURITIES REPRESENTED HEREBY [</w:t>
      </w:r>
      <w:r>
        <w:rPr>
          <w:rFonts w:ascii="Times New Roman" w:cs="Times New Roman" w:eastAsia="Times New Roman" w:hAnsi="Times New Roman"/>
          <w:sz w:val="22"/>
          <w:szCs w:val="22"/>
          <w:i w:val="1"/>
          <w:iCs w:val="1"/>
          <w:color w:val="auto"/>
        </w:rPr>
        <w:t>for Convertible Note add</w:t>
      </w:r>
      <w:r>
        <w:rPr>
          <w:rFonts w:ascii="Times New Roman" w:cs="Times New Roman" w:eastAsia="Times New Roman" w:hAnsi="Times New Roman"/>
          <w:sz w:val="22"/>
          <w:szCs w:val="22"/>
          <w:color w:val="auto"/>
        </w:rPr>
        <w:t>: AND THOSE SECURITIES INTO WHICH THEY ARE CONVERTIBLE] HAVE NOT BEEN REGISTERED UNDER THE UNITED STATES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OR APPLICABLE STATE SECURITIES LAWS. THE SECURITIES AND THOSE SECURITIES INTO WHICH THEY ARE CONVERTIBLE HAVE BEEN ACQUIRED SOLELY FOR INVESTMENT PURPOSES AND NOT WITH A VIEW TOWARD RESALE AND MAY ONLY BE OFFERED FOR SALE, SOLD, TRANSFERRED OR ASSIGNED (A) TO THE CORPORATION, (B) OUTSIDE THE UNITED STATES IN COMPLIANCE WITH RULE 904 OF REGULATION S UNDER THE SECURITIES ACT AND IN COMPLIANCE WITH LOCAL LAWS AND REGULATIONS, (C) IN COMPLIANCE WITH THE EXEMPTION FROM REGISTRATION UNDER THE SECURITIES ACT PROVIDED BY RULE 144 THEREUNDER, IF AVAILABLE, AND IN COMPLIANCE WITH ANY APPLICABLE STATE SECURITIES OR “BLUE SKY” LAWS, (D) IN A TRANSACTION THAT DOES NOT REQUIRE REGISTRATION UNDER THE SECURITIES ACT OR ANY APPLICABLE STATE SECURITIES LAWS, OR (E) PURSUANT TO AN EFFECTIVE REGISTRATION STATEMENT AND, IN THE CASE OF SUBPARAGRAPH (C) OR (D), THE SELLER FURNISHES TO THE CORPORATION AN OPINION OF COUNSEL OF RECOGNIZED STANDING OR SUCH OTHER EVIDENCE AS THE CORPORATION MAY REQUIRE IN FORM AND</w:t>
      </w:r>
    </w:p>
    <w:p>
      <w:pPr>
        <w:sectPr>
          <w:pgSz w:w="11900" w:h="16838" w:orient="portrait"/>
          <w:cols w:equalWidth="0" w:num="1">
            <w:col w:w="11240"/>
          </w:cols>
          <w:pgMar w:left="320" w:top="1395" w:right="339" w:bottom="1440" w:gutter="0" w:footer="0" w:header="0"/>
        </w:sectPr>
      </w:pPr>
    </w:p>
    <w:bookmarkStart w:id="83" w:name="page84"/>
    <w:bookmarkEnd w:id="83"/>
    <w:p>
      <w:pPr>
        <w:jc w:val="both"/>
        <w:ind w:left="660" w:right="660"/>
        <w:spacing w:after="0" w:line="253" w:lineRule="auto"/>
        <w:rPr>
          <w:sz w:val="20"/>
          <w:szCs w:val="20"/>
          <w:color w:val="auto"/>
        </w:rPr>
      </w:pPr>
      <w:r>
        <w:rPr>
          <w:rFonts w:ascii="Times New Roman" w:cs="Times New Roman" w:eastAsia="Times New Roman" w:hAnsi="Times New Roman"/>
          <w:sz w:val="22"/>
          <w:szCs w:val="22"/>
          <w:color w:val="auto"/>
        </w:rPr>
        <w:t>SUBSTANCE REASONABLY SATISFACTORY TO THE CORPORATION TO SUCH EFFECT. NOTWITHSTANDING THE FOREGOING, THE SECURITIES MAY BE PLEDGED IN CONNECTION WITH A BONA FIDE MARGIN ACCOUNT OR OTHER LOAN OR FINANCING ARRANGEMENT SECURED BY THE SECURITIES. DELIVERY OF THIS CERTIFICATE MAY NOT CONSTITUTE “GOOD DELIVERY” IN SETTLEMENT OF TRANSACTIONS ON STOCK EXCHANGES IN CANADA.</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Subject to the provision of representation letters from the Buyer and its representatives as the Company may require, certificates evidencing the Conversion Shares shall not contain any legend (including the legend set forth above), (i) while a registration statement covering the resale of such security is effective under the Securities Act, (ii) following any sale of such Conversion Shares pursuant to Rule 144, (iii) if such Conversion Shares are eligible for sale under Rule 144, or (iv) if such legend is not required under applicable requirements of the Securities Act (including judicial interpretations and pronouncements issued by the staff of the SEC). If a legend is not required pursuant to the foregoing, the Company shall no later than one (1) Trading Days (as defined in the Convertible Note) (or such earlier date as required pursuant to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or other applicable law, rule or regulation for the settlement of a trade initiated on the date the Buyer delivers such legended certificate representing such securities to the Company) following the delivery by a Buyer to the Company or the transfer agent (with notice to the Company) of a legended certificate representing such securities (endorsed or with stock powers attached, and otherwise in form necessary to affect the reissuance and/or transfer, if applicable), together with any other deliveries from the Buyer as may be required above in this Section 2(f), as directed by the Buyer, either:</w:t>
      </w:r>
    </w:p>
    <w:p>
      <w:pPr>
        <w:spacing w:after="0" w:line="2" w:lineRule="exact"/>
        <w:rPr>
          <w:sz w:val="20"/>
          <w:szCs w:val="20"/>
          <w:color w:val="auto"/>
        </w:rPr>
      </w:pPr>
    </w:p>
    <w:p>
      <w:pPr>
        <w:jc w:val="both"/>
        <w:ind w:firstLine="8"/>
        <w:spacing w:after="0" w:line="246" w:lineRule="auto"/>
        <w:tabs>
          <w:tab w:leader="none" w:pos="36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the Company’s transfer agent is participating in the DTC Fast Automated Securities Transfer Program, credit the aggregate number of shares of Common Shares to which the Buyer shall be entitled to the Buyer’s or its designee’s balance account with DTC through its Deposit/Withdrawal at Custodian system or (B) if the Company’s transfer agent is not participating in the DTC Fast Automated Securities Transfer Program, issue and deliver (via reputable overnight courier) to the Buyer, a certificate representing such securities that is free from all restrictive and other legends, registered in the name of the Buyer or its designee. The Company shall be responsible for any transfer agent fees or DTC fees with respect to any issuance of Securities or the removal of any legends with respect to any Securities in accordance herewith. The Buyer agrees that the removal of a restrictive legend from certificates representing Securities as set forth in this Section 2(f) is predicated upon the Company’s reliance that the Buyer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w:t>
      </w:r>
    </w:p>
    <w:p>
      <w:pPr>
        <w:spacing w:after="0" w:line="157"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1"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Organization; Authority</w:t>
      </w:r>
      <w:r>
        <w:rPr>
          <w:rFonts w:ascii="Times New Roman" w:cs="Times New Roman" w:eastAsia="Times New Roman" w:hAnsi="Times New Roman"/>
          <w:sz w:val="22"/>
          <w:szCs w:val="22"/>
          <w:color w:val="auto"/>
        </w:rPr>
        <w:t>. The Buyer is an entity duly organized, validly existing and in good standing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jurisdiction of its organization with the requisite power and authority to enter into and to consummate the transactions contemplated by the Transaction Documents (as defined below) to which it is a party and otherwise to carry out its obligations hereunder and thereunder.</w:t>
      </w:r>
    </w:p>
    <w:p>
      <w:pPr>
        <w:sectPr>
          <w:pgSz w:w="11900" w:h="16838" w:orient="portrait"/>
          <w:cols w:equalWidth="0" w:num="1">
            <w:col w:w="11240"/>
          </w:cols>
          <w:pgMar w:left="320" w:top="1422" w:right="339" w:bottom="1440" w:gutter="0" w:footer="0" w:header="0"/>
        </w:sectPr>
      </w:pPr>
    </w:p>
    <w:bookmarkStart w:id="84" w:name="page85"/>
    <w:bookmarkEnd w:id="84"/>
    <w:p>
      <w:pPr>
        <w:jc w:val="both"/>
        <w:ind w:left="-656" w:firstLine="656"/>
        <w:spacing w:after="0" w:line="218" w:lineRule="auto"/>
        <w:tabs>
          <w:tab w:leader="none" w:pos="63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Authorization, Enforcement</w:t>
      </w:r>
      <w:r>
        <w:rPr>
          <w:rFonts w:ascii="Times New Roman" w:cs="Times New Roman" w:eastAsia="Times New Roman" w:hAnsi="Times New Roman"/>
          <w:sz w:val="22"/>
          <w:szCs w:val="22"/>
          <w:color w:val="auto"/>
        </w:rPr>
        <w:t>. The Transaction Documents to which each the Buyer is a party have been duly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validly authorized, executed and delivered on behalf of the Buyer and constitute the legal, valid and binding obligations of the Buyer enforceable against the Buyer in accordance with its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47" w:lineRule="exact"/>
        <w:rPr>
          <w:rFonts w:ascii="Times New Roman" w:cs="Times New Roman" w:eastAsia="Times New Roman" w:hAnsi="Times New Roman"/>
          <w:sz w:val="22"/>
          <w:szCs w:val="22"/>
          <w:color w:val="auto"/>
        </w:rPr>
      </w:pPr>
    </w:p>
    <w:p>
      <w:pPr>
        <w:jc w:val="both"/>
        <w:ind w:left="-656" w:firstLine="656"/>
        <w:spacing w:after="0" w:line="223" w:lineRule="auto"/>
        <w:tabs>
          <w:tab w:leader="none" w:pos="628"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Conflicts</w:t>
      </w:r>
      <w:r>
        <w:rPr>
          <w:rFonts w:ascii="Times New Roman" w:cs="Times New Roman" w:eastAsia="Times New Roman" w:hAnsi="Times New Roman"/>
          <w:sz w:val="21"/>
          <w:szCs w:val="21"/>
          <w:color w:val="auto"/>
        </w:rPr>
        <w:t>. The execution, delivery and performance by the Buyer of the Transaction Documents to which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Buyer is a party and the consummation by the Buyer of the transactions contemplated hereby and thereby will not (i) result in a violation of the organizational documents of the Buyer, (ii) conflict with, or constitute a default (or an event which with notice or lapse of time or both would become a default) under, or give to others any rights of termination, amendment, acceleration or cancellation of, any agreement, indenture or instrument to which the Buyer is a party or (iii) result in a violation of any law, rule, regulation, order, judgment or decree (including U.S. Securities Laws) applicable to the Buyer, except, in the case of clauses (ii) and (iii) above, for such conflicts, defaults, rights or violations which could not, individually or in the aggregate, reasonably be expected to have a material adverse effect on the ability of the Buyer to perform its obligations hereunder and thereunder.</w:t>
      </w:r>
    </w:p>
    <w:p>
      <w:pPr>
        <w:spacing w:after="0" w:line="148" w:lineRule="exact"/>
        <w:rPr>
          <w:rFonts w:ascii="Times New Roman" w:cs="Times New Roman" w:eastAsia="Times New Roman" w:hAnsi="Times New Roman"/>
          <w:sz w:val="21"/>
          <w:szCs w:val="21"/>
          <w:color w:val="auto"/>
        </w:rPr>
      </w:pPr>
    </w:p>
    <w:p>
      <w:pPr>
        <w:jc w:val="both"/>
        <w:ind w:left="-656" w:firstLine="656"/>
        <w:spacing w:after="0" w:line="221" w:lineRule="auto"/>
        <w:tabs>
          <w:tab w:leader="none" w:pos="62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Trading Activities</w:t>
      </w:r>
      <w:r>
        <w:rPr>
          <w:rFonts w:ascii="Times New Roman" w:cs="Times New Roman" w:eastAsia="Times New Roman" w:hAnsi="Times New Roman"/>
          <w:sz w:val="22"/>
          <w:szCs w:val="22"/>
          <w:color w:val="auto"/>
        </w:rPr>
        <w:t>. The Buyer has not directly or indirectly, nor has any Person acting on behalf of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any understanding with the Buyer, engaged in any transactions in the securities of the Company during the period commencing on or after 4:30 p.m. on June 26, 2025, and ending immediately prior to the execution of this Agreement by the Buyer.</w:t>
      </w:r>
    </w:p>
    <w:p>
      <w:pPr>
        <w:spacing w:after="0" w:line="148" w:lineRule="exact"/>
        <w:rPr>
          <w:rFonts w:ascii="Times New Roman" w:cs="Times New Roman" w:eastAsia="Times New Roman" w:hAnsi="Times New Roman"/>
          <w:sz w:val="22"/>
          <w:szCs w:val="22"/>
          <w:color w:val="auto"/>
        </w:rPr>
      </w:pPr>
    </w:p>
    <w:p>
      <w:pPr>
        <w:ind w:left="-656" w:firstLine="656"/>
        <w:spacing w:after="0" w:line="238" w:lineRule="auto"/>
        <w:tabs>
          <w:tab w:leader="none" w:pos="63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 Solicitation</w:t>
      </w:r>
      <w:r>
        <w:rPr>
          <w:rFonts w:ascii="Times New Roman" w:cs="Times New Roman" w:eastAsia="Times New Roman" w:hAnsi="Times New Roman"/>
          <w:sz w:val="22"/>
          <w:szCs w:val="22"/>
          <w:color w:val="auto"/>
        </w:rPr>
        <w:t>. The Buyer is not purchasing or acquiring the Securities as a result of any form of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solicitation or general advertising (within the meaning of Regulation D) in connection with the offer or sale of the Securities.</w:t>
      </w:r>
    </w:p>
    <w:p>
      <w:pPr>
        <w:spacing w:after="0" w:line="146" w:lineRule="exact"/>
        <w:rPr>
          <w:rFonts w:ascii="Times New Roman" w:cs="Times New Roman" w:eastAsia="Times New Roman" w:hAnsi="Times New Roman"/>
          <w:sz w:val="22"/>
          <w:szCs w:val="22"/>
          <w:color w:val="auto"/>
        </w:rPr>
      </w:pPr>
    </w:p>
    <w:p>
      <w:pPr>
        <w:jc w:val="both"/>
        <w:ind w:left="-656" w:firstLine="656"/>
        <w:spacing w:after="0" w:line="218" w:lineRule="auto"/>
        <w:tabs>
          <w:tab w:leader="none" w:pos="62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Evaluation of Risks</w:t>
      </w:r>
      <w:r>
        <w:rPr>
          <w:rFonts w:ascii="Times New Roman" w:cs="Times New Roman" w:eastAsia="Times New Roman" w:hAnsi="Times New Roman"/>
          <w:sz w:val="22"/>
          <w:szCs w:val="22"/>
          <w:color w:val="auto"/>
        </w:rPr>
        <w:t>. The Buyer has such knowledge and experience in financial, tax and business matters as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capable of evaluating the merits and risks of, and bearing the economic risks entailed by, an investment in the Common Shares of the Company and of protecting its interests in connection with the transactions contemplated hereby. The Buyer acknowledges and agrees that its investment in the Company involves a high degree of risk, and that the Buyer may lose all or a part of its investment.</w:t>
      </w:r>
    </w:p>
    <w:p>
      <w:pPr>
        <w:spacing w:after="0" w:line="147" w:lineRule="exact"/>
        <w:rPr>
          <w:rFonts w:ascii="Times New Roman" w:cs="Times New Roman" w:eastAsia="Times New Roman" w:hAnsi="Times New Roman"/>
          <w:sz w:val="22"/>
          <w:szCs w:val="22"/>
          <w:color w:val="auto"/>
        </w:rPr>
      </w:pPr>
    </w:p>
    <w:p>
      <w:pPr>
        <w:jc w:val="both"/>
        <w:ind w:left="-656" w:firstLine="656"/>
        <w:spacing w:after="0" w:line="227" w:lineRule="auto"/>
        <w:tabs>
          <w:tab w:leader="none" w:pos="62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 an Affiliate</w:t>
      </w:r>
      <w:r>
        <w:rPr>
          <w:rFonts w:ascii="Times New Roman" w:cs="Times New Roman" w:eastAsia="Times New Roman" w:hAnsi="Times New Roman"/>
          <w:sz w:val="22"/>
          <w:szCs w:val="22"/>
          <w:color w:val="auto"/>
        </w:rPr>
        <w:t>. The Buyer is not (i) an officer or director of the Company or any of its Subsidiaries (as defined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below), (ii) or an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xml:space="preserve"> (as defined in Rule 144) of the Company or any of its Subsidiaries or (iii) a </w:t>
      </w:r>
      <w:r>
        <w:rPr>
          <w:rFonts w:ascii="Times New Roman" w:cs="Times New Roman" w:eastAsia="Times New Roman" w:hAnsi="Times New Roman"/>
          <w:sz w:val="22"/>
          <w:szCs w:val="22"/>
          <w:b w:val="1"/>
          <w:bCs w:val="1"/>
          <w:color w:val="auto"/>
        </w:rPr>
        <w:t>“beneficial owner”</w:t>
      </w:r>
      <w:r>
        <w:rPr>
          <w:rFonts w:ascii="Times New Roman" w:cs="Times New Roman" w:eastAsia="Times New Roman" w:hAnsi="Times New Roman"/>
          <w:sz w:val="22"/>
          <w:szCs w:val="22"/>
          <w:color w:val="auto"/>
        </w:rPr>
        <w:t xml:space="preserve"> of more than 10% of the Common Shares (as defined for purposes of Rule 13d3­ of the Exchange Act).</w:t>
      </w:r>
    </w:p>
    <w:p>
      <w:pPr>
        <w:spacing w:after="0" w:line="146" w:lineRule="exact"/>
        <w:rPr>
          <w:rFonts w:ascii="Times New Roman" w:cs="Times New Roman" w:eastAsia="Times New Roman" w:hAnsi="Times New Roman"/>
          <w:sz w:val="22"/>
          <w:szCs w:val="22"/>
          <w:color w:val="auto"/>
        </w:rPr>
      </w:pPr>
    </w:p>
    <w:p>
      <w:pPr>
        <w:jc w:val="both"/>
        <w:ind w:left="-656" w:firstLine="656"/>
        <w:spacing w:after="0" w:line="212" w:lineRule="auto"/>
        <w:tabs>
          <w:tab w:leader="none" w:pos="63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Resident of Canada Status</w:t>
      </w:r>
      <w:r>
        <w:rPr>
          <w:rFonts w:ascii="Times New Roman" w:cs="Times New Roman" w:eastAsia="Times New Roman" w:hAnsi="Times New Roman"/>
          <w:sz w:val="22"/>
          <w:szCs w:val="22"/>
          <w:color w:val="auto"/>
        </w:rPr>
        <w:t>. The Buyer is not a resident in any province or territory of Canada, is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purchasing the Securities for the account of a Person resident in any province of territory of Canada, and is not a party to any transaction or series of transactions that is a part of a plan or scheme to avoid the prospectus requirements in connection with a distribution to a Person in Canada and acknowledges that (i) no Canadian securities commission or similar regulatory authority has reviewed or passed on the merits of Securities; (ii) there is no government or other insurance covering the Securities; and (iii) the Company hereby advises the Buyer that the Company is relying on an exemption from the requirements to provide the Buyer with a prospectus under Canadian Securities Laws and, as a consequence of acquiring the Securities pursuant to this exemption, certain protections, rights and remedies provided by Canadian Securities Laws, including statutory rights of rescission or damages, will not be available to the Buyer.</w:t>
      </w:r>
    </w:p>
    <w:p>
      <w:pPr>
        <w:sectPr>
          <w:pgSz w:w="11900" w:h="16838" w:orient="portrait"/>
          <w:cols w:equalWidth="0" w:num="1">
            <w:col w:w="10584"/>
          </w:cols>
          <w:pgMar w:left="976" w:top="1391" w:right="339" w:bottom="1440" w:gutter="0" w:footer="0" w:header="0"/>
        </w:sectPr>
      </w:pPr>
    </w:p>
    <w:bookmarkStart w:id="85" w:name="page86"/>
    <w:bookmarkEnd w:id="85"/>
    <w:p>
      <w:pPr>
        <w:jc w:val="both"/>
        <w:ind w:firstLine="656"/>
        <w:spacing w:after="0" w:line="212" w:lineRule="auto"/>
        <w:tabs>
          <w:tab w:leader="none" w:pos="1291"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PCMLA</w:t>
      </w:r>
      <w:r>
        <w:rPr>
          <w:rFonts w:ascii="Times New Roman" w:cs="Times New Roman" w:eastAsia="Times New Roman" w:hAnsi="Times New Roman"/>
          <w:sz w:val="22"/>
          <w:szCs w:val="22"/>
          <w:color w:val="auto"/>
        </w:rPr>
        <w:t>. The Purchase Price which will be advanced by the Buyer to the Company hereunder will not represent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proceeds of crime for the purposes of the </w:t>
      </w:r>
      <w:r>
        <w:rPr>
          <w:rFonts w:ascii="Times New Roman" w:cs="Times New Roman" w:eastAsia="Times New Roman" w:hAnsi="Times New Roman"/>
          <w:sz w:val="22"/>
          <w:szCs w:val="22"/>
          <w:i w:val="1"/>
          <w:iCs w:val="1"/>
          <w:color w:val="auto"/>
        </w:rPr>
        <w:t>Proceeds of Crime (Money Laundering) and Terrorist Financing Act</w:t>
      </w:r>
      <w:r>
        <w:rPr>
          <w:rFonts w:ascii="Times New Roman" w:cs="Times New Roman" w:eastAsia="Times New Roman" w:hAnsi="Times New Roman"/>
          <w:sz w:val="22"/>
          <w:szCs w:val="22"/>
          <w:color w:val="auto"/>
        </w:rPr>
        <w:t xml:space="preserve"> (Canada) (the </w:t>
      </w:r>
      <w:r>
        <w:rPr>
          <w:rFonts w:ascii="Times New Roman" w:cs="Times New Roman" w:eastAsia="Times New Roman" w:hAnsi="Times New Roman"/>
          <w:sz w:val="22"/>
          <w:szCs w:val="22"/>
          <w:b w:val="1"/>
          <w:bCs w:val="1"/>
          <w:color w:val="auto"/>
        </w:rPr>
        <w:t>“PCMLA”</w:t>
      </w:r>
      <w:r>
        <w:rPr>
          <w:rFonts w:ascii="Times New Roman" w:cs="Times New Roman" w:eastAsia="Times New Roman" w:hAnsi="Times New Roman"/>
          <w:sz w:val="22"/>
          <w:szCs w:val="22"/>
          <w:color w:val="auto"/>
        </w:rPr>
        <w:t>) and the Buyer acknowledges that the Company may in the future be required by law to disclose the Buyer’s name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other information relating to this Agreement and the Buyer’s subscription hereunder, on a confidential basis, pursuant to the PCMLA; and to the best of its knowledge (i) none of the subscription funds to be provided by the Buyer (A) have been or will be derived from or related to any activity that is deemed criminal under the laws of Canada, the United States of America, or any other jurisdiction, or (B) are being tendered on behalf of a person or entity who has not been identified to the Buyer, and (ii) it shall promptly notify the Company if the Buyer discovers that any of such representations ceases to be true, and to provide the Company with appropriate information in connection therewith.</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 OF THE COMPANY.</w:t>
      </w:r>
    </w:p>
    <w:p>
      <w:pPr>
        <w:spacing w:after="0" w:line="210"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Except as, other than with respect to Section 3(z), set forth in the Continuous Disclosure Materials (as defined below) that</w:t>
      </w:r>
    </w:p>
    <w:p>
      <w:pPr>
        <w:spacing w:after="0" w:line="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are available on the SEC’s website through the EDGAR system or through the SEDAR+ system at least one (1) Business Day prior to the date of this Agreement (unless the context provides otherwise), the Company hereby makes the representations and warranties set forth below to the Buyer:</w:t>
      </w:r>
    </w:p>
    <w:p>
      <w:pPr>
        <w:spacing w:after="0" w:line="147" w:lineRule="exact"/>
        <w:rPr>
          <w:sz w:val="20"/>
          <w:szCs w:val="20"/>
          <w:color w:val="auto"/>
        </w:rPr>
      </w:pPr>
    </w:p>
    <w:p>
      <w:pPr>
        <w:jc w:val="both"/>
        <w:ind w:firstLine="656"/>
        <w:spacing w:after="0" w:line="209" w:lineRule="auto"/>
        <w:tabs>
          <w:tab w:leader="none" w:pos="129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Organization and Qualification</w:t>
      </w:r>
      <w:r>
        <w:rPr>
          <w:rFonts w:ascii="Times New Roman" w:cs="Times New Roman" w:eastAsia="Times New Roman" w:hAnsi="Times New Roman"/>
          <w:sz w:val="22"/>
          <w:szCs w:val="22"/>
          <w:color w:val="auto"/>
        </w:rPr>
        <w:t>. The Company and each of its Subsidiaries are entities duly formed, validly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existing and in good standing under the laws of the jurisdiction in which they are formed, and have the requisite power and authority to own their properties and to carry on their business as now being conducted and as presently proposed to be conducted. The Company and each of its Subsidiaries is qualified to do business and is in good standing or subsisting (with respect to jurisdictions that recognize the concept of good standing or subsisting) as a foreign legal entity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22"/>
          <w:szCs w:val="22"/>
          <w:b w:val="1"/>
          <w:bCs w:val="1"/>
          <w:color w:val="auto"/>
        </w:rPr>
        <w:t>“Material Adverse Effect”</w:t>
      </w:r>
      <w:r>
        <w:rPr>
          <w:rFonts w:ascii="Times New Roman" w:cs="Times New Roman" w:eastAsia="Times New Roman" w:hAnsi="Times New Roman"/>
          <w:sz w:val="22"/>
          <w:szCs w:val="22"/>
          <w:color w:val="auto"/>
        </w:rPr>
        <w:t xml:space="preserve"> means any material adverse effect on (i) the business, properties, assets, liabilities, operations (including results thereof), condition (financial or otherwise) or prospects of the Company and its Subsidiaries, taken as a whole, (ii) the transactions contemplated hereby or in any of the other Transaction Documents or any other agreements or instruments to be entered into by the Company in connection herewith or therewith or (iii) the authority or ability of the Company to perform any of its obligations under any of the Transaction Documents. </w:t>
      </w:r>
      <w:r>
        <w:rPr>
          <w:rFonts w:ascii="Times New Roman" w:cs="Times New Roman" w:eastAsia="Times New Roman" w:hAnsi="Times New Roman"/>
          <w:sz w:val="22"/>
          <w:szCs w:val="22"/>
          <w:b w:val="1"/>
          <w:bCs w:val="1"/>
          <w:color w:val="auto"/>
        </w:rPr>
        <w:t xml:space="preserve">“Subsidiaries” </w:t>
      </w:r>
      <w:r>
        <w:rPr>
          <w:rFonts w:ascii="Times New Roman" w:cs="Times New Roman" w:eastAsia="Times New Roman" w:hAnsi="Times New Roman"/>
          <w:sz w:val="22"/>
          <w:szCs w:val="22"/>
          <w:color w:val="auto"/>
        </w:rPr>
        <w:t>means Cybin Corp., Cybin US Holdings Inc., Adelia Therapeutics, Cybin IRL Limited (“</w:t>
      </w:r>
      <w:r>
        <w:rPr>
          <w:rFonts w:ascii="Times New Roman" w:cs="Times New Roman" w:eastAsia="Times New Roman" w:hAnsi="Times New Roman"/>
          <w:sz w:val="22"/>
          <w:szCs w:val="22"/>
          <w:b w:val="1"/>
          <w:bCs w:val="1"/>
          <w:color w:val="auto"/>
        </w:rPr>
        <w:t>Cybin IRL</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Cybin UK Ltd., and any subsidiary that after the date of this Agreement becomes a </w:t>
      </w:r>
      <w:r>
        <w:rPr>
          <w:rFonts w:ascii="Times New Roman" w:cs="Times New Roman" w:eastAsia="Times New Roman" w:hAnsi="Times New Roman"/>
          <w:sz w:val="22"/>
          <w:szCs w:val="22"/>
          <w:b w:val="1"/>
          <w:bCs w:val="1"/>
          <w:color w:val="auto"/>
        </w:rPr>
        <w:t>“significant subsidiary”</w:t>
      </w:r>
      <w:r>
        <w:rPr>
          <w:rFonts w:ascii="Times New Roman" w:cs="Times New Roman" w:eastAsia="Times New Roman" w:hAnsi="Times New Roman"/>
          <w:sz w:val="22"/>
          <w:szCs w:val="22"/>
          <w:color w:val="auto"/>
        </w:rPr>
        <w:t xml:space="preserve"> of the Company (as defined in Rule 1-02(w) of Regulation S-X under the Exchange Act), and each of the foregoing, is individually referred to herein as a </w:t>
      </w:r>
      <w:r>
        <w:rPr>
          <w:rFonts w:ascii="Times New Roman" w:cs="Times New Roman" w:eastAsia="Times New Roman" w:hAnsi="Times New Roman"/>
          <w:sz w:val="22"/>
          <w:szCs w:val="22"/>
          <w:b w:val="1"/>
          <w:bCs w:val="1"/>
          <w:color w:val="auto"/>
        </w:rPr>
        <w:t>“Subsidiary.”</w:t>
      </w:r>
    </w:p>
    <w:p>
      <w:pPr>
        <w:spacing w:after="0" w:line="147"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Authorization; Enforcement; Validity</w:t>
      </w:r>
      <w:r>
        <w:rPr>
          <w:rFonts w:ascii="Times New Roman" w:cs="Times New Roman" w:eastAsia="Times New Roman" w:hAnsi="Times New Roman"/>
          <w:sz w:val="22"/>
          <w:szCs w:val="22"/>
          <w:color w:val="auto"/>
        </w:rPr>
        <w:t>. The Company has the requisite power and authority to enter into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its obligations under this Agreement and the other Transaction Documents and to issue the Securities in accordance with the terms hereof and thereof. The execution and delivery of this Agreement and the other Transaction Documents by the Company and the consummation by the Company of the transactions contemplated hereby and thereby (including, without limitation, the issuance of the Convertible Note, the reservation for issuance and issuance of the Conversion Shares issuable upon conversion of the Convertible Note), have been duly authorized by the Company’s board of directors and no further filing, consent or authorization is required by the Company, its board of directors or its shareholders or other governmental body. This Agreement has been, and the other Transaction Documents to</w:t>
      </w:r>
    </w:p>
    <w:p>
      <w:pPr>
        <w:sectPr>
          <w:pgSz w:w="11900" w:h="16838" w:orient="portrait"/>
          <w:cols w:equalWidth="0" w:num="1">
            <w:col w:w="11240"/>
          </w:cols>
          <w:pgMar w:left="320" w:top="1391" w:right="339" w:bottom="1440" w:gutter="0" w:footer="0" w:header="0"/>
        </w:sectPr>
      </w:pPr>
    </w:p>
    <w:bookmarkStart w:id="86" w:name="page87"/>
    <w:bookmarkEnd w:id="86"/>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which the Company is a party will be prior to the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U.S. Securities Laws. </w:t>
      </w: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Documents” </w:t>
      </w:r>
      <w:r>
        <w:rPr>
          <w:rFonts w:ascii="Times New Roman" w:cs="Times New Roman" w:eastAsia="Times New Roman" w:hAnsi="Times New Roman"/>
          <w:sz w:val="22"/>
          <w:szCs w:val="22"/>
          <w:color w:val="auto"/>
        </w:rPr>
        <w:t>means, collectively, this Agreement, the Registration Rights Agreement, the Convertible Note, and each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agreements and instruments entered into by the Company or delivered by the Company in connection with the transactions contemplated hereby and thereby, as may be amended from time to time.</w:t>
      </w:r>
    </w:p>
    <w:p>
      <w:pPr>
        <w:spacing w:after="0" w:line="152" w:lineRule="exact"/>
        <w:rPr>
          <w:sz w:val="20"/>
          <w:szCs w:val="20"/>
          <w:color w:val="auto"/>
        </w:rPr>
      </w:pPr>
    </w:p>
    <w:p>
      <w:pPr>
        <w:jc w:val="both"/>
        <w:ind w:firstLine="656"/>
        <w:spacing w:after="0" w:line="222" w:lineRule="auto"/>
        <w:tabs>
          <w:tab w:leader="none" w:pos="1293"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Issuance of Securities</w:t>
      </w:r>
      <w:r>
        <w:rPr>
          <w:rFonts w:ascii="Times New Roman" w:cs="Times New Roman" w:eastAsia="Times New Roman" w:hAnsi="Times New Roman"/>
          <w:sz w:val="21"/>
          <w:szCs w:val="21"/>
          <w:color w:val="auto"/>
        </w:rPr>
        <w:t>. The issuance of the Securities has been duly authorized and upon issuance and payment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accordance with the terms of the Transaction Documents, the Securities shall be validly issued, fully paid and nonassessable­ and free from all pre-emptive or similar rights, including any mortgage, defects, claims, pledges, taxes, rights of first refusal, encumbrances,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 and other encumbrances (collectively </w:t>
      </w:r>
      <w:r>
        <w:rPr>
          <w:rFonts w:ascii="Times New Roman" w:cs="Times New Roman" w:eastAsia="Times New Roman" w:hAnsi="Times New Roman"/>
          <w:sz w:val="21"/>
          <w:szCs w:val="21"/>
          <w:b w:val="1"/>
          <w:bCs w:val="1"/>
          <w:color w:val="auto"/>
        </w:rPr>
        <w:t>“Liens”</w:t>
      </w:r>
      <w:r>
        <w:rPr>
          <w:rFonts w:ascii="Times New Roman" w:cs="Times New Roman" w:eastAsia="Times New Roman" w:hAnsi="Times New Roman"/>
          <w:sz w:val="21"/>
          <w:szCs w:val="21"/>
          <w:color w:val="auto"/>
        </w:rPr>
        <w:t>) with respect to the issuance thereof. Upon issuance or conversion in accordance with the Convertible Note, the Conversion Shares, when issued, will be validly issued, fully paid and nonassessable and free from all pre-emptive or similar rights or Liens with respect to the issue thereof, with the holders being entitled to all rights accorded to a holder of Common Shares.</w:t>
      </w:r>
    </w:p>
    <w:p>
      <w:pPr>
        <w:spacing w:after="0" w:line="149" w:lineRule="exact"/>
        <w:rPr>
          <w:rFonts w:ascii="Times New Roman" w:cs="Times New Roman" w:eastAsia="Times New Roman" w:hAnsi="Times New Roman"/>
          <w:sz w:val="21"/>
          <w:szCs w:val="21"/>
          <w:color w:val="auto"/>
        </w:rPr>
      </w:pPr>
    </w:p>
    <w:p>
      <w:pPr>
        <w:jc w:val="both"/>
        <w:ind w:firstLine="656"/>
        <w:spacing w:after="0" w:line="209" w:lineRule="auto"/>
        <w:tabs>
          <w:tab w:leader="none" w:pos="1291"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Conflicts</w:t>
      </w:r>
      <w:r>
        <w:rPr>
          <w:rFonts w:ascii="Times New Roman" w:cs="Times New Roman" w:eastAsia="Times New Roman" w:hAnsi="Times New Roman"/>
          <w:sz w:val="22"/>
          <w:szCs w:val="22"/>
          <w:color w:val="auto"/>
        </w:rPr>
        <w:t>. The execution, delivery and performance of the Transaction Documents by the Company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consummation by the Company of the transactions contemplated hereby and thereby (including, without limitation, the issuance of the Convertible Note, the Conversion Shares, and the reservation for issuance of the Conversion Shares) will not (i) result in a violation of the Articles (as defined below), certificate of incorporation, certificate of formation, memorandum of association, or other organizational documents of the Company or any of its Subsidiaries, or any shares, capital stock or other securities of the Company or any of its Subsidiaries, (ii) conflict with, or constitute a default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U.S. Securities Laws and regulations, the securities laws of the jurisdictions of the Company’s incorporation or in which it or its Subsidiaries operate and the rules, regulations and requirements of the Cboe and NYSE American and including all applicable laws, rules and regulations of the jurisdiction of incorporation of the Company) applicable to the Company or any of its Subsidiaries or by which any property or asset of the Company or any of its Subsidiaries is bound or affected, except in the case of (ii) and (iii) for any conflict, default, right or violation that would not reasonably be expected to result in a Material Adverse Effect.</w:t>
      </w:r>
    </w:p>
    <w:p>
      <w:pPr>
        <w:spacing w:after="0" w:line="155"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3"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Consents</w:t>
      </w:r>
      <w:r>
        <w:rPr>
          <w:rFonts w:ascii="Times New Roman" w:cs="Times New Roman" w:eastAsia="Times New Roman" w:hAnsi="Times New Roman"/>
          <w:sz w:val="21"/>
          <w:szCs w:val="21"/>
          <w:color w:val="auto"/>
        </w:rPr>
        <w:t>. No consent, approval, authorization, filing with or order of any court or governmental agency or body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is required in connection with the transactions contemplated herein, except (i) such as required by Cboe, (ii) such as may be required under Canadian Securities Laws, including the filing of a report of the distribution on Form 72-503F – </w:t>
      </w:r>
      <w:r>
        <w:rPr>
          <w:rFonts w:ascii="Times New Roman" w:cs="Times New Roman" w:eastAsia="Times New Roman" w:hAnsi="Times New Roman"/>
          <w:sz w:val="21"/>
          <w:szCs w:val="21"/>
          <w:i w:val="1"/>
          <w:iCs w:val="1"/>
          <w:color w:val="auto"/>
        </w:rPr>
        <w:t>Report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Distributions Outside Canada </w:t>
      </w:r>
      <w:r>
        <w:rPr>
          <w:rFonts w:ascii="Times New Roman" w:cs="Times New Roman" w:eastAsia="Times New Roman" w:hAnsi="Times New Roman"/>
          <w:sz w:val="21"/>
          <w:szCs w:val="21"/>
          <w:color w:val="auto"/>
        </w:rPr>
        <w:t>in accordance with Ontario Securities Commission Rule 72-503 –</w:t>
      </w:r>
      <w:r>
        <w:rPr>
          <w:rFonts w:ascii="Times New Roman" w:cs="Times New Roman" w:eastAsia="Times New Roman" w:hAnsi="Times New Roman"/>
          <w:sz w:val="21"/>
          <w:szCs w:val="21"/>
          <w:i w:val="1"/>
          <w:iCs w:val="1"/>
          <w:color w:val="auto"/>
        </w:rPr>
        <w:t xml:space="preserve"> Distributions Outside Canada</w:t>
      </w:r>
      <w:r>
        <w:rPr>
          <w:rFonts w:ascii="Times New Roman" w:cs="Times New Roman" w:eastAsia="Times New Roman" w:hAnsi="Times New Roman"/>
          <w:sz w:val="21"/>
          <w:szCs w:val="21"/>
          <w:color w:val="auto"/>
        </w:rPr>
        <w:t>,</w:t>
      </w:r>
    </w:p>
    <w:p>
      <w:pPr>
        <w:spacing w:after="0" w:line="2" w:lineRule="exact"/>
        <w:rPr>
          <w:rFonts w:ascii="Times New Roman" w:cs="Times New Roman" w:eastAsia="Times New Roman" w:hAnsi="Times New Roman"/>
          <w:sz w:val="21"/>
          <w:szCs w:val="21"/>
          <w:color w:val="auto"/>
        </w:rPr>
      </w:pPr>
    </w:p>
    <w:p>
      <w:pPr>
        <w:jc w:val="both"/>
        <w:ind w:firstLine="8"/>
        <w:spacing w:after="0" w:line="214" w:lineRule="auto"/>
        <w:tabs>
          <w:tab w:leader="none" w:pos="38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 may be required under the Securities Act or the blue sky laws of any jurisdiction in connection with the purchase of the Convertible Note by the applicable Buyer in the manner contemplated herein, (iv) the filing of a listing application or listing of additional shares notification, as applicable, with the Principal U.S. Market with respect to the Conversion Shares, and (v) such other consents, approvals, authorizations, filings or</w:t>
      </w:r>
    </w:p>
    <w:p>
      <w:pPr>
        <w:sectPr>
          <w:pgSz w:w="11900" w:h="16838" w:orient="portrait"/>
          <w:cols w:equalWidth="0" w:num="1">
            <w:col w:w="11240"/>
          </w:cols>
          <w:pgMar w:left="320" w:top="1395" w:right="339" w:bottom="1440" w:gutter="0" w:footer="0" w:header="0"/>
        </w:sectPr>
      </w:pPr>
    </w:p>
    <w:bookmarkStart w:id="87" w:name="page88"/>
    <w:bookmarkEnd w:id="87"/>
    <w:p>
      <w:pPr>
        <w:spacing w:after="0" w:line="236" w:lineRule="auto"/>
        <w:rPr>
          <w:sz w:val="20"/>
          <w:szCs w:val="20"/>
          <w:color w:val="auto"/>
        </w:rPr>
      </w:pPr>
      <w:r>
        <w:rPr>
          <w:rFonts w:ascii="Times New Roman" w:cs="Times New Roman" w:eastAsia="Times New Roman" w:hAnsi="Times New Roman"/>
          <w:sz w:val="22"/>
          <w:szCs w:val="22"/>
          <w:color w:val="auto"/>
        </w:rPr>
        <w:t>orders, the failure of which to be made or obtained, individually or in the aggregate, would not reasonably be expected to result in a Material Adverse Effect.</w:t>
      </w:r>
    </w:p>
    <w:p>
      <w:pPr>
        <w:spacing w:after="0" w:line="146" w:lineRule="exact"/>
        <w:rPr>
          <w:sz w:val="20"/>
          <w:szCs w:val="20"/>
          <w:color w:val="auto"/>
        </w:rPr>
      </w:pPr>
    </w:p>
    <w:p>
      <w:pPr>
        <w:jc w:val="both"/>
        <w:ind w:firstLine="656"/>
        <w:spacing w:after="0" w:line="221" w:lineRule="auto"/>
        <w:tabs>
          <w:tab w:leader="none" w:pos="129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Exchange Approvals</w:t>
      </w:r>
      <w:r>
        <w:rPr>
          <w:rFonts w:ascii="Times New Roman" w:cs="Times New Roman" w:eastAsia="Times New Roman" w:hAnsi="Times New Roman"/>
          <w:sz w:val="22"/>
          <w:szCs w:val="22"/>
          <w:color w:val="auto"/>
        </w:rPr>
        <w:t>. At the Closing Date, the Company has made all required submissions to Principal 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Market to reserve 16,500,000 Common Shares and shall have not received any notice objecting to the listing of these Common Shares from the Principal U.S. Market. Prior to the Closing Date, the Company shall have received the conditional approval of the Cboe to the transactions contemplated herein, in form and substance satisfactory to the Buyer acting reasonably.</w:t>
      </w:r>
    </w:p>
    <w:p>
      <w:pPr>
        <w:spacing w:after="0" w:line="148"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Acknowledgment Regarding Buyer’s Purchase of Securities</w:t>
      </w:r>
      <w:r>
        <w:rPr>
          <w:rFonts w:ascii="Times New Roman" w:cs="Times New Roman" w:eastAsia="Times New Roman" w:hAnsi="Times New Roman"/>
          <w:sz w:val="22"/>
          <w:szCs w:val="22"/>
          <w:color w:val="auto"/>
        </w:rPr>
        <w:t>. The Company acknowledges and agrees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Buyer is acting solely in the capacity of an arm’s-length purchaser with respect to the Transaction Documents and the transactions contemplated hereby and thereby and that no Buyer is (i) an officer or director of the Company or any of its Subsidiaries, (ii) to its knowledge, an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xml:space="preserve"> (as defined in Rule 144 promulgated under the Securities Act (or a successor rule thereto) (collectively, </w:t>
      </w:r>
      <w:r>
        <w:rPr>
          <w:rFonts w:ascii="Times New Roman" w:cs="Times New Roman" w:eastAsia="Times New Roman" w:hAnsi="Times New Roman"/>
          <w:sz w:val="22"/>
          <w:szCs w:val="22"/>
          <w:b w:val="1"/>
          <w:bCs w:val="1"/>
          <w:color w:val="auto"/>
        </w:rPr>
        <w:t>“Rule 144”</w:t>
      </w:r>
      <w:r>
        <w:rPr>
          <w:rFonts w:ascii="Times New Roman" w:cs="Times New Roman" w:eastAsia="Times New Roman" w:hAnsi="Times New Roman"/>
          <w:sz w:val="22"/>
          <w:szCs w:val="22"/>
          <w:color w:val="auto"/>
        </w:rPr>
        <w:t xml:space="preserve">)) of the Company or any of its Subsidiaries or (iii) to its knowledge, a </w:t>
      </w:r>
      <w:r>
        <w:rPr>
          <w:rFonts w:ascii="Times New Roman" w:cs="Times New Roman" w:eastAsia="Times New Roman" w:hAnsi="Times New Roman"/>
          <w:sz w:val="22"/>
          <w:szCs w:val="22"/>
          <w:b w:val="1"/>
          <w:bCs w:val="1"/>
          <w:color w:val="auto"/>
        </w:rPr>
        <w:t>“beneficial owner”</w:t>
      </w:r>
      <w:r>
        <w:rPr>
          <w:rFonts w:ascii="Times New Roman" w:cs="Times New Roman" w:eastAsia="Times New Roman" w:hAnsi="Times New Roman"/>
          <w:sz w:val="22"/>
          <w:szCs w:val="22"/>
          <w:color w:val="auto"/>
        </w:rPr>
        <w:t xml:space="preserve"> of more than 10% of the Common Shares (as defined for purposes of Rule 13d3­ of the Exchange Act). The Company further acknowledges that no Buyer (nor any affiliate of any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the Buyer’s purchase of the Securities. The Company further represents to the Buyer that the Company’s decision to enter into the Transaction Documents to which it is a party has been based solely on the independent evaluation by the Company and its representatives.</w:t>
      </w:r>
    </w:p>
    <w:p>
      <w:pPr>
        <w:spacing w:after="0" w:line="151" w:lineRule="exact"/>
        <w:rPr>
          <w:rFonts w:ascii="Times New Roman" w:cs="Times New Roman" w:eastAsia="Times New Roman" w:hAnsi="Times New Roman"/>
          <w:sz w:val="22"/>
          <w:szCs w:val="22"/>
          <w:color w:val="auto"/>
        </w:rPr>
      </w:pPr>
    </w:p>
    <w:p>
      <w:pPr>
        <w:jc w:val="both"/>
        <w:ind w:firstLine="656"/>
        <w:spacing w:after="0" w:line="224" w:lineRule="auto"/>
        <w:tabs>
          <w:tab w:leader="none" w:pos="1291"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Integrated Offering</w:t>
      </w:r>
      <w:r>
        <w:rPr>
          <w:rFonts w:ascii="Times New Roman" w:cs="Times New Roman" w:eastAsia="Times New Roman" w:hAnsi="Times New Roman"/>
          <w:sz w:val="21"/>
          <w:szCs w:val="21"/>
          <w:color w:val="auto"/>
        </w:rPr>
        <w:t>. None of the Company, its Subsidiaries or any of their affiliates, nor any Person acting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their behalf has, directly or indirectly, made any offers or sales of any security or solicited any offers to buy any security, under circumstances that would cause this offering of the Securities to require approval of shareholders of the Company under any applicable shareholder approval provisions, including, without limitation, under the rules and regulations of any exchange or automated quotation system on which any of the securities of the Company are listed or designated for quotation, other than as set forth herein. None of the Company, its Subsidiaries, their affiliates nor any Person acting on their behalf will take any action or steps that would cause the offering of any of the Securities to be integrated with other offerings of securities of the Company.</w:t>
      </w:r>
    </w:p>
    <w:p>
      <w:pPr>
        <w:spacing w:after="0" w:line="150" w:lineRule="exact"/>
        <w:rPr>
          <w:rFonts w:ascii="Times New Roman" w:cs="Times New Roman" w:eastAsia="Times New Roman" w:hAnsi="Times New Roman"/>
          <w:sz w:val="21"/>
          <w:szCs w:val="21"/>
          <w:color w:val="auto"/>
        </w:rPr>
      </w:pPr>
    </w:p>
    <w:p>
      <w:pPr>
        <w:ind w:firstLine="656"/>
        <w:spacing w:after="0" w:line="238" w:lineRule="auto"/>
        <w:tabs>
          <w:tab w:leader="none" w:pos="128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Dilutive Effect</w:t>
      </w:r>
      <w:r>
        <w:rPr>
          <w:rFonts w:ascii="Times New Roman" w:cs="Times New Roman" w:eastAsia="Times New Roman" w:hAnsi="Times New Roman"/>
          <w:sz w:val="22"/>
          <w:szCs w:val="22"/>
          <w:color w:val="auto"/>
        </w:rPr>
        <w:t>. The Company understands and acknowledges that the number of Conversion Shares will increase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certain circumstances and could cause dilution to existing shareholders.</w:t>
      </w:r>
    </w:p>
    <w:p>
      <w:pPr>
        <w:spacing w:after="0" w:line="146" w:lineRule="exact"/>
        <w:rPr>
          <w:rFonts w:ascii="Times New Roman" w:cs="Times New Roman" w:eastAsia="Times New Roman" w:hAnsi="Times New Roman"/>
          <w:sz w:val="22"/>
          <w:szCs w:val="22"/>
          <w:color w:val="auto"/>
        </w:rPr>
      </w:pPr>
    </w:p>
    <w:p>
      <w:pPr>
        <w:jc w:val="both"/>
        <w:ind w:firstLine="656"/>
        <w:spacing w:after="0" w:line="212" w:lineRule="auto"/>
        <w:tabs>
          <w:tab w:leader="none" w:pos="128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Continuous Disclosure Materials; Financial Statements</w:t>
      </w:r>
      <w:r>
        <w:rPr>
          <w:rFonts w:ascii="Times New Roman" w:cs="Times New Roman" w:eastAsia="Times New Roman" w:hAnsi="Times New Roman"/>
          <w:sz w:val="22"/>
          <w:szCs w:val="22"/>
          <w:color w:val="auto"/>
        </w:rPr>
        <w:t>. During the two (2) years prior to the date hereof,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 applicable, the Closing Date, the Company has timely filed, or will have timely filed, all reports, schedules, forms, proxy statements, statements and other documents required to be filed by it under Applicable Securities Laws (all of the foregoing filed prior to the date hereof and, as applicable, the Closing Date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22"/>
          <w:szCs w:val="22"/>
          <w:b w:val="1"/>
          <w:bCs w:val="1"/>
          <w:color w:val="auto"/>
        </w:rPr>
        <w:t>“Continuous Disclosure Materials”</w:t>
      </w:r>
      <w:r>
        <w:rPr>
          <w:rFonts w:ascii="Times New Roman" w:cs="Times New Roman" w:eastAsia="Times New Roman" w:hAnsi="Times New Roman"/>
          <w:sz w:val="22"/>
          <w:szCs w:val="22"/>
          <w:color w:val="auto"/>
        </w:rPr>
        <w:t>). The Company has delivered or has made available to the Buyer or its representatives true,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correct and complete copies of each of the Continuous Disclosure Materials not available on the EDGAR system or SEDAR+ system. As of their respective dates, the Continuous Disclosure Materials complied in all material respects with the requirements of the Applicable Securities Laws applicable to the Continuous Disclosure Materials, and none of the</w:t>
      </w:r>
    </w:p>
    <w:p>
      <w:pPr>
        <w:sectPr>
          <w:pgSz w:w="11900" w:h="16838" w:orient="portrait"/>
          <w:cols w:equalWidth="0" w:num="1">
            <w:col w:w="11240"/>
          </w:cols>
          <w:pgMar w:left="320" w:top="1395" w:right="339" w:bottom="1440" w:gutter="0" w:footer="0" w:header="0"/>
        </w:sectPr>
      </w:pPr>
    </w:p>
    <w:bookmarkStart w:id="88" w:name="page89"/>
    <w:bookmarkEnd w:id="88"/>
    <w:p>
      <w:pPr>
        <w:jc w:val="both"/>
        <w:spacing w:after="0" w:line="207" w:lineRule="auto"/>
        <w:rPr>
          <w:sz w:val="20"/>
          <w:szCs w:val="20"/>
          <w:color w:val="auto"/>
        </w:rPr>
      </w:pPr>
      <w:r>
        <w:rPr>
          <w:rFonts w:ascii="Times New Roman" w:cs="Times New Roman" w:eastAsia="Times New Roman" w:hAnsi="Times New Roman"/>
          <w:sz w:val="22"/>
          <w:szCs w:val="22"/>
          <w:color w:val="auto"/>
        </w:rPr>
        <w:t>Continuous Disclosure Materials, at the time they were filed on the EDGAR system or SEDAR+ system (subject to amendments thereto),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Continuous Disclosure Materials complied in all material respects with applicable accounting requirements and the Applicable Securities Laws with respect thereto as in effect as of the time of filing. Such financial statements have been prepared in accordance with International Financial Reporting Standards, as issued by the International Accounting Standards Board (</w:t>
      </w:r>
      <w:r>
        <w:rPr>
          <w:rFonts w:ascii="Times New Roman" w:cs="Times New Roman" w:eastAsia="Times New Roman" w:hAnsi="Times New Roman"/>
          <w:sz w:val="22"/>
          <w:szCs w:val="22"/>
          <w:b w:val="1"/>
          <w:bCs w:val="1"/>
          <w:color w:val="auto"/>
        </w:rPr>
        <w:t>“IFRS”</w:t>
      </w:r>
      <w:r>
        <w:rPr>
          <w:rFonts w:ascii="Times New Roman" w:cs="Times New Roman" w:eastAsia="Times New Roman" w:hAnsi="Times New Roman"/>
          <w:sz w:val="22"/>
          <w:szCs w:val="22"/>
          <w:color w:val="auto"/>
        </w:rPr>
        <w:t xml:space="preserve">),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applicable financial accounting standards of the Financial Accounting Standards Board which are not provided for by the Company in its financial statements or otherwise. No other information provided by or on behalf of the Company to the Buyer which is not included in the Continuous Disclosure Materials contains any untrue statement of a material fact or omits to state any material fact necessary in order to make the statements therein, in the light of the circumstance under which they are or were made, not misleading. The Company is not currently contemplating to further amend or restate any of the financial statements (including, without limitation, any notes or any letter of the independent accountants of the Company with respect thereto) included in the Continuous Disclosure Materials (the </w:t>
      </w:r>
      <w:r>
        <w:rPr>
          <w:rFonts w:ascii="Times New Roman" w:cs="Times New Roman" w:eastAsia="Times New Roman" w:hAnsi="Times New Roman"/>
          <w:sz w:val="22"/>
          <w:szCs w:val="22"/>
          <w:b w:val="1"/>
          <w:bCs w:val="1"/>
          <w:color w:val="auto"/>
        </w:rPr>
        <w:t>“Financial Statements”</w:t>
      </w:r>
      <w:r>
        <w:rPr>
          <w:rFonts w:ascii="Times New Roman" w:cs="Times New Roman" w:eastAsia="Times New Roman" w:hAnsi="Times New Roman"/>
          <w:sz w:val="22"/>
          <w:szCs w:val="22"/>
          <w:color w:val="auto"/>
        </w:rPr>
        <w:t>), nor is the Company currently aware of facts or circumstances which would require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further amend or restate any of the Financial Statements, in each case, in order for any of the Financial Statements to be in compliance with IFRS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157" w:lineRule="exact"/>
        <w:rPr>
          <w:sz w:val="20"/>
          <w:szCs w:val="20"/>
          <w:color w:val="auto"/>
        </w:rPr>
      </w:pPr>
    </w:p>
    <w:p>
      <w:pPr>
        <w:jc w:val="both"/>
        <w:ind w:firstLine="656"/>
        <w:spacing w:after="0" w:line="210" w:lineRule="auto"/>
        <w:tabs>
          <w:tab w:leader="none" w:pos="129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Absence of Certain Changes</w:t>
      </w:r>
      <w:r>
        <w:rPr>
          <w:rFonts w:ascii="Times New Roman" w:cs="Times New Roman" w:eastAsia="Times New Roman" w:hAnsi="Times New Roman"/>
          <w:sz w:val="22"/>
          <w:szCs w:val="22"/>
          <w:color w:val="auto"/>
        </w:rPr>
        <w:t>. Since the date of the Company’s most recent audited financial statements that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available on the SEC’s website through the EDGAR system or through the SEDAR+ system (the “</w:t>
      </w:r>
      <w:r>
        <w:rPr>
          <w:rFonts w:ascii="Times New Roman" w:cs="Times New Roman" w:eastAsia="Times New Roman" w:hAnsi="Times New Roman"/>
          <w:sz w:val="22"/>
          <w:szCs w:val="22"/>
          <w:b w:val="1"/>
          <w:bCs w:val="1"/>
          <w:color w:val="auto"/>
        </w:rPr>
        <w:t>Prior Annual 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Statements</w:t>
      </w:r>
      <w:r>
        <w:rPr>
          <w:rFonts w:ascii="Times New Roman" w:cs="Times New Roman" w:eastAsia="Times New Roman" w:hAnsi="Times New Roman"/>
          <w:sz w:val="22"/>
          <w:szCs w:val="22"/>
          <w:color w:val="auto"/>
        </w:rPr>
        <w:t>”), there has been no Material Adverse Effect, nor any event or occurrence specifically affecting the Company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Subsidiaries that would be reasonably expected to result in a Material Adverse Effect. Since the date of the Prior Annual Financial Statements, neither the Company nor any of its Subsidiaries has (i) declared or paid any dividends, (ii) sold any material assets, individually or in the aggregate, outside of the ordinary course of business or (iii) made any material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w:t>
      </w:r>
    </w:p>
    <w:p>
      <w:pPr>
        <w:spacing w:after="0" w:line="157" w:lineRule="exact"/>
        <w:rPr>
          <w:rFonts w:ascii="Times New Roman" w:cs="Times New Roman" w:eastAsia="Times New Roman" w:hAnsi="Times New Roman"/>
          <w:sz w:val="22"/>
          <w:szCs w:val="22"/>
          <w:color w:val="auto"/>
        </w:rPr>
      </w:pPr>
    </w:p>
    <w:p>
      <w:pPr>
        <w:jc w:val="both"/>
        <w:ind w:right="20" w:firstLine="656"/>
        <w:spacing w:after="0" w:line="227" w:lineRule="auto"/>
        <w:tabs>
          <w:tab w:leader="none" w:pos="128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Undisclosed Events, Liabilities, Developments or Circumstances</w:t>
      </w:r>
      <w:r>
        <w:rPr>
          <w:rFonts w:ascii="Times New Roman" w:cs="Times New Roman" w:eastAsia="Times New Roman" w:hAnsi="Times New Roman"/>
          <w:sz w:val="22"/>
          <w:szCs w:val="22"/>
          <w:color w:val="auto"/>
        </w:rPr>
        <w:t>. No event, liability, development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 has occurred or exists, or is reasonably expected to exist or occur specific to the Company, any of its Subsidiaries or any of their respective businesses, properties, liabilities, prospects, operations (including results thereof) or condition</w:t>
      </w:r>
    </w:p>
    <w:p>
      <w:pPr>
        <w:sectPr>
          <w:pgSz w:w="11900" w:h="16838" w:orient="portrait"/>
          <w:cols w:equalWidth="0" w:num="1">
            <w:col w:w="11240"/>
          </w:cols>
          <w:pgMar w:left="320" w:top="1395" w:right="339" w:bottom="1440" w:gutter="0" w:footer="0" w:header="0"/>
        </w:sectPr>
      </w:pPr>
    </w:p>
    <w:bookmarkStart w:id="89" w:name="page90"/>
    <w:bookmarkEnd w:id="89"/>
    <w:p>
      <w:pPr>
        <w:spacing w:after="0" w:line="236" w:lineRule="auto"/>
        <w:rPr>
          <w:sz w:val="20"/>
          <w:szCs w:val="20"/>
          <w:color w:val="auto"/>
        </w:rPr>
      </w:pPr>
      <w:r>
        <w:rPr>
          <w:rFonts w:ascii="Times New Roman" w:cs="Times New Roman" w:eastAsia="Times New Roman" w:hAnsi="Times New Roman"/>
          <w:sz w:val="22"/>
          <w:szCs w:val="22"/>
          <w:color w:val="auto"/>
        </w:rPr>
        <w:t>(financial or otherwise), that has not been publicly disclosed and would reasonably be expected to have a Material Adverse Effect.</w:t>
      </w:r>
    </w:p>
    <w:p>
      <w:pPr>
        <w:spacing w:after="0" w:line="146" w:lineRule="exact"/>
        <w:rPr>
          <w:sz w:val="20"/>
          <w:szCs w:val="20"/>
          <w:color w:val="auto"/>
        </w:rPr>
      </w:pPr>
    </w:p>
    <w:p>
      <w:pPr>
        <w:jc w:val="both"/>
        <w:ind w:firstLine="656"/>
        <w:spacing w:after="0" w:line="217" w:lineRule="auto"/>
        <w:tabs>
          <w:tab w:leader="none" w:pos="1284"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Conduct of Business; Regulatory Permits</w:t>
      </w:r>
      <w:r>
        <w:rPr>
          <w:rFonts w:ascii="Times New Roman" w:cs="Times New Roman" w:eastAsia="Times New Roman" w:hAnsi="Times New Roman"/>
          <w:sz w:val="21"/>
          <w:szCs w:val="21"/>
          <w:color w:val="auto"/>
        </w:rPr>
        <w:t>. Neither the Company nor any of its Subsidiaries is in violation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 under its certificate of incorporation, any certificate of designation, preferences or rights of any other outstanding series of preferred shares of the Company or any of its Subsidiaries or Articles or their organizational charter, certificate of formation, memorandum of association, articles of association, certificate of incorporation or articles,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violations which would not reasonably be expected to have a Material Adverse Effect. Without limiting the generality of the foregoing, the Company is not in violation of any of the rules, regulations or requirements of Principal U.S. Market or Cboe and has no knowledge of any facts or circumstances that could reasonably lead to delisting or suspension of the Common Shares by Principal U.S. Market or Cboe in the foreseeable future. During the one year prior to the date hereof, (i) the Common Shares have been listed or designated for quotation on Principal U.S. Market and Cboe,</w:t>
      </w:r>
    </w:p>
    <w:p>
      <w:pPr>
        <w:spacing w:after="0" w:line="2" w:lineRule="exact"/>
        <w:rPr>
          <w:rFonts w:ascii="Times New Roman" w:cs="Times New Roman" w:eastAsia="Times New Roman" w:hAnsi="Times New Roman"/>
          <w:sz w:val="21"/>
          <w:szCs w:val="21"/>
          <w:color w:val="auto"/>
        </w:rPr>
      </w:pPr>
    </w:p>
    <w:p>
      <w:pPr>
        <w:jc w:val="both"/>
        <w:ind w:firstLine="8"/>
        <w:spacing w:after="0" w:line="208" w:lineRule="auto"/>
        <w:tabs>
          <w:tab w:leader="none" w:pos="32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in the Common Shares has not been suspended by Principal U.S. Market or Cboe, and (iii) the Company has received no communication, written or oral, from Principal U.S. Market or Cboe regarding the suspension or delisting of the Common Shares from Principal U.S. Market or Cboe, which has not been publicly disclosed.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reasonably be expected to have, individually or in the aggregate, a Material Adverse Effect, and neither the Company nor any of its Subsidiaries has received any notice of proceedings relating to the revocation or modification of any such certificate, authorization or permit.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on the Company or any of its Subsidiaries.</w:t>
      </w:r>
    </w:p>
    <w:p>
      <w:pPr>
        <w:spacing w:after="0" w:line="145"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1"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Foreign Corrupt Practices</w:t>
      </w:r>
      <w:r>
        <w:rPr>
          <w:rFonts w:ascii="Times New Roman" w:cs="Times New Roman" w:eastAsia="Times New Roman" w:hAnsi="Times New Roman"/>
          <w:sz w:val="22"/>
          <w:szCs w:val="22"/>
          <w:color w:val="auto"/>
        </w:rPr>
        <w:t>. Except as, individually or in the aggregate, would not reasonably be expected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material to the Company and the Subsidiaries, taken as a whole, since January 1, 2021, none of the Company or the Subsidiaries, nor any director, manager, officer, employee, or, to the actual knowledge of the Company, agent or representative of the Company or any of the Subsidiaries, has directly or indirectly through another person made, offered to make, attempted to make, or accepted any contribution, gift, bribe, rebate, payoff, influence payment, kickback or other payment to or from any person, private or public, regardless of what form, whether in money, property or services, in violation of the U.S. Foreign Corrupt Practices Act of 1977, as amended, the Corruption of Foreign Public Officials Act (Canada), as amended, and any foreign or other anti-bribery or anti-corruption laws (collectively, </w:t>
      </w:r>
      <w:r>
        <w:rPr>
          <w:rFonts w:ascii="Times New Roman" w:cs="Times New Roman" w:eastAsia="Times New Roman" w:hAnsi="Times New Roman"/>
          <w:sz w:val="22"/>
          <w:szCs w:val="22"/>
          <w:b w:val="1"/>
          <w:bCs w:val="1"/>
          <w:color w:val="auto"/>
        </w:rPr>
        <w:t>“Anti-Corruption Laws”</w:t>
      </w:r>
      <w:r>
        <w:rPr>
          <w:rFonts w:ascii="Times New Roman" w:cs="Times New Roman" w:eastAsia="Times New Roman" w:hAnsi="Times New Roman"/>
          <w:sz w:val="22"/>
          <w:szCs w:val="22"/>
          <w:color w:val="auto"/>
        </w:rPr>
        <w:t xml:space="preserve">). Since January 1, 2021, none of the Company or any of the Subsidiaries, or any of their respective directors, officers, employees or representatives has been under internal or, to the actual knowledge of the Company, any federal, state, provincial, local, foreign or supranational government, any court, legislative, administrative, regulatory or other governmental agency, commission or authority or any non-governmental self-regulatory agency, commission or authority or any stock exchange (each, a </w:t>
      </w:r>
      <w:r>
        <w:rPr>
          <w:rFonts w:ascii="Times New Roman" w:cs="Times New Roman" w:eastAsia="Times New Roman" w:hAnsi="Times New Roman"/>
          <w:sz w:val="22"/>
          <w:szCs w:val="22"/>
          <w:b w:val="1"/>
          <w:bCs w:val="1"/>
          <w:color w:val="auto"/>
        </w:rPr>
        <w:t>“Governmental Entity”</w:t>
      </w:r>
      <w:r>
        <w:rPr>
          <w:rFonts w:ascii="Times New Roman" w:cs="Times New Roman" w:eastAsia="Times New Roman" w:hAnsi="Times New Roman"/>
          <w:sz w:val="22"/>
          <w:szCs w:val="22"/>
          <w:color w:val="auto"/>
        </w:rPr>
        <w:t>) investigation for any material violation of any Anti-Corruption Laws or has received any written notice or other communication from any Governmental Entity regarding a violation of, or failure to</w:t>
      </w:r>
    </w:p>
    <w:p>
      <w:pPr>
        <w:sectPr>
          <w:pgSz w:w="11900" w:h="16838" w:orient="portrait"/>
          <w:cols w:equalWidth="0" w:num="1">
            <w:col w:w="11240"/>
          </w:cols>
          <w:pgMar w:left="320" w:top="1395" w:right="339" w:bottom="1440" w:gutter="0" w:footer="0" w:header="0"/>
        </w:sectPr>
      </w:pPr>
    </w:p>
    <w:bookmarkStart w:id="90" w:name="page91"/>
    <w:bookmarkEnd w:id="90"/>
    <w:p>
      <w:pPr>
        <w:jc w:val="both"/>
        <w:spacing w:after="0" w:line="215" w:lineRule="auto"/>
        <w:rPr>
          <w:sz w:val="20"/>
          <w:szCs w:val="20"/>
          <w:color w:val="auto"/>
        </w:rPr>
      </w:pPr>
      <w:r>
        <w:rPr>
          <w:rFonts w:ascii="Times New Roman" w:cs="Times New Roman" w:eastAsia="Times New Roman" w:hAnsi="Times New Roman"/>
          <w:sz w:val="22"/>
          <w:szCs w:val="22"/>
          <w:color w:val="auto"/>
        </w:rPr>
        <w:t>comply with, any Anti-Corruption Laws. Since January 1, 2021, the Company and the Subsidiaries have implemented, maintained and enforced an adequate system or systems of internal controls reasonably designed to ensure compliance with the Anti-Corruption Laws and prevent and detect violations of the Anti-Corruption Laws. Since January 1, 2021, neither the Company nor any of the Subsidiaries has made any disclosure (voluntary or otherwise) to any Governmental Entity with respect to any alleged irregularity, misstatement or omission or other potential violation or liability arising under or relating to any Anti-Corruption Laws.</w:t>
      </w:r>
    </w:p>
    <w:p>
      <w:pPr>
        <w:spacing w:after="0" w:line="148" w:lineRule="exact"/>
        <w:rPr>
          <w:sz w:val="20"/>
          <w:szCs w:val="20"/>
          <w:color w:val="auto"/>
        </w:rPr>
      </w:pPr>
    </w:p>
    <w:p>
      <w:pPr>
        <w:jc w:val="both"/>
        <w:ind w:firstLine="656"/>
        <w:spacing w:after="0" w:line="220" w:lineRule="auto"/>
        <w:tabs>
          <w:tab w:leader="none" w:pos="1291"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Equity Capitalization</w:t>
      </w:r>
      <w:r>
        <w:rPr>
          <w:rFonts w:ascii="Times New Roman" w:cs="Times New Roman" w:eastAsia="Times New Roman" w:hAnsi="Times New Roman"/>
          <w:sz w:val="21"/>
          <w:szCs w:val="21"/>
          <w:color w:val="auto"/>
        </w:rPr>
        <w:t>. As of the date hereof, the authorized capital of the Company consists of an unlimited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number of Common Shares and an unlimited number of preferred shares. As of the date hereof, the Company had 23,023,631 Common Shares outstanding. As of the date of the Closing, the authorized share capital of the Company will be an unlimited number of Common Shares. The Common Shares are registered pursuant to Section 12(b) of the Exchange Act and are listed on a Principal U.S. Market. The Company has taken no action designed to, or likely to have the effect of, terminating the registration of the Common Shares under the Exchange Act, delisting the Common Shares from the Principal U.S. Market, nor has the Company received any notification that the SEC or the Principal U.S. Market is contemplating terminating such registration or listing. To the Company’s knowledge, it is in compliance with all applicable listing requirements of the Principal U.S. Market. For the purposes of this Agreement, </w:t>
      </w:r>
      <w:r>
        <w:rPr>
          <w:rFonts w:ascii="Times New Roman" w:cs="Times New Roman" w:eastAsia="Times New Roman" w:hAnsi="Times New Roman"/>
          <w:sz w:val="21"/>
          <w:szCs w:val="21"/>
          <w:b w:val="1"/>
          <w:bCs w:val="1"/>
          <w:color w:val="auto"/>
        </w:rPr>
        <w:t>“Principal U.S. Market”</w:t>
      </w:r>
      <w:r>
        <w:rPr>
          <w:rFonts w:ascii="Times New Roman" w:cs="Times New Roman" w:eastAsia="Times New Roman" w:hAnsi="Times New Roman"/>
          <w:sz w:val="21"/>
          <w:szCs w:val="21"/>
          <w:color w:val="auto"/>
        </w:rPr>
        <w:t xml:space="preserve"> shall mean the NYSE American; provided however, that in the event the Common Shares are ever listed or traded on the New York Stock Exchange, or the Nasdaq Stock Market, then the </w:t>
      </w:r>
      <w:r>
        <w:rPr>
          <w:rFonts w:ascii="Times New Roman" w:cs="Times New Roman" w:eastAsia="Times New Roman" w:hAnsi="Times New Roman"/>
          <w:sz w:val="21"/>
          <w:szCs w:val="21"/>
          <w:b w:val="1"/>
          <w:bCs w:val="1"/>
          <w:color w:val="auto"/>
        </w:rPr>
        <w:t xml:space="preserve">“Principal U.S. Market” </w:t>
      </w:r>
      <w:r>
        <w:rPr>
          <w:rFonts w:ascii="Times New Roman" w:cs="Times New Roman" w:eastAsia="Times New Roman" w:hAnsi="Times New Roman"/>
          <w:sz w:val="21"/>
          <w:szCs w:val="21"/>
          <w:color w:val="auto"/>
        </w:rPr>
        <w:t>shall mean such other market or exchange on which the Common Shares are then listed or traded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extent such other market or exchange is the principal trading market or exchange for the Common Shares in the United States.</w:t>
      </w:r>
    </w:p>
    <w:p>
      <w:pPr>
        <w:spacing w:after="0" w:line="151" w:lineRule="exact"/>
        <w:rPr>
          <w:rFonts w:ascii="Times New Roman" w:cs="Times New Roman" w:eastAsia="Times New Roman" w:hAnsi="Times New Roman"/>
          <w:sz w:val="21"/>
          <w:szCs w:val="21"/>
          <w:color w:val="auto"/>
        </w:rPr>
      </w:pPr>
    </w:p>
    <w:p>
      <w:pPr>
        <w:jc w:val="both"/>
        <w:ind w:firstLine="656"/>
        <w:spacing w:after="0" w:line="208" w:lineRule="auto"/>
        <w:tabs>
          <w:tab w:leader="none" w:pos="129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Existing Securities; Obligations</w:t>
      </w:r>
      <w:r>
        <w:rPr>
          <w:rFonts w:ascii="Times New Roman" w:cs="Times New Roman" w:eastAsia="Times New Roman" w:hAnsi="Times New Roman"/>
          <w:sz w:val="22"/>
          <w:szCs w:val="22"/>
          <w:color w:val="auto"/>
        </w:rPr>
        <w:t>. Except as disclosed in the Continuous Disclosure Materials or as disclosed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Company to the Buyer,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Securities Act (except pursuant to (i) this Agreement, and (ii) the Registration Rights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 (F) neither the Company nor any Subsidiary has any stock appreciation rights or </w:t>
      </w:r>
      <w:r>
        <w:rPr>
          <w:rFonts w:ascii="Times New Roman" w:cs="Times New Roman" w:eastAsia="Times New Roman" w:hAnsi="Times New Roman"/>
          <w:sz w:val="22"/>
          <w:szCs w:val="22"/>
          <w:b w:val="1"/>
          <w:bCs w:val="1"/>
          <w:color w:val="auto"/>
        </w:rPr>
        <w:t>“phantom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stock” </w:t>
      </w:r>
      <w:r>
        <w:rPr>
          <w:rFonts w:ascii="Times New Roman" w:cs="Times New Roman" w:eastAsia="Times New Roman" w:hAnsi="Times New Roman"/>
          <w:sz w:val="22"/>
          <w:szCs w:val="22"/>
          <w:color w:val="auto"/>
        </w:rPr>
        <w:t>plans or agreements or any similar plan or agreement.</w:t>
      </w:r>
    </w:p>
    <w:p>
      <w:pPr>
        <w:spacing w:after="0" w:line="160"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Organizational Documents</w:t>
      </w:r>
      <w:r>
        <w:rPr>
          <w:rFonts w:ascii="Times New Roman" w:cs="Times New Roman" w:eastAsia="Times New Roman" w:hAnsi="Times New Roman"/>
          <w:sz w:val="22"/>
          <w:szCs w:val="22"/>
          <w:color w:val="auto"/>
        </w:rPr>
        <w:t>. The Company has furnished to the Buyer or filed on EDGAR true, correct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complete copies of the Company’s articles, as amended and as in effect on the date hereof (the </w:t>
      </w:r>
      <w:r>
        <w:rPr>
          <w:rFonts w:ascii="Times New Roman" w:cs="Times New Roman" w:eastAsia="Times New Roman" w:hAnsi="Times New Roman"/>
          <w:sz w:val="22"/>
          <w:szCs w:val="22"/>
          <w:b w:val="1"/>
          <w:bCs w:val="1"/>
          <w:color w:val="auto"/>
        </w:rPr>
        <w:t>“Articles”</w:t>
      </w:r>
      <w:r>
        <w:rPr>
          <w:rFonts w:ascii="Times New Roman" w:cs="Times New Roman" w:eastAsia="Times New Roman" w:hAnsi="Times New Roman"/>
          <w:sz w:val="22"/>
          <w:szCs w:val="22"/>
          <w:color w:val="auto"/>
        </w:rPr>
        <w:t>), and the terms of all convertible securities and the material rights of the holders thereof in respect thereto.</w:t>
      </w:r>
    </w:p>
    <w:p>
      <w:pPr>
        <w:sectPr>
          <w:pgSz w:w="11900" w:h="16838" w:orient="portrait"/>
          <w:cols w:equalWidth="0" w:num="1">
            <w:col w:w="11240"/>
          </w:cols>
          <w:pgMar w:left="320" w:top="1395" w:right="339" w:bottom="1440" w:gutter="0" w:footer="0" w:header="0"/>
        </w:sectPr>
      </w:pPr>
    </w:p>
    <w:bookmarkStart w:id="91" w:name="page92"/>
    <w:bookmarkEnd w:id="91"/>
    <w:p>
      <w:pPr>
        <w:jc w:val="both"/>
        <w:ind w:left="-656" w:firstLine="656"/>
        <w:spacing w:after="0" w:line="210" w:lineRule="auto"/>
        <w:tabs>
          <w:tab w:leader="none" w:pos="6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Litigation</w:t>
      </w:r>
      <w:r>
        <w:rPr>
          <w:rFonts w:ascii="Times New Roman" w:cs="Times New Roman" w:eastAsia="Times New Roman" w:hAnsi="Times New Roman"/>
          <w:sz w:val="22"/>
          <w:szCs w:val="22"/>
          <w:color w:val="auto"/>
        </w:rPr>
        <w:t>. Except as disclosed by the Company in the Continuous Disclosure Materials, there is no action, suit,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arbitration, proceeding, inquiry or investigation before or by NYSE American, Cboe, any court, public board, other Governmental Entity, selfregulatory­ organization or body pending or, to the knowledge of the Company, threatened against or affecting the Company or, to the knowledge of the Company, any of its Subsidiaries, the Common Shares or any of the Company’s or its Subsidiaries’ officers or directors, whether of a civil or criminal nature or otherwise, in their capacities as such, which would reasonably be expected to result in a Material Adverse Effect. After reasonable inquiry of its employees, the Company is not aware of any event which might result in or form the basis for any such action, suit, arbitration, investigation, inquiry or other proceeding. Without limitation of the foregoing, there has not been, and to the knowledge of the Company, there is not pending or contemplated, any investigation by the SEC involving the Company, any of its Subsidiaries or, to the knowledge of the Company, any current or former director or officer of the Company or any of its Subsidiaries. Neither the Company nor any of its Subsidiaries is the subject of any order, writ, judgment, injunction, decree, determination or award of any Governmental Entity that would reasonably be expected to result in a Material Adverse Effect.</w:t>
      </w:r>
    </w:p>
    <w:p>
      <w:pPr>
        <w:spacing w:after="0" w:line="151" w:lineRule="exact"/>
        <w:rPr>
          <w:rFonts w:ascii="Times New Roman" w:cs="Times New Roman" w:eastAsia="Times New Roman" w:hAnsi="Times New Roman"/>
          <w:sz w:val="22"/>
          <w:szCs w:val="22"/>
          <w:color w:val="auto"/>
        </w:rPr>
      </w:pPr>
    </w:p>
    <w:p>
      <w:pPr>
        <w:jc w:val="both"/>
        <w:ind w:left="-656" w:firstLine="656"/>
        <w:spacing w:after="0" w:line="214" w:lineRule="auto"/>
        <w:tabs>
          <w:tab w:leader="none" w:pos="63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Insurance</w:t>
      </w:r>
      <w:r>
        <w:rPr>
          <w:rFonts w:ascii="Times New Roman" w:cs="Times New Roman" w:eastAsia="Times New Roman" w:hAnsi="Times New Roman"/>
          <w:sz w:val="22"/>
          <w:szCs w:val="22"/>
          <w:color w:val="auto"/>
        </w:rPr>
        <w:t>. Except as disclosed by the Company in the Continuous Disclosure Materials, the Company and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48" w:lineRule="exact"/>
        <w:rPr>
          <w:rFonts w:ascii="Times New Roman" w:cs="Times New Roman" w:eastAsia="Times New Roman" w:hAnsi="Times New Roman"/>
          <w:sz w:val="22"/>
          <w:szCs w:val="22"/>
          <w:color w:val="auto"/>
        </w:rPr>
      </w:pPr>
    </w:p>
    <w:p>
      <w:pPr>
        <w:jc w:val="both"/>
        <w:ind w:left="-656" w:firstLine="656"/>
        <w:spacing w:after="0" w:line="216" w:lineRule="auto"/>
        <w:tabs>
          <w:tab w:leader="none" w:pos="62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Manipulation of Price</w:t>
      </w:r>
      <w:r>
        <w:rPr>
          <w:rFonts w:ascii="Times New Roman" w:cs="Times New Roman" w:eastAsia="Times New Roman" w:hAnsi="Times New Roman"/>
          <w:sz w:val="22"/>
          <w:szCs w:val="22"/>
          <w:color w:val="auto"/>
        </w:rPr>
        <w:t>. Neither the Company nor any of its Subsidiaries has, and, to the knowledge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or any of its Subsidiaries.</w:t>
      </w:r>
    </w:p>
    <w:p>
      <w:pPr>
        <w:spacing w:after="0" w:line="145"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Shell Company Status</w:t>
      </w:r>
      <w:r>
        <w:rPr>
          <w:rFonts w:ascii="Times New Roman" w:cs="Times New Roman" w:eastAsia="Times New Roman" w:hAnsi="Times New Roman"/>
          <w:sz w:val="22"/>
          <w:szCs w:val="22"/>
          <w:color w:val="auto"/>
        </w:rPr>
        <w:t>. The Company is not, and has never been, an issuer described in Rule 144(i)(1)(i).</w:t>
      </w:r>
    </w:p>
    <w:p>
      <w:pPr>
        <w:spacing w:after="0" w:line="179" w:lineRule="exact"/>
        <w:rPr>
          <w:rFonts w:ascii="Times New Roman" w:cs="Times New Roman" w:eastAsia="Times New Roman" w:hAnsi="Times New Roman"/>
          <w:sz w:val="22"/>
          <w:szCs w:val="22"/>
          <w:color w:val="auto"/>
        </w:rPr>
      </w:pPr>
    </w:p>
    <w:p>
      <w:pPr>
        <w:jc w:val="both"/>
        <w:ind w:left="-656" w:firstLine="656"/>
        <w:spacing w:after="0" w:line="214" w:lineRule="auto"/>
        <w:tabs>
          <w:tab w:leader="none" w:pos="63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Money Laundering</w:t>
      </w:r>
      <w:r>
        <w:rPr>
          <w:rFonts w:ascii="Times New Roman" w:cs="Times New Roman" w:eastAsia="Times New Roman" w:hAnsi="Times New Roman"/>
          <w:sz w:val="22"/>
          <w:szCs w:val="22"/>
          <w:color w:val="auto"/>
        </w:rPr>
        <w:t>. The Company and its Subsidiaries are in compliance with, and have not previously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committed any violation of, the USA Patriot Act of 2001 and all other applicable U.S. and nonU­.S. antimoney­ laundering laws and regulations, including, but not limited to, the laws, regulations and Executive Orders and sanctions programs (</w:t>
      </w:r>
      <w:r>
        <w:rPr>
          <w:rFonts w:ascii="Times New Roman" w:cs="Times New Roman" w:eastAsia="Times New Roman" w:hAnsi="Times New Roman"/>
          <w:sz w:val="22"/>
          <w:szCs w:val="22"/>
          <w:b w:val="1"/>
          <w:bCs w:val="1"/>
          <w:color w:val="auto"/>
        </w:rPr>
        <w:t>“Sanctions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Programs”</w:t>
      </w:r>
      <w:r>
        <w:rPr>
          <w:rFonts w:ascii="Times New Roman" w:cs="Times New Roman" w:eastAsia="Times New Roman" w:hAnsi="Times New Roman"/>
          <w:sz w:val="22"/>
          <w:szCs w:val="22"/>
          <w:color w:val="auto"/>
        </w:rPr>
        <w:t>) administered by the U.S. Office of Foreign Assets Control (</w:t>
      </w:r>
      <w:r>
        <w:rPr>
          <w:rFonts w:ascii="Times New Roman" w:cs="Times New Roman" w:eastAsia="Times New Roman" w:hAnsi="Times New Roman"/>
          <w:sz w:val="22"/>
          <w:szCs w:val="22"/>
          <w:b w:val="1"/>
          <w:bCs w:val="1"/>
          <w:color w:val="auto"/>
        </w:rPr>
        <w:t>“OFAC”</w:t>
      </w:r>
      <w:r>
        <w:rPr>
          <w:rFonts w:ascii="Times New Roman" w:cs="Times New Roman" w:eastAsia="Times New Roman" w:hAnsi="Times New Roman"/>
          <w:sz w:val="22"/>
          <w:szCs w:val="22"/>
          <w:color w:val="auto"/>
        </w:rPr>
        <w:t>), including, without limitation, (i)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Order 13224 of September 23, 2001 entitled, “Blocking Property and Prohibiting Transactions With Persons Who Commit, Threaten to Commit, or Support Terrorism” (66 Fed. Reg. 49079 (2001)); and any regulations contained in 31 CFR, Subtitle B, Chapter V.</w:t>
      </w:r>
    </w:p>
    <w:p>
      <w:pPr>
        <w:spacing w:after="0" w:line="148" w:lineRule="exact"/>
        <w:rPr>
          <w:rFonts w:ascii="Times New Roman" w:cs="Times New Roman" w:eastAsia="Times New Roman" w:hAnsi="Times New Roman"/>
          <w:sz w:val="22"/>
          <w:szCs w:val="22"/>
          <w:color w:val="auto"/>
        </w:rPr>
      </w:pPr>
    </w:p>
    <w:p>
      <w:pPr>
        <w:jc w:val="both"/>
        <w:ind w:left="-656" w:firstLine="656"/>
        <w:spacing w:after="0" w:line="218" w:lineRule="auto"/>
        <w:tabs>
          <w:tab w:leader="none" w:pos="62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Disclosure</w:t>
      </w:r>
      <w:r>
        <w:rPr>
          <w:rFonts w:ascii="Times New Roman" w:cs="Times New Roman" w:eastAsia="Times New Roman" w:hAnsi="Times New Roman"/>
          <w:sz w:val="22"/>
          <w:szCs w:val="22"/>
          <w:color w:val="auto"/>
        </w:rPr>
        <w:t>. The Company confirms that neither it nor any other Person acting on its behalf has provided the Buyer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their agents or counsel with any information that constitutes or could reasonably be expected to constitute material, nonpublic­ information concerning the Company or any of its Subsidiaries, other than the existence of the transactions contemplated by this Agreement and the other Transaction Documents. The Company understands and confirms the Buyer will rely on the foregoing representations in effecting transactions in securities of the</w:t>
      </w:r>
    </w:p>
    <w:p>
      <w:pPr>
        <w:sectPr>
          <w:pgSz w:w="11900" w:h="16838" w:orient="portrait"/>
          <w:cols w:equalWidth="0" w:num="1">
            <w:col w:w="10584"/>
          </w:cols>
          <w:pgMar w:left="976" w:top="1391" w:right="339" w:bottom="1440" w:gutter="0" w:footer="0" w:header="0"/>
        </w:sectPr>
      </w:pPr>
    </w:p>
    <w:bookmarkStart w:id="92" w:name="page93"/>
    <w:bookmarkEnd w:id="92"/>
    <w:p>
      <w:pPr>
        <w:jc w:val="both"/>
        <w:spacing w:after="0" w:line="209" w:lineRule="auto"/>
        <w:rPr>
          <w:sz w:val="20"/>
          <w:szCs w:val="20"/>
          <w:color w:val="auto"/>
        </w:rPr>
      </w:pPr>
      <w:r>
        <w:rPr>
          <w:rFonts w:ascii="Times New Roman" w:cs="Times New Roman" w:eastAsia="Times New Roman" w:hAnsi="Times New Roman"/>
          <w:sz w:val="22"/>
          <w:szCs w:val="22"/>
          <w:color w:val="auto"/>
        </w:rPr>
        <w:t>Company. None of the disclosures provided to the Buyer regarding the Company and its Subsidiaries, their businesses and the transactions contemplated hereby, including the schedules to this Agreement (if any), furnished by or on behalf of the Company or any of its Subsidiaries, taken as a whole, contain any untrue statement of a material fact or omit to state any material fact necessary in order to make the statements made therein, in the light of the circumstances under which they were made, not misleading. None of the written information furnished after the date hereof by or on behalf of the Company or any of its Subsidiaries to the Buyer pursuant to or in connection with this Agreement and the other Transaction Documents, taken as a whole, will contain any untrue statement of a material fact or omit to state any material fact necessary in order to make the statements made therein, in the light of the circumstances under which they were made, not misleading. All financial projections and forecasts that have been prepared by or on behalf of the Company or any of its Subsidiaries and made available to the Buyer, if any, have been prepared in good faith based upon reasonable assumptions and represented, at the time each such financial projection or forecast was delivered to the Buyer, the Company’s best estimate of future financial performance (it being recognized that such financial projections or forecasts are not to be viewed as facts and that the actual results during the period or periods covered by any such financial projections or forecasts may differ from the projected or forecasted results).</w:t>
      </w:r>
    </w:p>
    <w:p>
      <w:pPr>
        <w:spacing w:after="0" w:line="156" w:lineRule="exact"/>
        <w:rPr>
          <w:sz w:val="20"/>
          <w:szCs w:val="20"/>
          <w:color w:val="auto"/>
        </w:rPr>
      </w:pPr>
    </w:p>
    <w:p>
      <w:pPr>
        <w:jc w:val="both"/>
        <w:ind w:firstLine="656"/>
        <w:spacing w:after="0" w:line="227" w:lineRule="auto"/>
        <w:tabs>
          <w:tab w:leader="none" w:pos="129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General Solicitation</w:t>
      </w:r>
      <w:r>
        <w:rPr>
          <w:rFonts w:ascii="Times New Roman" w:cs="Times New Roman" w:eastAsia="Times New Roman" w:hAnsi="Times New Roman"/>
          <w:sz w:val="22"/>
          <w:szCs w:val="22"/>
          <w:color w:val="auto"/>
        </w:rPr>
        <w:t>. Neither the Company, nor any of its affiliates, nor any Person acting on its or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behalf, has engaged in any form of general solicitation or general advertising (within the meaning of Regulation D under the Securities Act) in connection with the offer or sale of the Securities.</w:t>
      </w:r>
    </w:p>
    <w:p>
      <w:pPr>
        <w:spacing w:after="0" w:line="146"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Private Placement</w:t>
      </w:r>
      <w:r>
        <w:rPr>
          <w:rFonts w:ascii="Times New Roman" w:cs="Times New Roman" w:eastAsia="Times New Roman" w:hAnsi="Times New Roman"/>
          <w:sz w:val="22"/>
          <w:szCs w:val="22"/>
          <w:color w:val="auto"/>
        </w:rPr>
        <w:t>. Assuming the accuracy of the Buyer’s representations and warranties set forth in Section 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registration under the Securities Act is required for the offer and sale of the Securities by the Company to the Buyer as contemplated hereby. The issuance and sale of the Securities hereunder does not contravene the rules and regulations of the Primary Market. The Company shall timely file a Form 72-503F under OSC Rule 72-503 in respect of the distribution of the Securities to the Buyer.</w:t>
      </w:r>
    </w:p>
    <w:p>
      <w:pPr>
        <w:spacing w:after="0" w:line="147"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3"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Indebtedness and Other Contracts</w:t>
      </w:r>
      <w:r>
        <w:rPr>
          <w:rFonts w:ascii="Times New Roman" w:cs="Times New Roman" w:eastAsia="Times New Roman" w:hAnsi="Times New Roman"/>
          <w:sz w:val="21"/>
          <w:szCs w:val="21"/>
          <w:color w:val="auto"/>
        </w:rPr>
        <w:t>. Neither the Company nor any of its Subsidiaries, (i) has any outstanding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debt securities, notes, credit agreements, credit facilities or other agreements, documents or instruments evidencing Indebtedness of the Company or any of its Subsidiaries or by which the Company or any of its Subsidiaries is or may become bound, (ii) is a party to any contract, agreement or instrument, the violation of which, or default under which, by the other party(ies) to such contract, agreement or instrument could reasonably be expected to result in a Material Adverse Effect, (iii) has any financing statements securing obligations in any amounts filed in connection with the Company or any of its Subsidiaries; (iv) is in violation of any term of, or in default under, any contract, agreement or instrument relating to any Indebtedness, except where such violations and defaults would not result, individually or in the aggregate, in a Material Adverse Effect, (v) other than the equity distribution agreement entered into with Cantor Fitzgerald Canada Corporation and Cantor Fitzgerald &amp; Co, is a party to any Variable Rate Transaction (as defined below), or (vi) is a party to any contract, agreement or instrument relating to any Indebtedness, the performance of which, in the judgment of the Company’s officers, has or is expected to have a Material Adverse Effect.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could not have a Material Adverse Effect. For purposes of this Agreement: (x) </w:t>
      </w:r>
      <w:r>
        <w:rPr>
          <w:rFonts w:ascii="Times New Roman" w:cs="Times New Roman" w:eastAsia="Times New Roman" w:hAnsi="Times New Roman"/>
          <w:sz w:val="21"/>
          <w:szCs w:val="21"/>
          <w:b w:val="1"/>
          <w:bCs w:val="1"/>
          <w:color w:val="auto"/>
        </w:rPr>
        <w:t>“Indebtedness”</w:t>
      </w:r>
      <w:r>
        <w:rPr>
          <w:rFonts w:ascii="Times New Roman" w:cs="Times New Roman" w:eastAsia="Times New Roman" w:hAnsi="Times New Roman"/>
          <w:sz w:val="21"/>
          <w:szCs w:val="21"/>
          <w:color w:val="auto"/>
        </w:rPr>
        <w:t xml:space="preserve"> of any Person means, without duplication (A) all indebtedness for borrowed money, (B) all obligations issued, undertaken or assumed as the deferred purchase price of property or services (including, without limitation, </w:t>
      </w:r>
      <w:r>
        <w:rPr>
          <w:rFonts w:ascii="Times New Roman" w:cs="Times New Roman" w:eastAsia="Times New Roman" w:hAnsi="Times New Roman"/>
          <w:sz w:val="21"/>
          <w:szCs w:val="21"/>
          <w:b w:val="1"/>
          <w:bCs w:val="1"/>
          <w:color w:val="auto"/>
        </w:rPr>
        <w:t>“capital leases”</w:t>
      </w:r>
      <w:r>
        <w:rPr>
          <w:rFonts w:ascii="Times New Roman" w:cs="Times New Roman" w:eastAsia="Times New Roman" w:hAnsi="Times New Roman"/>
          <w:sz w:val="21"/>
          <w:szCs w:val="21"/>
          <w:color w:val="auto"/>
        </w:rPr>
        <w:t xml:space="preserve"> in accordance with IFRS), (C) all reimbursement or payment obligations with respect to letters of credit, surety bonds and other similar instruments, (D) all obligations evidenced by notes, bonds,</w:t>
      </w:r>
    </w:p>
    <w:p>
      <w:pPr>
        <w:sectPr>
          <w:pgSz w:w="11900" w:h="16838" w:orient="portrait"/>
          <w:cols w:equalWidth="0" w:num="1">
            <w:col w:w="11240"/>
          </w:cols>
          <w:pgMar w:left="320" w:top="1395" w:right="339" w:bottom="1440" w:gutter="0" w:footer="0" w:header="0"/>
        </w:sectPr>
      </w:pPr>
    </w:p>
    <w:bookmarkStart w:id="93" w:name="page94"/>
    <w:bookmarkEnd w:id="93"/>
    <w:p>
      <w:pPr>
        <w:jc w:val="both"/>
        <w:spacing w:after="0" w:line="208" w:lineRule="auto"/>
        <w:rPr>
          <w:sz w:val="20"/>
          <w:szCs w:val="20"/>
          <w:color w:val="auto"/>
        </w:rPr>
      </w:pPr>
      <w:r>
        <w:rPr>
          <w:rFonts w:ascii="Times New Roman" w:cs="Times New Roman" w:eastAsia="Times New Roman" w:hAnsi="Times New Roman"/>
          <w:sz w:val="22"/>
          <w:szCs w:val="22"/>
          <w:color w:val="auto"/>
        </w:rPr>
        <w:t xml:space="preserve">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IFRS,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and (y) </w:t>
      </w:r>
      <w:r>
        <w:rPr>
          <w:rFonts w:ascii="Times New Roman" w:cs="Times New Roman" w:eastAsia="Times New Roman" w:hAnsi="Times New Roman"/>
          <w:sz w:val="22"/>
          <w:szCs w:val="22"/>
          <w:b w:val="1"/>
          <w:bCs w:val="1"/>
          <w:color w:val="auto"/>
        </w:rPr>
        <w:t>“Contingent Obligation”</w:t>
      </w:r>
      <w:r>
        <w:rPr>
          <w:rFonts w:ascii="Times New Roman" w:cs="Times New Roman" w:eastAsia="Times New Roman" w:hAnsi="Times New Roman"/>
          <w:sz w:val="22"/>
          <w:szCs w:val="22"/>
          <w:color w:val="auto"/>
        </w:rPr>
        <w:t xml:space="preserve">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For greater certainty, “Indebtedness” shall not include trade payables entered into in the ordinary course of business consistent with past or industry practice.</w:t>
      </w:r>
    </w:p>
    <w:p>
      <w:pPr>
        <w:spacing w:after="0" w:line="157" w:lineRule="exact"/>
        <w:rPr>
          <w:sz w:val="20"/>
          <w:szCs w:val="20"/>
          <w:color w:val="auto"/>
        </w:rPr>
      </w:pPr>
    </w:p>
    <w:p>
      <w:pPr>
        <w:jc w:val="both"/>
        <w:ind w:firstLine="656"/>
        <w:spacing w:after="0" w:line="212" w:lineRule="auto"/>
        <w:tabs>
          <w:tab w:leader="none" w:pos="129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Disqualification Events. </w:t>
      </w:r>
      <w:r>
        <w:rPr>
          <w:rFonts w:ascii="Times New Roman" w:cs="Times New Roman" w:eastAsia="Times New Roman" w:hAnsi="Times New Roman"/>
          <w:sz w:val="22"/>
          <w:szCs w:val="22"/>
          <w:color w:val="auto"/>
        </w:rPr>
        <w:t>With respect to Securities to be offered and sold hereunder in reliance on Rule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506(b) under the Securities Act (“</w:t>
      </w:r>
      <w:r>
        <w:rPr>
          <w:rFonts w:ascii="Times New Roman" w:cs="Times New Roman" w:eastAsia="Times New Roman" w:hAnsi="Times New Roman"/>
          <w:sz w:val="22"/>
          <w:szCs w:val="22"/>
          <w:b w:val="1"/>
          <w:bCs w:val="1"/>
          <w:color w:val="auto"/>
        </w:rPr>
        <w:t>Regulation D Securities</w:t>
      </w:r>
      <w:r>
        <w:rPr>
          <w:rFonts w:ascii="Times New Roman" w:cs="Times New Roman" w:eastAsia="Times New Roman" w:hAnsi="Times New Roman"/>
          <w:sz w:val="22"/>
          <w:szCs w:val="22"/>
          <w:color w:val="auto"/>
        </w:rPr>
        <w:t>”),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22"/>
          <w:szCs w:val="22"/>
          <w:b w:val="1"/>
          <w:bCs w:val="1"/>
          <w:color w:val="auto"/>
        </w:rPr>
        <w:t>Issuer Covered Person</w:t>
      </w:r>
      <w:r>
        <w:rPr>
          <w:rFonts w:ascii="Times New Roman" w:cs="Times New Roman" w:eastAsia="Times New Roman" w:hAnsi="Times New Roman"/>
          <w:sz w:val="22"/>
          <w:szCs w:val="22"/>
          <w:color w:val="auto"/>
        </w:rPr>
        <w:t>” and, together, “</w:t>
      </w:r>
      <w:r>
        <w:rPr>
          <w:rFonts w:ascii="Times New Roman" w:cs="Times New Roman" w:eastAsia="Times New Roman" w:hAnsi="Times New Roman"/>
          <w:sz w:val="22"/>
          <w:szCs w:val="22"/>
          <w:b w:val="1"/>
          <w:bCs w:val="1"/>
          <w:color w:val="auto"/>
        </w:rPr>
        <w:t>Issuer Covered Persons</w:t>
      </w:r>
      <w:r>
        <w:rPr>
          <w:rFonts w:ascii="Times New Roman" w:cs="Times New Roman" w:eastAsia="Times New Roman" w:hAnsi="Times New Roman"/>
          <w:sz w:val="22"/>
          <w:szCs w:val="22"/>
          <w:color w:val="auto"/>
        </w:rPr>
        <w:t>”) is subject to any of the “Bad Actor” disqualifications described in Rule 506(d)(1)(i) to (viii) under the Securities Act (a “</w:t>
      </w:r>
      <w:r>
        <w:rPr>
          <w:rFonts w:ascii="Times New Roman" w:cs="Times New Roman" w:eastAsia="Times New Roman" w:hAnsi="Times New Roman"/>
          <w:sz w:val="22"/>
          <w:szCs w:val="22"/>
          <w:b w:val="1"/>
          <w:bCs w:val="1"/>
          <w:color w:val="auto"/>
        </w:rPr>
        <w:t>Disqualification Event</w:t>
      </w:r>
      <w:r>
        <w:rPr>
          <w:rFonts w:ascii="Times New Roman" w:cs="Times New Roman" w:eastAsia="Times New Roman" w:hAnsi="Times New Roman"/>
          <w:sz w:val="22"/>
          <w:szCs w:val="22"/>
          <w:color w:val="auto"/>
        </w:rPr>
        <w:t>”), except for a Disqualification Event covered by Rule 506(d)(2) or (d)(3). The Company has exercised reasonable care to determine whether any Issuer Covered Person is subject to a Disqualification Event.</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COVENANTS.</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16" w:lineRule="auto"/>
        <w:tabs>
          <w:tab w:leader="none" w:pos="1293"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Reporting Status</w:t>
      </w:r>
      <w:r>
        <w:rPr>
          <w:rFonts w:ascii="Times New Roman" w:cs="Times New Roman" w:eastAsia="Times New Roman" w:hAnsi="Times New Roman"/>
          <w:sz w:val="22"/>
          <w:szCs w:val="22"/>
          <w:color w:val="auto"/>
        </w:rPr>
        <w:t>. For the period beginning on the date hereof, and ending 12 months after the date on which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Convertible Note issued hereunder is no longer outstanding (the </w:t>
      </w:r>
      <w:r>
        <w:rPr>
          <w:rFonts w:ascii="Times New Roman" w:cs="Times New Roman" w:eastAsia="Times New Roman" w:hAnsi="Times New Roman"/>
          <w:sz w:val="22"/>
          <w:szCs w:val="22"/>
          <w:b w:val="1"/>
          <w:bCs w:val="1"/>
          <w:color w:val="auto"/>
        </w:rPr>
        <w:t>“Reporting Period”</w:t>
      </w:r>
      <w:r>
        <w:rPr>
          <w:rFonts w:ascii="Times New Roman" w:cs="Times New Roman" w:eastAsia="Times New Roman" w:hAnsi="Times New Roman"/>
          <w:sz w:val="22"/>
          <w:szCs w:val="22"/>
          <w:color w:val="auto"/>
        </w:rPr>
        <w:t>), the Company shall use commercially reasonable efforts to file on a timely basis all reports required to be filed with the SEC pursuant to the Exchange Act, all documents required to be filed under Canadian Securities Laws, and the Company shall not terminate its status as an issuer required to file reports under the Exchange Act even if the Exchange Act or the rules and regulations thereunder would no longer require or otherwise permit such termination.</w:t>
      </w:r>
    </w:p>
    <w:p>
      <w:pPr>
        <w:spacing w:after="0" w:line="145" w:lineRule="exact"/>
        <w:rPr>
          <w:rFonts w:ascii="Times New Roman" w:cs="Times New Roman" w:eastAsia="Times New Roman" w:hAnsi="Times New Roman"/>
          <w:sz w:val="22"/>
          <w:szCs w:val="22"/>
          <w:color w:val="auto"/>
        </w:rPr>
      </w:pPr>
    </w:p>
    <w:p>
      <w:pPr>
        <w:jc w:val="both"/>
        <w:ind w:firstLine="656"/>
        <w:spacing w:after="0" w:line="216" w:lineRule="auto"/>
        <w:tabs>
          <w:tab w:leader="none" w:pos="1291"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Use of Proceeds</w:t>
      </w:r>
      <w:r>
        <w:rPr>
          <w:rFonts w:ascii="Times New Roman" w:cs="Times New Roman" w:eastAsia="Times New Roman" w:hAnsi="Times New Roman"/>
          <w:sz w:val="22"/>
          <w:szCs w:val="22"/>
          <w:color w:val="auto"/>
        </w:rPr>
        <w:t>. The use of proceeds will be for general working capital purposes. Neither the Company nor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Subsidiary will, directly or indirectly, use the proceeds of the transactions contemplated herein to repay any loans to any executives or employees of the Company, to make any payments in respect of any related party debt, or to purchase any crypto currencies. Neither the Company nor any Subsidiary will, directly or indirectly, use the proceeds of the transactions contemplated herein, or lend, contribute, facilitate or otherwise make available such proceeds to any Person (i) to fund, either directly or indirectly, any activities or</w:t>
      </w:r>
    </w:p>
    <w:p>
      <w:pPr>
        <w:sectPr>
          <w:pgSz w:w="11900" w:h="16838" w:orient="portrait"/>
          <w:cols w:equalWidth="0" w:num="1">
            <w:col w:w="11240"/>
          </w:cols>
          <w:pgMar w:left="320" w:top="1395" w:right="339" w:bottom="1440" w:gutter="0" w:footer="0" w:header="0"/>
        </w:sectPr>
      </w:pPr>
    </w:p>
    <w:bookmarkStart w:id="94" w:name="page95"/>
    <w:bookmarkEnd w:id="94"/>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business of or with any Person that is identified on the list of Specially Designated Nationals and Blocker Persons maintained by OFAC, or in any country or territory, that, at the time of such funding, is, or whose government is, the subject of Sanctions Programs, or (ii) in any other manner that will result in a violation of Sanctions Programs. The Company shall not, without the prior written consent of the Buyer, loan, invest, transfer or </w:t>
      </w:r>
      <w:r>
        <w:rPr>
          <w:rFonts w:ascii="Times New Roman" w:cs="Times New Roman" w:eastAsia="Times New Roman" w:hAnsi="Times New Roman"/>
          <w:sz w:val="22"/>
          <w:szCs w:val="22"/>
          <w:b w:val="1"/>
          <w:bCs w:val="1"/>
          <w:color w:val="auto"/>
        </w:rPr>
        <w:t>“downstream”</w:t>
      </w:r>
      <w:r>
        <w:rPr>
          <w:rFonts w:ascii="Times New Roman" w:cs="Times New Roman" w:eastAsia="Times New Roman" w:hAnsi="Times New Roman"/>
          <w:sz w:val="22"/>
          <w:szCs w:val="22"/>
          <w:color w:val="auto"/>
        </w:rPr>
        <w:t xml:space="preserve"> any cash proceeds, or assets or property acquired with cash proceeds from the issuance and sale of the Convertible Note to any Subsidiary, except for Cybin IRL or unless such Subsidiary has enter into a guarantee in a form acceptable to the Buyer.</w:t>
      </w:r>
    </w:p>
    <w:p>
      <w:pPr>
        <w:spacing w:after="0" w:line="148" w:lineRule="exact"/>
        <w:rPr>
          <w:sz w:val="20"/>
          <w:szCs w:val="20"/>
          <w:color w:val="auto"/>
        </w:rPr>
      </w:pPr>
    </w:p>
    <w:p>
      <w:pPr>
        <w:jc w:val="both"/>
        <w:ind w:firstLine="656"/>
        <w:spacing w:after="0" w:line="210" w:lineRule="auto"/>
        <w:tabs>
          <w:tab w:leader="none" w:pos="129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Listing</w:t>
      </w:r>
      <w:r>
        <w:rPr>
          <w:rFonts w:ascii="Times New Roman" w:cs="Times New Roman" w:eastAsia="Times New Roman" w:hAnsi="Times New Roman"/>
          <w:sz w:val="22"/>
          <w:szCs w:val="22"/>
          <w:color w:val="auto"/>
        </w:rPr>
        <w:t>. The Company shall promptly secure the listing or designation for quotation (as the case may be) of all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Underlying Securities (as defined below) upon the Principal U.S. Market, subject to official notice of issuance, and shall use reasonable efforts to maintain such listing of all Underlying Securities from time to time issuable under the terms of the Transaction Documents on such Principal U.S. Market for the Reporting Period. Neither the Company nor any of its Subsidiaries shall take any action which could be reasonably expected to result in the delisting or suspension of the Common Shares on a Principal U.S. Market or Cboe during the Reporting Period, other than in connection with the listing of the Underlying Securities on another securities exchange in the United States registered as a national securities exchange under Section 6 of the Exchange Act. The Company shall pay all fees and expenses in connection with satisfying its obligations under this Section 4(c). </w:t>
      </w:r>
      <w:r>
        <w:rPr>
          <w:rFonts w:ascii="Times New Roman" w:cs="Times New Roman" w:eastAsia="Times New Roman" w:hAnsi="Times New Roman"/>
          <w:sz w:val="22"/>
          <w:szCs w:val="22"/>
          <w:b w:val="1"/>
          <w:bCs w:val="1"/>
          <w:color w:val="auto"/>
        </w:rPr>
        <w:t xml:space="preserve">“Underlying Securities” </w:t>
      </w:r>
      <w:r>
        <w:rPr>
          <w:rFonts w:ascii="Times New Roman" w:cs="Times New Roman" w:eastAsia="Times New Roman" w:hAnsi="Times New Roman"/>
          <w:sz w:val="22"/>
          <w:szCs w:val="22"/>
          <w:color w:val="auto"/>
        </w:rPr>
        <w:t>means the (i) the Conversion Shares and (ii) any Common Shares issued or issuable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Conversion Shares, including, without limitation, (1) as a result of any stock split, stock dividend, recapitalization, exchange or similar event or otherwise and (2) shares of the Company into which the Common Shares are converted or exchanged without regard to any limitations on conversion of the Convertible Note.</w:t>
      </w:r>
    </w:p>
    <w:p>
      <w:pPr>
        <w:spacing w:after="0" w:line="151"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Pledge of Securities</w:t>
      </w:r>
      <w:r>
        <w:rPr>
          <w:rFonts w:ascii="Times New Roman" w:cs="Times New Roman" w:eastAsia="Times New Roman" w:hAnsi="Times New Roman"/>
          <w:sz w:val="22"/>
          <w:szCs w:val="22"/>
          <w:color w:val="auto"/>
        </w:rPr>
        <w:t>. Notwithstanding anything to the contrary contained in this Agreement,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acknowledges and agrees that, subject to compliance with U.S. Securities Laws, the Securities may be pledged by the Buyer in connection with a bona fide margin agreement or other loan or financing arrangement that is secured by the Securities. The Company hereby agrees to execute and deliver such documentation as a pledgee of the Securities may reasonably request in connection with a pledge of the Securities to such pledgee by a Buyer.</w:t>
      </w:r>
    </w:p>
    <w:p>
      <w:pPr>
        <w:spacing w:after="0" w:line="147"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Disclosure of Transactions and Other Material Information</w:t>
      </w:r>
      <w:r>
        <w:rPr>
          <w:rFonts w:ascii="Times New Roman" w:cs="Times New Roman" w:eastAsia="Times New Roman" w:hAnsi="Times New Roman"/>
          <w:sz w:val="22"/>
          <w:szCs w:val="22"/>
          <w:color w:val="auto"/>
        </w:rPr>
        <w:t>. The Company shall file with the SEC a Current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Report on Form 6-K disclosing the execution of this Agreement by the Company and the Buyer (including any required exhibits thereto, the </w:t>
      </w:r>
      <w:r>
        <w:rPr>
          <w:rFonts w:ascii="Times New Roman" w:cs="Times New Roman" w:eastAsia="Times New Roman" w:hAnsi="Times New Roman"/>
          <w:sz w:val="22"/>
          <w:szCs w:val="22"/>
          <w:b w:val="1"/>
          <w:bCs w:val="1"/>
          <w:color w:val="auto"/>
        </w:rPr>
        <w:t>“Current Report</w:t>
      </w:r>
      <w:r>
        <w:rPr>
          <w:rFonts w:ascii="Times New Roman" w:cs="Times New Roman" w:eastAsia="Times New Roman" w:hAnsi="Times New Roman"/>
          <w:sz w:val="22"/>
          <w:szCs w:val="22"/>
          <w:color w:val="auto"/>
        </w:rPr>
        <w:t>”) promptly following execution of the Agreement, but in any event no later than 9:00 a.m. New York Time on the Trading Day following the date on which this Agreement is executed. The Company shall provide the Buyer and its legal counsel a reasonable opportunity to comment on a draft of the Current Report prior to filing the Current Report with the SEC and shall give due consideration to all such comments. From and after the filing of the Current Report with the SEC , the Company shall have publicly disclosed all material, non-public information delivered to the Buyer (or the Buyer’s representatives or agents) by the Company or any of its Subsidiaries, or any of their respective officers, directors, employees, agents or representatives (if any) in respect of the Company. The Company shall not, and the Company shall undertake reasonable efforts to cause each of its Subsidiaries and each of its and their respective officers, directors, employees and agents not to, provide the Buyer with any material, non-public information regarding the Company or any of its Subsidiaries without the express prior written consent of the Buyer (which may be granted or withheld in the Buyer’s sole discretion). Notwithstanding anything contained in this Agreement to the contrary, the Company expressly agrees that it shall publicly disclose in the Current Report any information communicated to the Buyer by or, to the knowledge of the Company, on behalf of the Company in connection with the transactions contemplated herein, which, following the date hereof would, if not so disclosed, constitute material, non-public information regarding the Company or its Subsidiaries. The Company</w:t>
      </w:r>
    </w:p>
    <w:p>
      <w:pPr>
        <w:sectPr>
          <w:pgSz w:w="11900" w:h="16838" w:orient="portrait"/>
          <w:cols w:equalWidth="0" w:num="1">
            <w:col w:w="11240"/>
          </w:cols>
          <w:pgMar w:left="320" w:top="1395" w:right="339" w:bottom="1440" w:gutter="0" w:footer="0" w:header="0"/>
        </w:sectPr>
      </w:pPr>
    </w:p>
    <w:bookmarkStart w:id="95" w:name="page96"/>
    <w:bookmarkEnd w:id="95"/>
    <w:p>
      <w:pPr>
        <w:jc w:val="both"/>
        <w:spacing w:after="0" w:line="215" w:lineRule="auto"/>
        <w:rPr>
          <w:sz w:val="20"/>
          <w:szCs w:val="20"/>
          <w:color w:val="auto"/>
        </w:rPr>
      </w:pPr>
      <w:r>
        <w:rPr>
          <w:rFonts w:ascii="Times New Roman" w:cs="Times New Roman" w:eastAsia="Times New Roman" w:hAnsi="Times New Roman"/>
          <w:sz w:val="22"/>
          <w:szCs w:val="22"/>
          <w:color w:val="auto"/>
        </w:rPr>
        <w:t>understands and confirms that the Buyer will rely on the foregoing representations in effecting resales of Conversion Shares. In addition, effective upon the filing of the Current Report, the Company acknowledges and agrees that any and all confidentiality or similar obligations with respect to the transactions contemplated by the Transaction Documents under any agreement, whether written or oral, between the Company, any of its Subsidiaries or any of their respective officers, directors, affiliates, employees or agents, on the one hand, and Buyer or any of their affiliates, on the other hand, including without limitation the NDA, shall terminate.</w:t>
      </w:r>
    </w:p>
    <w:p>
      <w:pPr>
        <w:spacing w:after="0" w:line="148" w:lineRule="exact"/>
        <w:rPr>
          <w:sz w:val="20"/>
          <w:szCs w:val="20"/>
          <w:color w:val="auto"/>
        </w:rPr>
      </w:pPr>
    </w:p>
    <w:p>
      <w:pPr>
        <w:jc w:val="both"/>
        <w:ind w:firstLine="656"/>
        <w:spacing w:after="0" w:line="221" w:lineRule="auto"/>
        <w:tabs>
          <w:tab w:leader="none" w:pos="129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Conduct of Business</w:t>
      </w:r>
      <w:r>
        <w:rPr>
          <w:rFonts w:ascii="Times New Roman" w:cs="Times New Roman" w:eastAsia="Times New Roman" w:hAnsi="Times New Roman"/>
          <w:sz w:val="22"/>
          <w:szCs w:val="22"/>
          <w:color w:val="auto"/>
        </w:rPr>
        <w:t>. From the date hereof until all the Convertible Note issued or issuable hereunder have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repaid or converted into Common Shares, the business of the Company and its Subsidiaries shall not be conducted in violation of any law, ordinance or regulation of any Governmental Entity, except where such violations would not reasonably be expected to result, either individually or in the aggregate, in a Material Adverse Effect.</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Post-Closing Obligations.</w:t>
      </w:r>
    </w:p>
    <w:p>
      <w:pPr>
        <w:spacing w:after="0" w:line="179" w:lineRule="exact"/>
        <w:rPr>
          <w:rFonts w:ascii="Times New Roman" w:cs="Times New Roman" w:eastAsia="Times New Roman" w:hAnsi="Times New Roman"/>
          <w:sz w:val="22"/>
          <w:szCs w:val="22"/>
          <w:color w:val="auto"/>
        </w:rPr>
      </w:pPr>
    </w:p>
    <w:p>
      <w:pPr>
        <w:jc w:val="both"/>
        <w:ind w:left="1960" w:hanging="656"/>
        <w:spacing w:after="0" w:line="221" w:lineRule="auto"/>
        <w:tabs>
          <w:tab w:leader="none" w:pos="1948"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Irrevocable Transfer Agent Instructions. </w:t>
      </w:r>
      <w:r>
        <w:rPr>
          <w:rFonts w:ascii="Times New Roman" w:cs="Times New Roman" w:eastAsia="Times New Roman" w:hAnsi="Times New Roman"/>
          <w:sz w:val="22"/>
          <w:szCs w:val="22"/>
          <w:color w:val="auto"/>
        </w:rPr>
        <w:t>As soon as possible, but in any event no later than the 10th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calendar day following the Closing Date, the Company shall delivered to the Buyer a copy of the Irrevocable Transfer Agent Instructions, dated as of such date, in the form acceptable to such Buyer, which instructions shall have been delivered to and acknowledged in writing by the Transfer Agent.</w:t>
      </w:r>
    </w:p>
    <w:p>
      <w:pPr>
        <w:spacing w:after="0" w:line="148" w:lineRule="exact"/>
        <w:rPr>
          <w:rFonts w:ascii="Times New Roman" w:cs="Times New Roman" w:eastAsia="Times New Roman" w:hAnsi="Times New Roman"/>
          <w:sz w:val="22"/>
          <w:szCs w:val="22"/>
          <w:color w:val="auto"/>
        </w:rPr>
      </w:pPr>
    </w:p>
    <w:p>
      <w:pPr>
        <w:jc w:val="both"/>
        <w:ind w:left="1960" w:hanging="656"/>
        <w:spacing w:after="0" w:line="221" w:lineRule="auto"/>
        <w:tabs>
          <w:tab w:leader="none" w:pos="1954"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NYSE American Supplemental Listing</w:t>
      </w:r>
      <w:r>
        <w:rPr>
          <w:rFonts w:ascii="Times New Roman" w:cs="Times New Roman" w:eastAsia="Times New Roman" w:hAnsi="Times New Roman"/>
          <w:sz w:val="22"/>
          <w:szCs w:val="22"/>
          <w:color w:val="auto"/>
        </w:rPr>
        <w:t>. As soon as possible, but in any event, no later than the second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Trading Day following the Closing Date, the Company shall file a new supplement listing application with NYSE American to reserve additional 3,500,000 Common Shares in connection with the transaction contemplated herein.</w:t>
      </w:r>
    </w:p>
    <w:p>
      <w:pPr>
        <w:spacing w:after="0" w:line="148" w:lineRule="exact"/>
        <w:rPr>
          <w:rFonts w:ascii="Times New Roman" w:cs="Times New Roman" w:eastAsia="Times New Roman" w:hAnsi="Times New Roman"/>
          <w:sz w:val="22"/>
          <w:szCs w:val="22"/>
          <w:color w:val="auto"/>
        </w:rPr>
      </w:pPr>
    </w:p>
    <w:p>
      <w:pPr>
        <w:jc w:val="both"/>
        <w:ind w:left="1960" w:hanging="656"/>
        <w:spacing w:after="0" w:line="227" w:lineRule="auto"/>
        <w:tabs>
          <w:tab w:leader="none" w:pos="196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Filing of a New Shelf Registration Statement</w:t>
      </w:r>
      <w:r>
        <w:rPr>
          <w:rFonts w:ascii="Times New Roman" w:cs="Times New Roman" w:eastAsia="Times New Roman" w:hAnsi="Times New Roman"/>
          <w:sz w:val="22"/>
          <w:szCs w:val="22"/>
          <w:color w:val="auto"/>
        </w:rPr>
        <w:t>. As soon as possible, but in any event, no later than July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31, 2025, the Company shall file a preliminary base shelf with the applicable Canadian securities authority and shall have such registration statement declared effective as soon as possible thereafter.</w:t>
      </w:r>
    </w:p>
    <w:p>
      <w:pPr>
        <w:spacing w:after="0" w:line="146"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Prohibited Transactions</w:t>
      </w:r>
      <w:r>
        <w:rPr>
          <w:rFonts w:ascii="Times New Roman" w:cs="Times New Roman" w:eastAsia="Times New Roman" w:hAnsi="Times New Roman"/>
          <w:sz w:val="22"/>
          <w:szCs w:val="22"/>
          <w:color w:val="auto"/>
        </w:rPr>
        <w:t>. From the date hereof until the Convertible Note has been repaid or converted into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Shares, without the prior written consent of the Buyer, the Company shall not, and shall not permit any of its subsidiaries (whether or not a subsidiary on the date hereof) to, directly or indirectly (i) other than Permitted Indebtedness, enter into, create, incur, assume, guarantee or suffer to exist, or remain liable with respect to, any Indebtedness, (ii) other than Permitted Liens, directly or indirectly, enter into, create, incur, assume or suffer to exist, or permit any Lien of any kind on or with respect to any of its property or assets now owned or hereafter acquired or any interest therein or any income or profits therefrom, or (iii) amend its charter documents, including, without limitation, its certificate of incorporation and bylaws, in any manner that materially and adversely affects any rights of the holder of the Convertible Note, (iv) make any payments in respect of any related party debt, or (v) enter into, agree to enter into, or effect any Variable Rate Transaction other than with the Buyer, provided, however, that the entry into and/or issuance of Common Shares in an “at-the-market” facility shall not be deemed a Variable Rate Transaction.</w:t>
      </w:r>
    </w:p>
    <w:p>
      <w:pPr>
        <w:spacing w:after="0" w:line="184"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“Permitted Indebtedness” </w:t>
      </w:r>
      <w:r>
        <w:rPr>
          <w:rFonts w:ascii="Times New Roman" w:cs="Times New Roman" w:eastAsia="Times New Roman" w:hAnsi="Times New Roman"/>
          <w:sz w:val="22"/>
          <w:szCs w:val="22"/>
          <w:color w:val="auto"/>
        </w:rPr>
        <w:t>shall mean: (i) Indebtedness evidenced by the Convertible Note; (ii) Indebtedness existing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or in connection with Liens which are Permitted Liens; (iii) Indebtedness incurred solely for the purpose of financing the acquisition or</w:t>
      </w:r>
    </w:p>
    <w:p>
      <w:pPr>
        <w:sectPr>
          <w:pgSz w:w="11900" w:h="16838" w:orient="portrait"/>
          <w:cols w:equalWidth="0" w:num="1">
            <w:col w:w="11240"/>
          </w:cols>
          <w:pgMar w:left="320" w:top="1395" w:right="339" w:bottom="1440" w:gutter="0" w:footer="0" w:header="0"/>
        </w:sectPr>
      </w:pPr>
    </w:p>
    <w:bookmarkStart w:id="96" w:name="page97"/>
    <w:bookmarkEnd w:id="96"/>
    <w:p>
      <w:pPr>
        <w:jc w:val="both"/>
        <w:spacing w:after="0" w:line="249" w:lineRule="auto"/>
        <w:rPr>
          <w:sz w:val="20"/>
          <w:szCs w:val="20"/>
          <w:color w:val="auto"/>
        </w:rPr>
      </w:pPr>
      <w:r>
        <w:rPr>
          <w:rFonts w:ascii="Times New Roman" w:cs="Times New Roman" w:eastAsia="Times New Roman" w:hAnsi="Times New Roman"/>
          <w:sz w:val="22"/>
          <w:szCs w:val="22"/>
          <w:color w:val="auto"/>
        </w:rPr>
        <w:t>lease of any equipment, including capital lease obligations with no recourse other than to such equipment and provided that such Indebtedness may be only secured by such equipment; (iv) subject to Buyer’s consent, Indebtedness (A) the repayment of which has been subordinated to the payment of the Convertible Note on terms and conditions acceptable to the Buyer, including with regard to interest payments and repayment of principal, (B) which does not mature or otherwise require or permit redemption or repayment prior to or on the 91st day after the maturity date of the Convertible Note then outstanding; and (C) which is not secured by any assets of the Company or its subsidiaries; and (v) any Indebtedness (other than the Indebtedness set out in (i) – (iv) above) incurred after the date hereof, provided that such indebtedness does not exceed $500,000 at any given time.</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“Permitted Liens” </w:t>
      </w:r>
      <w:r>
        <w:rPr>
          <w:rFonts w:ascii="Times New Roman" w:cs="Times New Roman" w:eastAsia="Times New Roman" w:hAnsi="Times New Roman"/>
          <w:sz w:val="22"/>
          <w:szCs w:val="22"/>
          <w:color w:val="auto"/>
        </w:rPr>
        <w:t>shall mean (1) any security interest granted to the Buyer to secure the obligations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Convertible Note, (2) any prior security interest granted to the Buyer, (3) inchoate Liens for taxes, assessments or governmental charges or levies not yet due, as to which the grace period, if any, related thereto has not yet expired, or being contested in good faith and by appropriate proceedings for which adequate reserves have been established in accordance with IFRS; (4) Liens of carriers, materialmen, warehousemen, mechanics and landlords and other similar Liens which secure amounts which are not yet overdue; (5) licenses, sublicenses, leases or subleases granted to other persons not materially interfering with the conduct of the business of the Company; (6) easements, rights-of-way, restrictions, encroachments, municipal zoning ordinances and other similar charges or encumbrances, and minor title deficiencies, in each case not securing debt and not materially interfering with the conduct of the business of the Company and not materially detracting from the value of the property subject thereto; (8) Liens arising out of the existence of judgments or awards which judgments or awards do not constitute an Event of Default; (9) Liens incurred in the ordinary course of business in connection with workers compensation claims, unemployment insurance, pension liabilities and social security benefits and Liens securing the performance of bids, tenders, leases and contracts in the ordinary course of business, statutory obligations, surety bonds, performance bonds and other obligations of a like nature (other than appeal bonds) incurred in the ordinary course of business (exclusive of obligations in respect of the payment for borrowed money); (10) Liens in favor of a banking institution arising by operation of law encumbering deposits (including the right of set-off) and contractual set-off rights held by such banking institution and which are within the general parameters customary in the banking industry and only burdening deposit accounts or other funds maintained with a creditor depository institution; (11) usual and customary set-off rights in leases and other contracts; (12) escrows in connection with acquisitions and dispositions and (13) royalties and other rights to revenue derived from the sale of the Company’s products that are granted in the ordinary course of business.</w:t>
      </w:r>
    </w:p>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“Variable Rate Transaction” </w:t>
      </w:r>
      <w:r>
        <w:rPr>
          <w:rFonts w:ascii="Times New Roman" w:cs="Times New Roman" w:eastAsia="Times New Roman" w:hAnsi="Times New Roman"/>
          <w:sz w:val="22"/>
          <w:szCs w:val="22"/>
          <w:color w:val="auto"/>
        </w:rPr>
        <w:t>shall mean a transaction in which the Company (i) issues or sells any equity, warrants,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debt securities or any other securities that are directly or indirectly convertible into, exchangeable or exercisable for, or include the right to receive additional Common Shares or otherwise entitles the holder to acquire Common Shares</w:t>
      </w:r>
    </w:p>
    <w:p>
      <w:pPr>
        <w:sectPr>
          <w:pgSz w:w="11900" w:h="16838" w:orient="portrait"/>
          <w:cols w:equalWidth="0" w:num="1">
            <w:col w:w="10580"/>
          </w:cols>
          <w:pgMar w:left="980" w:top="1422" w:right="339" w:bottom="1440" w:gutter="0" w:footer="0" w:header="0"/>
        </w:sectPr>
      </w:pPr>
    </w:p>
    <w:bookmarkStart w:id="97" w:name="page98"/>
    <w:bookmarkEnd w:id="97"/>
    <w:p>
      <w:pPr>
        <w:jc w:val="both"/>
        <w:ind w:left="652"/>
        <w:spacing w:after="0" w:line="262" w:lineRule="auto"/>
        <w:rPr>
          <w:sz w:val="20"/>
          <w:szCs w:val="20"/>
          <w:color w:val="auto"/>
        </w:rPr>
      </w:pPr>
      <w:r>
        <w:rPr>
          <w:rFonts w:ascii="Times New Roman" w:cs="Times New Roman" w:eastAsia="Times New Roman" w:hAnsi="Times New Roman"/>
          <w:sz w:val="21"/>
          <w:szCs w:val="21"/>
          <w:color w:val="auto"/>
        </w:rPr>
        <w:t>either (A) at a conversion price, exercise price, exchange rate or other price that is based upon and/or varies with the trading prices of or quotations for the Common Shares at any time after the initial issuance of such security, or (B) with a conversion, exercise or exchange price that is subject to being reset at some future date after the initial issuance of such security or upon the occurrence of specified or contingent events directly or indirectly related to the business of the Company or the market for the Common Shares (including, without limitation, any “full ratchet” or “weighted average” anti-dilution provisions, but not including any standard anti-dilution protection for any reorganization, recapitalization, non-cash dividend, stock split or other similar transaction), or (ii) enters into or effects any agreement, including but not limited to an “equity line of credit,” or other continuous offering or similar offering of Common Shares.</w:t>
      </w:r>
    </w:p>
    <w:p>
      <w:pPr>
        <w:spacing w:after="0" w:line="155" w:lineRule="exact"/>
        <w:rPr>
          <w:sz w:val="20"/>
          <w:szCs w:val="20"/>
          <w:color w:val="auto"/>
        </w:rPr>
      </w:pPr>
    </w:p>
    <w:p>
      <w:pPr>
        <w:jc w:val="both"/>
        <w:ind w:left="-8" w:firstLine="656"/>
        <w:spacing w:after="0" w:line="221" w:lineRule="auto"/>
        <w:tabs>
          <w:tab w:leader="none" w:pos="1276"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Matters</w:t>
      </w:r>
      <w:r>
        <w:rPr>
          <w:rFonts w:ascii="Times New Roman" w:cs="Times New Roman" w:eastAsia="Times New Roman" w:hAnsi="Times New Roman"/>
          <w:sz w:val="22"/>
          <w:szCs w:val="22"/>
          <w:color w:val="auto"/>
        </w:rPr>
        <w:t>. The Company and the Buyer intend that the Convertible Note will be properly treated as debt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tax purposes. No Buyer shall, or shall permit any affiliate to, take any tax position contrary to this treatment except as otherwise required by applicable law. The Buyer shall reasonably cooperate, and cause its respective affiliates to reasonably cooperate, with the Company to ensure such treatment.</w:t>
      </w:r>
    </w:p>
    <w:p>
      <w:pPr>
        <w:spacing w:after="0" w:line="148" w:lineRule="exact"/>
        <w:rPr>
          <w:rFonts w:ascii="Times New Roman" w:cs="Times New Roman" w:eastAsia="Times New Roman" w:hAnsi="Times New Roman"/>
          <w:sz w:val="22"/>
          <w:szCs w:val="22"/>
          <w:color w:val="auto"/>
        </w:rPr>
      </w:pPr>
    </w:p>
    <w:p>
      <w:pPr>
        <w:jc w:val="both"/>
        <w:ind w:left="-8" w:firstLine="656"/>
        <w:spacing w:after="0" w:line="213" w:lineRule="auto"/>
        <w:tabs>
          <w:tab w:leader="none" w:pos="1276"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Fees</w:t>
      </w:r>
      <w:r>
        <w:rPr>
          <w:rFonts w:ascii="Times New Roman" w:cs="Times New Roman" w:eastAsia="Times New Roman" w:hAnsi="Times New Roman"/>
          <w:sz w:val="22"/>
          <w:szCs w:val="22"/>
          <w:color w:val="auto"/>
        </w:rPr>
        <w:t>. The Company shall reimburse the Buyer for all costs and expenses incurred by it or its affiliates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the structuring, documentation, negotiation and closing of the transactions contemplated by the Transaction Documents (including without limitation, as applicable, all reasonable legal fees of outside counsel to the Buyer, any other reasonable fees and expenses in connection with the structuring, documentation, negotiation and closing of the transactions contemplated by the Transaction Documents) and shall be withheld by the Buyer from its purchase of the Convertible Note at the Closing. The Company shall be responsible for the payment of any placement agent’s fees, financial advisory fees, transfer agent fees, DTC (as defined below) fees or broker’s commissions (other than for Persons engaged by the Buyer) relating to or arising out of the transactions contemplated hereby.</w:t>
      </w:r>
    </w:p>
    <w:p>
      <w:pPr>
        <w:spacing w:after="0" w:line="147" w:lineRule="exact"/>
        <w:rPr>
          <w:rFonts w:ascii="Times New Roman" w:cs="Times New Roman" w:eastAsia="Times New Roman" w:hAnsi="Times New Roman"/>
          <w:sz w:val="22"/>
          <w:szCs w:val="22"/>
          <w:color w:val="auto"/>
        </w:rPr>
      </w:pPr>
    </w:p>
    <w:p>
      <w:pPr>
        <w:jc w:val="both"/>
        <w:ind w:left="-8" w:firstLine="656"/>
        <w:spacing w:after="0" w:line="211" w:lineRule="auto"/>
        <w:tabs>
          <w:tab w:leader="none" w:pos="1283"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Form D and Blue Sky. </w:t>
      </w:r>
      <w:r>
        <w:rPr>
          <w:rFonts w:ascii="Times New Roman" w:cs="Times New Roman" w:eastAsia="Times New Roman" w:hAnsi="Times New Roman"/>
          <w:sz w:val="22"/>
          <w:szCs w:val="22"/>
          <w:color w:val="auto"/>
        </w:rPr>
        <w:t>If applicable, the Company shall file a Form D with respect to the Securities as required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Regulation D and to provide a copy thereof to each Buyer promptly after such filing. The Company shall, on or before the Closing Date, take such action as the Company shall reasonably determine is necessary in order to obtain an exemption for, or to, qualify the Securities for sale to the Buyer at the Closing pursuant to this Agreement under applicable securities or “Blue Sky” laws of the states of the United States (or to obtain an exemption from such qualification), and shall provide evidence of any such action so taken to the Buyer on or prior to the Closing Date. Without limiting any other obligation of the Company under this Agreement, the Company shall timely make all filings and reports relating to the offer and sale of the Securities required under U.S.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Buyer.</w:t>
      </w:r>
    </w:p>
    <w:p>
      <w:pPr>
        <w:spacing w:after="0" w:line="151"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REGISTER; TRANSFER AGENT INSTRUCTIONS; LEGEND.</w:t>
      </w:r>
    </w:p>
    <w:p>
      <w:pPr>
        <w:spacing w:after="0" w:line="179" w:lineRule="exact"/>
        <w:rPr>
          <w:rFonts w:ascii="Times New Roman" w:cs="Times New Roman" w:eastAsia="Times New Roman" w:hAnsi="Times New Roman"/>
          <w:sz w:val="22"/>
          <w:szCs w:val="22"/>
          <w:b w:val="1"/>
          <w:bCs w:val="1"/>
          <w:color w:val="auto"/>
        </w:rPr>
      </w:pPr>
    </w:p>
    <w:p>
      <w:pPr>
        <w:jc w:val="both"/>
        <w:ind w:left="-8" w:firstLine="656"/>
        <w:spacing w:after="0" w:line="218" w:lineRule="auto"/>
        <w:tabs>
          <w:tab w:leader="none" w:pos="1285"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The Company shall maintain at its principal executive offices or with its transfer agent (or at such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 or agency of the Company as it may designate by notice to each holder of Securities), a register for the Convertible Note in which the Company shall record the name and address of the Person in whose name the Convertible Note has been issued (including the name and address of each transferee), the amount of Convertible Note held by such Person. The Company shall keep the register open and available at all times during business</w:t>
      </w:r>
    </w:p>
    <w:p>
      <w:pPr>
        <w:sectPr>
          <w:pgSz w:w="11900" w:h="16838" w:orient="portrait"/>
          <w:cols w:equalWidth="0" w:num="1">
            <w:col w:w="11232"/>
          </w:cols>
          <w:pgMar w:left="328" w:top="1422" w:right="339" w:bottom="1440" w:gutter="0" w:footer="0" w:header="0"/>
        </w:sectPr>
      </w:pPr>
    </w:p>
    <w:bookmarkStart w:id="98" w:name="page99"/>
    <w:bookmarkEnd w:id="98"/>
    <w:p>
      <w:pPr>
        <w:ind w:right="20"/>
        <w:spacing w:after="0" w:line="236" w:lineRule="auto"/>
        <w:rPr>
          <w:sz w:val="20"/>
          <w:szCs w:val="20"/>
          <w:color w:val="auto"/>
        </w:rPr>
      </w:pPr>
      <w:r>
        <w:rPr>
          <w:rFonts w:ascii="Times New Roman" w:cs="Times New Roman" w:eastAsia="Times New Roman" w:hAnsi="Times New Roman"/>
          <w:sz w:val="22"/>
          <w:szCs w:val="22"/>
          <w:color w:val="auto"/>
        </w:rPr>
        <w:t>hours for inspection by any Buyer or its legal representatives at any reasonable time and from time to time upon reasonable prior notice.</w:t>
      </w:r>
    </w:p>
    <w:p>
      <w:pPr>
        <w:spacing w:after="0" w:line="146" w:lineRule="exact"/>
        <w:rPr>
          <w:sz w:val="20"/>
          <w:szCs w:val="20"/>
          <w:color w:val="auto"/>
        </w:rPr>
      </w:pPr>
    </w:p>
    <w:p>
      <w:pPr>
        <w:jc w:val="both"/>
        <w:ind w:firstLine="656"/>
        <w:spacing w:after="0" w:line="213" w:lineRule="auto"/>
        <w:tabs>
          <w:tab w:leader="none" w:pos="1291"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Transfer Restrictions</w:t>
      </w:r>
      <w:r>
        <w:rPr>
          <w:rFonts w:ascii="Times New Roman" w:cs="Times New Roman" w:eastAsia="Times New Roman" w:hAnsi="Times New Roman"/>
          <w:sz w:val="22"/>
          <w:szCs w:val="22"/>
          <w:color w:val="auto"/>
        </w:rPr>
        <w:t>. The Securities may only be disposed of in compliance with Applicable Securities Laws.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any transfer of Securities other than pursuant to an effective registration statement or Rule 144, to the Company or to an Affiliate of a Buyer or in connection with a pledge as contemplated herein, the Company may require the transferor thereof to provide to the Company an opinion of counsel selected by the transferor and reasonably acceptable to the Company, the form and substance of which opinion shall be reasonably satisfactory to the Company and the Company’s transfer agent, to the effect that such transfer does not require registration of such transferred Securities under the Securities Act. As a condition of transfer, any such transferee shall agree in writing to be bound by the terms of this Agreement and shall have the rights and obligations of a Buyer under this Agreement.</w:t>
      </w:r>
    </w:p>
    <w:p>
      <w:pPr>
        <w:spacing w:after="0" w:line="147"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3"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Conversion and Exercise Procedures</w:t>
      </w:r>
      <w:r>
        <w:rPr>
          <w:rFonts w:ascii="Times New Roman" w:cs="Times New Roman" w:eastAsia="Times New Roman" w:hAnsi="Times New Roman"/>
          <w:sz w:val="22"/>
          <w:szCs w:val="22"/>
          <w:color w:val="auto"/>
        </w:rPr>
        <w:t>. The form of Conversion Notice included in the Convertible Note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totality of the procedures required of the Buyer in order to convert the Convertible Note. Except as provided in Section 2(f) and Section 5(b), no additional legal opinion, other information or instructions shall be required of the Buyer to convert their Convertible Note. The Company shall honor conversions of the Convertible Note and shall deliver the Conversion Shares in accordance with the terms, conditions and time periods set forth in the Convertible Note.</w:t>
      </w:r>
    </w:p>
    <w:p>
      <w:pPr>
        <w:spacing w:after="0" w:line="14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CONDITIONS TO THE COMPANY’S OBLIGATION TO SELL.</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obligation of the Company hereunder to issue and sell the Convertible Note to the Buyer at the Closing is subject to the satisfaction, at or before the Closing Date, of each of the following conditions, provided that these conditions are for the Company’s sole benefit and may be waived by the Company at any time in its sole discretion by providing the Buyer with prior written notice thereof:</w:t>
      </w:r>
    </w:p>
    <w:p>
      <w:pPr>
        <w:spacing w:after="0" w:line="148" w:lineRule="exact"/>
        <w:rPr>
          <w:sz w:val="20"/>
          <w:szCs w:val="20"/>
          <w:color w:val="auto"/>
        </w:rPr>
      </w:pPr>
    </w:p>
    <w:p>
      <w:pPr>
        <w:ind w:left="1300" w:hanging="644"/>
        <w:spacing w:after="0"/>
        <w:tabs>
          <w:tab w:leader="none" w:pos="1300"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Buyer shall have executed each of the Transaction Documents to which it is a party and delivered the same to</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Company.</w:t>
      </w:r>
    </w:p>
    <w:p>
      <w:pPr>
        <w:spacing w:after="0" w:line="155" w:lineRule="exact"/>
        <w:rPr>
          <w:rFonts w:ascii="Times New Roman" w:cs="Times New Roman" w:eastAsia="Times New Roman" w:hAnsi="Times New Roman"/>
          <w:sz w:val="21"/>
          <w:szCs w:val="21"/>
          <w:color w:val="auto"/>
        </w:rPr>
      </w:pPr>
    </w:p>
    <w:p>
      <w:pPr>
        <w:jc w:val="both"/>
        <w:ind w:right="20" w:firstLine="656"/>
        <w:spacing w:after="0" w:line="225" w:lineRule="auto"/>
        <w:tabs>
          <w:tab w:leader="none" w:pos="129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shall have delivered to the Company the Purchase Price for the Convertible Note being purchased by the Buyer at the Closing by wire transfer of immediately available funds in accordance with the Closing Statement (as defined below).</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Buyer shall be true and correct in all material respects as of the date when made and as of the Closing Date as though originally made at that time (except for representations and warranties that speak as of a specific date, which shall be true and correct as of such specific date), and the Buyer shall have performed, satisfied and complied in all material respects with the covenants, agreements and conditions required by this Agreement to be performed, satisfied or complied with by the Buyer at or prior to the Closing Date.</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have received (i) the conditional approval of Cboe to the transactions contemplated herein and</w:t>
      </w:r>
    </w:p>
    <w:p>
      <w:pPr>
        <w:ind w:firstLine="8"/>
        <w:spacing w:after="0" w:line="225" w:lineRule="auto"/>
        <w:tabs>
          <w:tab w:leader="none" w:pos="34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supplemental listing application authorization from NYSE American to reserve 16,500,000 Common Shares in connection with the transaction contemplated herein.</w:t>
      </w:r>
    </w:p>
    <w:p>
      <w:pPr>
        <w:sectPr>
          <w:pgSz w:w="11900" w:h="16838" w:orient="portrait"/>
          <w:cols w:equalWidth="0" w:num="1">
            <w:col w:w="11240"/>
          </w:cols>
          <w:pgMar w:left="320" w:top="1395" w:right="339" w:bottom="1440" w:gutter="0" w:footer="0" w:header="0"/>
        </w:sectPr>
      </w:pPr>
    </w:p>
    <w:bookmarkStart w:id="99" w:name="page100"/>
    <w:bookmarkEnd w:id="99"/>
    <w:p>
      <w:pPr>
        <w:ind w:left="660" w:hanging="652"/>
        <w:spacing w:after="0"/>
        <w:tabs>
          <w:tab w:leader="none" w:pos="66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CONDITIONS TO THE BUYER’S OBLIGATION TO PURCHASE.</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obligation of the Buyer hereunder to purchase Convertible Note at the Closing is subject to the satisfaction, at or before the Closing Date, of each of the following conditions, provided that these conditions are for the Buyer’s sole benefit and may be waived by the Buyer at any time in its sole discretion by providing the Company with prior written notice thereof:</w:t>
      </w:r>
    </w:p>
    <w:p>
      <w:pPr>
        <w:spacing w:after="0" w:line="159" w:lineRule="exact"/>
        <w:rPr>
          <w:sz w:val="20"/>
          <w:szCs w:val="20"/>
          <w:color w:val="auto"/>
        </w:rPr>
      </w:pPr>
    </w:p>
    <w:p>
      <w:pPr>
        <w:jc w:val="both"/>
        <w:ind w:firstLine="656"/>
        <w:spacing w:after="0" w:line="225" w:lineRule="auto"/>
        <w:tabs>
          <w:tab w:leader="none" w:pos="1293"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duly executed and delivered to the Buyer each of the Transaction Documents to which it is a party and the Company shall have duly executed and delivered to the Buyer a Convertible Note with a principal amount corresponding to the Subscription Amount.</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shall have received customary opinions of counsel to the Company, dated as of the Closing Date, in form and substance reasonably satisfactory to the Buyer.</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delivered to the Buyer a certificate evidencing the existence and good standing of the Company as of a date within 10 days of the Closing Date.</w:t>
      </w:r>
    </w:p>
    <w:p>
      <w:pPr>
        <w:spacing w:after="0" w:line="150"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and every representation and warranty of the Company shall be true and correct in all material respects (other than representations and warranties qualified by materiality, which shall be true and correct in all respects) as of the date when made and as of the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set forth in each Transaction Document required to be performed, satisfied or complied with by the Company at or prior to the Closing Date.</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3"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Shares (A) shall be approved for listing on Principal U.S. Market and Cboe and (B) shall not have been suspended, as of the Closing Date, by the SEC, Principal U.S. Market or Cboe or any applicable securities regulatory authority in Canada from trading on the Principal U.S. Market or Cboe nor shall suspension by the SEC, the Principal U.S. Market or Cboe or any applicable securities regulatory authority in Canada have been threatened, as of the Closing Date, either</w:t>
      </w:r>
    </w:p>
    <w:p>
      <w:pPr>
        <w:spacing w:after="0" w:line="2" w:lineRule="exact"/>
        <w:rPr>
          <w:rFonts w:ascii="Times New Roman" w:cs="Times New Roman" w:eastAsia="Times New Roman" w:hAnsi="Times New Roman"/>
          <w:sz w:val="22"/>
          <w:szCs w:val="22"/>
          <w:color w:val="auto"/>
        </w:rPr>
      </w:pPr>
    </w:p>
    <w:p>
      <w:pPr>
        <w:ind w:firstLine="8"/>
        <w:spacing w:after="0" w:line="225" w:lineRule="auto"/>
        <w:tabs>
          <w:tab w:leader="none" w:pos="28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writing by the SEC, the Principal U.S. Market, Cboe or any applicable securities regulatory authority in Canada or (II) by falling below the minimum maintenance requirements of the Principal U.S. Market or Cboe.</w:t>
      </w:r>
    </w:p>
    <w:p>
      <w:pPr>
        <w:spacing w:after="0" w:line="14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obtained all governmental, regulatory or third-party consents and approvals, if any, necessary for the sale of the Convertible Note, including without limitation, those required by the Principal U.S. Market and the Cboe.</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execution of this Agreement, no event or series of events shall have occurred that has resulted in or would reasonably be expected to result in a Material Adverse Effect, and as of the Closing Date no Event of Default (as defined in the Convertible Note) shall have occurred and be continuing and no event or condition that upon notice, lapse of time or both would, unless cured or waived, become an Event of Default (as defined in the Convertible Note) shall have occurred and be continuing.</w:t>
      </w:r>
    </w:p>
    <w:p>
      <w:pPr>
        <w:sectPr>
          <w:pgSz w:w="11900" w:h="16838" w:orient="portrait"/>
          <w:cols w:equalWidth="0" w:num="1">
            <w:col w:w="11240"/>
          </w:cols>
          <w:pgMar w:left="320" w:top="1391" w:right="339" w:bottom="1440" w:gutter="0" w:footer="0" w:header="0"/>
        </w:sectPr>
      </w:pPr>
    </w:p>
    <w:bookmarkStart w:id="100" w:name="page101"/>
    <w:bookmarkEnd w:id="100"/>
    <w:p>
      <w:pPr>
        <w:ind w:left="1292" w:hanging="644"/>
        <w:spacing w:after="0"/>
        <w:tabs>
          <w:tab w:leader="none" w:pos="1292"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have received (i) the conditional approval of Cboe to the transactions contemplated herein and</w:t>
      </w:r>
    </w:p>
    <w:p>
      <w:pPr>
        <w:ind w:left="-8" w:firstLine="8"/>
        <w:spacing w:after="0" w:line="225" w:lineRule="auto"/>
        <w:tabs>
          <w:tab w:leader="none" w:pos="33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supplemental listing application authorization from NYSE American to reserve 16,500,000 Common Shares in connection with the transaction contemplated herein.</w:t>
      </w:r>
    </w:p>
    <w:p>
      <w:pPr>
        <w:spacing w:after="0" w:line="150" w:lineRule="exact"/>
        <w:rPr>
          <w:sz w:val="20"/>
          <w:szCs w:val="20"/>
          <w:color w:val="auto"/>
        </w:rPr>
      </w:pPr>
    </w:p>
    <w:p>
      <w:pPr>
        <w:jc w:val="both"/>
        <w:ind w:left="-8" w:firstLine="656"/>
        <w:spacing w:after="0" w:line="220" w:lineRule="auto"/>
        <w:tabs>
          <w:tab w:leader="none" w:pos="1276"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of the Company has approved the transactions contemplated by the Transaction Documents; said approval has not been amended, rescinded or materially modified and remains in full force and effect as of such Closing, and a true, correct and complete copy of such resolutions duly adopted by the board of directors of the Company shall have been provided to the Buyer.</w:t>
      </w:r>
    </w:p>
    <w:p>
      <w:pPr>
        <w:spacing w:after="0" w:line="152" w:lineRule="exact"/>
        <w:rPr>
          <w:rFonts w:ascii="Times New Roman" w:cs="Times New Roman" w:eastAsia="Times New Roman" w:hAnsi="Times New Roman"/>
          <w:sz w:val="22"/>
          <w:szCs w:val="22"/>
          <w:color w:val="auto"/>
        </w:rPr>
      </w:pPr>
    </w:p>
    <w:p>
      <w:pPr>
        <w:jc w:val="both"/>
        <w:ind w:left="-8" w:firstLine="656"/>
        <w:spacing w:after="0" w:line="220" w:lineRule="auto"/>
        <w:tabs>
          <w:tab w:leader="none" w:pos="1283"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delivered to the Buyer a compliance certificate executed by an executive officer of the Company certifying that Company has complied with all of the conditions precedent to the applicable Closing set forth herein and which may be relied upon by the Buyer as evidence of satisfaction of such conditions without any obligation to independently verify.</w:t>
      </w:r>
    </w:p>
    <w:p>
      <w:pPr>
        <w:spacing w:after="0" w:line="152" w:lineRule="exact"/>
        <w:rPr>
          <w:rFonts w:ascii="Times New Roman" w:cs="Times New Roman" w:eastAsia="Times New Roman" w:hAnsi="Times New Roman"/>
          <w:sz w:val="22"/>
          <w:szCs w:val="22"/>
          <w:color w:val="auto"/>
        </w:rPr>
      </w:pPr>
    </w:p>
    <w:p>
      <w:pPr>
        <w:ind w:left="-8" w:firstLine="656"/>
        <w:spacing w:after="0" w:line="236" w:lineRule="auto"/>
        <w:tabs>
          <w:tab w:leader="none" w:pos="1276"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Buyer shall have received a letter, duly executed by an officer of the Company, setting forth the wire amounts of the Buyer and the wire transfer instructions of the Company (the </w:t>
      </w:r>
      <w:r>
        <w:rPr>
          <w:rFonts w:ascii="Times New Roman" w:cs="Times New Roman" w:eastAsia="Times New Roman" w:hAnsi="Times New Roman"/>
          <w:sz w:val="22"/>
          <w:szCs w:val="22"/>
          <w:b w:val="1"/>
          <w:bCs w:val="1"/>
          <w:color w:val="auto"/>
        </w:rPr>
        <w:t>“Closing Statement”</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w:t>
      </w:r>
    </w:p>
    <w:p>
      <w:pPr>
        <w:spacing w:after="0" w:line="179" w:lineRule="exact"/>
        <w:rPr>
          <w:rFonts w:ascii="Times New Roman" w:cs="Times New Roman" w:eastAsia="Times New Roman" w:hAnsi="Times New Roman"/>
          <w:sz w:val="22"/>
          <w:szCs w:val="22"/>
          <w:b w:val="1"/>
          <w:bCs w:val="1"/>
          <w:color w:val="auto"/>
        </w:rPr>
      </w:pPr>
    </w:p>
    <w:p>
      <w:pPr>
        <w:jc w:val="both"/>
        <w:ind w:left="-8" w:firstLine="656"/>
        <w:spacing w:after="0" w:line="232" w:lineRule="auto"/>
        <w:tabs>
          <w:tab w:leader="none" w:pos="1285"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the Closing shall not have occurred on or prior to July 15, 2025 (the </w:t>
      </w:r>
      <w:r>
        <w:rPr>
          <w:rFonts w:ascii="Times New Roman" w:cs="Times New Roman" w:eastAsia="Times New Roman" w:hAnsi="Times New Roman"/>
          <w:sz w:val="21"/>
          <w:szCs w:val="21"/>
          <w:b w:val="1"/>
          <w:bCs w:val="1"/>
          <w:color w:val="auto"/>
        </w:rPr>
        <w:t>“Termination Date”</w:t>
      </w:r>
      <w:r>
        <w:rPr>
          <w:rFonts w:ascii="Times New Roman" w:cs="Times New Roman" w:eastAsia="Times New Roman" w:hAnsi="Times New Roman"/>
          <w:sz w:val="21"/>
          <w:szCs w:val="21"/>
          <w:color w:val="auto"/>
        </w:rPr>
        <w:t>), then the Buyer shall have the right to terminate this Agreement without liability of the Buyer to any other party; provided, however, the right to terminate this Agreement under this Section 8 shall not be available to the Buyer if the failure of the transactions contemplated by this Agreement to have been consummated by such date is the result of the Buyer’s breach of this Agreement.</w:t>
      </w:r>
    </w:p>
    <w:p>
      <w:pPr>
        <w:spacing w:after="0" w:line="150" w:lineRule="exact"/>
        <w:rPr>
          <w:rFonts w:ascii="Times New Roman" w:cs="Times New Roman" w:eastAsia="Times New Roman" w:hAnsi="Times New Roman"/>
          <w:sz w:val="21"/>
          <w:szCs w:val="21"/>
          <w:color w:val="auto"/>
        </w:rPr>
      </w:pPr>
    </w:p>
    <w:p>
      <w:pPr>
        <w:jc w:val="both"/>
        <w:ind w:left="-8" w:firstLine="656"/>
        <w:spacing w:after="0" w:line="225" w:lineRule="auto"/>
        <w:tabs>
          <w:tab w:leader="none" w:pos="1283"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48"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179" w:lineRule="exact"/>
        <w:rPr>
          <w:rFonts w:ascii="Times New Roman" w:cs="Times New Roman" w:eastAsia="Times New Roman" w:hAnsi="Times New Roman"/>
          <w:sz w:val="22"/>
          <w:szCs w:val="22"/>
          <w:b w:val="1"/>
          <w:bCs w:val="1"/>
          <w:color w:val="auto"/>
        </w:rPr>
      </w:pPr>
    </w:p>
    <w:p>
      <w:pPr>
        <w:jc w:val="both"/>
        <w:ind w:left="-8" w:firstLine="656"/>
        <w:spacing w:after="0" w:line="221" w:lineRule="auto"/>
        <w:tabs>
          <w:tab w:leader="none" w:pos="1285"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Subsequent Convertible Notes. </w:t>
      </w:r>
      <w:r>
        <w:rPr>
          <w:rFonts w:ascii="Times New Roman" w:cs="Times New Roman" w:eastAsia="Times New Roman" w:hAnsi="Times New Roman"/>
          <w:sz w:val="22"/>
          <w:szCs w:val="22"/>
          <w:color w:val="auto"/>
        </w:rPr>
        <w:t>The parties may, upon mutual consent, enter into subsequent securities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for the purchase and sale of an additional $450,000,000 principal amount of Convertible Notes, in tranches, in amounts on such dates as may be mutually agreed by the parties hereof from time to time on substantially the same terms included in this Agreement, except that subsequent tranches shall include prepaid interest at a rate of 9.5%.</w:t>
      </w:r>
    </w:p>
    <w:p>
      <w:pPr>
        <w:spacing w:after="0" w:line="148" w:lineRule="exact"/>
        <w:rPr>
          <w:rFonts w:ascii="Times New Roman" w:cs="Times New Roman" w:eastAsia="Times New Roman" w:hAnsi="Times New Roman"/>
          <w:sz w:val="22"/>
          <w:szCs w:val="22"/>
          <w:color w:val="auto"/>
        </w:rPr>
      </w:pPr>
    </w:p>
    <w:p>
      <w:pPr>
        <w:jc w:val="both"/>
        <w:ind w:left="-8" w:firstLine="656"/>
        <w:spacing w:after="0" w:line="221" w:lineRule="auto"/>
        <w:tabs>
          <w:tab w:leader="none" w:pos="1283"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and the rights and obligations of the parties hereunder shall, in all respects,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and construed in accordance with, the laws (excluding the principles of conflict of laws) of the State of New York (including Section 5-1401 and Section 5-1402 of the General Obligations Law of the State of New York), including all matters of construction, validity and performance.</w:t>
      </w:r>
    </w:p>
    <w:p>
      <w:pPr>
        <w:spacing w:after="0" w:line="148"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Jurisdiction; Venue; Service.</w:t>
      </w:r>
    </w:p>
    <w:p>
      <w:pPr>
        <w:spacing w:after="0" w:line="183" w:lineRule="exact"/>
        <w:rPr>
          <w:rFonts w:ascii="Times New Roman" w:cs="Times New Roman" w:eastAsia="Times New Roman" w:hAnsi="Times New Roman"/>
          <w:sz w:val="22"/>
          <w:szCs w:val="22"/>
          <w:color w:val="auto"/>
        </w:rPr>
      </w:pPr>
    </w:p>
    <w:p>
      <w:pPr>
        <w:ind w:left="1952" w:right="20" w:hanging="656"/>
        <w:spacing w:after="0" w:line="236" w:lineRule="auto"/>
        <w:tabs>
          <w:tab w:leader="none" w:pos="1940" w:val="left"/>
        </w:tabs>
        <w:numPr>
          <w:ilvl w:val="2"/>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hereby irrevocably consents to the non-exclusive personal jurisdiction of the state courts of the State of New York (the </w:t>
      </w:r>
      <w:r>
        <w:rPr>
          <w:rFonts w:ascii="Times New Roman" w:cs="Times New Roman" w:eastAsia="Times New Roman" w:hAnsi="Times New Roman"/>
          <w:sz w:val="22"/>
          <w:szCs w:val="22"/>
          <w:b w:val="1"/>
          <w:bCs w:val="1"/>
          <w:color w:val="auto"/>
        </w:rPr>
        <w:t>“Governing</w:t>
      </w:r>
    </w:p>
    <w:p>
      <w:pPr>
        <w:sectPr>
          <w:pgSz w:w="11900" w:h="16838" w:orient="portrait"/>
          <w:cols w:equalWidth="0" w:num="1">
            <w:col w:w="11232"/>
          </w:cols>
          <w:pgMar w:left="328" w:top="1393" w:right="339" w:bottom="1440" w:gutter="0" w:footer="0" w:header="0"/>
        </w:sectPr>
      </w:pPr>
    </w:p>
    <w:bookmarkStart w:id="101" w:name="page102"/>
    <w:bookmarkEnd w:id="101"/>
    <w:p>
      <w:pPr>
        <w:ind w:left="840"/>
        <w:spacing w:after="0" w:line="238" w:lineRule="auto"/>
        <w:rPr>
          <w:sz w:val="20"/>
          <w:szCs w:val="20"/>
          <w:color w:val="auto"/>
        </w:rPr>
      </w:pPr>
      <w:r>
        <w:rPr>
          <w:rFonts w:ascii="Times New Roman" w:cs="Times New Roman" w:eastAsia="Times New Roman" w:hAnsi="Times New Roman"/>
          <w:sz w:val="22"/>
          <w:szCs w:val="22"/>
          <w:b w:val="1"/>
          <w:bCs w:val="1"/>
          <w:color w:val="auto"/>
        </w:rPr>
        <w:t>Jurisdiction”</w:t>
      </w:r>
      <w:r>
        <w:rPr>
          <w:rFonts w:ascii="Times New Roman" w:cs="Times New Roman" w:eastAsia="Times New Roman" w:hAnsi="Times New Roman"/>
          <w:sz w:val="22"/>
          <w:szCs w:val="22"/>
          <w:color w:val="auto"/>
        </w:rPr>
        <w:t>) and, if a basis for federal jurisdiction exists, the non-exclusive personal jurisdiction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States District Court for the Governing Jurisdiction.</w:t>
      </w:r>
    </w:p>
    <w:p>
      <w:pPr>
        <w:spacing w:after="0" w:line="150" w:lineRule="exact"/>
        <w:rPr>
          <w:sz w:val="20"/>
          <w:szCs w:val="20"/>
          <w:color w:val="auto"/>
        </w:rPr>
      </w:pPr>
    </w:p>
    <w:p>
      <w:pPr>
        <w:jc w:val="both"/>
        <w:ind w:left="840" w:hanging="656"/>
        <w:spacing w:after="0" w:line="215" w:lineRule="auto"/>
        <w:tabs>
          <w:tab w:leader="none" w:pos="83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venue shall be proper in any court of the Governing Jurisdiction selected by the Buyer or, if a basis for federal jurisdiction exists, in any United States District Court in the Governing Jurisdiction.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pacing w:after="0" w:line="152" w:lineRule="exact"/>
        <w:rPr>
          <w:rFonts w:ascii="Times New Roman" w:cs="Times New Roman" w:eastAsia="Times New Roman" w:hAnsi="Times New Roman"/>
          <w:sz w:val="22"/>
          <w:szCs w:val="22"/>
          <w:color w:val="auto"/>
        </w:rPr>
      </w:pPr>
    </w:p>
    <w:p>
      <w:pPr>
        <w:jc w:val="both"/>
        <w:ind w:left="840" w:hanging="656"/>
        <w:spacing w:after="0" w:line="226" w:lineRule="auto"/>
        <w:tabs>
          <w:tab w:leader="none" w:pos="840"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suit, claim, action, litigation or proceeding of any kind or description, whether in law or equity, whether in contract or tort or otherwise, brought by the Company against the Buyer arising out of or based upon this Agreement or any matter relating to this Agreement, or any other Transaction Document, or any contemplated transaction, shall be brought in a court only in the Governing Jurisdiction. The Company shall not file any counterclaim against the Buyer in any suit, claim, action, litigation or proceeding brought by the Buyer against the Company in a jurisdiction outside of the Governing Jurisdiction unless under the rules of the court in which the Buyer brought such suit, claim, action, litigation or proceeding the counterclaim is mandatory, and not permissive, and would be considered waived unless filed as a counterclaim in the suit, claim, action, litigation or proceeding instituted by the Buyer against the Company. The Company agrees that any forum outside the Governing Jurisdiction is an inconvenient forum and that any suit, claim, action, litigation or proceeding brought by the Company against the Buyer in any court outside the Governing Jurisdiction should be dismissed or transferred to a court located in the Governing Jurisdiction. Furthermore, the Company irrevocably and unconditionally agrees that it will not bring or commence any suit, claim, action, litigation or proceeding of any kind or description, whether in law or equity, whether in contract or in tort or otherwise, against the Buyer arising out of or based upon this Agreement or any matter relating to this Agreement,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Buyer agree that a final judgment in any such suit, claim, action, litigation or proceeding shall be conclusive and may be enforced in other jurisdictions by suit on the judgment or in any other manner provided by law.</w:t>
      </w:r>
    </w:p>
    <w:p>
      <w:pPr>
        <w:spacing w:after="0" w:line="169" w:lineRule="exact"/>
        <w:rPr>
          <w:rFonts w:ascii="Times New Roman" w:cs="Times New Roman" w:eastAsia="Times New Roman" w:hAnsi="Times New Roman"/>
          <w:sz w:val="21"/>
          <w:szCs w:val="21"/>
          <w:color w:val="auto"/>
        </w:rPr>
      </w:pPr>
    </w:p>
    <w:p>
      <w:pPr>
        <w:jc w:val="both"/>
        <w:ind w:left="840" w:hanging="656"/>
        <w:spacing w:after="0" w:line="225" w:lineRule="auto"/>
        <w:tabs>
          <w:tab w:leader="none" w:pos="82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Buyer irrevocably consent to the service of process out of any of the aforementioned courts in any such suit, claim, action, litigation or proceeding by the mailing of copies thereof by registered or certified mail postage prepaid, to it at the address provided for notices in</w:t>
      </w:r>
    </w:p>
    <w:p>
      <w:pPr>
        <w:sectPr>
          <w:pgSz w:w="11900" w:h="16838" w:orient="portrait"/>
          <w:cols w:equalWidth="0" w:num="1">
            <w:col w:w="10120"/>
          </w:cols>
          <w:pgMar w:left="1440" w:top="1391" w:right="339" w:bottom="1440" w:gutter="0" w:footer="0" w:header="0"/>
        </w:sectPr>
      </w:pPr>
    </w:p>
    <w:bookmarkStart w:id="102" w:name="page103"/>
    <w:bookmarkEnd w:id="102"/>
    <w:p>
      <w:pPr>
        <w:ind w:left="1304"/>
        <w:spacing w:after="0"/>
        <w:rPr>
          <w:sz w:val="20"/>
          <w:szCs w:val="20"/>
          <w:color w:val="auto"/>
        </w:rPr>
      </w:pPr>
      <w:r>
        <w:rPr>
          <w:rFonts w:ascii="Times New Roman" w:cs="Times New Roman" w:eastAsia="Times New Roman" w:hAnsi="Times New Roman"/>
          <w:sz w:val="22"/>
          <w:szCs w:val="22"/>
          <w:color w:val="auto"/>
        </w:rPr>
        <w:t>this Agreement, such service to become effective thirty (30) days after the date of mailing.</w:t>
      </w:r>
    </w:p>
    <w:p>
      <w:pPr>
        <w:spacing w:after="0" w:line="179" w:lineRule="exact"/>
        <w:rPr>
          <w:sz w:val="20"/>
          <w:szCs w:val="20"/>
          <w:color w:val="auto"/>
        </w:rPr>
      </w:pPr>
    </w:p>
    <w:p>
      <w:pPr>
        <w:jc w:val="both"/>
        <w:ind w:left="1304" w:hanging="656"/>
        <w:spacing w:after="0" w:line="225" w:lineRule="auto"/>
        <w:tabs>
          <w:tab w:leader="none" w:pos="1299"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affect the right of the Buyer to serve process in any other manner permitted by law or to commence legal proceedings or to otherwise proceed against the Company or any other Person in the Governing Jurisdiction or in any other jurisdiction.</w:t>
      </w:r>
    </w:p>
    <w:p>
      <w:pPr>
        <w:spacing w:after="0" w:line="152" w:lineRule="exact"/>
        <w:rPr>
          <w:rFonts w:ascii="Times New Roman" w:cs="Times New Roman" w:eastAsia="Times New Roman" w:hAnsi="Times New Roman"/>
          <w:sz w:val="22"/>
          <w:szCs w:val="22"/>
          <w:color w:val="auto"/>
        </w:rPr>
      </w:pPr>
    </w:p>
    <w:p>
      <w:pPr>
        <w:jc w:val="both"/>
        <w:ind w:left="-656" w:firstLine="656"/>
        <w:spacing w:after="0" w:line="213" w:lineRule="auto"/>
        <w:tabs>
          <w:tab w:leader="none" w:pos="635"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MUTUALLY WAIVE ALL RIGHT TO TRIAL BY JURY OF ALL CLAIMS OF ANY KIND ARISING OUT OF OR BASED UPON THIS AGREEMENT OR ANY MATTER RELATING TO THIS AGREEMENT, OR ANY OTHER TRANSACTION DOCUMENT, OR ANY CONTEMPLATED TRANSACTION. THE PARTIES ACKNOWLEDGE THAT THIS IS A WAIVER OF A LEGAL RIGHT AND THAT THE PARTIES EACH MAKE THIS WAIVER VOLUNTARILY AND KNOWINGLY AFTER CONSULTATION WITH COUNSEL OF THEIR RESPECTIVE CHOICE. THE PARTIES AGREE THAT ALL SUCH CLAIMS SHALL BE TRIED BEFORE A JUDGE OF A COURT HAVING JURISDICTION, WITHOUT A JURY.</w:t>
      </w:r>
    </w:p>
    <w:p>
      <w:pPr>
        <w:spacing w:after="0" w:line="152" w:lineRule="exact"/>
        <w:rPr>
          <w:rFonts w:ascii="Times New Roman" w:cs="Times New Roman" w:eastAsia="Times New Roman" w:hAnsi="Times New Roman"/>
          <w:sz w:val="22"/>
          <w:szCs w:val="22"/>
          <w:color w:val="auto"/>
        </w:rPr>
      </w:pPr>
    </w:p>
    <w:p>
      <w:pPr>
        <w:jc w:val="both"/>
        <w:ind w:left="-656" w:firstLine="656"/>
        <w:spacing w:after="0" w:line="216" w:lineRule="auto"/>
        <w:tabs>
          <w:tab w:leader="none" w:pos="637"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two or more identical counterparts, all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45" w:lineRule="exact"/>
        <w:rPr>
          <w:rFonts w:ascii="Times New Roman" w:cs="Times New Roman" w:eastAsia="Times New Roman" w:hAnsi="Times New Roman"/>
          <w:sz w:val="22"/>
          <w:szCs w:val="22"/>
          <w:color w:val="auto"/>
        </w:rPr>
      </w:pPr>
    </w:p>
    <w:p>
      <w:pPr>
        <w:jc w:val="both"/>
        <w:ind w:left="-656" w:firstLine="656"/>
        <w:spacing w:after="0" w:line="216" w:lineRule="auto"/>
        <w:tabs>
          <w:tab w:leader="none" w:pos="6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Headings; Gender</w:t>
      </w:r>
      <w:r>
        <w:rPr>
          <w:rFonts w:ascii="Times New Roman" w:cs="Times New Roman" w:eastAsia="Times New Roman" w:hAnsi="Times New Roman"/>
          <w:sz w:val="22"/>
          <w:szCs w:val="22"/>
          <w:color w:val="auto"/>
        </w:rPr>
        <w:t>. The headings of this Agreement are for convenience of reference and shall not form part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45" w:lineRule="exact"/>
        <w:rPr>
          <w:rFonts w:ascii="Times New Roman" w:cs="Times New Roman" w:eastAsia="Times New Roman" w:hAnsi="Times New Roman"/>
          <w:sz w:val="22"/>
          <w:szCs w:val="22"/>
          <w:color w:val="auto"/>
        </w:rPr>
      </w:pPr>
    </w:p>
    <w:p>
      <w:pPr>
        <w:jc w:val="both"/>
        <w:ind w:left="-656" w:firstLine="656"/>
        <w:spacing w:after="0" w:line="226" w:lineRule="auto"/>
        <w:tabs>
          <w:tab w:leader="none" w:pos="635"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Entire Agreement, Amendments</w:t>
      </w:r>
      <w:r>
        <w:rPr>
          <w:rFonts w:ascii="Times New Roman" w:cs="Times New Roman" w:eastAsia="Times New Roman" w:hAnsi="Times New Roman"/>
          <w:sz w:val="21"/>
          <w:szCs w:val="21"/>
          <w:color w:val="auto"/>
        </w:rPr>
        <w:t>. This Agreement supersedes all other prior oral or written agreements between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Buyer, the Company, their affiliates and persons acting on their behalf with respect to the matters discussed herein, and this Agreement and the instruments referenced herein contain the entire understanding of the parties with respect to the matters covered herein and therein and, except as specifically set forth herein or therein, neither the Company nor any Buyer makes any representation, warranty, covenant or undertaking with respect to such matters. No provision of this Agreement may be waived or amended other than by an instrument in writing signed by the party to be charged with enforcement.</w:t>
      </w:r>
    </w:p>
    <w:p>
      <w:pPr>
        <w:spacing w:after="0" w:line="147" w:lineRule="exact"/>
        <w:rPr>
          <w:rFonts w:ascii="Times New Roman" w:cs="Times New Roman" w:eastAsia="Times New Roman" w:hAnsi="Times New Roman"/>
          <w:sz w:val="21"/>
          <w:szCs w:val="21"/>
          <w:color w:val="auto"/>
        </w:rPr>
      </w:pPr>
    </w:p>
    <w:p>
      <w:pPr>
        <w:jc w:val="both"/>
        <w:ind w:left="-656" w:firstLine="656"/>
        <w:spacing w:after="0" w:line="218" w:lineRule="auto"/>
        <w:tabs>
          <w:tab w:leader="none" w:pos="635"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notices, consents, waivers or other communications required or permitted to be given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of this Agreement must be in writing by letter and email and will be deemed to have been delivered: upon the later of (A) either (i) receipt, when delivered personally or (ii) one Business Day after deposit with an overnight courier service with next day delivery specified, in each case, properly addressed to the party to receive the same and (B) receipt, when sent by electronic mail. The addresses and email­ addresses for such communications shall be:</w:t>
      </w:r>
    </w:p>
    <w:p>
      <w:pPr>
        <w:sectPr>
          <w:pgSz w:w="11900" w:h="16838" w:orient="portrait"/>
          <w:cols w:equalWidth="0" w:num="1">
            <w:col w:w="10584"/>
          </w:cols>
          <w:pgMar w:left="976" w:top="1395" w:right="339" w:bottom="1440" w:gutter="0" w:footer="0" w:header="0"/>
        </w:sectPr>
      </w:pPr>
    </w:p>
    <w:bookmarkStart w:id="103" w:name="page104"/>
    <w:bookmarkEnd w:id="103"/>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right="1720"/>
        <w:spacing w:after="0" w:line="271" w:lineRule="auto"/>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If to the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right="1720"/>
        <w:spacing w:after="0" w:line="271" w:lineRule="auto"/>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Cybin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King Street West, Suite 5600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Toronto, Ontario M5X 1C9</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Attn: Gabriel Fahel, Chief Legal Officer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[REDACTED]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[REDACTED]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Aird &amp; Berlis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181 Bay Street, Suite 1800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Toronto, Ontario M5J 2T9</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Sherri Altshuler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416-865-3081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saltshuler@airdberlis.com</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High Trail Capital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221 River Street, 9th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Hoboken, NJ 07030</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Eric Helenek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[REDACTED]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Haynes and Boone,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Rockefeller Plaza; 26th Floor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10112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Rick A. Werner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[REDACTED]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[REDACTED]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Stikeman Elliott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666 Burrard Street, Suite 1700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Vancouver, British Columbia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Michael G. Urbani</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[REDACTED]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[REDACTED]</w:t>
      </w:r>
    </w:p>
    <w:p>
      <w:pPr>
        <w:spacing w:after="0" w:line="553" w:lineRule="exact"/>
        <w:rPr>
          <w:sz w:val="20"/>
          <w:szCs w:val="20"/>
          <w:color w:val="auto"/>
        </w:rPr>
      </w:pPr>
    </w:p>
    <w:p>
      <w:pPr>
        <w:sectPr>
          <w:pgSz w:w="11900" w:h="16838" w:orient="portrait"/>
          <w:cols w:equalWidth="0" w:num="2">
            <w:col w:w="4200" w:space="720"/>
            <w:col w:w="6320"/>
          </w:cols>
          <w:pgMar w:left="320" w:top="1440" w:right="339" w:bottom="1440" w:gutter="0" w:footer="0" w:header="0"/>
        </w:sectPr>
      </w:pPr>
    </w:p>
    <w:p>
      <w:pPr>
        <w:spacing w:after="0" w:line="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or to such other address, email­ address and/or to the attention of such other Person as the recipient party has specified by written notice given to each other party five days prior to the effectiveness of such change. Written confirmation of receipt (A) given by the recipient of such notice, consent, waiver or other communication, (B) electronically generated by the sender’s e-mail service provider containing the time, date, recipient e-mail address or (C) provided by an</w:t>
      </w:r>
    </w:p>
    <w:p>
      <w:pPr>
        <w:sectPr>
          <w:pgSz w:w="11900" w:h="16838" w:orient="portrait"/>
          <w:cols w:equalWidth="0" w:num="1">
            <w:col w:w="11240"/>
          </w:cols>
          <w:pgMar w:left="320" w:top="1440" w:right="339" w:bottom="1440" w:gutter="0" w:footer="0" w:header="0"/>
          <w:type w:val="continuous"/>
        </w:sectPr>
      </w:pPr>
    </w:p>
    <w:bookmarkStart w:id="104" w:name="page105"/>
    <w:bookmarkEnd w:id="104"/>
    <w:p>
      <w:pPr>
        <w:spacing w:after="0" w:line="271" w:lineRule="auto"/>
        <w:rPr>
          <w:sz w:val="20"/>
          <w:szCs w:val="20"/>
          <w:color w:val="auto"/>
        </w:rPr>
      </w:pPr>
      <w:r>
        <w:rPr>
          <w:rFonts w:ascii="Times New Roman" w:cs="Times New Roman" w:eastAsia="Times New Roman" w:hAnsi="Times New Roman"/>
          <w:sz w:val="22"/>
          <w:szCs w:val="22"/>
          <w:color w:val="auto"/>
        </w:rPr>
        <w:t>overnight courier service shall be rebuttable evidence of personal service, receipt by facsimile or receipt from an overnight courier service in accordance with clause (i), (ii) or (iii) above, respectively.</w:t>
      </w:r>
    </w:p>
    <w:p>
      <w:pPr>
        <w:spacing w:after="0" w:line="127" w:lineRule="exact"/>
        <w:rPr>
          <w:sz w:val="20"/>
          <w:szCs w:val="20"/>
          <w:color w:val="auto"/>
        </w:rPr>
      </w:pPr>
    </w:p>
    <w:p>
      <w:pPr>
        <w:jc w:val="both"/>
        <w:ind w:firstLine="656"/>
        <w:spacing w:after="0" w:line="218" w:lineRule="auto"/>
        <w:tabs>
          <w:tab w:leader="none" w:pos="128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 and Assigns</w:t>
      </w:r>
      <w:r>
        <w:rPr>
          <w:rFonts w:ascii="Times New Roman" w:cs="Times New Roman" w:eastAsia="Times New Roman" w:hAnsi="Times New Roman"/>
          <w:sz w:val="22"/>
          <w:szCs w:val="22"/>
          <w:color w:val="auto"/>
        </w:rPr>
        <w:t>. This Agreement shall be binding upon and inure to the benefit of the parties and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successors and assigns, including any purchasers of any of the Convertible Note (but excluding any purchasers of Underlying Securities). Neither party shall assign this Agreement or any rights or obligations hereunder without the prior written consent of the other party, which consent shall not be unreasonably withheld, provided that the Buyer may sell, transfer or assign this Agreement or any rights or obligations hereunder to its affiliates without prior written consent of the Company.</w:t>
      </w:r>
    </w:p>
    <w:p>
      <w:pPr>
        <w:spacing w:after="0" w:line="14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Indemnification</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960" w:hanging="656"/>
        <w:spacing w:after="0" w:line="208" w:lineRule="auto"/>
        <w:tabs>
          <w:tab w:leader="none" w:pos="1948"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of the Buyer’s execution and delivery of the Transaction Documents and acquiring the Securities thereunder and in addition to all of the Company’s other obligations under the Transaction Documents, the Company shall defend, protect, indemnify and hold harmless the Buyer and all of their shareholders,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Indemnitees”</w:t>
      </w:r>
      <w:r>
        <w:rPr>
          <w:rFonts w:ascii="Times New Roman" w:cs="Times New Roman" w:eastAsia="Times New Roman" w:hAnsi="Times New Roman"/>
          <w:sz w:val="22"/>
          <w:szCs w:val="22"/>
          <w:color w:val="auto"/>
        </w:rPr>
        <w:t>) from and against any and all actions, causes of action, suits, claims, losses, costs, penalties,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fees, liabilities and damages, and reasonable and documented expenses in connection therewith (irrespective of whether any the Buyer Indemnitee is a party to the action for which indemnification hereunder is sought), and including reasonable attorneys’ fees and disbursements (the </w:t>
      </w:r>
      <w:r>
        <w:rPr>
          <w:rFonts w:ascii="Times New Roman" w:cs="Times New Roman" w:eastAsia="Times New Roman" w:hAnsi="Times New Roman"/>
          <w:sz w:val="22"/>
          <w:szCs w:val="22"/>
          <w:b w:val="1"/>
          <w:bCs w:val="1"/>
          <w:color w:val="auto"/>
        </w:rPr>
        <w:t>“Indemnified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Liabilities”</w:t>
      </w:r>
      <w:r>
        <w:rPr>
          <w:rFonts w:ascii="Times New Roman" w:cs="Times New Roman" w:eastAsia="Times New Roman" w:hAnsi="Times New Roman"/>
          <w:sz w:val="22"/>
          <w:szCs w:val="22"/>
          <w:color w:val="auto"/>
        </w:rPr>
        <w:t>), incurred by any Buyer Indemnitee as a result of, or arising out of, or relating to (i)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 misrepresentation or material breach of any representation or warranty made by the Company in any of the Transaction Documents, or (ii) any material breach of any material covenant, material agreement or material obligation of the Company or any Subsidiary contained in any of the Transaction Documents.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160" w:lineRule="exact"/>
        <w:rPr>
          <w:rFonts w:ascii="Times New Roman" w:cs="Times New Roman" w:eastAsia="Times New Roman" w:hAnsi="Times New Roman"/>
          <w:sz w:val="22"/>
          <w:szCs w:val="22"/>
          <w:color w:val="auto"/>
        </w:rPr>
      </w:pPr>
    </w:p>
    <w:p>
      <w:pPr>
        <w:jc w:val="both"/>
        <w:ind w:left="1960" w:hanging="656"/>
        <w:spacing w:after="0" w:line="211" w:lineRule="auto"/>
        <w:tabs>
          <w:tab w:leader="none" w:pos="1954"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of the Company’s execution and delivery of the Transaction Documents and in addition to the Buyer’s obligations under the Transaction Documents, the Buyer shall defend, protect, indemnify and hold harmless the Company and its shareholders,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22"/>
          <w:szCs w:val="22"/>
          <w:b w:val="1"/>
          <w:bCs w:val="1"/>
          <w:color w:val="auto"/>
        </w:rPr>
        <w:t>“Company Indemnitees”</w:t>
      </w:r>
      <w:r>
        <w:rPr>
          <w:rFonts w:ascii="Times New Roman" w:cs="Times New Roman" w:eastAsia="Times New Roman" w:hAnsi="Times New Roman"/>
          <w:sz w:val="22"/>
          <w:szCs w:val="22"/>
          <w:color w:val="auto"/>
        </w:rPr>
        <w:t>) from and against any and all Indemnified Liabilities, incurred by any Company Indemnitees as a result of, or arising out of, or relating to (i) any misrepresentation or breach of any representation or warranty made by the Buyer in any of the Transaction Documents, or (ii) any material breach of any material covenant, material agreement or material obligation of the Buyer contained in any of the Transaction Documents. To the extent that</w:t>
      </w:r>
    </w:p>
    <w:p>
      <w:pPr>
        <w:sectPr>
          <w:pgSz w:w="11900" w:h="16838" w:orient="portrait"/>
          <w:cols w:equalWidth="0" w:num="1">
            <w:col w:w="11240"/>
          </w:cols>
          <w:pgMar w:left="320" w:top="1422" w:right="339" w:bottom="1440" w:gutter="0" w:footer="0" w:header="0"/>
        </w:sectPr>
      </w:pPr>
    </w:p>
    <w:bookmarkStart w:id="105" w:name="page106"/>
    <w:bookmarkEnd w:id="105"/>
    <w:p>
      <w:pPr>
        <w:jc w:val="both"/>
        <w:ind w:left="840"/>
        <w:spacing w:after="0" w:line="225" w:lineRule="auto"/>
        <w:rPr>
          <w:sz w:val="20"/>
          <w:szCs w:val="20"/>
          <w:color w:val="auto"/>
        </w:rPr>
      </w:pPr>
      <w:r>
        <w:rPr>
          <w:rFonts w:ascii="Times New Roman" w:cs="Times New Roman" w:eastAsia="Times New Roman" w:hAnsi="Times New Roman"/>
          <w:sz w:val="22"/>
          <w:szCs w:val="22"/>
          <w:color w:val="auto"/>
        </w:rPr>
        <w:t>the foregoing undertaking by the Buyer may be unenforceable for any reason, the Buyer shall make the maximum contribution to the payment and satisfaction of each of the Indemnified Liabilities which is permissible under applicable law.</w:t>
      </w:r>
    </w:p>
    <w:p>
      <w:pPr>
        <w:spacing w:after="0" w:line="153" w:lineRule="exact"/>
        <w:rPr>
          <w:sz w:val="20"/>
          <w:szCs w:val="20"/>
          <w:color w:val="auto"/>
        </w:rPr>
      </w:pPr>
    </w:p>
    <w:p>
      <w:pPr>
        <w:jc w:val="both"/>
        <w:ind w:left="840" w:hanging="656"/>
        <w:spacing w:after="0" w:line="223" w:lineRule="auto"/>
        <w:tabs>
          <w:tab w:leader="none" w:pos="84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receipt by a Buyer Indemnitee or Company Indemnitee under this Section 9(i) of notice of the commencement of any action or proceeding (including any governmental action or proceeding) involving an Indemnified Liability, the Buyer Indemnitee or Company Indemnitee shall, if a claim in respect thereof is to be made against the Company or a Buyer under this Section 9(i), deliver to the Company or Buyer, as applicable, a written notice of the commencement thereof, and the Company or Buyer shall have the right to participate in, and, to the extent the Company or Buyer, as applicable so desires, to assume control of the defense thereof with counsel mutually reasonably satisfactory to the Company or Buyer and the Buyer Indemnitee or Company Indemnitee, as applicable; provided, however, that a Buyer Indemnitee or Company Indemnitee shall have the right to retain its own counsel with the actual and reasonable fees and expenses of such counsel to be paid by the Company or Buyer, if applicable, if: (A) the Company or Buyer has agreed in writing to pay such fees and expenses; (B) the Company or Buyer shall have failed promptly to assume the defense of such Indemnified Liability and to employ counsel reasonably satisfactory to the Buyer Indemnitee or Company Indemnitee in any such Indemnified Liability; or (C) the named parties to any such Indemnified Liability (including any impleaded parties) include both the Buyer Indemnitee or Company Indemnitee and the Company or Buyer, as applicable, and the Buyer Indemnitee or Company Indemnitee shall have been advised by counsel that a conflict of interest is likely to exist if the same counsel were to represent such Indemnitee and the Company or the Buyer, as applicable (in which case, if the Buyer Indemnitee or Company Indemnitee notifies the Company or Buyer, as applicable, in writing that it elects to employ separate counsel at the expense of the Company or Buyer, as applicable, then the Company or Buyer, as applicable, shall not have the right to assume the defense thereof and such counsel shall be at the expense of the Company or Buyer, as applicable), provided further, that in the case of clause (C) above the Company or Buyer shall not be responsible for the reasonable fees and expenses of more than one separate legal counsel for the Indemnitees. The Buyer Indemnitee or Company Indemnitee shall reasonably cooperate with the Company or Buyer, as applicable, in connection with any negotiation or defense of any such action or Indemnified Liability by the Company or Buyer and shall furnish to the Company or Buyer all information reasonably available to the Indemnitee which relates to such action or Indemnified Liability. The Company or Buyer shall keep the Buyer Indemnitee or Company Indemnitee reasonably apprised at all times as to the status of the defense or any settlement negotiations with respect thereto. The Company or Buyer shall not be liable for any settlement of any action, claim or proceeding effected without its prior written consent, provided, however, that the Company or Buyer shall not unreasonably withhold, delay or condition its consent. The Company or Buyer, as applicable, shall not, without the prior written consent of the Buyer Indemnitee or Company Indemnitee, consent to entry of any judgment or enter into any settlement or other compromise which does not include as an unconditional term thereof the giving by the</w:t>
      </w:r>
    </w:p>
    <w:p>
      <w:pPr>
        <w:sectPr>
          <w:pgSz w:w="11900" w:h="16838" w:orient="portrait"/>
          <w:cols w:equalWidth="0" w:num="1">
            <w:col w:w="10120"/>
          </w:cols>
          <w:pgMar w:left="1440" w:top="1395" w:right="339" w:bottom="1440" w:gutter="0" w:footer="0" w:header="0"/>
        </w:sectPr>
      </w:pPr>
    </w:p>
    <w:bookmarkStart w:id="106" w:name="page107"/>
    <w:bookmarkEnd w:id="106"/>
    <w:p>
      <w:pPr>
        <w:jc w:val="both"/>
        <w:ind w:left="1940"/>
        <w:spacing w:after="0" w:line="211" w:lineRule="auto"/>
        <w:rPr>
          <w:sz w:val="20"/>
          <w:szCs w:val="20"/>
          <w:color w:val="auto"/>
        </w:rPr>
      </w:pPr>
      <w:r>
        <w:rPr>
          <w:rFonts w:ascii="Times New Roman" w:cs="Times New Roman" w:eastAsia="Times New Roman" w:hAnsi="Times New Roman"/>
          <w:sz w:val="22"/>
          <w:szCs w:val="22"/>
          <w:color w:val="auto"/>
        </w:rPr>
        <w:t>claimant or plaintiff to the Buyer Indemnitee or Company Indemnitee of a release from all liability in respect to such Indemnified Liability or litigation, and such settlement shall not include any admission as to fault on the part of the Buyer Indemnitee or Company Indemnitee. Following indemnification as provided for hereunder, the Company or Buyer, as applicable, shall be subrogated to all rights of the Indemnitee with respect to all third parties, firms or corporations relating to the matter for which indemnification has been made. The failure to deliver written notice to the Company or Buyer, as applicable, within a reasonable time of the commencement of any such action shall not relieve the Company or Buyer, as applicable, of any liability to the Buyer Indemnitee or Company Indemnitee under this Section 9(i), except to the extent that the Company or Buyer, as applicable, is materially and adversely prejudiced in its ability to defend such action.</w:t>
      </w:r>
    </w:p>
    <w:p>
      <w:pPr>
        <w:spacing w:after="0" w:line="152" w:lineRule="exact"/>
        <w:rPr>
          <w:sz w:val="20"/>
          <w:szCs w:val="20"/>
          <w:color w:val="auto"/>
        </w:rPr>
      </w:pPr>
    </w:p>
    <w:p>
      <w:pPr>
        <w:jc w:val="both"/>
        <w:ind w:left="1940" w:hanging="656"/>
        <w:spacing w:after="0" w:line="225" w:lineRule="auto"/>
        <w:tabs>
          <w:tab w:leader="none" w:pos="1928"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indemnification required by this Section 9(i) shall be made by periodic payments of the amount thereof during the course of the investigation or defense, within 10 days after bills supporting the Indemnified Liabilities are received by the Company or the Buyer, as applicable.</w:t>
      </w:r>
    </w:p>
    <w:p>
      <w:pPr>
        <w:spacing w:after="0" w:line="152" w:lineRule="exact"/>
        <w:rPr>
          <w:rFonts w:ascii="Times New Roman" w:cs="Times New Roman" w:eastAsia="Times New Roman" w:hAnsi="Times New Roman"/>
          <w:sz w:val="22"/>
          <w:szCs w:val="22"/>
          <w:color w:val="auto"/>
        </w:rPr>
      </w:pPr>
    </w:p>
    <w:p>
      <w:pPr>
        <w:jc w:val="both"/>
        <w:ind w:left="1940" w:hanging="656"/>
        <w:spacing w:after="0" w:line="226" w:lineRule="auto"/>
        <w:tabs>
          <w:tab w:leader="none" w:pos="1935"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indemnity agreement contained herein shall be in addition to (A) any cause of action or similar right of the Buyer Indemnitee or Company Indemnitee against the Company or Buyer, as applicable, or others, and</w:t>
      </w:r>
    </w:p>
    <w:p>
      <w:pPr>
        <w:spacing w:after="0" w:line="1" w:lineRule="exact"/>
        <w:rPr>
          <w:rFonts w:ascii="Times New Roman" w:cs="Times New Roman" w:eastAsia="Times New Roman" w:hAnsi="Times New Roman"/>
          <w:sz w:val="21"/>
          <w:szCs w:val="21"/>
          <w:color w:val="auto"/>
        </w:rPr>
      </w:pPr>
    </w:p>
    <w:p>
      <w:pPr>
        <w:ind w:left="1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any liabilities the Company or Buyer may be subject to pursuant to applicable law.</w:t>
      </w:r>
    </w:p>
    <w:p>
      <w:pPr>
        <w:spacing w:after="0" w:line="151" w:lineRule="exact"/>
        <w:rPr>
          <w:rFonts w:ascii="Times New Roman" w:cs="Times New Roman" w:eastAsia="Times New Roman" w:hAnsi="Times New Roman"/>
          <w:sz w:val="21"/>
          <w:szCs w:val="21"/>
          <w:color w:val="auto"/>
        </w:rPr>
      </w:pPr>
    </w:p>
    <w:p>
      <w:pPr>
        <w:ind w:left="-20" w:firstLine="656"/>
        <w:spacing w:after="0" w:line="238" w:lineRule="auto"/>
        <w:tabs>
          <w:tab w:leader="none" w:pos="126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Strict Construction</w:t>
      </w:r>
      <w:r>
        <w:rPr>
          <w:rFonts w:ascii="Times New Roman" w:cs="Times New Roman" w:eastAsia="Times New Roman" w:hAnsi="Times New Roman"/>
          <w:sz w:val="22"/>
          <w:szCs w:val="22"/>
          <w:color w:val="auto"/>
        </w:rPr>
        <w:t>. The language used in this Agreement will be deemed to be the language chosen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to express their mutual intent, and no rules of strict construction will be applied against any party.</w:t>
      </w:r>
    </w:p>
    <w:p>
      <w:pPr>
        <w:spacing w:after="0" w:line="146" w:lineRule="exact"/>
        <w:rPr>
          <w:rFonts w:ascii="Times New Roman" w:cs="Times New Roman" w:eastAsia="Times New Roman" w:hAnsi="Times New Roman"/>
          <w:sz w:val="22"/>
          <w:szCs w:val="22"/>
          <w:color w:val="auto"/>
        </w:rPr>
      </w:pPr>
    </w:p>
    <w:p>
      <w:pPr>
        <w:ind w:left="-20" w:firstLine="656"/>
        <w:spacing w:after="0" w:line="238" w:lineRule="auto"/>
        <w:tabs>
          <w:tab w:leader="none" w:pos="126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Currency</w:t>
      </w:r>
      <w:r>
        <w:rPr>
          <w:rFonts w:ascii="Times New Roman" w:cs="Times New Roman" w:eastAsia="Times New Roman" w:hAnsi="Times New Roman"/>
          <w:sz w:val="22"/>
          <w:szCs w:val="22"/>
          <w:color w:val="auto"/>
        </w:rPr>
        <w:t>. Unless otherwise specified, all references to “$” or “dollars” in this Agreement means the lawful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currency of the United States of America.</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ectPr>
          <w:pgSz w:w="11900" w:h="16838" w:orient="portrait"/>
          <w:cols w:equalWidth="0" w:num="1">
            <w:col w:w="11220"/>
          </w:cols>
          <w:pgMar w:left="340" w:top="1395" w:right="339" w:bottom="1440" w:gutter="0" w:footer="0" w:header="0"/>
        </w:sectPr>
      </w:pPr>
    </w:p>
    <w:bookmarkStart w:id="107" w:name="page108"/>
    <w:bookmarkEnd w:id="107"/>
    <w:p>
      <w:pPr>
        <w:spacing w:after="0" w:line="200" w:lineRule="exact"/>
        <w:rPr>
          <w:sz w:val="20"/>
          <w:szCs w:val="20"/>
          <w:color w:val="auto"/>
        </w:rPr>
      </w:pPr>
    </w:p>
    <w:p>
      <w:pPr>
        <w:spacing w:after="0" w:line="237"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Buyer and the Company have caused their respective signature page to this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Agreement to be duly executed as of the date first written above.</w:t>
      </w:r>
    </w:p>
    <w:p>
      <w:pPr>
        <w:spacing w:after="0" w:line="1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(signed) “</w:t>
      </w:r>
      <w:r>
        <w:rPr>
          <w:rFonts w:ascii="Times New Roman" w:cs="Times New Roman" w:eastAsia="Times New Roman" w:hAnsi="Times New Roman"/>
          <w:sz w:val="21"/>
          <w:szCs w:val="21"/>
          <w:i w:val="1"/>
          <w:iCs w:val="1"/>
          <w:color w:val="auto"/>
        </w:rPr>
        <w:t>Doug Drysdale</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-11430</wp:posOffset>
            </wp:positionV>
            <wp:extent cx="17214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721485" cy="8890"/>
                    </a:xfrm>
                    <a:prstGeom prst="rect">
                      <a:avLst/>
                    </a:prstGeom>
                    <a:noFill/>
                  </pic:spPr>
                </pic:pic>
              </a:graphicData>
            </a:graphic>
          </wp:anchor>
        </w:drawing>
      </w:r>
    </w:p>
    <w:p>
      <w:pPr>
        <w:spacing w:after="0" w:line="12"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Doug Drysdale</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200" w:lineRule="exact"/>
        <w:rPr>
          <w:sz w:val="20"/>
          <w:szCs w:val="20"/>
          <w:color w:val="auto"/>
        </w:rPr>
      </w:pPr>
    </w:p>
    <w:p>
      <w:pPr>
        <w:spacing w:after="0" w:line="264"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Buyer and the Company have caused their respective signature page to this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Agreement to be duly executed as of the date first written above.</w:t>
      </w:r>
    </w:p>
    <w:p>
      <w:pPr>
        <w:spacing w:after="0" w:line="1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BUYER:</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HIGH TRAIL SPECIAL SITUATIONS LLC</w:t>
      </w:r>
    </w:p>
    <w:p>
      <w:pPr>
        <w:spacing w:after="0" w:line="200" w:lineRule="exact"/>
        <w:rPr>
          <w:sz w:val="20"/>
          <w:szCs w:val="20"/>
          <w:color w:val="auto"/>
        </w:rPr>
      </w:pPr>
    </w:p>
    <w:p>
      <w:pPr>
        <w:spacing w:after="0" w:line="29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(signed) “</w:t>
      </w:r>
      <w:r>
        <w:rPr>
          <w:rFonts w:ascii="Times New Roman" w:cs="Times New Roman" w:eastAsia="Times New Roman" w:hAnsi="Times New Roman"/>
          <w:sz w:val="21"/>
          <w:szCs w:val="21"/>
          <w:i w:val="1"/>
          <w:iCs w:val="1"/>
          <w:color w:val="auto"/>
        </w:rPr>
        <w:t>Erik Helenek</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-11430</wp:posOffset>
            </wp:positionV>
            <wp:extent cx="17367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736725" cy="8890"/>
                    </a:xfrm>
                    <a:prstGeom prst="rect">
                      <a:avLst/>
                    </a:prstGeom>
                    <a:noFill/>
                  </pic:spPr>
                </pic:pic>
              </a:graphicData>
            </a:graphic>
          </wp:anchor>
        </w:drawing>
      </w:r>
    </w:p>
    <w:p>
      <w:pPr>
        <w:spacing w:after="0" w:line="12"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Erik Helenek</w:t>
      </w:r>
    </w:p>
    <w:p>
      <w:pPr>
        <w:spacing w:after="0" w:line="4" w:lineRule="exact"/>
        <w:rPr>
          <w:sz w:val="20"/>
          <w:szCs w:val="20"/>
          <w:color w:val="auto"/>
        </w:rPr>
      </w:pPr>
    </w:p>
    <w:p>
      <w:pPr>
        <w:ind w:left="3900"/>
        <w:spacing w:after="0"/>
        <w:tabs>
          <w:tab w:leader="none" w:pos="45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ectPr>
          <w:pgSz w:w="11900" w:h="16838" w:orient="portrait"/>
          <w:cols w:equalWidth="0" w:num="1">
            <w:col w:w="11220"/>
          </w:cols>
          <w:pgMar w:left="320" w:top="1440" w:right="359" w:bottom="1440" w:gutter="0" w:footer="0" w:header="0"/>
        </w:sectPr>
      </w:pPr>
    </w:p>
    <w:bookmarkStart w:id="109" w:name="page110"/>
    <w:bookmarkEnd w:id="109"/>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FORM OF CONVERTIBLE NOTE</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[See attached]</w:t>
      </w:r>
    </w:p>
    <w:p>
      <w:pPr>
        <w:sectPr>
          <w:pgSz w:w="11900" w:h="16838" w:orient="portrait"/>
          <w:cols w:equalWidth="0" w:num="1">
            <w:col w:w="10139"/>
          </w:cols>
          <w:pgMar w:left="320" w:top="1391" w:right="1440" w:bottom="1440" w:gutter="0" w:footer="0" w:header="0"/>
        </w:sectPr>
      </w:pPr>
    </w:p>
    <w:bookmarkStart w:id="110" w:name="page111"/>
    <w:bookmarkEnd w:id="110"/>
    <w:p>
      <w:pPr>
        <w:spacing w:after="0" w:line="2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THE SECURITIES REPRESENTED HEREBY AND THOSE SECURITIES INTO WHICH THEY ARE CONVERTIBLE HAVE NOT BEEN REGISTERED UNDER THE UNITED STATES SECURITIES ACT OF 1933, AS AMENDED (THE “</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b w:val="1"/>
          <w:bCs w:val="1"/>
          <w:color w:val="auto"/>
        </w:rPr>
        <w:t>”), OR APPLICABLE STATE SECURITIES LAWS. THE SECURITIES AND THOSE SECURITIES INTO WHICH THEY ARE CONVERTIBLE HAVE BEEN ACQUIRED SOLELY FOR INVESTMENT PURPOSES AND NOT WITH A VIEW TOWARD RESALE AND MAY ONLY BE OFFERED FOR SALE, SOLD, TRANSFERRED OR ASSIGNED (A) TO THE CORPORATION, (B) OUTSIDE THE UNITED STATES IN COMPLIANCE WITH RULE 904 OF REGULATION S UNDER THE SECURITIES ACT AND IN COMPLIANCE WITH LOCAL LAWS AND REGULATIONS, (C) IN COMPLIANCE WITH THE EXEMPTION FROM REGISTRATION UNDER THE SECURITIES ACT PROVIDED BY RULE 144 THEREUNDER, IF AVAILABLE, AND IN COMPLIANCE WITH ANY APPLICABLE STATE SECURITIES OR “BLUE SKY” LAWS, (D) IN A TRANSACTION THAT DOES NOT REQUIRE REGISTRATION UNDER THE SECURITIES ACT OR ANY APPLICABLE STATE SECURITIES LAWS, OR (E) PURSUANT TO AN EFFECTIVE REGISTRATION STATEMENT AND, IN THE CASE OF SUBPARAGRAPH (C) OR (D), THE SELLER FURNISHES TO THE CORPORATION AN OPINION OF COUNSEL OF RECOGNIZED STANDING OR SUCH OTHER EVIDENCE AS THE CORPORATION MAY REQUIRE IN FORM AND SUBSTANCE REASONABLY SATISFACTORY TO THE CORPORATION TO SUCH EFFECT. NOTWITHSTANDING THE FOREGOING, THE SECURITIES MAY BE PLEDGED IN CONNECTION WITH A BONA FIDE MARGIN ACCOUNT OR OTHER LOAN OR FINANCING ARRANGEMENT SECURED BY THE SECURITIES. DELIVERY OF THIS CERTIFICATE MAY NOT CONSTITUTE “GOOD DELIVERY” IN SETTLEMENT OF TRANSACTIONS ON STOCK EXCHANGES IN CANADA</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Convertible Note</w:t>
      </w: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2800" w:val="left"/>
        </w:tabs>
        <w:rPr>
          <w:sz w:val="20"/>
          <w:szCs w:val="20"/>
          <w:color w:val="auto"/>
        </w:rPr>
      </w:pPr>
      <w:r>
        <w:rPr>
          <w:rFonts w:ascii="Times New Roman" w:cs="Times New Roman" w:eastAsia="Times New Roman" w:hAnsi="Times New Roman"/>
          <w:sz w:val="22"/>
          <w:szCs w:val="22"/>
          <w:b w:val="1"/>
          <w:bCs w:val="1"/>
          <w:color w:val="auto"/>
        </w:rPr>
        <w:t>Original Principal Amount:</w:t>
      </w:r>
      <w:r>
        <w:rPr>
          <w:sz w:val="20"/>
          <w:szCs w:val="20"/>
          <w:color w:val="auto"/>
        </w:rPr>
        <w:tab/>
      </w:r>
      <w:r>
        <w:rPr>
          <w:rFonts w:ascii="Times New Roman" w:cs="Times New Roman" w:eastAsia="Times New Roman" w:hAnsi="Times New Roman"/>
          <w:sz w:val="21"/>
          <w:szCs w:val="21"/>
          <w:b w:val="1"/>
          <w:bCs w:val="1"/>
          <w:color w:val="auto"/>
        </w:rPr>
        <w:t>$50,000,000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Issuance Date: June 30,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CYBN-1</w:t>
      </w:r>
    </w:p>
    <w:p>
      <w:pPr>
        <w:spacing w:after="0" w:line="19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FOR VALUE RECEIVED, </w:t>
      </w:r>
      <w:r>
        <w:rPr>
          <w:rFonts w:ascii="Times New Roman" w:cs="Times New Roman" w:eastAsia="Times New Roman" w:hAnsi="Times New Roman"/>
          <w:sz w:val="22"/>
          <w:szCs w:val="22"/>
          <w:color w:val="auto"/>
        </w:rPr>
        <w:t>CYBIN INC., a corporation organized under the Business Corporations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(Ontario)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promises to pay to the order of High Trail Special Situations LLC, 290 Harbor Drive, 3rd Floor Stamford, CT 06902 Attn: Capital Solutions or its registered assigns (the “</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the amount set out above as the Original Principal Amount (or such lesser amount as reduced pursuant to the terms hereof pursuant to repayment, redemption, conversion or otherwise, the “</w:t>
      </w:r>
      <w:r>
        <w:rPr>
          <w:rFonts w:ascii="Times New Roman" w:cs="Times New Roman" w:eastAsia="Times New Roman" w:hAnsi="Times New Roman"/>
          <w:sz w:val="22"/>
          <w:szCs w:val="22"/>
          <w:b w:val="1"/>
          <w:bCs w:val="1"/>
          <w:color w:val="auto"/>
        </w:rPr>
        <w:t>Principal</w:t>
      </w:r>
      <w:r>
        <w:rPr>
          <w:rFonts w:ascii="Times New Roman" w:cs="Times New Roman" w:eastAsia="Times New Roman" w:hAnsi="Times New Roman"/>
          <w:sz w:val="22"/>
          <w:szCs w:val="22"/>
          <w:color w:val="auto"/>
        </w:rPr>
        <w:t>”) and the Payment Premium (as defined below), in each case when due, and to pay Pre-Paid Interest Amount (as defined below), whether upon the Maturity Date or acceleration, conversion, redemption or otherwise (in each case in accordance with the terms hereof). The</w:t>
      </w:r>
    </w:p>
    <w:p>
      <w:pPr>
        <w:sectPr>
          <w:pgSz w:w="11900" w:h="16838" w:orient="portrait"/>
          <w:cols w:equalWidth="0" w:num="1">
            <w:col w:w="11240"/>
          </w:cols>
          <w:pgMar w:left="320" w:top="1440" w:right="339" w:bottom="1440" w:gutter="0" w:footer="0" w:header="0"/>
        </w:sectPr>
      </w:pPr>
    </w:p>
    <w:bookmarkStart w:id="111" w:name="page112"/>
    <w:bookmarkEnd w:id="111"/>
    <w:p>
      <w:pPr>
        <w:jc w:val="both"/>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Date</w:t>
      </w:r>
      <w:r>
        <w:rPr>
          <w:rFonts w:ascii="Times New Roman" w:cs="Times New Roman" w:eastAsia="Times New Roman" w:hAnsi="Times New Roman"/>
          <w:sz w:val="22"/>
          <w:szCs w:val="22"/>
          <w:color w:val="auto"/>
        </w:rPr>
        <w:t>” is the date of the first issuance of this Convertible Note (as amended, amended and restated, extended, supplemented or otherwise modified in writing from time to time, this “</w:t>
      </w: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regardless of the number of transfers and regardless of the number of instruments, which may be issued to evidence such Note. This Note was originally issued pursuant to the Securities Purchase Agreement dated as of June 30, 2025, between the Company and High Trail Special Situations LLC (as it may be amended from time to time, the “</w:t>
      </w:r>
      <w:r>
        <w:rPr>
          <w:rFonts w:ascii="Times New Roman" w:cs="Times New Roman" w:eastAsia="Times New Roman" w:hAnsi="Times New Roman"/>
          <w:sz w:val="22"/>
          <w:szCs w:val="22"/>
          <w:b w:val="1"/>
          <w:bCs w:val="1"/>
          <w:color w:val="auto"/>
        </w:rPr>
        <w:t>Securities Purchase Agreement</w:t>
      </w:r>
      <w:r>
        <w:rPr>
          <w:rFonts w:ascii="Times New Roman" w:cs="Times New Roman" w:eastAsia="Times New Roman" w:hAnsi="Times New Roman"/>
          <w:sz w:val="22"/>
          <w:szCs w:val="22"/>
          <w:color w:val="auto"/>
        </w:rPr>
        <w:t>”). Certain capitalized terms used herein are defined in Section 14 and the Purchase Agreement.</w:t>
      </w:r>
    </w:p>
    <w:p>
      <w:pPr>
        <w:spacing w:after="0" w:line="148" w:lineRule="exact"/>
        <w:rPr>
          <w:sz w:val="20"/>
          <w:szCs w:val="20"/>
          <w:color w:val="auto"/>
        </w:rPr>
      </w:pPr>
    </w:p>
    <w:p>
      <w:pPr>
        <w:ind w:left="1280" w:hanging="624"/>
        <w:spacing w:after="0"/>
        <w:tabs>
          <w:tab w:leader="none" w:pos="1280"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TERMS</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21" w:lineRule="auto"/>
        <w:tabs>
          <w:tab w:leader="none" w:pos="1941"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Maturity Date. </w:t>
      </w:r>
      <w:r>
        <w:rPr>
          <w:rFonts w:ascii="Times New Roman" w:cs="Times New Roman" w:eastAsia="Times New Roman" w:hAnsi="Times New Roman"/>
          <w:sz w:val="22"/>
          <w:szCs w:val="22"/>
          <w:color w:val="auto"/>
        </w:rPr>
        <w:t>On the Maturity Date, the Company shall pay to the Holder an amount in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representing all outstanding Principal and any other amounts outstanding pursuant to the terms of this Note, if any. The “</w:t>
      </w:r>
      <w:r>
        <w:rPr>
          <w:rFonts w:ascii="Times New Roman" w:cs="Times New Roman" w:eastAsia="Times New Roman" w:hAnsi="Times New Roman"/>
          <w:sz w:val="22"/>
          <w:szCs w:val="22"/>
          <w:b w:val="1"/>
          <w:bCs w:val="1"/>
          <w:color w:val="auto"/>
        </w:rPr>
        <w:t>Maturity Date</w:t>
      </w:r>
      <w:r>
        <w:rPr>
          <w:rFonts w:ascii="Times New Roman" w:cs="Times New Roman" w:eastAsia="Times New Roman" w:hAnsi="Times New Roman"/>
          <w:sz w:val="22"/>
          <w:szCs w:val="22"/>
          <w:color w:val="auto"/>
        </w:rPr>
        <w:t>” shall be June 30, 2027. Other than as specifically permitted by this Note, the Company may not prepay or redeem any portion of the outstanding Principal.</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Pre-Paid Interest</w:t>
      </w:r>
      <w:r>
        <w:rPr>
          <w:rFonts w:ascii="Times New Roman" w:cs="Times New Roman" w:eastAsia="Times New Roman" w:hAnsi="Times New Roman"/>
          <w:sz w:val="22"/>
          <w:szCs w:val="22"/>
          <w:color w:val="auto"/>
        </w:rPr>
        <w:t>. The Company shall pay to the Holder on the Issuance Date the Pre-Paid Interest</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w:t>
      </w:r>
    </w:p>
    <w:p>
      <w:pPr>
        <w:spacing w:after="0" w:line="151" w:lineRule="exact"/>
        <w:rPr>
          <w:rFonts w:ascii="Times New Roman" w:cs="Times New Roman" w:eastAsia="Times New Roman" w:hAnsi="Times New Roman"/>
          <w:sz w:val="22"/>
          <w:szCs w:val="22"/>
          <w:color w:val="auto"/>
        </w:rPr>
      </w:pPr>
    </w:p>
    <w:p>
      <w:pPr>
        <w:jc w:val="both"/>
        <w:ind w:firstLine="1304"/>
        <w:spacing w:after="0" w:line="216" w:lineRule="auto"/>
        <w:tabs>
          <w:tab w:leader="none" w:pos="1941"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Default Interest. </w:t>
      </w:r>
      <w:r>
        <w:rPr>
          <w:rFonts w:ascii="Times New Roman" w:cs="Times New Roman" w:eastAsia="Times New Roman" w:hAnsi="Times New Roman"/>
          <w:sz w:val="22"/>
          <w:szCs w:val="22"/>
          <w:color w:val="auto"/>
        </w:rPr>
        <w:t>Upon the occurrence of an Event of Default (defined below), interest shall accrue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Principal balance at an annual rate of 18% (“</w:t>
      </w:r>
      <w:r>
        <w:rPr>
          <w:rFonts w:ascii="Times New Roman" w:cs="Times New Roman" w:eastAsia="Times New Roman" w:hAnsi="Times New Roman"/>
          <w:sz w:val="22"/>
          <w:szCs w:val="22"/>
          <w:b w:val="1"/>
          <w:bCs w:val="1"/>
          <w:color w:val="auto"/>
        </w:rPr>
        <w:t>Default Interest</w:t>
      </w:r>
      <w:r>
        <w:rPr>
          <w:rFonts w:ascii="Times New Roman" w:cs="Times New Roman" w:eastAsia="Times New Roman" w:hAnsi="Times New Roman"/>
          <w:sz w:val="22"/>
          <w:szCs w:val="22"/>
          <w:color w:val="auto"/>
        </w:rPr>
        <w:t>”), from and including the date of such Event of Default and to the date such Event of Default is cured and all outstanding Default Interest is paid. Default Interest shall be calculated based on a 360-day year and the actual number of days elapsed, to the extent permitted by applicable law and will be payable in arrears on the earlier of (i) the first day of each calendar month, (ii) the date such Event of Default is cured, and (iii) the date on which any portion of the outstanding Principal of this Note is reduced or otherwise retired.</w:t>
      </w:r>
    </w:p>
    <w:p>
      <w:pPr>
        <w:spacing w:after="0" w:line="145"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Amortization Event. </w:t>
      </w:r>
      <w:r>
        <w:rPr>
          <w:rFonts w:ascii="Times New Roman" w:cs="Times New Roman" w:eastAsia="Times New Roman" w:hAnsi="Times New Roman"/>
          <w:sz w:val="21"/>
          <w:szCs w:val="21"/>
          <w:color w:val="auto"/>
        </w:rPr>
        <w:t>If, any time after the Issuance Date set forth above, and from time to time thereafter,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Amortization Event has occurred, then the Company shall make monthly cash payments beginning on the fourteenth Trading Day after the Amortization Event Date and continuing on the same day of each successive calendar month (each, an “</w:t>
      </w:r>
      <w:r>
        <w:rPr>
          <w:rFonts w:ascii="Times New Roman" w:cs="Times New Roman" w:eastAsia="Times New Roman" w:hAnsi="Times New Roman"/>
          <w:sz w:val="21"/>
          <w:szCs w:val="21"/>
          <w:b w:val="1"/>
          <w:bCs w:val="1"/>
          <w:color w:val="auto"/>
        </w:rPr>
        <w:t>Amortization Event Payment Date</w:t>
      </w:r>
      <w:r>
        <w:rPr>
          <w:rFonts w:ascii="Times New Roman" w:cs="Times New Roman" w:eastAsia="Times New Roman" w:hAnsi="Times New Roman"/>
          <w:sz w:val="21"/>
          <w:szCs w:val="21"/>
          <w:color w:val="auto"/>
        </w:rPr>
        <w:t xml:space="preserve">”) until the entire outstanding amounts shall have been repaid. Each monthly cash payment shall be in an amount equal to the sum of (i) the Amortization Principal Amount,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the applicable Payment Premium in respect of such Amortization Principal Amount (the “Amortization Amount”). The obligation of the Company to make monthly cash payments related to an Amortization Event shall cease (with respect to any payment that has not yet come due) if at any time after the Amortization Event Date, the condition or event causing the Amortization Event has been cured or the Holder is able to resell the Common Shares issuable upon conversion of this Note in accordance with Rule 144 under the Securities Act, unless a subsequent Amortization Event occurs. Notwithstanding any provision of this Section 1(d) to the contrary, the Holder may, at its option and in its sole discretion, deliver a written notice to the Company no later than the Trading Day immediately prior to the applicable Amortization Event Payment Date electing to have the payment of all or any portion of such Amortization Amount payable on such Amortization Event Payment Date deferred to the next subsequent Amortization Event Payment Date.</w:t>
      </w:r>
    </w:p>
    <w:p>
      <w:pPr>
        <w:spacing w:after="0" w:line="146" w:lineRule="exact"/>
        <w:rPr>
          <w:rFonts w:ascii="Times New Roman" w:cs="Times New Roman" w:eastAsia="Times New Roman" w:hAnsi="Times New Roman"/>
          <w:sz w:val="21"/>
          <w:szCs w:val="21"/>
          <w:color w:val="auto"/>
        </w:rPr>
      </w:pPr>
    </w:p>
    <w:p>
      <w:pPr>
        <w:jc w:val="both"/>
        <w:ind w:firstLine="1304"/>
        <w:spacing w:after="0" w:line="227" w:lineRule="auto"/>
        <w:tabs>
          <w:tab w:leader="none" w:pos="1941"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Optional Prepayment. </w:t>
      </w:r>
      <w:r>
        <w:rPr>
          <w:rFonts w:ascii="Times New Roman" w:cs="Times New Roman" w:eastAsia="Times New Roman" w:hAnsi="Times New Roman"/>
          <w:sz w:val="22"/>
          <w:szCs w:val="22"/>
          <w:color w:val="auto"/>
        </w:rPr>
        <w:t>So long as no Event of Default has occurred and is continuing (or, after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passage of time or both, would be an Event of Default), the Company at its option shall have the right, but not the obligation, to prepay (“</w:t>
      </w:r>
      <w:r>
        <w:rPr>
          <w:rFonts w:ascii="Times New Roman" w:cs="Times New Roman" w:eastAsia="Times New Roman" w:hAnsi="Times New Roman"/>
          <w:sz w:val="22"/>
          <w:szCs w:val="22"/>
          <w:b w:val="1"/>
          <w:bCs w:val="1"/>
          <w:color w:val="auto"/>
        </w:rPr>
        <w:t>Optional</w:t>
      </w:r>
    </w:p>
    <w:p>
      <w:pPr>
        <w:sectPr>
          <w:pgSz w:w="11900" w:h="16838" w:orient="portrait"/>
          <w:cols w:equalWidth="0" w:num="1">
            <w:col w:w="11240"/>
          </w:cols>
          <w:pgMar w:left="320" w:top="1418" w:right="339" w:bottom="1440" w:gutter="0" w:footer="0" w:header="0"/>
        </w:sectPr>
      </w:pPr>
    </w:p>
    <w:bookmarkStart w:id="112" w:name="page113"/>
    <w:bookmarkEnd w:id="112"/>
    <w:p>
      <w:pPr>
        <w:jc w:val="both"/>
        <w:spacing w:after="0" w:line="210" w:lineRule="auto"/>
        <w:rPr>
          <w:sz w:val="20"/>
          <w:szCs w:val="20"/>
          <w:color w:val="auto"/>
        </w:rPr>
      </w:pPr>
      <w:r>
        <w:rPr>
          <w:rFonts w:ascii="Times New Roman" w:cs="Times New Roman" w:eastAsia="Times New Roman" w:hAnsi="Times New Roman"/>
          <w:sz w:val="22"/>
          <w:szCs w:val="22"/>
          <w:b w:val="1"/>
          <w:bCs w:val="1"/>
          <w:color w:val="auto"/>
        </w:rPr>
        <w:t>Prepayment</w:t>
      </w:r>
      <w:r>
        <w:rPr>
          <w:rFonts w:ascii="Times New Roman" w:cs="Times New Roman" w:eastAsia="Times New Roman" w:hAnsi="Times New Roman"/>
          <w:sz w:val="22"/>
          <w:szCs w:val="22"/>
          <w:color w:val="auto"/>
        </w:rPr>
        <w:t>”) early a portion or all amounts outstanding under this Note as described in this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provides the Holder with written notice (each, a “</w:t>
      </w:r>
      <w:r>
        <w:rPr>
          <w:rFonts w:ascii="Times New Roman" w:cs="Times New Roman" w:eastAsia="Times New Roman" w:hAnsi="Times New Roman"/>
          <w:sz w:val="22"/>
          <w:szCs w:val="22"/>
          <w:b w:val="1"/>
          <w:bCs w:val="1"/>
          <w:color w:val="auto"/>
        </w:rPr>
        <w:t>Prepayment Notice</w:t>
      </w:r>
      <w:r>
        <w:rPr>
          <w:rFonts w:ascii="Times New Roman" w:cs="Times New Roman" w:eastAsia="Times New Roman" w:hAnsi="Times New Roman"/>
          <w:sz w:val="22"/>
          <w:szCs w:val="22"/>
          <w:color w:val="auto"/>
        </w:rPr>
        <w:t>”) of its desire to exercise an Optional Prepayment, which Prepayment Notice shall be delivered to the Holder after the close of regular trading hours on a Trading Day. Each Prepayment Notice shall be irrevocable and shall specify the outstanding balance of the Note to be prepaid and the Prepayment Amount. The “</w:t>
      </w:r>
      <w:r>
        <w:rPr>
          <w:rFonts w:ascii="Times New Roman" w:cs="Times New Roman" w:eastAsia="Times New Roman" w:hAnsi="Times New Roman"/>
          <w:sz w:val="22"/>
          <w:szCs w:val="22"/>
          <w:b w:val="1"/>
          <w:bCs w:val="1"/>
          <w:color w:val="auto"/>
        </w:rPr>
        <w:t>Prepayment Amount</w:t>
      </w:r>
      <w:r>
        <w:rPr>
          <w:rFonts w:ascii="Times New Roman" w:cs="Times New Roman" w:eastAsia="Times New Roman" w:hAnsi="Times New Roman"/>
          <w:sz w:val="22"/>
          <w:szCs w:val="22"/>
          <w:color w:val="auto"/>
        </w:rPr>
        <w:t xml:space="preserve">” shall be an amount equal to (a) the outstanding Principal balance being prepaid by the Company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applicable Payment Premium in respect of such Principal amount. After receipt of a Prepayment Notice, the Holder shall have ten Trading Days (beginning with the Trading Day immediately following the date such Prepayment Notice is delivered to the Holder in accordance with this term of this Section 1(e) to elect to convert all or any portion of this Note. On the eleventh Trading Day following the delivery of the applicable Prepayment Notice, the Company shall deliver to the Holder the Prepayment Amount with respect to the Principal amount redeemed to the extent not converted and otherwise after giving effect to conversions or other payments made during such ten Trading Day period.</w:t>
      </w:r>
    </w:p>
    <w:p>
      <w:pPr>
        <w:spacing w:after="0" w:line="161" w:lineRule="exact"/>
        <w:rPr>
          <w:sz w:val="20"/>
          <w:szCs w:val="20"/>
          <w:color w:val="auto"/>
        </w:rPr>
      </w:pPr>
    </w:p>
    <w:p>
      <w:pPr>
        <w:ind w:firstLine="1304"/>
        <w:spacing w:after="0" w:line="236" w:lineRule="auto"/>
        <w:tabs>
          <w:tab w:leader="none" w:pos="1957"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specifically set forth in this Note, the Company shall not have the ability to make any early repayments without the consent of or at the request of the Holder.</w:t>
      </w:r>
    </w:p>
    <w:p>
      <w:pPr>
        <w:spacing w:after="0" w:line="146" w:lineRule="exact"/>
        <w:rPr>
          <w:rFonts w:ascii="Times New Roman" w:cs="Times New Roman" w:eastAsia="Times New Roman" w:hAnsi="Times New Roman"/>
          <w:sz w:val="22"/>
          <w:szCs w:val="22"/>
          <w:color w:val="auto"/>
        </w:rPr>
      </w:pPr>
    </w:p>
    <w:p>
      <w:pPr>
        <w:ind w:firstLine="1304"/>
        <w:spacing w:after="0" w:line="238" w:lineRule="auto"/>
        <w:tabs>
          <w:tab w:leader="none" w:pos="195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Payment Dates. </w:t>
      </w:r>
      <w:r>
        <w:rPr>
          <w:rFonts w:ascii="Times New Roman" w:cs="Times New Roman" w:eastAsia="Times New Roman" w:hAnsi="Times New Roman"/>
          <w:sz w:val="22"/>
          <w:szCs w:val="22"/>
          <w:color w:val="auto"/>
        </w:rPr>
        <w:t>Whenever any payment or other obligation hereunder shall be due on a day other than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Day, such payment shall be made on the next succeeding Business Day.</w:t>
      </w:r>
    </w:p>
    <w:p>
      <w:pPr>
        <w:spacing w:after="0" w:line="146"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3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Withholding Tax. </w:t>
      </w:r>
      <w:r>
        <w:rPr>
          <w:rFonts w:ascii="Times New Roman" w:cs="Times New Roman" w:eastAsia="Times New Roman" w:hAnsi="Times New Roman"/>
          <w:sz w:val="22"/>
          <w:szCs w:val="22"/>
          <w:color w:val="auto"/>
        </w:rPr>
        <w:t>All amounts paid or credited or deemed to have been paid or credited by or on behalf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under or with respect to this Note or any other Transaction Document (including, without limitation, any penalties, interest and other liabilities related thereto) will be made free and clear of and without withholding, or deduction for, or on account of, any present or future tax, duty, levy, impost, assessment or other governmental charge (including, without limitation, penalties, interest and other liabilities related hereto) imposed or levied by or on behalf of the Government of Canada or elsewhere, or of any province or territory thereof or by any authority or agency therein or thereof having power to tax (“</w:t>
      </w:r>
      <w:r>
        <w:rPr>
          <w:rFonts w:ascii="Times New Roman" w:cs="Times New Roman" w:eastAsia="Times New Roman" w:hAnsi="Times New Roman"/>
          <w:sz w:val="22"/>
          <w:szCs w:val="22"/>
          <w:b w:val="1"/>
          <w:bCs w:val="1"/>
          <w:color w:val="auto"/>
        </w:rPr>
        <w:t>Withholding Taxes</w:t>
      </w:r>
      <w:r>
        <w:rPr>
          <w:rFonts w:ascii="Times New Roman" w:cs="Times New Roman" w:eastAsia="Times New Roman" w:hAnsi="Times New Roman"/>
          <w:sz w:val="22"/>
          <w:szCs w:val="22"/>
          <w:color w:val="auto"/>
        </w:rPr>
        <w:t>”), unless the Company is required by law or the interpretation or administration thereof, to withhold or deduct any amounts for, or on account of Withholding Taxes. If the Company determines, in its sole and absolute discretion, that it is so required to withhold or deduct any amount for, or on account of, Withholding Taxes from any amount paid or credited or deemed to have been be paid or credited under or with respect to this Note or any other Transaction Document, the Company shall deduct and withhold such Withholding Taxes from any amount paid or credited or deemed to have been paid or credited under or with respect to this Note or any other Transaction Document and, provided that the Company forthwith remits such amount to the relevant governmental authority or agency, the amount of any such deduction or withholding will be considered an amount paid in satisfaction of the Company’s obligations under this Note or any other Transaction Document. There is no obligation on the Company to gross-up or pay any additional amounts to any holder of this Note or to any party under any other Transaction Document in respect of such deductions or withholdings. For greater certainty, if any amount is required to be deducted or withheld in respect of Withholding Taxes upon a conversion of this Note, the Company shall be entitled to liquidate (whether directly or through a broker) such number of Common Shares (or other securities) otherwise issuable as a result of such conversion as shall be necessary in order to satisfy such requirement plus any broker or other fees associated with such liquidation. The Company shall provide the applicable holder of this Note with</w:t>
      </w:r>
    </w:p>
    <w:p>
      <w:pPr>
        <w:sectPr>
          <w:pgSz w:w="11900" w:h="16838" w:orient="portrait"/>
          <w:cols w:equalWidth="0" w:num="1">
            <w:col w:w="11240"/>
          </w:cols>
          <w:pgMar w:left="320" w:top="1391" w:right="339" w:bottom="1440" w:gutter="0" w:footer="0" w:header="0"/>
        </w:sectPr>
      </w:pPr>
    </w:p>
    <w:bookmarkStart w:id="113" w:name="page114"/>
    <w:bookmarkEnd w:id="113"/>
    <w:p>
      <w:pPr>
        <w:jc w:val="both"/>
        <w:spacing w:after="0" w:line="217" w:lineRule="auto"/>
        <w:rPr>
          <w:sz w:val="20"/>
          <w:szCs w:val="20"/>
          <w:color w:val="auto"/>
        </w:rPr>
      </w:pPr>
      <w:r>
        <w:rPr>
          <w:rFonts w:ascii="Times New Roman" w:cs="Times New Roman" w:eastAsia="Times New Roman" w:hAnsi="Times New Roman"/>
          <w:sz w:val="22"/>
          <w:szCs w:val="22"/>
          <w:color w:val="auto"/>
        </w:rPr>
        <w:t>copies of receipts or other communications relating to the remittance of such withheld amount or the filing of any forms received from such government authority or agency promptly after receipt thereof. Each holder of this Note and each relevant party shall indemnify and hold the Company harmless from any loss, interest, penalties, tax or other amounts for which the Company may be liable for any failure to deduct, withhold or remit Withholding Taxes in connection with any amount paid or credited or deemed to have been paid or credited under this Note or any other Transaction Document.</w:t>
      </w:r>
    </w:p>
    <w:p>
      <w:pPr>
        <w:spacing w:after="0" w:line="148" w:lineRule="exact"/>
        <w:rPr>
          <w:sz w:val="20"/>
          <w:szCs w:val="20"/>
          <w:color w:val="auto"/>
        </w:rPr>
      </w:pPr>
    </w:p>
    <w:p>
      <w:pPr>
        <w:ind w:left="1280" w:hanging="624"/>
        <w:spacing w:after="0"/>
        <w:tabs>
          <w:tab w:leader="none" w:pos="1280"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EVENTS OF DEFAULT.</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27" w:lineRule="auto"/>
        <w:tabs>
          <w:tab w:leader="none" w:pos="1941"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 shall have occurred:</w:t>
      </w:r>
    </w:p>
    <w:p>
      <w:pPr>
        <w:spacing w:after="0" w:line="150" w:lineRule="exact"/>
        <w:rPr>
          <w:sz w:val="20"/>
          <w:szCs w:val="20"/>
          <w:color w:val="auto"/>
        </w:rPr>
      </w:pPr>
    </w:p>
    <w:p>
      <w:pPr>
        <w:jc w:val="both"/>
        <w:ind w:firstLine="1304"/>
        <w:spacing w:after="0" w:line="225" w:lineRule="auto"/>
        <w:tabs>
          <w:tab w:leader="none" w:pos="194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failure to pay to the Holder any amount of Principal, Prepayment Amount, Payment Premium, Pre-Paid Interest Amount, or other amounts when and as due under this Note or any other Transaction Document and within five (5) Trading Days after such payment is due;</w:t>
      </w:r>
    </w:p>
    <w:p>
      <w:pPr>
        <w:spacing w:after="0" w:line="152"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3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Company or any Subsidiary of the Company shall commence, or there shall be commenced against the Company or any Subsidiary of the Company, any proceeding under any applicable bankruptcy or insolvency laws as now or hereafter in effect or any successor thereto, or the Company or any Subsidiary of the Company commences any other proceeding under any reorganization, arrangement, adjustment of debt, relief of debtors, dissolution, insolvency or liquidation or similar law of any jurisdiction whether now or hereafter in effect relating to the Company or any Subsidiary of the Company, in any such bankruptcy, insolvency or other proceeding which remains undismissed for a period of sixty one (61) days; (B) the Company or any Subsidiary of the Company is adjudicated insolvent or bankrupt; (C) any order of relief or other order approving any such case or proceeding is entered; (D) the Company or any Subsidiary of the Company suffers any appointment of any custodian, private or court appointed receiver or the like for it or all or substantially all of its property which continues undischarged or unstayed for a period of sixty one (61) days; (E) the Company or any Subsidiary of the Company makes a general assignment of all or substantially all of its assets for the benefit of creditors; (F) the Company or any Subsidiary of the Company shall fail to pay or shall state that it is unable to pay its debts generally as they become due; (G) the Company or any Subsidiary of the Company shall call a meeting of its creditors with a view to arranging a composition, adjustment or restructuring of its debts; (H) the Company or any Subsidiary of the Company shall by any act or failure to act expressly indicate its consent to, approval of or acquiescence in any of the foregoing; or (I) any corporate or other action is taken by the Company or any Subsidiary of the Company for the purpose of effecting any of the foregoing;</w:t>
      </w:r>
    </w:p>
    <w:p>
      <w:pPr>
        <w:spacing w:after="0" w:line="164"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Subsidiary of the Company shall default in any of its obligations under any note, Note,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or any Subsidiary of the Company in an amount exceeding $10,000,000, whether such indebtedness now exists or shall hereafter be created and such default is not cured within the time prescribed by the documents governing such indebtedness or if no time is</w:t>
      </w:r>
    </w:p>
    <w:p>
      <w:pPr>
        <w:sectPr>
          <w:pgSz w:w="11900" w:h="16838" w:orient="portrait"/>
          <w:cols w:equalWidth="0" w:num="1">
            <w:col w:w="11240"/>
          </w:cols>
          <w:pgMar w:left="320" w:top="1395" w:right="339" w:bottom="1440" w:gutter="0" w:footer="0" w:header="0"/>
        </w:sectPr>
      </w:pPr>
    </w:p>
    <w:bookmarkStart w:id="114" w:name="page115"/>
    <w:bookmarkEnd w:id="114"/>
    <w:p>
      <w:pPr>
        <w:jc w:val="both"/>
        <w:spacing w:after="0" w:line="225" w:lineRule="auto"/>
        <w:rPr>
          <w:sz w:val="20"/>
          <w:szCs w:val="20"/>
          <w:color w:val="auto"/>
        </w:rPr>
      </w:pPr>
      <w:r>
        <w:rPr>
          <w:rFonts w:ascii="Times New Roman" w:cs="Times New Roman" w:eastAsia="Times New Roman" w:hAnsi="Times New Roman"/>
          <w:sz w:val="22"/>
          <w:szCs w:val="22"/>
          <w:color w:val="auto"/>
        </w:rPr>
        <w:t>prescribed, within thirty (30) days, and as a result, such indebtedness becomes or is declared due and payable before its stated maturity and such acceleration shall not have been rescinded or annulled or such default shall not have been cured or waived, or such indebtedness is not paid or discharged;</w:t>
      </w:r>
    </w:p>
    <w:p>
      <w:pPr>
        <w:spacing w:after="0" w:line="153" w:lineRule="exact"/>
        <w:rPr>
          <w:sz w:val="20"/>
          <w:szCs w:val="20"/>
          <w:color w:val="auto"/>
        </w:rPr>
      </w:pPr>
    </w:p>
    <w:p>
      <w:pPr>
        <w:ind w:right="20" w:firstLine="1304"/>
        <w:spacing w:after="0" w:line="236" w:lineRule="auto"/>
        <w:tabs>
          <w:tab w:leader="none" w:pos="193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Shares shall cease to be quoted or listed for trading, as applicable, on any Principal U.S. Market for a period of ten (10) consecutive Trading Days;</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a party to any Change of Control Transaction unless in connection with such Change of Control Transaction this Note is retired;</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57"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 failure to deliver the required number of Common Shares to the Holder within two (2) Trading Days after the applicable Share Delivery Date or (B) notice, written or oral, to any holder of the Note, including by way of public announcement, at any time, of its intention not to comply with a request for conversion of all or a portion of this Note into Common Shares that is tendered in accordance with the provisions of this Note;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53"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fail for any reason to deliver the payment in cash pursuant to a Buy-In (as defined below) within five (5) Business Days after such payment is due;</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failure to timely file with the Commission any Periodic Report on or before the due date of such filing as established by the Commission, it being understood, for the avoidance of doubt, that due date includes any permitted filing deadline extension under Rule 12b-25 under the Exchange Act, if such failure is not cured within five (5) Business Days;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5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representation or warranty made or deemed to be made by or on behalf of the Company in or in connection with any Transaction Document, or any waiver hereunder or thereunder, shall prove to have been incorrect in any material respect (or, in the case of any such representation or warranty already qualified by materiality, such representation or warranty shall prove to have been incorrect) when made or deemed made;</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5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material provision of any Transaction Document, at any time after its execution and delivery and for any reason other than as expressly permitted hereunder or thereunder, ceases to be in full force and effect; (B) the Company contests in writing the validity or enforceability of any provision of any Transaction Document; or (C) the Company denies in writing that it has any or further liability or obligation under any Transaction Document, or purports in writing to revoke, terminate (other than in accordance with the relevant termination provisions) or rescind any Transaction Document;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53"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uses the proceeds of the issuance of this Note, whether directly or indirectly, and whether immediately, incidentally or ultimately, to purchase or carry margin stock (within the meaning of Regulations T, U and X of the Federal Reserve Board, as in effect from time to time and all official rulings and interpretations thereunder or thereof), or to extend credit to others for the purpose of purchasing or carrying margin stock or to refund indebtedness originally incurred for such purpose;</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5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cease trade order (including a management cease trade order), or any other order, decree, ruling or injunction, is issued by any Governmental Entity or court</w:t>
      </w:r>
    </w:p>
    <w:p>
      <w:pPr>
        <w:sectPr>
          <w:pgSz w:w="11900" w:h="16838" w:orient="portrait"/>
          <w:cols w:equalWidth="0" w:num="1">
            <w:col w:w="11240"/>
          </w:cols>
          <w:pgMar w:left="320" w:top="1395" w:right="339" w:bottom="1440" w:gutter="0" w:footer="0" w:header="0"/>
        </w:sectPr>
      </w:pPr>
    </w:p>
    <w:bookmarkStart w:id="115" w:name="page116"/>
    <w:bookmarkEnd w:id="115"/>
    <w:p>
      <w:pPr>
        <w:jc w:val="both"/>
        <w:spacing w:after="0" w:line="225" w:lineRule="auto"/>
        <w:rPr>
          <w:sz w:val="20"/>
          <w:szCs w:val="20"/>
          <w:color w:val="auto"/>
        </w:rPr>
      </w:pPr>
      <w:r>
        <w:rPr>
          <w:rFonts w:ascii="Times New Roman" w:cs="Times New Roman" w:eastAsia="Times New Roman" w:hAnsi="Times New Roman"/>
          <w:sz w:val="22"/>
          <w:szCs w:val="22"/>
          <w:color w:val="auto"/>
        </w:rPr>
        <w:t>ordering the cessation of trading of the Common Shares, precluding the Holder from converting any portion of this Note into Underlying Shares, or completing any resale of Underlying Shares or prohibiting, impeding, or interfering in any material way with the exercise of any of the Investor’s rights under this Note</w:t>
      </w:r>
    </w:p>
    <w:p>
      <w:pPr>
        <w:spacing w:after="0" w:line="153" w:lineRule="exact"/>
        <w:rPr>
          <w:sz w:val="20"/>
          <w:szCs w:val="20"/>
          <w:color w:val="auto"/>
        </w:rPr>
      </w:pPr>
    </w:p>
    <w:p>
      <w:pPr>
        <w:jc w:val="both"/>
        <w:ind w:firstLine="1304"/>
        <w:spacing w:after="0" w:line="220" w:lineRule="auto"/>
        <w:tabs>
          <w:tab w:leader="none" w:pos="194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of Default (as defined in the Other Notes or in any Transaction Document other than this Note) occurs with respect to any Other Notes, or any breach of any material term of any other Note, note, or instrument held by the Holder in the Company or any agreement between or among the Company and the Holder and has not been cured within the applicable cure period;</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fail to observe or perform any covenant, agreement or warranty contained in, or otherwise commit any breach or default of any provision of this Note (except as may be otherwise covered by Sections 2(a)(i) through 2(a)(xiii) hereof) or any other Transaction Document, which is not cured or remedied within the time prescribed or if, in case of any agreement or warranty, no time is prescribed, within ten (10) Business Days of such breach or default; or</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Shares shall fail to be freely tradable without restriction or legend under any applicable federal or state securities laws following the Effectiveness Deadline (as defined in the Registration Rights Agreement).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time that any portion of this Note is outstanding, if any Event of Default has occurred, the Company shall within one (1) Business Day deliver written notice thereof via electronic mail and overnight courier (with next day delivery specified) (an “</w:t>
      </w:r>
      <w:r>
        <w:rPr>
          <w:rFonts w:ascii="Times New Roman" w:cs="Times New Roman" w:eastAsia="Times New Roman" w:hAnsi="Times New Roman"/>
          <w:sz w:val="21"/>
          <w:szCs w:val="21"/>
          <w:b w:val="1"/>
          <w:bCs w:val="1"/>
          <w:color w:val="auto"/>
        </w:rPr>
        <w:t>Event of Default Notice</w:t>
      </w:r>
      <w:r>
        <w:rPr>
          <w:rFonts w:ascii="Times New Roman" w:cs="Times New Roman" w:eastAsia="Times New Roman" w:hAnsi="Times New Roman"/>
          <w:sz w:val="21"/>
          <w:szCs w:val="21"/>
          <w:color w:val="auto"/>
        </w:rPr>
        <w:t>”) to the Holder. At any time after the earlier of (i) the Holder’s receipt of an Event of Default Notice and (ii) the Holder providing notice to the Company that is has become aware of an Event of Default and, if the Event of Default is cured, ending (such ending date, the “</w:t>
      </w:r>
      <w:r>
        <w:rPr>
          <w:rFonts w:ascii="Times New Roman" w:cs="Times New Roman" w:eastAsia="Times New Roman" w:hAnsi="Times New Roman"/>
          <w:sz w:val="21"/>
          <w:szCs w:val="21"/>
          <w:b w:val="1"/>
          <w:bCs w:val="1"/>
          <w:color w:val="auto"/>
        </w:rPr>
        <w:t>Event of Default Right Expiration Date</w:t>
      </w:r>
      <w:r>
        <w:rPr>
          <w:rFonts w:ascii="Times New Roman" w:cs="Times New Roman" w:eastAsia="Times New Roman" w:hAnsi="Times New Roman"/>
          <w:sz w:val="21"/>
          <w:szCs w:val="21"/>
          <w:color w:val="auto"/>
        </w:rPr>
        <w:t>”) on the date such Event of Default is cured, the Holder may require the Company to redeem (if such Event of Default has not been cured on or prior to the Event of Default Right Expiration Date) all or any portion of this Note by delivering written notice thereof (the “</w:t>
      </w:r>
      <w:r>
        <w:rPr>
          <w:rFonts w:ascii="Times New Roman" w:cs="Times New Roman" w:eastAsia="Times New Roman" w:hAnsi="Times New Roman"/>
          <w:sz w:val="21"/>
          <w:szCs w:val="21"/>
          <w:b w:val="1"/>
          <w:bCs w:val="1"/>
          <w:color w:val="auto"/>
        </w:rPr>
        <w:t>Event of Default Redemption Notice</w:t>
      </w:r>
      <w:r>
        <w:rPr>
          <w:rFonts w:ascii="Times New Roman" w:cs="Times New Roman" w:eastAsia="Times New Roman" w:hAnsi="Times New Roman"/>
          <w:sz w:val="21"/>
          <w:szCs w:val="21"/>
          <w:color w:val="auto"/>
        </w:rPr>
        <w:t>” and the date the Holder delivers such notice to the Company, the “</w:t>
      </w:r>
      <w:r>
        <w:rPr>
          <w:rFonts w:ascii="Times New Roman" w:cs="Times New Roman" w:eastAsia="Times New Roman" w:hAnsi="Times New Roman"/>
          <w:sz w:val="21"/>
          <w:szCs w:val="21"/>
          <w:b w:val="1"/>
          <w:bCs w:val="1"/>
          <w:color w:val="auto"/>
        </w:rPr>
        <w:t>Event of Default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Redemption Notice Date</w:t>
      </w:r>
      <w:r>
        <w:rPr>
          <w:rFonts w:ascii="Times New Roman" w:cs="Times New Roman" w:eastAsia="Times New Roman" w:hAnsi="Times New Roman"/>
          <w:sz w:val="21"/>
          <w:szCs w:val="21"/>
          <w:color w:val="auto"/>
        </w:rPr>
        <w:t>”) to the Company, which Event of Default Redemption Notice shall indicate the portion of this Note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Holder is electing to redeem. Each portion of this Note subject to redemption by the Company pursuant to this Section 2(b) shall be redeemed by the Company in cash, at a price equal to, at the election of the Holder given by notice pursuant to Section 5, the sum of (A) (x) the full unpaid Principal amount of this Note </w:t>
      </w:r>
      <w:r>
        <w:rPr>
          <w:rFonts w:ascii="Times New Roman" w:cs="Times New Roman" w:eastAsia="Times New Roman" w:hAnsi="Times New Roman"/>
          <w:sz w:val="21"/>
          <w:szCs w:val="21"/>
          <w:i w:val="1"/>
          <w:iCs w:val="1"/>
          <w:color w:val="auto"/>
        </w:rPr>
        <w:t>multiplied</w:t>
      </w:r>
      <w:r>
        <w:rPr>
          <w:rFonts w:ascii="Times New Roman" w:cs="Times New Roman" w:eastAsia="Times New Roman" w:hAnsi="Times New Roman"/>
          <w:sz w:val="21"/>
          <w:szCs w:val="21"/>
          <w:color w:val="auto"/>
        </w:rPr>
        <w:t xml:space="preserve"> by (y) 115% and (B) all accrued and unpaid interest thereon and all other amounts owing in respect of this Note to the date of election ; provided that, in the case of any event with respect to the Company described in Section 2(a)(ii), the sum of (A) (x) the full unpaid Principal amount of this Note, </w:t>
      </w:r>
      <w:r>
        <w:rPr>
          <w:rFonts w:ascii="Times New Roman" w:cs="Times New Roman" w:eastAsia="Times New Roman" w:hAnsi="Times New Roman"/>
          <w:sz w:val="21"/>
          <w:szCs w:val="21"/>
          <w:i w:val="1"/>
          <w:iCs w:val="1"/>
          <w:color w:val="auto"/>
        </w:rPr>
        <w:t>multiplied</w:t>
      </w:r>
      <w:r>
        <w:rPr>
          <w:rFonts w:ascii="Times New Roman" w:cs="Times New Roman" w:eastAsia="Times New Roman" w:hAnsi="Times New Roman"/>
          <w:sz w:val="21"/>
          <w:szCs w:val="21"/>
          <w:color w:val="auto"/>
        </w:rPr>
        <w:t xml:space="preserve"> by (y) 115% and (B) all accrued and unpaid interest thereon and all other amounts owing in respect of this Note to the date of acceleration shall automatically become due and payable. All such amounts payable hereunder shall be due within two (2) Trading Days following receipt of the Event of Default Redemption Notice. Furthermore, in addition to any other remedies, the Holder shall have the right (but not the obligation) to convert, on one or more occasions all or part of the Note in accordance with Section 3 (and subject to the limitations set out in Section 3(c)(i)) at any time after an Event of Default has occurred and is continuing until all amounts outstanding under this Note have been repaid in full. The Holder need not provide, and the Company hereby waives, any presentment demand, protest or other notice of any kind (other than any required notice of conversion), and the Holder may immediately enforce any and all of its rights and remedies hereunder and all</w:t>
      </w:r>
    </w:p>
    <w:p>
      <w:pPr>
        <w:sectPr>
          <w:pgSz w:w="11900" w:h="16838" w:orient="portrait"/>
          <w:cols w:equalWidth="0" w:num="1">
            <w:col w:w="11240"/>
          </w:cols>
          <w:pgMar w:left="320" w:top="1395" w:right="339" w:bottom="1440" w:gutter="0" w:footer="0" w:header="0"/>
        </w:sectPr>
      </w:pPr>
    </w:p>
    <w:bookmarkStart w:id="116" w:name="page117"/>
    <w:bookmarkEnd w:id="116"/>
    <w:p>
      <w:pPr>
        <w:jc w:val="both"/>
        <w:spacing w:after="0" w:line="225" w:lineRule="auto"/>
        <w:rPr>
          <w:sz w:val="20"/>
          <w:szCs w:val="20"/>
          <w:color w:val="auto"/>
        </w:rPr>
      </w:pPr>
      <w:r>
        <w:rPr>
          <w:rFonts w:ascii="Times New Roman" w:cs="Times New Roman" w:eastAsia="Times New Roman" w:hAnsi="Times New Roman"/>
          <w:sz w:val="22"/>
          <w:szCs w:val="22"/>
          <w:color w:val="auto"/>
        </w:rPr>
        <w:t>other remedies available to it under applicable law. Such declaration may be rescinded and annulled by the Holder in writing at any time prior to payment hereunder. No such rescission or annulment shall affect any subsequent Event of Default or impair any right consequent thereon.</w:t>
      </w:r>
    </w:p>
    <w:p>
      <w:pPr>
        <w:spacing w:after="0" w:line="148" w:lineRule="exact"/>
        <w:rPr>
          <w:sz w:val="20"/>
          <w:szCs w:val="20"/>
          <w:color w:val="auto"/>
        </w:rPr>
      </w:pPr>
    </w:p>
    <w:p>
      <w:pPr>
        <w:ind w:firstLine="656"/>
        <w:spacing w:after="0" w:line="238" w:lineRule="auto"/>
        <w:tabs>
          <w:tab w:leader="none" w:pos="1269" w:val="left"/>
        </w:tabs>
        <w:numPr>
          <w:ilvl w:val="0"/>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CONVERSION OF NOTE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Note shall be convertible into Common Shares, on the terms and conditions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in this Section 3.</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10" w:lineRule="auto"/>
        <w:tabs>
          <w:tab w:leader="none" w:pos="1941"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Conversion Right. </w:t>
      </w:r>
      <w:r>
        <w:rPr>
          <w:rFonts w:ascii="Times New Roman" w:cs="Times New Roman" w:eastAsia="Times New Roman" w:hAnsi="Times New Roman"/>
          <w:sz w:val="22"/>
          <w:szCs w:val="22"/>
          <w:color w:val="auto"/>
        </w:rPr>
        <w:t>Subject to the limitations of Section 3(c), at any time or times on or after the Issuance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the Holder shall be entitled to convert any portion of the outstanding and unpaid Conversion Amount into fully paid and non-assessable Common Shares in accordance with Section 3(b), at the Conversion Price. The number of Common Shares issuable upon conversion of any Conversion Amount pursuant to this Section 3(a) shall be determined by dividing (x) such Conversion Amount by (y) the Conversion Price. The Company shall not issue any fraction of a Common Shares upon any conversion. All calculations under this Section 4 shall be rounded to the nearest $0.0001. If the issuance would result in the issuance of a fraction of a Common Share, the Company shall round such fraction of a Common Share down to the nearest whole Common Share. The Company shall pay any and all transfer, stamp and similar taxes that may be payable with respect to the issuance and delivery of Common Shares upon conversion of any Conversion Amount, unless such taxes are due because the Holder requests such Common Shares to be issued in a name other than the Holder’s name, in which case the Holder shall pay such taxes.</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Mechanics of Conversion.</w:t>
      </w:r>
    </w:p>
    <w:p>
      <w:pPr>
        <w:spacing w:after="0" w:line="179" w:lineRule="exact"/>
        <w:rPr>
          <w:sz w:val="20"/>
          <w:szCs w:val="20"/>
          <w:color w:val="auto"/>
        </w:rPr>
      </w:pPr>
    </w:p>
    <w:p>
      <w:pPr>
        <w:jc w:val="both"/>
        <w:ind w:firstLine="1304"/>
        <w:spacing w:after="0" w:line="215" w:lineRule="auto"/>
        <w:tabs>
          <w:tab w:leader="none" w:pos="1941"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Optional Conversion. </w:t>
      </w:r>
      <w:r>
        <w:rPr>
          <w:rFonts w:ascii="Times New Roman" w:cs="Times New Roman" w:eastAsia="Times New Roman" w:hAnsi="Times New Roman"/>
          <w:sz w:val="21"/>
          <w:szCs w:val="21"/>
          <w:color w:val="auto"/>
        </w:rPr>
        <w:t>To convert any Conversion Amount into Common Shares on any date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Conversion Date</w:t>
      </w:r>
      <w:r>
        <w:rPr>
          <w:rFonts w:ascii="Times New Roman" w:cs="Times New Roman" w:eastAsia="Times New Roman" w:hAnsi="Times New Roman"/>
          <w:sz w:val="21"/>
          <w:szCs w:val="21"/>
          <w:color w:val="auto"/>
        </w:rPr>
        <w:t xml:space="preserve">”), the Holder shall (A) transmit by email (or otherwise deliver), for receipt on or prior to 11:59 p.m., New York time, on such date, a copy of an executed notice of conversion in the form attached hereto as </w:t>
      </w:r>
      <w:r>
        <w:rPr>
          <w:rFonts w:ascii="Times New Roman" w:cs="Times New Roman" w:eastAsia="Times New Roman" w:hAnsi="Times New Roman"/>
          <w:sz w:val="21"/>
          <w:szCs w:val="21"/>
          <w:b w:val="1"/>
          <w:bCs w:val="1"/>
          <w:color w:val="auto"/>
        </w:rPr>
        <w:t>Exhibit I</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Conversion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to the Company and (B) if required by Section 3(b)(iii), surrender this Note to a nationally recognized overnight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delivery service for delivery to the Company (or an indemnification undertaking reasonably satisfactory to the Company with respect to this Note in the case of its loss, theft or destruction). On or before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Trading Day following the date of receipt of a Conversion Notice (the “</w:t>
      </w:r>
      <w:r>
        <w:rPr>
          <w:rFonts w:ascii="Times New Roman" w:cs="Times New Roman" w:eastAsia="Times New Roman" w:hAnsi="Times New Roman"/>
          <w:sz w:val="21"/>
          <w:szCs w:val="21"/>
          <w:b w:val="1"/>
          <w:bCs w:val="1"/>
          <w:color w:val="auto"/>
        </w:rPr>
        <w:t>Share Delivery Date</w:t>
      </w:r>
      <w:r>
        <w:rPr>
          <w:rFonts w:ascii="Times New Roman" w:cs="Times New Roman" w:eastAsia="Times New Roman" w:hAnsi="Times New Roman"/>
          <w:sz w:val="21"/>
          <w:szCs w:val="21"/>
          <w:color w:val="auto"/>
        </w:rPr>
        <w:t>”), the Company shall (X) if legends are not required to be placed on certificates or the book-entry position of the Common Shares and provided that the Company’s transfer agent is participating in the Depository Trust Company’s (“</w:t>
      </w:r>
      <w:r>
        <w:rPr>
          <w:rFonts w:ascii="Times New Roman" w:cs="Times New Roman" w:eastAsia="Times New Roman" w:hAnsi="Times New Roman"/>
          <w:sz w:val="21"/>
          <w:szCs w:val="21"/>
          <w:b w:val="1"/>
          <w:bCs w:val="1"/>
          <w:color w:val="auto"/>
        </w:rPr>
        <w:t>DTC</w:t>
      </w:r>
      <w:r>
        <w:rPr>
          <w:rFonts w:ascii="Times New Roman" w:cs="Times New Roman" w:eastAsia="Times New Roman" w:hAnsi="Times New Roman"/>
          <w:sz w:val="21"/>
          <w:szCs w:val="21"/>
          <w:color w:val="auto"/>
        </w:rPr>
        <w:t>”) Fast Automated Securities Transfer Program, instruct such transfer agent to credit such aggregate number of Common Shares to which the Holder shall be entitled to the Holder’s or its designee’s balance account with DTC through its Deposit Withdrawal Agent Commission system or (Y) if the Company’s transfer agent is not participating in the DTC Fast Automated Securities Transfer Program, issue and deliver to the address as specified in the Conversion Notice, a certificate or book-entry position, registered in the name of the Holder or its designee, for the number of Common Shares to which the Holder shall be entitled which certificates shall not bear any restrictive legends unless required pursuant to rules and regulations of the Commission. If this Note is physically surrendered for conversion and the outstanding Principal of this Note is greater than the Principal portion of the Conversion Amount being converted, then the Company shall as soon as practicable and in no event later than three (3) Business Days after receipt of this Note and at its own expense, issue and deliver to the holder a new Note representing the outstanding Principal not converted. The Person or Persons entitled to receive the Common Shares issuable upon a conversion of this Note shall be treated for all purposes as the record holder or holders of such Common Shares</w:t>
      </w:r>
    </w:p>
    <w:p>
      <w:pPr>
        <w:sectPr>
          <w:pgSz w:w="11900" w:h="16838" w:orient="portrait"/>
          <w:cols w:equalWidth="0" w:num="1">
            <w:col w:w="11240"/>
          </w:cols>
          <w:pgMar w:left="320" w:top="1395" w:right="339" w:bottom="1440" w:gutter="0" w:footer="0" w:header="0"/>
        </w:sectPr>
      </w:pPr>
    </w:p>
    <w:bookmarkStart w:id="117" w:name="page118"/>
    <w:bookmarkEnd w:id="117"/>
    <w:p>
      <w:pPr>
        <w:jc w:val="both"/>
        <w:spacing w:after="0" w:line="217" w:lineRule="auto"/>
        <w:rPr>
          <w:sz w:val="20"/>
          <w:szCs w:val="20"/>
          <w:color w:val="auto"/>
        </w:rPr>
      </w:pPr>
      <w:r>
        <w:rPr>
          <w:rFonts w:ascii="Times New Roman" w:cs="Times New Roman" w:eastAsia="Times New Roman" w:hAnsi="Times New Roman"/>
          <w:sz w:val="22"/>
          <w:szCs w:val="22"/>
          <w:color w:val="auto"/>
        </w:rPr>
        <w:t>upon the transmission of a Conversion Notice; provided, that the Holder shall be deemed to have waived any voting rights of any such Conversion Shares that may arise during the period commencing on such Conversion Date, through, and including, such applicable Share Delivery Deadline, as necessary, such that the aggregate voting rights of any Common Shares (including such Conversion Shares) beneficially owned by the Holder and/or any Attribution Parties, collectively, shall not exceed the Beneficial Ownership Limitation (as defined below) as a result of any such conversion of this Note.</w:t>
      </w:r>
    </w:p>
    <w:p>
      <w:pPr>
        <w:spacing w:after="0" w:line="148" w:lineRule="exact"/>
        <w:rPr>
          <w:sz w:val="20"/>
          <w:szCs w:val="20"/>
          <w:color w:val="auto"/>
        </w:rPr>
      </w:pPr>
    </w:p>
    <w:p>
      <w:pPr>
        <w:jc w:val="both"/>
        <w:ind w:firstLine="1304"/>
        <w:spacing w:after="0" w:line="210" w:lineRule="auto"/>
        <w:tabs>
          <w:tab w:leader="none" w:pos="193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Company’s Failure to Timely Convert</w:t>
      </w:r>
      <w:r>
        <w:rPr>
          <w:rFonts w:ascii="Times New Roman" w:cs="Times New Roman" w:eastAsia="Times New Roman" w:hAnsi="Times New Roman"/>
          <w:sz w:val="22"/>
          <w:szCs w:val="22"/>
          <w:color w:val="auto"/>
        </w:rPr>
        <w:t>. If the Company shall fail, for any reason or for no reason, 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to the applicable Share Delivery Date to issue and deliver a certificate to the Holder or credit the Holder’s balance account with DTC for the number of Common Shares to which the Holder is entitled upon such Holder’s conversion of any Conversion Amount (a “</w:t>
      </w:r>
      <w:r>
        <w:rPr>
          <w:rFonts w:ascii="Times New Roman" w:cs="Times New Roman" w:eastAsia="Times New Roman" w:hAnsi="Times New Roman"/>
          <w:sz w:val="22"/>
          <w:szCs w:val="22"/>
          <w:b w:val="1"/>
          <w:bCs w:val="1"/>
          <w:color w:val="auto"/>
        </w:rPr>
        <w:t>Conversion Failure</w:t>
      </w:r>
      <w:r>
        <w:rPr>
          <w:rFonts w:ascii="Times New Roman" w:cs="Times New Roman" w:eastAsia="Times New Roman" w:hAnsi="Times New Roman"/>
          <w:sz w:val="22"/>
          <w:szCs w:val="22"/>
          <w:color w:val="auto"/>
        </w:rPr>
        <w:t>”), and if on or after such Trading Day the Holder purchases (in an open market transaction or otherwise) Common Shares to deliver in satisfaction of a sale by the Holder of Common Shares issuable upon such conversion that the Holder anticipated receiving from the Company (a “</w:t>
      </w:r>
      <w:r>
        <w:rPr>
          <w:rFonts w:ascii="Times New Roman" w:cs="Times New Roman" w:eastAsia="Times New Roman" w:hAnsi="Times New Roman"/>
          <w:sz w:val="22"/>
          <w:szCs w:val="22"/>
          <w:b w:val="1"/>
          <w:bCs w:val="1"/>
          <w:color w:val="auto"/>
        </w:rPr>
        <w:t>Buy-In</w:t>
      </w:r>
      <w:r>
        <w:rPr>
          <w:rFonts w:ascii="Times New Roman" w:cs="Times New Roman" w:eastAsia="Times New Roman" w:hAnsi="Times New Roman"/>
          <w:sz w:val="22"/>
          <w:szCs w:val="22"/>
          <w:color w:val="auto"/>
        </w:rPr>
        <w:t>”), then the Company shall, within three (3) Business Days after the Holder’s request and in the Holder’s discretion, either (i) pay cash to the Holder in an amount equal to the Holder’s total purchase price (including brokerage commissions and other out of pocket expenses, if any) for the Common Shares so purchased (the “</w:t>
      </w:r>
      <w:r>
        <w:rPr>
          <w:rFonts w:ascii="Times New Roman" w:cs="Times New Roman" w:eastAsia="Times New Roman" w:hAnsi="Times New Roman"/>
          <w:sz w:val="22"/>
          <w:szCs w:val="22"/>
          <w:u w:val="single" w:color="auto"/>
          <w:color w:val="auto"/>
        </w:rPr>
        <w:t>Buy-In Price</w:t>
      </w:r>
      <w:r>
        <w:rPr>
          <w:rFonts w:ascii="Times New Roman" w:cs="Times New Roman" w:eastAsia="Times New Roman" w:hAnsi="Times New Roman"/>
          <w:sz w:val="22"/>
          <w:szCs w:val="22"/>
          <w:color w:val="auto"/>
        </w:rPr>
        <w:t xml:space="preserve">”), at which point the Company’s obligation to deliver such certificate (and to issue such Common Shares) shall terminate, or (ii) promptly honor its obligation to deliver to the Holder a certificate or certificates representing such Common Shares to which the Holder is entitled with respect to such Conversion Notice and pay cash to the Holder in an amount equal to the excess (if any) of the Buy-In Price over the product of (A) such number of Common Shares,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the Closing Price on the Conversion Date.</w:t>
      </w:r>
    </w:p>
    <w:p>
      <w:pPr>
        <w:spacing w:after="0" w:line="146" w:lineRule="exact"/>
        <w:rPr>
          <w:rFonts w:ascii="Times New Roman" w:cs="Times New Roman" w:eastAsia="Times New Roman" w:hAnsi="Times New Roman"/>
          <w:sz w:val="22"/>
          <w:szCs w:val="22"/>
          <w:color w:val="auto"/>
        </w:rPr>
      </w:pPr>
    </w:p>
    <w:p>
      <w:pPr>
        <w:jc w:val="both"/>
        <w:ind w:firstLine="1304"/>
        <w:spacing w:after="0" w:line="214" w:lineRule="auto"/>
        <w:tabs>
          <w:tab w:leader="none" w:pos="194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Book-Entry</w:t>
      </w:r>
      <w:r>
        <w:rPr>
          <w:rFonts w:ascii="Times New Roman" w:cs="Times New Roman" w:eastAsia="Times New Roman" w:hAnsi="Times New Roman"/>
          <w:sz w:val="22"/>
          <w:szCs w:val="22"/>
          <w:color w:val="auto"/>
        </w:rPr>
        <w:t>. Notwithstanding anything to the contrary set forth herein, upon conversion of any portion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Note in accordance with the terms hereof, the Holder shall not be required to physically surrender this Note to the Company unless (A) the full Conversion Amount represented by this Note is being converted or (B) the Holder has provided the Company with prior written notice (which notice may be included in a Conversion Notice) requesting reissuance of this Note upon physical surrender of this Note. The Holder and the Company shall maintain records showing the Principal converted and the dates of such conversions or shall use such other method, reasonably satisfactory to the Holder and the Company, so as not to require physical surrender of this Note upon any conversion.</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Limitations on Conversions.</w:t>
      </w:r>
    </w:p>
    <w:p>
      <w:pPr>
        <w:spacing w:after="0" w:line="179" w:lineRule="exact"/>
        <w:rPr>
          <w:sz w:val="20"/>
          <w:szCs w:val="20"/>
          <w:color w:val="auto"/>
        </w:rPr>
      </w:pPr>
    </w:p>
    <w:p>
      <w:pPr>
        <w:jc w:val="both"/>
        <w:ind w:firstLine="1304"/>
        <w:spacing w:after="0" w:line="222" w:lineRule="auto"/>
        <w:tabs>
          <w:tab w:leader="none" w:pos="1941"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Beneficial Ownership. </w:t>
      </w:r>
      <w:r>
        <w:rPr>
          <w:rFonts w:ascii="Times New Roman" w:cs="Times New Roman" w:eastAsia="Times New Roman" w:hAnsi="Times New Roman"/>
          <w:sz w:val="21"/>
          <w:szCs w:val="21"/>
          <w:color w:val="auto"/>
        </w:rPr>
        <w:t>The Company shall not effect any conversion of this Note, and a Holder shall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have the right to convert any portion of this Note, to the extent that after giving effect to the conversion set forth on the applicable notice of conversion, the Holder (together with the Holder’s affiliates, and any other Persons acting as a group together with the Holder or any of the Holder’s affiliates (such Persons, “</w:t>
      </w:r>
      <w:r>
        <w:rPr>
          <w:rFonts w:ascii="Times New Roman" w:cs="Times New Roman" w:eastAsia="Times New Roman" w:hAnsi="Times New Roman"/>
          <w:sz w:val="21"/>
          <w:szCs w:val="21"/>
          <w:b w:val="1"/>
          <w:bCs w:val="1"/>
          <w:color w:val="auto"/>
        </w:rPr>
        <w:t>Attribution Parties</w:t>
      </w:r>
      <w:r>
        <w:rPr>
          <w:rFonts w:ascii="Times New Roman" w:cs="Times New Roman" w:eastAsia="Times New Roman" w:hAnsi="Times New Roman"/>
          <w:sz w:val="21"/>
          <w:szCs w:val="21"/>
          <w:color w:val="auto"/>
        </w:rPr>
        <w:t>”)) would beneficially own in excess of the Beneficial Ownership Limitation (as defined below). For purposes of the foregoing sentence, the number of Common Shares beneficially owned by the Holder and its affiliates and Attribution Parties shall include the number of Common Shares issuable upon conversion of this Note with respect to which such determination is being made, but shall exclude the number of Common Shares which would be issuable upon (i) conversion of the remaining, unconverted principal amount of this Note (plus, if applicable, any accrued and unpaid interest thereon) beneficially owned by the Holder or any of its affiliates or Attribution</w:t>
      </w:r>
    </w:p>
    <w:p>
      <w:pPr>
        <w:sectPr>
          <w:pgSz w:w="11900" w:h="16838" w:orient="portrait"/>
          <w:cols w:equalWidth="0" w:num="1">
            <w:col w:w="11240"/>
          </w:cols>
          <w:pgMar w:left="320" w:top="1395" w:right="339" w:bottom="1440" w:gutter="0" w:footer="0" w:header="0"/>
        </w:sectPr>
      </w:pPr>
    </w:p>
    <w:bookmarkStart w:id="118" w:name="page119"/>
    <w:bookmarkEnd w:id="118"/>
    <w:p>
      <w:pPr>
        <w:jc w:val="both"/>
        <w:spacing w:after="0" w:line="207" w:lineRule="auto"/>
        <w:rPr>
          <w:sz w:val="20"/>
          <w:szCs w:val="20"/>
          <w:color w:val="auto"/>
        </w:rPr>
      </w:pPr>
      <w:r>
        <w:rPr>
          <w:rFonts w:ascii="Times New Roman" w:cs="Times New Roman" w:eastAsia="Times New Roman" w:hAnsi="Times New Roman"/>
          <w:sz w:val="22"/>
          <w:szCs w:val="22"/>
          <w:color w:val="auto"/>
        </w:rPr>
        <w:t>Parties and (ii) exercise or conversion of the unexercised or unconverted portion of any other securities of the Company subject to a limitation on conversion or exercise analogous to the limitation contained herein (including, without limitation, any other Notes) beneficially owned by the Holder or any of its affiliates or Attribution Parties. Except as set forth in the preceding sentence, for purposes of this Section 3(c), beneficial ownership shall be calculated in accordance with Section 13(d) of the Exchange Act and the rules and regulations promulgated thereunder. To the extent that the limitation contained in this Section 3(c) applies, the determination of whether this Note is convertible (in relation to other securities owned by the Holder together with any affiliates and Attribution Parties) and of which principal amount (plus, if applicable, any accrued and unpaid interest thereon) of this Note is convertible shall be in the sole discretion of the Holder, and the submission of a notice of conversion shall be deemed to be the Holder’s determination of whether this Note may be converted (in relation to other securities owned by the Holder together with any affiliates or Attribution Parties) and which principal amount (plus, if applicable, any accrued and unpaid interest thereon) of this Note is convertible,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3(c), in determining the number of outstanding Common Shares, the Holder may rely on the number of Common Shares as reflected in (A) the Company’s most recent periodic or annual report filed with the Commission, as the case may be, (B) a more recent public announcement by the Company, or (C) a more recent written notice by the Company or the Company’s transfer agent setting forth the number of Common Shares outstanding. Upon the written or oral request of a Holder, the Company shall within one Trading Day confirm orally and in writing to the Holder the number of Common Shares then outstanding. In any case, the number of outstanding Common Shares shall be determined after giving effect to the conversion or exercise of securities of the Company, including this Note, by the Holder or its affiliates since the date as of which such number of outstanding Common Shares was reported. The “</w:t>
      </w:r>
      <w:r>
        <w:rPr>
          <w:rFonts w:ascii="Times New Roman" w:cs="Times New Roman" w:eastAsia="Times New Roman" w:hAnsi="Times New Roman"/>
          <w:sz w:val="22"/>
          <w:szCs w:val="22"/>
          <w:b w:val="1"/>
          <w:bCs w:val="1"/>
          <w:color w:val="auto"/>
        </w:rPr>
        <w:t>Beneficial Ownership Limitation</w:t>
      </w:r>
      <w:r>
        <w:rPr>
          <w:rFonts w:ascii="Times New Roman" w:cs="Times New Roman" w:eastAsia="Times New Roman" w:hAnsi="Times New Roman"/>
          <w:sz w:val="22"/>
          <w:szCs w:val="22"/>
          <w:color w:val="auto"/>
        </w:rPr>
        <w:t>” shall be 4.99% of the number of Common Shares outstanding immediately after giving effect to the issuance Common Shares issuable upon conversion of this Note. The Beneficial Ownership Limitation provisions of this paragraph shall be construed and implemented in a manner otherwise than in strict conformity with the terms of this Section 3(c)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this Note.</w:t>
      </w:r>
    </w:p>
    <w:p>
      <w:pPr>
        <w:spacing w:after="0" w:line="153" w:lineRule="exact"/>
        <w:rPr>
          <w:sz w:val="20"/>
          <w:szCs w:val="20"/>
          <w:color w:val="auto"/>
        </w:rPr>
      </w:pPr>
    </w:p>
    <w:p>
      <w:pPr>
        <w:ind w:left="1940" w:hanging="636"/>
        <w:spacing w:after="0"/>
        <w:tabs>
          <w:tab w:leader="none" w:pos="194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Provisions.</w:t>
      </w:r>
    </w:p>
    <w:p>
      <w:pPr>
        <w:spacing w:after="0" w:line="183" w:lineRule="exact"/>
        <w:rPr>
          <w:sz w:val="20"/>
          <w:szCs w:val="20"/>
          <w:color w:val="auto"/>
        </w:rPr>
      </w:pPr>
    </w:p>
    <w:p>
      <w:pPr>
        <w:ind w:left="1940" w:hanging="636"/>
        <w:spacing w:after="0"/>
        <w:tabs>
          <w:tab w:leader="none" w:pos="194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calculations under this Section 3 shall be rounded to the nearest $0.0001 or whole share.</w:t>
      </w:r>
    </w:p>
    <w:p>
      <w:pPr>
        <w:spacing w:after="0" w:line="179"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limit a Holder’s right to pursue actual damages or declare an Event of Default pursuant to Section 2 herein for the Company’s failure to deliver certificates representing Common Shares upon conversion within the period specified herein and such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sectPr>
          <w:pgSz w:w="11900" w:h="16838" w:orient="portrait"/>
          <w:cols w:equalWidth="0" w:num="1">
            <w:col w:w="11240"/>
          </w:cols>
          <w:pgMar w:left="320" w:top="1395" w:right="339" w:bottom="1440" w:gutter="0" w:footer="0" w:header="0"/>
        </w:sectPr>
      </w:pPr>
    </w:p>
    <w:bookmarkStart w:id="119" w:name="page120"/>
    <w:bookmarkEnd w:id="119"/>
    <w:p>
      <w:pPr>
        <w:jc w:val="both"/>
        <w:ind w:left="-8" w:firstLine="1304"/>
        <w:spacing w:after="0" w:line="213" w:lineRule="auto"/>
        <w:tabs>
          <w:tab w:leader="none" w:pos="1933"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Legal Opinions. </w:t>
      </w:r>
      <w:r>
        <w:rPr>
          <w:rFonts w:ascii="Times New Roman" w:cs="Times New Roman" w:eastAsia="Times New Roman" w:hAnsi="Times New Roman"/>
          <w:sz w:val="22"/>
          <w:szCs w:val="22"/>
          <w:color w:val="auto"/>
        </w:rPr>
        <w:t>The Company is obligated to cause its legal counsel to deliver legal opinions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transfer agent in connection with any legend removal upon the expiration of any holding period or other requirement for which the Underlying Shares may bear legends restricting the transfer thereof. To the extent a legal opinion is not provided (either timely or at all), then, in addition to being an Event of Default hereunder, the Company agrees to reimburse the Holder for all reasonable costs incurred by the Holder in connection with any legal opinions paid for by the Holder in connection with the sale or transfer of the Underlying Shares. The Holder shall notify the Company of any such costs and expenses it incurs that are referred to in this section from time to time and all amounts owed hereunder shall be paid by the Company with reasonable promptness.</w:t>
      </w:r>
    </w:p>
    <w:p>
      <w:pPr>
        <w:spacing w:after="0" w:line="147" w:lineRule="exact"/>
        <w:rPr>
          <w:rFonts w:ascii="Times New Roman" w:cs="Times New Roman" w:eastAsia="Times New Roman" w:hAnsi="Times New Roman"/>
          <w:sz w:val="22"/>
          <w:szCs w:val="22"/>
          <w:color w:val="auto"/>
        </w:rPr>
      </w:pPr>
    </w:p>
    <w:p>
      <w:pPr>
        <w:jc w:val="both"/>
        <w:ind w:left="-8" w:firstLine="1304"/>
        <w:spacing w:after="0" w:line="210" w:lineRule="auto"/>
        <w:tabs>
          <w:tab w:leader="none" w:pos="1931"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Adjustment of Conversion Price upon Subdivision or Combination of Common Shares. </w:t>
      </w:r>
      <w:r>
        <w:rPr>
          <w:rFonts w:ascii="Times New Roman" w:cs="Times New Roman" w:eastAsia="Times New Roman" w:hAnsi="Times New Roman"/>
          <w:sz w:val="22"/>
          <w:szCs w:val="22"/>
          <w:color w:val="auto"/>
        </w:rPr>
        <w:t>If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at any time while this Note is outstanding, shall (i) pay a stock dividend or otherwise make a distribution or distributions on its Common Shares or any other equity or equity equivalent securities payable in Common Shares, (ii) subdivide outstanding Common Shares into a larger number of shares, (iii) combine (including by way of reverse stock split) outstanding Common Shares into a smaller number of shares, or (iv) issue by reclassification of Common Shares any shares of capital stock of the Company, then the Fixed Price shall be multiplied by a fraction of which the numerator shall be the number of Common Shares (excluding treasury shares, if any) outstanding before such event and of which the denominator shall be the number of Common Shares outstanding after such event. Any adjustment made pursuant to this Section shall become effective, in the case of a dividend distribution, immediately after the record date for the determination of stockholders entitled to receive such dividend or distribution or, in the case of a subdivision, combination or re-classification, and shall become effective immediately after the effective date of such subdivision, combination or re-classification.</w:t>
      </w:r>
    </w:p>
    <w:p>
      <w:pPr>
        <w:spacing w:after="0" w:line="157" w:lineRule="exact"/>
        <w:rPr>
          <w:rFonts w:ascii="Times New Roman" w:cs="Times New Roman" w:eastAsia="Times New Roman" w:hAnsi="Times New Roman"/>
          <w:sz w:val="22"/>
          <w:szCs w:val="22"/>
          <w:color w:val="auto"/>
        </w:rPr>
      </w:pPr>
    </w:p>
    <w:p>
      <w:pPr>
        <w:jc w:val="both"/>
        <w:ind w:left="-8" w:firstLine="1304"/>
        <w:spacing w:after="0" w:line="221" w:lineRule="auto"/>
        <w:tabs>
          <w:tab w:leader="none" w:pos="1933"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Other Corporate Events. </w:t>
      </w:r>
      <w:r>
        <w:rPr>
          <w:rFonts w:ascii="Times New Roman" w:cs="Times New Roman" w:eastAsia="Times New Roman" w:hAnsi="Times New Roman"/>
          <w:sz w:val="21"/>
          <w:szCs w:val="21"/>
          <w:color w:val="auto"/>
        </w:rPr>
        <w:t>In addition to and not in substitution for any other rights hereunder, prior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consummation of any Fundamental Transaction pursuant to which holders of Common Shares are entitled to receive securities or other assets with respect to or in exchange for Common Shares (a “</w:t>
      </w:r>
      <w:r>
        <w:rPr>
          <w:rFonts w:ascii="Times New Roman" w:cs="Times New Roman" w:eastAsia="Times New Roman" w:hAnsi="Times New Roman"/>
          <w:sz w:val="21"/>
          <w:szCs w:val="21"/>
          <w:b w:val="1"/>
          <w:bCs w:val="1"/>
          <w:color w:val="auto"/>
        </w:rPr>
        <w:t>Corporate Event</w:t>
      </w:r>
      <w:r>
        <w:rPr>
          <w:rFonts w:ascii="Times New Roman" w:cs="Times New Roman" w:eastAsia="Times New Roman" w:hAnsi="Times New Roman"/>
          <w:sz w:val="21"/>
          <w:szCs w:val="21"/>
          <w:color w:val="auto"/>
        </w:rPr>
        <w:t>”), the Company shall make appropriate provision to ensure that the Holder will thereafter have the right to receive upon a conversion of this Note, at the Holder’s option,</w:t>
      </w:r>
    </w:p>
    <w:p>
      <w:pPr>
        <w:spacing w:after="0" w:line="2" w:lineRule="exact"/>
        <w:rPr>
          <w:rFonts w:ascii="Times New Roman" w:cs="Times New Roman" w:eastAsia="Times New Roman" w:hAnsi="Times New Roman"/>
          <w:sz w:val="21"/>
          <w:szCs w:val="21"/>
          <w:color w:val="auto"/>
        </w:rPr>
      </w:pPr>
    </w:p>
    <w:p>
      <w:pPr>
        <w:jc w:val="both"/>
        <w:ind w:left="-8" w:firstLine="8"/>
        <w:spacing w:after="0" w:line="208" w:lineRule="auto"/>
        <w:tabs>
          <w:tab w:leader="none" w:pos="255"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Common Shares receivable upon such conversion, such securities or other assets to which the Holder would have been entitled with respect to such Common Shares had such Common Shares been held by the Holder upon the consummation of such Corporate Event (without taking into account any limitations or restrictions on the convertibility of this Note) or (ii) in lieu of the Common Shares otherwise receivable upon such conversion, such securities or other assets received by the holders of Common Shares in connection with the consummation of such Corporate Event in such amounts as the Holder would have been entitled to receive had this Note initially been issued with conversion rights for the form of such consideration (as opposed to Common Shares) at a conversion rate for such consideration commensurate with the Conversion Price. Provision made pursuant to the preceding sentence shall be in a form and substance satisfactory to the Required Holders. The provisions of this Section shall apply similarly and equally to successive Corporate Events and shall be applied without regard to any limitations on the conversion or prepayment of this Note.</w:t>
      </w:r>
    </w:p>
    <w:p>
      <w:pPr>
        <w:spacing w:after="0" w:line="159" w:lineRule="exact"/>
        <w:rPr>
          <w:rFonts w:ascii="Times New Roman" w:cs="Times New Roman" w:eastAsia="Times New Roman" w:hAnsi="Times New Roman"/>
          <w:sz w:val="22"/>
          <w:szCs w:val="22"/>
          <w:color w:val="auto"/>
        </w:rPr>
      </w:pPr>
    </w:p>
    <w:p>
      <w:pPr>
        <w:ind w:left="-8" w:right="20" w:firstLine="1304"/>
        <w:spacing w:after="0" w:line="236" w:lineRule="auto"/>
        <w:tabs>
          <w:tab w:leader="none" w:pos="1949"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Conversion Price is adjusted pursuant to this Section 3, the Company shall promptly provide the Holder with a written notice setting forth the</w:t>
      </w:r>
    </w:p>
    <w:p>
      <w:pPr>
        <w:sectPr>
          <w:pgSz w:w="11900" w:h="16838" w:orient="portrait"/>
          <w:cols w:equalWidth="0" w:num="1">
            <w:col w:w="11232"/>
          </w:cols>
          <w:pgMar w:left="328" w:top="139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Conversion Price after such adjustment and setting forth a brief statement of the facts requiring such adjustment.</w:t>
      </w:r>
    </w:p>
    <w:p>
      <w:pPr>
        <w:spacing w:after="0" w:line="179" w:lineRule="exact"/>
        <w:rPr>
          <w:sz w:val="20"/>
          <w:szCs w:val="20"/>
          <w:color w:val="auto"/>
        </w:rPr>
      </w:pPr>
    </w:p>
    <w:p>
      <w:pPr>
        <w:jc w:val="both"/>
        <w:ind w:firstLine="1304"/>
        <w:spacing w:after="0" w:line="218" w:lineRule="auto"/>
        <w:tabs>
          <w:tab w:leader="none" w:pos="1953"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of any (1) merger or consolidation of the Company or any Subsidiary of the Company with or into another Person, or (2) sale by the Company or any Subsidiary of the Company of more than one-half of the assets of the Company in one or a series of related transactions, a Holder shall have the right to (A) exercise any rights under Section 3(f), (B) convert the aggregate amount of this Note then outstanding into the shares of stock and other securities, cash and property receivable upon or deemed to be held by holders of Common Shares following such merger, consolidation or sale, and such Holder shall be entitled upon such event or series of related events to receive such amount of securities, cash and property as the Common Shares into which such aggregate Principal amount of this Note could have been converted immediately prior to such merger, consolidation or sales would have been entitled, or (C) in the case of a merger or consolidation, require the surviving entity to issue to the Holder a convertible Note with a Principal amount equal to the aggregate Principal amount of this Note then held by such Holder, plus all other amounts owing thereon, which such newly issued convertible Note shall have terms identical (including with respect to conversion) to the terms of this Note, and shall be entitled to all of the rights and privileges of the Holder of this Note set forth herein and the agreements pursuant to which this Note was issued. In the case of clause (C), the conversion price applicable for the newly issued convertible debentures or convertible Notes shall be based upon the amount of securities, cash and property that each Common Share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prepayment following such event. This provision shall similarly apply to successive such events.</w:t>
      </w:r>
    </w:p>
    <w:p>
      <w:pPr>
        <w:spacing w:after="0" w:line="155" w:lineRule="exact"/>
        <w:rPr>
          <w:rFonts w:ascii="Times New Roman" w:cs="Times New Roman" w:eastAsia="Times New Roman" w:hAnsi="Times New Roman"/>
          <w:sz w:val="21"/>
          <w:szCs w:val="21"/>
          <w:color w:val="auto"/>
        </w:rPr>
      </w:pPr>
    </w:p>
    <w:p>
      <w:pPr>
        <w:ind w:left="1280" w:hanging="624"/>
        <w:spacing w:after="0"/>
        <w:tabs>
          <w:tab w:leader="none" w:pos="1280"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REISSUANCE OF THIS NOTE.</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10" w:lineRule="auto"/>
        <w:tabs>
          <w:tab w:leader="none" w:pos="1941"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If this Note is to be transferred, the Holder shall surrender this Note to the Company, whereupon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will forthwith issue and deliver upon the order of the Holder a new Note (in accordance with Section 4(d)), registered in the name of the registered transferee or assignee, representing the outstanding Principal being transferred by the Holder and, if less than the entire outstanding Principal is being transferred, a new Note (in accordance with Section 4(d)) to the Holder representing the outstanding Principal not being transferred. The Holder and any assignee, by acceptance of this Note, acknowledge and agree that, by reason of the provisions of Section 3(b)(iii) following conversion or prepayment of any portion of this Note, the outstanding Principal represented by this Note may be less than the Principal stated on the face of this Note. This Note and the Common Shares issuable on the conversion thereof have not been registered under the Securities Act or the securities laws of any state of the United States; accordingly, this Note and the Common Shares issuable on the conversion thereof are (or will be when issued) “restricted securities” as defined under Rule 144(a)(3) under the Securities Act and the certificates representing such securities shall bear the restrictive legends in substantially the following form:</w:t>
      </w:r>
    </w:p>
    <w:p>
      <w:pPr>
        <w:spacing w:after="0" w:line="157" w:lineRule="exact"/>
        <w:rPr>
          <w:rFonts w:ascii="Times New Roman" w:cs="Times New Roman" w:eastAsia="Times New Roman" w:hAnsi="Times New Roman"/>
          <w:sz w:val="22"/>
          <w:szCs w:val="22"/>
          <w:color w:val="auto"/>
        </w:rPr>
      </w:pPr>
    </w:p>
    <w:p>
      <w:pPr>
        <w:jc w:val="both"/>
        <w:ind w:firstLine="1304"/>
        <w:spacing w:after="0" w:line="232" w:lineRule="auto"/>
        <w:tabs>
          <w:tab w:leader="none" w:pos="1939"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SECURITIES REPRESENTED HEREBY [</w:t>
      </w:r>
      <w:r>
        <w:rPr>
          <w:rFonts w:ascii="Times New Roman" w:cs="Times New Roman" w:eastAsia="Times New Roman" w:hAnsi="Times New Roman"/>
          <w:sz w:val="21"/>
          <w:szCs w:val="21"/>
          <w:i w:val="1"/>
          <w:iCs w:val="1"/>
          <w:color w:val="auto"/>
        </w:rPr>
        <w:t>for Convertible Notes add</w:t>
      </w:r>
      <w:r>
        <w:rPr>
          <w:rFonts w:ascii="Times New Roman" w:cs="Times New Roman" w:eastAsia="Times New Roman" w:hAnsi="Times New Roman"/>
          <w:sz w:val="21"/>
          <w:szCs w:val="21"/>
          <w:color w:val="auto"/>
        </w:rPr>
        <w:t>: AND THOSE SECURITIES INTO WHICH THEY ARE CONVERTIBLE] HAVE NOT BEEN REGISTERED UNDER THE UNITED STATES SECURITIES ACT OF 1933, AS AMENDED (THE “SECURITIES ACT”), OR APPLICABLE STATE SECURITIES LAWS. THE SECURITIES AND THOSE SECURITIES INTO WHICH THEY ARE CONVERTIBLE HAVE BEEN ACQUIRED</w:t>
      </w:r>
    </w:p>
    <w:p>
      <w:pPr>
        <w:sectPr>
          <w:pgSz w:w="11900" w:h="16838" w:orient="portrait"/>
          <w:cols w:equalWidth="0" w:num="1">
            <w:col w:w="11240"/>
          </w:cols>
          <w:pgMar w:left="320" w:top="1395" w:right="339" w:bottom="1440" w:gutter="0" w:footer="0" w:header="0"/>
        </w:sectPr>
      </w:pPr>
    </w:p>
    <w:bookmarkStart w:id="121" w:name="page122"/>
    <w:bookmarkEnd w:id="121"/>
    <w:p>
      <w:pPr>
        <w:jc w:val="both"/>
        <w:spacing w:after="0" w:line="219" w:lineRule="auto"/>
        <w:rPr>
          <w:sz w:val="20"/>
          <w:szCs w:val="20"/>
          <w:color w:val="auto"/>
        </w:rPr>
      </w:pPr>
      <w:r>
        <w:rPr>
          <w:rFonts w:ascii="Times New Roman" w:cs="Times New Roman" w:eastAsia="Times New Roman" w:hAnsi="Times New Roman"/>
          <w:sz w:val="21"/>
          <w:szCs w:val="21"/>
          <w:color w:val="auto"/>
        </w:rPr>
        <w:t>SOLELY FOR INVESTMENT PURPOSES AND NOT WITH A VIEW TOWARD RESALE AND MAY ONLY BE OFFERED FOR SALE, SOLD, TRANSFERRED OR ASSIGNED (A) TO THE CORPORATION, (B) OUTSIDE THE UNITED STATES IN COMPLIANCE WITH RULE 904 OF REGULATION S UNDER THE SECURITIES ACT AND IN COMPLIANCE WITH LOCAL LAWS AND REGULATIONS, (C) IN COMPLIANCE WITH THE EXEMPTION FROM REGISTRATION UNDER THE SECURITIES ACT PROVIDED BY RULE 144 THEREUNDER, IF AVAILABLE, AND IN COMPLIANCE WITH ANY APPLICABLE STATE SECURITIES OR “BLUE SKY” LAWS, (D) IN A TRANSACTION THAT DOES NOT REQUIRE REGISTRATION UNDER THE SECURITIES ACT OR ANY APPLICABLE STATE SECURITIES LAWS, OR (E) PURSUANT TO AN EFFECTIVE REGISTRATION STATEMENT AND, IN THE CASE OF SUBPARAGRAPH (C) OR (D), THE SELLER FURNISHES TO THE CORPORATION AN OPINION OF COUNSEL OF RECOGNIZED STANDING OR SUCH OTHER EVIDENCE AS THE CORPORATION MAY REQUIRE IN FORM AND SUBSTANCE REASONABLY SATISFACTORY TO THE CORPORATION TO SUCH EFFECT. NOTWITHSTANDING THE FOREGOING, THE SECURITIES MAY BE PLEDGED IN CONNECTION WITH A BONA FIDE MARGIN ACCOUNT OR OTHER LOAN OR FINANCING ARRANGEMENT SECURED BY THE SECURITIES. DELIVERY OF THIS CERTIFICATE MAY NOT CONSTITUTE “GOOD DELIVERY” IN SETTLEMENT OF TRANSACTIONS ON STOCK EXCHANGES IN CANADA.</w:t>
      </w:r>
    </w:p>
    <w:p>
      <w:pPr>
        <w:spacing w:after="0" w:line="182" w:lineRule="exact"/>
        <w:rPr>
          <w:sz w:val="20"/>
          <w:szCs w:val="20"/>
          <w:color w:val="auto"/>
        </w:rPr>
      </w:pPr>
    </w:p>
    <w:p>
      <w:pPr>
        <w:jc w:val="both"/>
        <w:ind w:firstLine="8"/>
        <w:spacing w:after="0" w:line="251" w:lineRule="auto"/>
        <w:tabs>
          <w:tab w:leader="none" w:pos="645"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Certificates evidencing the Common Shares issuable on the conversion of the Note shall not contain any legend (including the legend set forth above), (i) while a registration statement covering the resale of such security is effective under the Securities Act, (ii) following any sale of such Common Shares issuable on the conversion of the Note pursuant to Rule 144, (iii) if such Common Shares issuable on the conversion of the Note are eligible for sale under Rule 144, or (iv) if such legend is not required under applicable requirements of the Securities Act (including judicial interpretations and pronouncements issued by the staff of the SEC). This Note may only be transferred, upon compliance with the conditions prescribed in </w:t>
      </w:r>
      <w:r>
        <w:rPr>
          <w:rFonts w:ascii="Times New Roman" w:cs="Times New Roman" w:eastAsia="Times New Roman" w:hAnsi="Times New Roman"/>
          <w:sz w:val="22"/>
          <w:szCs w:val="22"/>
          <w:u w:val="single" w:color="auto"/>
          <w:color w:val="auto"/>
        </w:rPr>
        <w:t>Exhibit II.</w:t>
      </w:r>
    </w:p>
    <w:p>
      <w:pPr>
        <w:spacing w:after="0" w:line="150"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9"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Lost, Stolen or Mutilated Note. </w:t>
      </w:r>
      <w:r>
        <w:rPr>
          <w:rFonts w:ascii="Times New Roman" w:cs="Times New Roman" w:eastAsia="Times New Roman" w:hAnsi="Times New Roman"/>
          <w:sz w:val="22"/>
          <w:szCs w:val="22"/>
          <w:color w:val="auto"/>
        </w:rPr>
        <w:t>Upon receipt by the Company of evidence reasonably satisfactory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of the loss, theft, destruction or mutilation of this Note, and, in the case of loss, theft or destruction, of any indemnification undertaking by the Holder to the Company in customary form and substance and, in the case of mutilation, upon surrender and cancellation of this Note, the Company shall execute and deliver to the Holder a new Note (in accordance with Section 4(d)) representing the outstanding Principal.</w:t>
      </w:r>
    </w:p>
    <w:p>
      <w:pPr>
        <w:spacing w:after="0" w:line="147"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41"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Note Exchangeable for Different Denominations</w:t>
      </w:r>
      <w:r>
        <w:rPr>
          <w:rFonts w:ascii="Times New Roman" w:cs="Times New Roman" w:eastAsia="Times New Roman" w:hAnsi="Times New Roman"/>
          <w:sz w:val="22"/>
          <w:szCs w:val="22"/>
          <w:color w:val="auto"/>
        </w:rPr>
        <w:t>. This Note is exchangeable, upon the surrender 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Holder at the principal office of the Company, for a new Note or Notes (in accordance with Section 4(d)) representing in the aggregate the outstanding Principal of this Note, and each such new Note will represent such portion of such outstanding Principal as is designated by the Holder at the time of such surrender.</w:t>
      </w:r>
    </w:p>
    <w:p>
      <w:pPr>
        <w:spacing w:after="0" w:line="148"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57"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Issuance of New Notes</w:t>
      </w:r>
      <w:r>
        <w:rPr>
          <w:rFonts w:ascii="Times New Roman" w:cs="Times New Roman" w:eastAsia="Times New Roman" w:hAnsi="Times New Roman"/>
          <w:sz w:val="22"/>
          <w:szCs w:val="22"/>
          <w:color w:val="auto"/>
        </w:rPr>
        <w:t>. Whenever the Company is required to issue a new Note pursuant to the terms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Note, such new Note (i) shall be of like tenor with this Note, (ii) shall represent, as indicated on the face of such new Note, the Principal remaining outstanding (or in the case of a new Note being issued pursuant to Section 4(a) or Section 4(c), the Principal designated by the Holder which, when added to the Principal represented by the other new Notes issued in connection with such issuance, does not exceed the Principal remaining outstanding under this Note immediately prior to such</w:t>
      </w:r>
    </w:p>
    <w:p>
      <w:pPr>
        <w:sectPr>
          <w:pgSz w:w="11900" w:h="16838" w:orient="portrait"/>
          <w:cols w:equalWidth="0" w:num="1">
            <w:col w:w="11240"/>
          </w:cols>
          <w:pgMar w:left="320" w:top="1395" w:right="339" w:bottom="1440" w:gutter="0" w:footer="0" w:header="0"/>
        </w:sectPr>
      </w:pPr>
    </w:p>
    <w:bookmarkStart w:id="122" w:name="page123"/>
    <w:bookmarkEnd w:id="122"/>
    <w:p>
      <w:pPr>
        <w:spacing w:after="0" w:line="236" w:lineRule="auto"/>
        <w:rPr>
          <w:sz w:val="20"/>
          <w:szCs w:val="20"/>
          <w:color w:val="auto"/>
        </w:rPr>
      </w:pPr>
      <w:r>
        <w:rPr>
          <w:rFonts w:ascii="Times New Roman" w:cs="Times New Roman" w:eastAsia="Times New Roman" w:hAnsi="Times New Roman"/>
          <w:sz w:val="22"/>
          <w:szCs w:val="22"/>
          <w:color w:val="auto"/>
        </w:rPr>
        <w:t>issuance of new Notes), (iii) shall have an issuance date, as indicated on the face of such new Note, which is the same as the Issuance Date of this Note, and (iv) shall have the same rights and conditions as this Note.</w:t>
      </w:r>
    </w:p>
    <w:p>
      <w:pPr>
        <w:spacing w:after="0" w:line="146" w:lineRule="exact"/>
        <w:rPr>
          <w:sz w:val="20"/>
          <w:szCs w:val="20"/>
          <w:color w:val="auto"/>
        </w:rPr>
      </w:pPr>
    </w:p>
    <w:p>
      <w:pPr>
        <w:jc w:val="both"/>
        <w:ind w:firstLine="656"/>
        <w:spacing w:after="0" w:line="218" w:lineRule="auto"/>
        <w:tabs>
          <w:tab w:leader="none" w:pos="1269" w:val="left"/>
        </w:tabs>
        <w:numPr>
          <w:ilvl w:val="0"/>
          <w:numId w:val="1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NOTICES. </w:t>
      </w:r>
      <w:r>
        <w:rPr>
          <w:rFonts w:ascii="Times New Roman" w:cs="Times New Roman" w:eastAsia="Times New Roman" w:hAnsi="Times New Roman"/>
          <w:sz w:val="22"/>
          <w:szCs w:val="22"/>
          <w:color w:val="auto"/>
        </w:rPr>
        <w:t>Any notices, consents, waivers or other communications required or permitted to be given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hereof must be in writing by letter or electronic mail (“e-mail”) and will be deemed to have been delivered (i) upon receipt, when delivered personally, (ii) one (1) business day after deposit with an overnight courier service with next day delivery specified, as applicable or (iii) receipt, when sent by e-mail, and, in each case of the foregoing clauses (i), (ii) and (iii), properly addressed to the party to receive the same. The addresses and email­ addresses for such communications shall be:</w:t>
      </w:r>
    </w:p>
    <w:p>
      <w:pPr>
        <w:sectPr>
          <w:pgSz w:w="11900" w:h="16838" w:orient="portrait"/>
          <w:cols w:equalWidth="0" w:num="1">
            <w:col w:w="11240"/>
          </w:cols>
          <w:pgMar w:left="320" w:top="1395" w:right="339" w:bottom="1440" w:gutter="0" w:footer="0" w:header="0"/>
        </w:sectPr>
      </w:pPr>
    </w:p>
    <w:bookmarkStart w:id="123" w:name="page124"/>
    <w:bookmarkEnd w:id="123"/>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If to the Company, to:</w:t>
            </w: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Cybin Inc.</w:t>
            </w:r>
          </w:p>
        </w:tc>
      </w:tr>
      <w:tr>
        <w:trPr>
          <w:trHeight w:val="256"/>
        </w:trPr>
        <w:tc>
          <w:tcPr>
            <w:tcW w:w="3680" w:type="dxa"/>
            <w:vAlign w:val="bottom"/>
          </w:tcPr>
          <w:p>
            <w:pPr>
              <w:spacing w:after="0"/>
              <w:rPr>
                <w:sz w:val="22"/>
                <w:szCs w:val="22"/>
                <w:color w:val="auto"/>
              </w:rPr>
            </w:pP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100 King Street West, Suite 5600</w:t>
            </w:r>
          </w:p>
        </w:tc>
      </w:tr>
      <w:tr>
        <w:trPr>
          <w:trHeight w:val="282"/>
        </w:trPr>
        <w:tc>
          <w:tcPr>
            <w:tcW w:w="3680" w:type="dxa"/>
            <w:vAlign w:val="bottom"/>
          </w:tcPr>
          <w:p>
            <w:pPr>
              <w:spacing w:after="0"/>
              <w:rPr>
                <w:sz w:val="24"/>
                <w:szCs w:val="24"/>
                <w:color w:val="auto"/>
              </w:rPr>
            </w:pP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Toronto, Ontario M5X 1C9</w:t>
            </w:r>
          </w:p>
        </w:tc>
      </w:tr>
      <w:tr>
        <w:trPr>
          <w:trHeight w:val="567"/>
        </w:trPr>
        <w:tc>
          <w:tcPr>
            <w:tcW w:w="3680" w:type="dxa"/>
            <w:vAlign w:val="bottom"/>
          </w:tcPr>
          <w:p>
            <w:pPr>
              <w:spacing w:after="0"/>
              <w:rPr>
                <w:sz w:val="24"/>
                <w:szCs w:val="24"/>
                <w:color w:val="auto"/>
              </w:rPr>
            </w:pP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7"/>
              </w:rPr>
              <w:t>Attn: Gabriel Fahel, Chief Legal Officer</w:t>
            </w:r>
          </w:p>
        </w:tc>
      </w:tr>
      <w:tr>
        <w:trPr>
          <w:trHeight w:val="297"/>
        </w:trPr>
        <w:tc>
          <w:tcPr>
            <w:tcW w:w="3680" w:type="dxa"/>
            <w:vAlign w:val="bottom"/>
          </w:tcPr>
          <w:p>
            <w:pPr>
              <w:spacing w:after="0"/>
              <w:rPr>
                <w:sz w:val="24"/>
                <w:szCs w:val="24"/>
                <w:color w:val="auto"/>
              </w:rPr>
            </w:pP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Telephone: [REDACTED]</w:t>
            </w:r>
          </w:p>
        </w:tc>
      </w:tr>
      <w:tr>
        <w:trPr>
          <w:trHeight w:val="311"/>
        </w:trPr>
        <w:tc>
          <w:tcPr>
            <w:tcW w:w="3680" w:type="dxa"/>
            <w:vAlign w:val="bottom"/>
          </w:tcPr>
          <w:p>
            <w:pPr>
              <w:spacing w:after="0"/>
              <w:rPr>
                <w:sz w:val="24"/>
                <w:szCs w:val="24"/>
                <w:color w:val="auto"/>
              </w:rPr>
            </w:pP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Email: [REDACTED]</w:t>
            </w:r>
          </w:p>
        </w:tc>
      </w:tr>
      <w:tr>
        <w:trPr>
          <w:trHeight w:val="555"/>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with a copy (which shall not</w:t>
            </w: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Aird &amp; Berlis LLP</w:t>
            </w:r>
          </w:p>
        </w:tc>
      </w:tr>
      <w:tr>
        <w:trPr>
          <w:trHeight w:val="25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constitute notice) to:</w:t>
            </w: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181 Bay Street, Suite 1800</w:t>
            </w:r>
          </w:p>
        </w:tc>
      </w:tr>
      <w:tr>
        <w:trPr>
          <w:trHeight w:val="270"/>
        </w:trPr>
        <w:tc>
          <w:tcPr>
            <w:tcW w:w="3680" w:type="dxa"/>
            <w:vAlign w:val="bottom"/>
          </w:tcPr>
          <w:p>
            <w:pPr>
              <w:spacing w:after="0"/>
              <w:rPr>
                <w:sz w:val="23"/>
                <w:szCs w:val="23"/>
                <w:color w:val="auto"/>
              </w:rPr>
            </w:pP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Toronto, Ontario M5J 2T9</w:t>
            </w:r>
          </w:p>
        </w:tc>
      </w:tr>
      <w:tr>
        <w:trPr>
          <w:trHeight w:val="282"/>
        </w:trPr>
        <w:tc>
          <w:tcPr>
            <w:tcW w:w="3680" w:type="dxa"/>
            <w:vAlign w:val="bottom"/>
          </w:tcPr>
          <w:p>
            <w:pPr>
              <w:spacing w:after="0"/>
              <w:rPr>
                <w:sz w:val="24"/>
                <w:szCs w:val="24"/>
                <w:color w:val="auto"/>
              </w:rPr>
            </w:pP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Attention: Sherri Altshuler</w:t>
            </w:r>
          </w:p>
        </w:tc>
      </w:tr>
      <w:tr>
        <w:trPr>
          <w:trHeight w:val="474"/>
        </w:trPr>
        <w:tc>
          <w:tcPr>
            <w:tcW w:w="3680" w:type="dxa"/>
            <w:vAlign w:val="bottom"/>
          </w:tcPr>
          <w:p>
            <w:pPr>
              <w:spacing w:after="0"/>
              <w:rPr>
                <w:sz w:val="24"/>
                <w:szCs w:val="24"/>
                <w:color w:val="auto"/>
              </w:rPr>
            </w:pP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Telephone: 416-865-3081</w:t>
            </w:r>
          </w:p>
        </w:tc>
      </w:tr>
      <w:tr>
        <w:trPr>
          <w:trHeight w:val="282"/>
        </w:trPr>
        <w:tc>
          <w:tcPr>
            <w:tcW w:w="3680" w:type="dxa"/>
            <w:vAlign w:val="bottom"/>
          </w:tcPr>
          <w:p>
            <w:pPr>
              <w:spacing w:after="0"/>
              <w:rPr>
                <w:sz w:val="24"/>
                <w:szCs w:val="24"/>
                <w:color w:val="auto"/>
              </w:rPr>
            </w:pPr>
          </w:p>
        </w:tc>
        <w:tc>
          <w:tcPr>
            <w:tcW w:w="47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Email: saltshuler@airdberlis.com</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If to the Holder:</w:t>
            </w: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High Trail Capital</w:t>
            </w:r>
          </w:p>
        </w:tc>
      </w:tr>
      <w:tr>
        <w:trPr>
          <w:trHeight w:val="256"/>
        </w:trPr>
        <w:tc>
          <w:tcPr>
            <w:tcW w:w="3680" w:type="dxa"/>
            <w:vAlign w:val="bottom"/>
          </w:tcPr>
          <w:p>
            <w:pPr>
              <w:spacing w:after="0"/>
              <w:rPr>
                <w:sz w:val="22"/>
                <w:szCs w:val="22"/>
                <w:color w:val="auto"/>
              </w:rPr>
            </w:pP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221 River Street, 9th Floor</w:t>
            </w:r>
          </w:p>
        </w:tc>
      </w:tr>
      <w:tr>
        <w:trPr>
          <w:trHeight w:val="282"/>
        </w:trPr>
        <w:tc>
          <w:tcPr>
            <w:tcW w:w="3680" w:type="dxa"/>
            <w:vAlign w:val="bottom"/>
          </w:tcPr>
          <w:p>
            <w:pPr>
              <w:spacing w:after="0"/>
              <w:rPr>
                <w:sz w:val="24"/>
                <w:szCs w:val="24"/>
                <w:color w:val="auto"/>
              </w:rPr>
            </w:pP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Hoboken, NJ 07030</w:t>
            </w:r>
          </w:p>
        </w:tc>
      </w:tr>
      <w:tr>
        <w:trPr>
          <w:trHeight w:val="298"/>
        </w:trPr>
        <w:tc>
          <w:tcPr>
            <w:tcW w:w="3680" w:type="dxa"/>
            <w:vAlign w:val="bottom"/>
          </w:tcPr>
          <w:p>
            <w:pPr>
              <w:spacing w:after="0"/>
              <w:rPr>
                <w:sz w:val="24"/>
                <w:szCs w:val="24"/>
                <w:color w:val="auto"/>
              </w:rPr>
            </w:pP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Attention: Eric Helenek</w:t>
            </w:r>
          </w:p>
        </w:tc>
      </w:tr>
      <w:tr>
        <w:trPr>
          <w:trHeight w:val="282"/>
        </w:trPr>
        <w:tc>
          <w:tcPr>
            <w:tcW w:w="3680" w:type="dxa"/>
            <w:vAlign w:val="bottom"/>
          </w:tcPr>
          <w:p>
            <w:pPr>
              <w:spacing w:after="0"/>
              <w:rPr>
                <w:sz w:val="24"/>
                <w:szCs w:val="24"/>
                <w:color w:val="auto"/>
              </w:rPr>
            </w:pP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Email: [REDACTED]</w:t>
            </w:r>
          </w:p>
        </w:tc>
      </w:tr>
      <w:tr>
        <w:trPr>
          <w:trHeight w:val="555"/>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with a copy (which shall not</w:t>
            </w: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Haynes and Boone, LLP</w:t>
            </w:r>
          </w:p>
        </w:tc>
      </w:tr>
      <w:tr>
        <w:trPr>
          <w:trHeight w:val="25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constitute notice) to:</w:t>
            </w: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7"/>
              </w:rPr>
              <w:t>30 Rockefeller Plaza; 26th Floor</w:t>
            </w:r>
          </w:p>
        </w:tc>
      </w:tr>
      <w:tr>
        <w:trPr>
          <w:trHeight w:val="270"/>
        </w:trPr>
        <w:tc>
          <w:tcPr>
            <w:tcW w:w="3680" w:type="dxa"/>
            <w:vAlign w:val="bottom"/>
          </w:tcPr>
          <w:p>
            <w:pPr>
              <w:spacing w:after="0"/>
              <w:rPr>
                <w:sz w:val="23"/>
                <w:szCs w:val="23"/>
                <w:color w:val="auto"/>
              </w:rPr>
            </w:pP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New York, NY 10112</w:t>
            </w:r>
          </w:p>
        </w:tc>
      </w:tr>
      <w:tr>
        <w:trPr>
          <w:trHeight w:val="282"/>
        </w:trPr>
        <w:tc>
          <w:tcPr>
            <w:tcW w:w="3680" w:type="dxa"/>
            <w:vAlign w:val="bottom"/>
          </w:tcPr>
          <w:p>
            <w:pPr>
              <w:spacing w:after="0"/>
              <w:rPr>
                <w:sz w:val="24"/>
                <w:szCs w:val="24"/>
                <w:color w:val="auto"/>
              </w:rPr>
            </w:pP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Attention: Rick A. Werner</w:t>
            </w:r>
          </w:p>
        </w:tc>
      </w:tr>
      <w:tr>
        <w:trPr>
          <w:trHeight w:val="474"/>
        </w:trPr>
        <w:tc>
          <w:tcPr>
            <w:tcW w:w="3680" w:type="dxa"/>
            <w:vAlign w:val="bottom"/>
          </w:tcPr>
          <w:p>
            <w:pPr>
              <w:spacing w:after="0"/>
              <w:rPr>
                <w:sz w:val="24"/>
                <w:szCs w:val="24"/>
                <w:color w:val="auto"/>
              </w:rPr>
            </w:pP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Telephone: [REDACTED]</w:t>
            </w:r>
          </w:p>
        </w:tc>
      </w:tr>
      <w:tr>
        <w:trPr>
          <w:trHeight w:val="282"/>
        </w:trPr>
        <w:tc>
          <w:tcPr>
            <w:tcW w:w="3680" w:type="dxa"/>
            <w:vAlign w:val="bottom"/>
          </w:tcPr>
          <w:p>
            <w:pPr>
              <w:spacing w:after="0"/>
              <w:rPr>
                <w:sz w:val="24"/>
                <w:szCs w:val="24"/>
                <w:color w:val="auto"/>
              </w:rPr>
            </w:pPr>
          </w:p>
        </w:tc>
        <w:tc>
          <w:tcPr>
            <w:tcW w:w="40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Email: [REDACTED]</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or at such other address and/or e-mail address and/or to the attention of such other person as the recipient party has specified by written notice given to each other party in accordance with this Section at least three (3) Business Days prior to the effectiveness of such change. Written confirmation of receipt (a) given by the recipient of such notice, consent, waiver or other communication, (b) electronically generated by the sender’s email service provider containing the time, date, recipient email address or (c) provided by a nationally recognized overnight delivery service, shall be rebuttable evidence of personal</w:t>
      </w:r>
    </w:p>
    <w:p>
      <w:pPr>
        <w:sectPr>
          <w:pgSz w:w="11900" w:h="16838" w:orient="portrait"/>
          <w:cols w:equalWidth="0" w:num="1">
            <w:col w:w="11240"/>
          </w:cols>
          <w:pgMar w:left="320" w:top="144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1"/>
          <w:szCs w:val="21"/>
          <w:color w:val="auto"/>
        </w:rPr>
        <w:t>service, receipt from a nationally recognized overnight delivery service or receipt by e-mail in accordance with clause (i), (ii) or</w:t>
      </w:r>
    </w:p>
    <w:p>
      <w:pPr>
        <w:spacing w:after="0" w:line="39" w:lineRule="exact"/>
        <w:rPr>
          <w:sz w:val="20"/>
          <w:szCs w:val="20"/>
          <w:color w:val="auto"/>
        </w:rPr>
      </w:pPr>
    </w:p>
    <w:p>
      <w:pPr>
        <w:ind w:left="380" w:hanging="372"/>
        <w:spacing w:after="0"/>
        <w:tabs>
          <w:tab w:leader="none" w:pos="38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respectively.</w:t>
      </w:r>
    </w:p>
    <w:p>
      <w:pPr>
        <w:spacing w:after="0" w:line="164" w:lineRule="exact"/>
        <w:rPr>
          <w:rFonts w:ascii="Times New Roman" w:cs="Times New Roman" w:eastAsia="Times New Roman" w:hAnsi="Times New Roman"/>
          <w:sz w:val="22"/>
          <w:szCs w:val="22"/>
          <w:color w:val="auto"/>
        </w:rPr>
      </w:pPr>
    </w:p>
    <w:p>
      <w:pPr>
        <w:jc w:val="both"/>
        <w:ind w:firstLine="656"/>
        <w:spacing w:after="0" w:line="214" w:lineRule="auto"/>
        <w:tabs>
          <w:tab w:leader="none" w:pos="1269" w:val="left"/>
        </w:tabs>
        <w:numPr>
          <w:ilvl w:val="1"/>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IMPAIRMENT. </w:t>
      </w:r>
      <w:r>
        <w:rPr>
          <w:rFonts w:ascii="Times New Roman" w:cs="Times New Roman" w:eastAsia="Times New Roman" w:hAnsi="Times New Roman"/>
          <w:sz w:val="22"/>
          <w:szCs w:val="22"/>
          <w:color w:val="auto"/>
        </w:rPr>
        <w:t>Except as expressly provided herein, no provision of this Note shall alter or impair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of the Company, which are absolute and unconditional, to pay the Principal of, and other charges (if any) on, this Note at the time, place, and rate, and in the currency, herein prescribed. This Note is a direct obligation of the Company. As long as this Note is outstanding, the Company shall not and shall cause each of its Subsidiaries not to, without the consent of the Holder, (i) amend its certificate of incorporation, bylaws or other charter documents so as to adversely affect any rights of the Holder; (ii) repay, repurchase or offer to repay, repurchase or otherwise acquire shares of its Common Shares or other equity securities; or (iii) enter into any agreement with respect to any of the foregoing.</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21" w:lineRule="auto"/>
        <w:tabs>
          <w:tab w:leader="none" w:pos="1269" w:val="left"/>
        </w:tabs>
        <w:numPr>
          <w:ilvl w:val="1"/>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RIGHTS AS SHAREHOLDER. </w:t>
      </w:r>
      <w:r>
        <w:rPr>
          <w:rFonts w:ascii="Times New Roman" w:cs="Times New Roman" w:eastAsia="Times New Roman" w:hAnsi="Times New Roman"/>
          <w:sz w:val="22"/>
          <w:szCs w:val="22"/>
          <w:color w:val="auto"/>
        </w:rPr>
        <w:t>This Note shall not entitle the Holder to any of the rights of a shareholder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Company, including without limitation, the right to vote, to receive dividends and other distributions, or to receive any notice of, or to attend, meetings of stockholders or any other proceedings of the Company, unless and to the extent converted into Common Shares in accordance with the terms hereof.</w:t>
      </w:r>
    </w:p>
    <w:p>
      <w:pPr>
        <w:spacing w:after="0" w:line="148" w:lineRule="exact"/>
        <w:rPr>
          <w:rFonts w:ascii="Times New Roman" w:cs="Times New Roman" w:eastAsia="Times New Roman" w:hAnsi="Times New Roman"/>
          <w:sz w:val="22"/>
          <w:szCs w:val="22"/>
          <w:b w:val="1"/>
          <w:bCs w:val="1"/>
          <w:color w:val="auto"/>
        </w:rPr>
      </w:pPr>
    </w:p>
    <w:p>
      <w:pPr>
        <w:ind w:left="1280" w:hanging="624"/>
        <w:spacing w:after="0"/>
        <w:tabs>
          <w:tab w:leader="none" w:pos="1280" w:val="left"/>
        </w:tabs>
        <w:numPr>
          <w:ilvl w:val="1"/>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CHOICE OF LAW; VENUE; WAIVER OF JURY TRIAL</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21" w:lineRule="auto"/>
        <w:tabs>
          <w:tab w:leader="none" w:pos="1941" w:val="left"/>
        </w:tabs>
        <w:numPr>
          <w:ilvl w:val="2"/>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Note and the rights and obligations of the Parties hereunder shall, in all respects,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and construed in accordance with, the laws (excluding the principles of conflict of laws) of the State of New York (the “</w:t>
      </w:r>
      <w:r>
        <w:rPr>
          <w:rFonts w:ascii="Times New Roman" w:cs="Times New Roman" w:eastAsia="Times New Roman" w:hAnsi="Times New Roman"/>
          <w:sz w:val="22"/>
          <w:szCs w:val="22"/>
          <w:b w:val="1"/>
          <w:bCs w:val="1"/>
          <w:color w:val="auto"/>
        </w:rPr>
        <w:t>Governing Jurisdiction</w:t>
      </w:r>
      <w:r>
        <w:rPr>
          <w:rFonts w:ascii="Times New Roman" w:cs="Times New Roman" w:eastAsia="Times New Roman" w:hAnsi="Times New Roman"/>
          <w:sz w:val="22"/>
          <w:szCs w:val="22"/>
          <w:color w:val="auto"/>
        </w:rPr>
        <w:t>”) (including Section 5-1401 and Section 5-1402 of the General Obligations Law of the State of New York), including all matters of construction, validity and performance.</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Jurisdiction; Venue; Service.</w:t>
      </w:r>
    </w:p>
    <w:p>
      <w:pPr>
        <w:spacing w:after="0" w:line="183" w:lineRule="exact"/>
        <w:rPr>
          <w:sz w:val="20"/>
          <w:szCs w:val="20"/>
          <w:color w:val="auto"/>
        </w:rPr>
      </w:pPr>
    </w:p>
    <w:p>
      <w:pPr>
        <w:jc w:val="both"/>
        <w:ind w:firstLine="1304"/>
        <w:spacing w:after="0" w:line="225" w:lineRule="auto"/>
        <w:tabs>
          <w:tab w:leader="none" w:pos="194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irrevocably consents to the non-exclusive personal jurisdiction of the state courts of the Governing Jurisdiction and, if a basis for federal jurisdiction exists, the non-exclusive personal jurisdiction of any United States District Court for the Governing Jurisdiction.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venue shall be proper in any court of the Governing Jurisdiction selected by the Holder or, if a basis for federal jurisdiction exists, in any United States District Court in the Governing Jurisdiction selected by the Holder.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suit, claim, action, litigation or proceeding of any kind or description, whether in law or equity, whether in contract or tort or otherwise, brought by the Company against the Holder arising out of or based upon this Note or any matter relating to this Note, or any other Transaction Document, or any contemplated transaction, shall be brought in a court only in the Governing Jurisdiction. The Company shall not file any counterclaim against the Holder in any suit, claim, action, litigation or proceeding brought by the Holder against the Company in a jurisdiction outside of the Governing Jurisdiction unless under the rules of the court in which the Holder brought such suit, claim, action, litigation or proceeding the counterclaim is mandatory, and not permissive,</w:t>
      </w:r>
    </w:p>
    <w:p>
      <w:pPr>
        <w:sectPr>
          <w:pgSz w:w="11900" w:h="16838" w:orient="portrait"/>
          <w:cols w:equalWidth="0" w:num="1">
            <w:col w:w="11240"/>
          </w:cols>
          <w:pgMar w:left="320" w:top="1422" w:right="339" w:bottom="1440" w:gutter="0" w:footer="0" w:header="0"/>
        </w:sectPr>
      </w:pPr>
    </w:p>
    <w:bookmarkStart w:id="125" w:name="page126"/>
    <w:bookmarkEnd w:id="125"/>
    <w:p>
      <w:pPr>
        <w:jc w:val="both"/>
        <w:spacing w:after="0" w:line="209" w:lineRule="auto"/>
        <w:rPr>
          <w:sz w:val="20"/>
          <w:szCs w:val="20"/>
          <w:color w:val="auto"/>
        </w:rPr>
      </w:pPr>
      <w:r>
        <w:rPr>
          <w:rFonts w:ascii="Times New Roman" w:cs="Times New Roman" w:eastAsia="Times New Roman" w:hAnsi="Times New Roman"/>
          <w:sz w:val="22"/>
          <w:szCs w:val="22"/>
          <w:color w:val="auto"/>
        </w:rPr>
        <w:t>and would be considered waived unless filed as a counterclaim in the suit, claim, action, litigation or proceeding instituted by the Holder against the Company. The Company agrees that any forum outside the Governing Jurisdiction is an inconvenient forum and that any suit, claim, action, litigation or proceeding brought by the Company against the Holder in any court outside the Governing Jurisdiction should be dismissed or transferred to a court located in the Governing Jurisdiction. Furthermore, the Company irrevocably and unconditionally agrees that it will not bring or commence any suit, claim, action, litigation or proceeding of any kind or description, whether in law or equity, whether in contract or in tort or otherwise, against the Holder arising out of or based upon this Note or any matter relating to this Note,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Holder agree that a final judgment in any such suit, claim, action, litigation or proceeding shall be conclusive and may be enforced in other jurisdictions by suit on the judgment or in any other manner provided by law.</w:t>
      </w:r>
    </w:p>
    <w:p>
      <w:pPr>
        <w:spacing w:after="0" w:line="156" w:lineRule="exact"/>
        <w:rPr>
          <w:sz w:val="20"/>
          <w:szCs w:val="20"/>
          <w:color w:val="auto"/>
        </w:rPr>
      </w:pPr>
    </w:p>
    <w:p>
      <w:pPr>
        <w:jc w:val="both"/>
        <w:ind w:firstLine="1304"/>
        <w:spacing w:after="0" w:line="215" w:lineRule="auto"/>
        <w:tabs>
          <w:tab w:leader="none" w:pos="1939"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Holder irrevocably consent to the service of process out of any of the aforementioned courts in any such suit, claim, action, litigation or proceeding by e-mail or the mailing of copies thereof by registered or certified mail postage prepaid, to it at the e-mail address or physical address, as applicable, provided for notices in this Note, such service to become effective immediately after the date of such e-mail or mailing, as applicable. The Company and the Holder each irrevocably waive any defense it may have on the grounds of insufficient or improper service with respect to service of process effected in accordance with this Section 8(b)(iv).</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affect the right of the Holder to serve process in any other manner permitted by law or to commence legal proceedings or to otherwise proceed against the Company or any other Person in the Governing Jurisdiction or in any other jurisdiction.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57"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MUTUALLY WAIVE ALL RIGHT TO TRIAL BY JURY OF ALL CLAIMS OF ANY KIND ARISING OUT OF OR BASED UPON THIS NOTE OR ANY MATTER RELATING TO THIS NOTE, OR ANY OTHER TRANSACTION DOCUMENT, OR ANY CONTEMPLATED TRANSACTION. THE PARTIES ACKNOWLEDGE THAT THIS IS A WAIVER OF A LEGAL RIGHT AND THAT THE PARTIES EACH MAKE THIS WAIVER VOLUNTARILY AND KNOWINGLY AFTER CONSULTATION WITH COUNSEL OF THEIR RESPECTIVE CHOICE. THE PARTIES AGREE THAT ALL SUCH CLAIMS SHALL BE TRIED BEFORE A JUDGE OF A COURT HAVING JURISDICTION, WITHOUT A JURY.</w:t>
      </w:r>
    </w:p>
    <w:p>
      <w:pPr>
        <w:spacing w:after="0" w:line="156" w:lineRule="exact"/>
        <w:rPr>
          <w:rFonts w:ascii="Times New Roman" w:cs="Times New Roman" w:eastAsia="Times New Roman" w:hAnsi="Times New Roman"/>
          <w:sz w:val="22"/>
          <w:szCs w:val="22"/>
          <w:color w:val="auto"/>
        </w:rPr>
      </w:pPr>
    </w:p>
    <w:p>
      <w:pPr>
        <w:jc w:val="both"/>
        <w:ind w:firstLine="656"/>
        <w:spacing w:after="0" w:line="215" w:lineRule="auto"/>
        <w:tabs>
          <w:tab w:leader="none" w:pos="1269"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Company fails to strictly comply with the terms of this Note, then the Company shall reimburse the Holder promptly for all fees, costs and expenses, including, without limitation, attorneys’ fees and expenses incurred by the Holder in any action in connection with this Note,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sectPr>
          <w:pgSz w:w="11900" w:h="16838" w:orient="portrait"/>
          <w:cols w:equalWidth="0" w:num="1">
            <w:col w:w="11240"/>
          </w:cols>
          <w:pgMar w:left="320" w:top="1395" w:right="339" w:bottom="1440" w:gutter="0" w:footer="0" w:header="0"/>
        </w:sectPr>
      </w:pPr>
    </w:p>
    <w:bookmarkStart w:id="126" w:name="page127"/>
    <w:bookmarkEnd w:id="126"/>
    <w:p>
      <w:pPr>
        <w:jc w:val="both"/>
        <w:ind w:left="-656" w:firstLine="656"/>
        <w:spacing w:after="0" w:line="217" w:lineRule="auto"/>
        <w:tabs>
          <w:tab w:leader="none" w:pos="613" w:val="left"/>
        </w:tabs>
        <w:numPr>
          <w:ilvl w:val="0"/>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waiver by the Holder of a breach of any provision of this Note shall not operate as or be construed to be a waiver of any other breach of such provision or of any breach of any other provision of this Note. The failure of the Holder to insist upon strict adherence to any term of this Note on one or more occasions shall not be considered a waiver or deprive that party of the right thereafter to insist upon strict adherence to that term or any other term of this Note. Any waiver must be in writing.</w:t>
      </w:r>
    </w:p>
    <w:p>
      <w:pPr>
        <w:spacing w:after="0" w:line="152" w:lineRule="exact"/>
        <w:rPr>
          <w:rFonts w:ascii="Times New Roman" w:cs="Times New Roman" w:eastAsia="Times New Roman" w:hAnsi="Times New Roman"/>
          <w:sz w:val="22"/>
          <w:szCs w:val="22"/>
          <w:b w:val="1"/>
          <w:bCs w:val="1"/>
          <w:color w:val="auto"/>
        </w:rPr>
      </w:pPr>
    </w:p>
    <w:p>
      <w:pPr>
        <w:jc w:val="both"/>
        <w:ind w:left="-656" w:firstLine="656"/>
        <w:spacing w:after="0" w:line="220" w:lineRule="auto"/>
        <w:tabs>
          <w:tab w:leader="none" w:pos="601" w:val="left"/>
        </w:tabs>
        <w:numPr>
          <w:ilvl w:val="0"/>
          <w:numId w:val="1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any provision of this Note is invalid, illegal or unenforceable, the balance of this Note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Note as contemplated herein, wherever enacted, now or at any time hereafter in force, or which may affect the covenants or the performance of this Note, and the Company (to the extent it may lawfully do so) hereby expressly waives all benefits or advantage of any such law, and covenants that it will not, by resort to any such law, hinder, delay or impede the execution of any power herein granted to the Holder, but will suffer and permit the execution of every such power as though no such law has been enacted.</w:t>
      </w:r>
    </w:p>
    <w:p>
      <w:pPr>
        <w:spacing w:after="0" w:line="153" w:lineRule="exact"/>
        <w:rPr>
          <w:rFonts w:ascii="Times New Roman" w:cs="Times New Roman" w:eastAsia="Times New Roman" w:hAnsi="Times New Roman"/>
          <w:sz w:val="21"/>
          <w:szCs w:val="21"/>
          <w:b w:val="1"/>
          <w:bCs w:val="1"/>
          <w:color w:val="auto"/>
        </w:rPr>
      </w:pPr>
    </w:p>
    <w:p>
      <w:pPr>
        <w:ind w:left="-656" w:firstLine="656"/>
        <w:spacing w:after="0" w:line="238" w:lineRule="auto"/>
        <w:tabs>
          <w:tab w:leader="none" w:pos="613" w:val="left"/>
        </w:tabs>
        <w:numPr>
          <w:ilvl w:val="0"/>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CURRENCY. </w:t>
      </w:r>
      <w:r>
        <w:rPr>
          <w:rFonts w:ascii="Times New Roman" w:cs="Times New Roman" w:eastAsia="Times New Roman" w:hAnsi="Times New Roman"/>
          <w:sz w:val="22"/>
          <w:szCs w:val="22"/>
          <w:color w:val="auto"/>
        </w:rPr>
        <w:t>Unless otherwise specified, all references to “$” or “dollars” in this Note mean the lawful currency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United States of America.</w:t>
      </w:r>
    </w:p>
    <w:p>
      <w:pPr>
        <w:spacing w:after="0" w:line="146" w:lineRule="exact"/>
        <w:rPr>
          <w:rFonts w:ascii="Times New Roman" w:cs="Times New Roman" w:eastAsia="Times New Roman" w:hAnsi="Times New Roman"/>
          <w:sz w:val="22"/>
          <w:szCs w:val="22"/>
          <w:b w:val="1"/>
          <w:bCs w:val="1"/>
          <w:color w:val="auto"/>
        </w:rPr>
      </w:pPr>
    </w:p>
    <w:p>
      <w:pPr>
        <w:ind w:left="624" w:hanging="624"/>
        <w:spacing w:after="0"/>
        <w:tabs>
          <w:tab w:leader="none" w:pos="624" w:val="left"/>
        </w:tabs>
        <w:numPr>
          <w:ilvl w:val="0"/>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AFFIRMATIVE AND NEGATIVE COVENANTS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ind w:left="-656" w:firstLine="1304"/>
        <w:spacing w:after="0" w:line="236" w:lineRule="auto"/>
        <w:tabs>
          <w:tab w:leader="none" w:pos="1285"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at all times have sufficient number of shares by the Principal U.S. Exchange for the registration of the Conversion Shares pursuant to provisions of Section 3 hereof.</w:t>
      </w:r>
    </w:p>
    <w:p>
      <w:pPr>
        <w:spacing w:after="0" w:line="150" w:lineRule="exact"/>
        <w:rPr>
          <w:rFonts w:ascii="Times New Roman" w:cs="Times New Roman" w:eastAsia="Times New Roman" w:hAnsi="Times New Roman"/>
          <w:sz w:val="22"/>
          <w:szCs w:val="22"/>
          <w:color w:val="auto"/>
        </w:rPr>
      </w:pPr>
    </w:p>
    <w:p>
      <w:pPr>
        <w:jc w:val="both"/>
        <w:ind w:left="-656" w:firstLine="1304"/>
        <w:spacing w:after="0" w:line="215" w:lineRule="auto"/>
        <w:tabs>
          <w:tab w:leader="none" w:pos="1283"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and shall cause its Subsidiaries not to, directly or indirectly, without the prior written consent of the holders of a majority in aggregate principal amount of the Notes then outstanding, (i) issue any Notes (other than as contemplated by the Purchase Agreement and the Notes) or (ii) issue any other securities or incur any Indebtedness, in each case, that would cause a breach or Event of Default under the Notes or that by its terms would prohibit or restrict the performance of any of the Company’s or its Subsidiaries’ obligations under the Note, including, without limitation, the payment of principal thereon.</w:t>
      </w:r>
    </w:p>
    <w:p>
      <w:pPr>
        <w:spacing w:after="0" w:line="152" w:lineRule="exact"/>
        <w:rPr>
          <w:rFonts w:ascii="Times New Roman" w:cs="Times New Roman" w:eastAsia="Times New Roman" w:hAnsi="Times New Roman"/>
          <w:sz w:val="22"/>
          <w:szCs w:val="22"/>
          <w:color w:val="auto"/>
        </w:rPr>
      </w:pPr>
    </w:p>
    <w:p>
      <w:pPr>
        <w:jc w:val="both"/>
        <w:ind w:left="-656" w:firstLine="1304"/>
        <w:spacing w:after="0" w:line="217" w:lineRule="auto"/>
        <w:tabs>
          <w:tab w:leader="none" w:pos="1285"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and the Company shall cause each of its Subsidiaries to not, directly or indirectly, engage in any material line of business substantially different from those lines of business conducted by or publicly contemplated to be conducted by the Company and/or its Subsidiaries on the Closing Date or any business reasonably related or incidental thereto. The Company shall not, and the Company shall cause each of its Subsidiaries to not, directly or indirectly, modify its or their corporate structure or purpose in any material respect.</w:t>
      </w:r>
    </w:p>
    <w:p>
      <w:pPr>
        <w:spacing w:after="0" w:line="152" w:lineRule="exact"/>
        <w:rPr>
          <w:rFonts w:ascii="Times New Roman" w:cs="Times New Roman" w:eastAsia="Times New Roman" w:hAnsi="Times New Roman"/>
          <w:sz w:val="22"/>
          <w:szCs w:val="22"/>
          <w:color w:val="auto"/>
        </w:rPr>
      </w:pPr>
    </w:p>
    <w:p>
      <w:pPr>
        <w:jc w:val="both"/>
        <w:ind w:left="-656" w:firstLine="1304"/>
        <w:spacing w:after="0" w:line="225" w:lineRule="auto"/>
        <w:tabs>
          <w:tab w:leader="none" w:pos="1283"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consolidate with or merge with or into, or (directly, or indirectly through one or more of its Subsidiaries) sell, lease or otherwise transfer, in one transaction or a series of transactions, all or substantially all of the assets</w:t>
      </w:r>
    </w:p>
    <w:p>
      <w:pPr>
        <w:sectPr>
          <w:pgSz w:w="11900" w:h="16838" w:orient="portrait"/>
          <w:cols w:equalWidth="0" w:num="1">
            <w:col w:w="10584"/>
          </w:cols>
          <w:pgMar w:left="976" w:top="1395" w:right="339" w:bottom="1440" w:gutter="0" w:footer="0" w:header="0"/>
        </w:sectPr>
      </w:pPr>
    </w:p>
    <w:bookmarkStart w:id="127" w:name="page128"/>
    <w:bookmarkEnd w:id="127"/>
    <w:p>
      <w:pPr>
        <w:ind w:right="20"/>
        <w:spacing w:after="0" w:line="236" w:lineRule="auto"/>
        <w:rPr>
          <w:sz w:val="20"/>
          <w:szCs w:val="20"/>
          <w:color w:val="auto"/>
        </w:rPr>
      </w:pPr>
      <w:r>
        <w:rPr>
          <w:rFonts w:ascii="Times New Roman" w:cs="Times New Roman" w:eastAsia="Times New Roman" w:hAnsi="Times New Roman"/>
          <w:sz w:val="22"/>
          <w:szCs w:val="22"/>
          <w:color w:val="auto"/>
        </w:rPr>
        <w:t>of the Company and its Subsidiaries, taken as a whole, to another Person, other than the Holder or any of its affiliates (a “Business Combination Event”), unless:</w:t>
      </w:r>
    </w:p>
    <w:p>
      <w:pPr>
        <w:spacing w:after="0" w:line="150" w:lineRule="exact"/>
        <w:rPr>
          <w:sz w:val="20"/>
          <w:szCs w:val="20"/>
          <w:color w:val="auto"/>
        </w:rPr>
      </w:pPr>
    </w:p>
    <w:p>
      <w:pPr>
        <w:jc w:val="both"/>
        <w:ind w:firstLine="1304"/>
        <w:spacing w:after="0" w:line="220" w:lineRule="auto"/>
        <w:tabs>
          <w:tab w:leader="none" w:pos="1941"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resulting, surviving or transferee Person either (x) is the Company or (y) if not the Company, is a corporation (the “Successor Corporation”) duly organized and existing under the laws of its applicable jurisdiction that expressly assumes (by executing and delivering to the Holder, at or before the effective time of such Business Combination Event, a supplement to this instrument) all of the Company’s obligations under this Note; and</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Business Combination Event, no Event of Default will have occurred that has not been waived.</w:t>
      </w:r>
    </w:p>
    <w:p>
      <w:pPr>
        <w:spacing w:after="0" w:line="177" w:lineRule="exact"/>
        <w:rPr>
          <w:rFonts w:ascii="Times New Roman" w:cs="Times New Roman" w:eastAsia="Times New Roman" w:hAnsi="Times New Roman"/>
          <w:sz w:val="22"/>
          <w:szCs w:val="22"/>
          <w:color w:val="auto"/>
        </w:rPr>
      </w:pPr>
    </w:p>
    <w:p>
      <w:pPr>
        <w:jc w:val="both"/>
        <w:ind w:right="20" w:firstLine="1142"/>
        <w:spacing w:after="0" w:line="256" w:lineRule="auto"/>
        <w:tabs>
          <w:tab w:leader="none" w:pos="194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effective time of any Business Combination Event, the Successor Corporation (if not the Company) will succeed to, and may exercise every right and power of, the Company under this Note with the same effect as if such Successor Corporation had been named as the Company in this Note, and, except in the case of a lease, the predecessor Company will be discharged from its obligations under this Note.</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(d)</w:t>
      </w:r>
    </w:p>
    <w:p>
      <w:pPr>
        <w:spacing w:after="0" w:line="189" w:lineRule="exact"/>
        <w:rPr>
          <w:sz w:val="20"/>
          <w:szCs w:val="20"/>
          <w:color w:val="auto"/>
        </w:rPr>
      </w:pPr>
    </w:p>
    <w:p>
      <w:pPr>
        <w:ind w:left="1280" w:hanging="624"/>
        <w:spacing w:after="0"/>
        <w:tabs>
          <w:tab w:leader="none" w:pos="128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CERTAIN DEFINITIONS. </w:t>
      </w:r>
      <w:r>
        <w:rPr>
          <w:rFonts w:ascii="Times New Roman" w:cs="Times New Roman" w:eastAsia="Times New Roman" w:hAnsi="Times New Roman"/>
          <w:sz w:val="22"/>
          <w:szCs w:val="22"/>
          <w:color w:val="auto"/>
        </w:rPr>
        <w:t>For purposes of this Note, the following terms shall have the following meanings:</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21" w:lineRule="auto"/>
        <w:tabs>
          <w:tab w:leader="none" w:pos="1941"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Amortization Event</w:t>
      </w:r>
      <w:r>
        <w:rPr>
          <w:rFonts w:ascii="Times New Roman" w:cs="Times New Roman" w:eastAsia="Times New Roman" w:hAnsi="Times New Roman"/>
          <w:sz w:val="22"/>
          <w:szCs w:val="22"/>
          <w:color w:val="auto"/>
        </w:rPr>
        <w:t>” shall mean an occurrence after a Registration Statement is required to be filed by the Company pursuant to the Registration Rights Agreement where a Registration Statement is not available for the sale of the Underlying Shares for a period of twelve (12) consecutive Trading Days (the last day of each such occurrence, an “</w:t>
      </w:r>
      <w:r>
        <w:rPr>
          <w:rFonts w:ascii="Times New Roman" w:cs="Times New Roman" w:eastAsia="Times New Roman" w:hAnsi="Times New Roman"/>
          <w:sz w:val="22"/>
          <w:szCs w:val="22"/>
          <w:b w:val="1"/>
          <w:bCs w:val="1"/>
          <w:color w:val="auto"/>
        </w:rPr>
        <w:t>Amortization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Event Date</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Amortization Event Payment Date</w:t>
      </w:r>
      <w:r>
        <w:rPr>
          <w:rFonts w:ascii="Times New Roman" w:cs="Times New Roman" w:eastAsia="Times New Roman" w:hAnsi="Times New Roman"/>
          <w:sz w:val="22"/>
          <w:szCs w:val="22"/>
          <w:color w:val="auto"/>
        </w:rPr>
        <w:t>” shall have the meaning set forth in Section 1(c).</w:t>
      </w:r>
    </w:p>
    <w:p>
      <w:pPr>
        <w:spacing w:after="0" w:line="179"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41"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Amortization Principal Amount</w:t>
      </w:r>
      <w:r>
        <w:rPr>
          <w:rFonts w:ascii="Times New Roman" w:cs="Times New Roman" w:eastAsia="Times New Roman" w:hAnsi="Times New Roman"/>
          <w:sz w:val="22"/>
          <w:szCs w:val="22"/>
          <w:color w:val="auto"/>
        </w:rPr>
        <w:t>” shall mean an amount equal to 17% of the outstanding Principal balance of this Note as of the most recent Amortization Event (or the outstanding Principal, if less than such amount) in respect of which a payment is due pursuant to Section 1(c).</w:t>
      </w:r>
    </w:p>
    <w:p>
      <w:pPr>
        <w:spacing w:after="0" w:line="146" w:lineRule="exact"/>
        <w:rPr>
          <w:rFonts w:ascii="Times New Roman" w:cs="Times New Roman" w:eastAsia="Times New Roman" w:hAnsi="Times New Roman"/>
          <w:sz w:val="22"/>
          <w:szCs w:val="22"/>
          <w:color w:val="auto"/>
        </w:rPr>
      </w:pPr>
    </w:p>
    <w:p>
      <w:pPr>
        <w:ind w:firstLine="1304"/>
        <w:spacing w:after="0" w:line="238" w:lineRule="auto"/>
        <w:tabs>
          <w:tab w:leader="none" w:pos="1939"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Bloomberg</w:t>
      </w:r>
      <w:r>
        <w:rPr>
          <w:rFonts w:ascii="Times New Roman" w:cs="Times New Roman" w:eastAsia="Times New Roman" w:hAnsi="Times New Roman"/>
          <w:sz w:val="22"/>
          <w:szCs w:val="22"/>
          <w:color w:val="auto"/>
        </w:rPr>
        <w:t>” means Bloomberg Financial Markets (or if not available, a similar service provider of national recognized standing).</w:t>
      </w:r>
    </w:p>
    <w:p>
      <w:pPr>
        <w:spacing w:after="0" w:line="146" w:lineRule="exact"/>
        <w:rPr>
          <w:rFonts w:ascii="Times New Roman" w:cs="Times New Roman" w:eastAsia="Times New Roman" w:hAnsi="Times New Roman"/>
          <w:sz w:val="22"/>
          <w:szCs w:val="22"/>
          <w:color w:val="auto"/>
        </w:rPr>
      </w:pPr>
    </w:p>
    <w:p>
      <w:pPr>
        <w:jc w:val="both"/>
        <w:ind w:right="20" w:firstLine="1304"/>
        <w:spacing w:after="0" w:line="227" w:lineRule="auto"/>
        <w:tabs>
          <w:tab w:leader="none" w:pos="1941"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except Saturday, Sunday and any day which shall be a federal legal holiday in the United States or Canada or a day on which banking institutions in the State of New York or the Province of Ontario are authorized or required by law or other government action to close.</w:t>
      </w:r>
    </w:p>
    <w:p>
      <w:pPr>
        <w:spacing w:after="0" w:line="1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Buy-In</w:t>
      </w:r>
      <w:r>
        <w:rPr>
          <w:rFonts w:ascii="Times New Roman" w:cs="Times New Roman" w:eastAsia="Times New Roman" w:hAnsi="Times New Roman"/>
          <w:sz w:val="22"/>
          <w:szCs w:val="22"/>
          <w:color w:val="auto"/>
        </w:rPr>
        <w:t>” shall have the meaning set forth in Section 3(b)(ii).</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Buy-In Price</w:t>
      </w:r>
      <w:r>
        <w:rPr>
          <w:rFonts w:ascii="Times New Roman" w:cs="Times New Roman" w:eastAsia="Times New Roman" w:hAnsi="Times New Roman"/>
          <w:sz w:val="22"/>
          <w:szCs w:val="22"/>
          <w:color w:val="auto"/>
        </w:rPr>
        <w:t>” shall have the meaning set forth in Section 3(b)(ii).</w:t>
      </w:r>
    </w:p>
    <w:p>
      <w:pPr>
        <w:spacing w:after="0" w:line="179" w:lineRule="exact"/>
        <w:rPr>
          <w:rFonts w:ascii="Times New Roman" w:cs="Times New Roman" w:eastAsia="Times New Roman" w:hAnsi="Times New Roman"/>
          <w:sz w:val="22"/>
          <w:szCs w:val="22"/>
          <w:color w:val="auto"/>
        </w:rPr>
      </w:pPr>
    </w:p>
    <w:p>
      <w:pPr>
        <w:ind w:firstLine="1304"/>
        <w:spacing w:after="0" w:line="238" w:lineRule="auto"/>
        <w:tabs>
          <w:tab w:leader="none" w:pos="1939"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 Transaction</w:t>
      </w:r>
      <w:r>
        <w:rPr>
          <w:rFonts w:ascii="Times New Roman" w:cs="Times New Roman" w:eastAsia="Times New Roman" w:hAnsi="Times New Roman"/>
          <w:sz w:val="22"/>
          <w:szCs w:val="22"/>
          <w:color w:val="auto"/>
        </w:rPr>
        <w:t>” means the occurrence of (a) an acquisition after the date hereof by an individual or legal entity or “group” (as described in</w:t>
      </w:r>
    </w:p>
    <w:p>
      <w:pPr>
        <w:sectPr>
          <w:pgSz w:w="11900" w:h="16838" w:orient="portrait"/>
          <w:cols w:equalWidth="0" w:num="1">
            <w:col w:w="11240"/>
          </w:cols>
          <w:pgMar w:left="320" w:top="1395" w:right="339" w:bottom="1440" w:gutter="0" w:footer="0" w:header="0"/>
        </w:sectPr>
      </w:pPr>
    </w:p>
    <w:bookmarkStart w:id="128" w:name="page129"/>
    <w:bookmarkEnd w:id="128"/>
    <w:p>
      <w:pPr>
        <w:jc w:val="both"/>
        <w:spacing w:after="0" w:line="216" w:lineRule="auto"/>
        <w:rPr>
          <w:sz w:val="20"/>
          <w:szCs w:val="20"/>
          <w:color w:val="auto"/>
        </w:rPr>
      </w:pPr>
      <w:r>
        <w:rPr>
          <w:rFonts w:ascii="Times New Roman" w:cs="Times New Roman" w:eastAsia="Times New Roman" w:hAnsi="Times New Roman"/>
          <w:sz w:val="21"/>
          <w:szCs w:val="21"/>
          <w:color w:val="auto"/>
        </w:rPr>
        <w:t>Rule 13d-5(b)(1) promulgated under the Exchange Act) of effective control (whether through legal or beneficial ownership of the Common Shares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a replacement at one time or over time of more than one-half of the members of the board of directors of the Company (other than as due to the death or disability of a member of the board of directors) which is not approved by a majority of those individuals who are members of the board of directors on the date hereof (or by those individuals who are serving as members of the board of directors on any date whose nomination to the board of directors was approved by a majority of the members of the board of directors who are members on the date hereof); (c) the merger, consolidation or sale of fifty percent (50%) or more of the assets of the Company or any Subsidiary of the Company in one or a series of related transactions with or into another entity; (d) the execution by the Company of an agreement to which the Company is a party or by which it is bound, providing for any of the events set forth above in (a),</w:t>
      </w:r>
    </w:p>
    <w:p>
      <w:pPr>
        <w:ind w:left="320" w:hanging="312"/>
        <w:spacing w:after="0" w:line="213" w:lineRule="auto"/>
        <w:tabs>
          <w:tab w:leader="none" w:pos="32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(c); or (e) the Company’s shareholders approve any plan or proposal for the liquidation or dissolution of the Company or</w:t>
      </w:r>
    </w:p>
    <w:p>
      <w:pPr>
        <w:jc w:val="both"/>
        <w:ind w:firstLine="8"/>
        <w:spacing w:after="0" w:line="214" w:lineRule="auto"/>
        <w:tabs>
          <w:tab w:leader="none" w:pos="295"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Shares cease to be listed on any of any of The New York Stock Exchange, The NYSE American LLC, The Nasdaq Stock Market, The Nasdaq Capital Market, The Nasdaq Global Market or The Nasdaq Global Select Market (or any of their respective successors). No transfer to a wholly-owned Subsidiary shall be deemed a Change of Control Transaction under this provision.</w:t>
      </w:r>
    </w:p>
    <w:p>
      <w:pPr>
        <w:spacing w:after="0" w:line="149" w:lineRule="exact"/>
        <w:rPr>
          <w:rFonts w:ascii="Times New Roman" w:cs="Times New Roman" w:eastAsia="Times New Roman" w:hAnsi="Times New Roman"/>
          <w:sz w:val="22"/>
          <w:szCs w:val="22"/>
          <w:color w:val="auto"/>
        </w:rPr>
      </w:pPr>
    </w:p>
    <w:p>
      <w:pPr>
        <w:ind w:firstLine="1304"/>
        <w:spacing w:after="0" w:line="238" w:lineRule="auto"/>
        <w:tabs>
          <w:tab w:leader="none" w:pos="1959"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Price</w:t>
      </w:r>
      <w:r>
        <w:rPr>
          <w:rFonts w:ascii="Times New Roman" w:cs="Times New Roman" w:eastAsia="Times New Roman" w:hAnsi="Times New Roman"/>
          <w:sz w:val="22"/>
          <w:szCs w:val="22"/>
          <w:color w:val="auto"/>
        </w:rPr>
        <w:t>” means the price per share in the last reported trade of the Common Shares on a Principal U.S. Market or on the exchange which the Common Shares is then listed as quoted by Bloomberg.</w:t>
      </w:r>
    </w:p>
    <w:p>
      <w:pPr>
        <w:spacing w:after="0" w:line="1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means the Securities and Exchange Commission.</w:t>
      </w:r>
    </w:p>
    <w:p>
      <w:pPr>
        <w:spacing w:after="0" w:line="179" w:lineRule="exact"/>
        <w:rPr>
          <w:rFonts w:ascii="Times New Roman" w:cs="Times New Roman" w:eastAsia="Times New Roman" w:hAnsi="Times New Roman"/>
          <w:sz w:val="22"/>
          <w:szCs w:val="22"/>
          <w:color w:val="auto"/>
        </w:rPr>
      </w:pPr>
    </w:p>
    <w:p>
      <w:pPr>
        <w:ind w:firstLine="1304"/>
        <w:spacing w:after="0" w:line="238" w:lineRule="auto"/>
        <w:tabs>
          <w:tab w:leader="none" w:pos="1953"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means the common shares, with no par value, of the Company and shares of any other class into which such shares may hereafter be changed or reclassified.</w:t>
      </w:r>
    </w:p>
    <w:p>
      <w:pPr>
        <w:spacing w:after="0" w:line="146" w:lineRule="exact"/>
        <w:rPr>
          <w:rFonts w:ascii="Times New Roman" w:cs="Times New Roman" w:eastAsia="Times New Roman" w:hAnsi="Times New Roman"/>
          <w:sz w:val="22"/>
          <w:szCs w:val="22"/>
          <w:color w:val="auto"/>
        </w:rPr>
      </w:pPr>
    </w:p>
    <w:p>
      <w:pPr>
        <w:ind w:firstLine="1304"/>
        <w:spacing w:after="0" w:line="238" w:lineRule="auto"/>
        <w:tabs>
          <w:tab w:leader="none" w:pos="1959"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Amount</w:t>
      </w:r>
      <w:r>
        <w:rPr>
          <w:rFonts w:ascii="Times New Roman" w:cs="Times New Roman" w:eastAsia="Times New Roman" w:hAnsi="Times New Roman"/>
          <w:sz w:val="22"/>
          <w:szCs w:val="22"/>
          <w:color w:val="auto"/>
        </w:rPr>
        <w:t>” means the portion of the Principal or other amounts outstanding under this Note to be converted, redeemed or otherwise with respect to which this determination is being made.</w:t>
      </w:r>
    </w:p>
    <w:p>
      <w:pPr>
        <w:spacing w:after="0" w:line="1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Date</w:t>
      </w:r>
      <w:r>
        <w:rPr>
          <w:rFonts w:ascii="Times New Roman" w:cs="Times New Roman" w:eastAsia="Times New Roman" w:hAnsi="Times New Roman"/>
          <w:sz w:val="22"/>
          <w:szCs w:val="22"/>
          <w:color w:val="auto"/>
        </w:rPr>
        <w:t>” shall have the meaning set forth in Section 3(b)(i).</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Failure</w:t>
      </w:r>
      <w:r>
        <w:rPr>
          <w:rFonts w:ascii="Times New Roman" w:cs="Times New Roman" w:eastAsia="Times New Roman" w:hAnsi="Times New Roman"/>
          <w:sz w:val="22"/>
          <w:szCs w:val="22"/>
          <w:color w:val="auto"/>
        </w:rPr>
        <w:t>” shall have the meaning set forth in Section 3(b)(ii).</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Notice</w:t>
      </w:r>
      <w:r>
        <w:rPr>
          <w:rFonts w:ascii="Times New Roman" w:cs="Times New Roman" w:eastAsia="Times New Roman" w:hAnsi="Times New Roman"/>
          <w:sz w:val="22"/>
          <w:szCs w:val="22"/>
          <w:color w:val="auto"/>
        </w:rPr>
        <w:t>” shall have the meaning set forth in Section 3(b)(i).</w:t>
      </w:r>
    </w:p>
    <w:p>
      <w:pPr>
        <w:spacing w:after="0" w:line="179"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9"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Price</w:t>
      </w:r>
      <w:r>
        <w:rPr>
          <w:rFonts w:ascii="Times New Roman" w:cs="Times New Roman" w:eastAsia="Times New Roman" w:hAnsi="Times New Roman"/>
          <w:sz w:val="22"/>
          <w:szCs w:val="22"/>
          <w:color w:val="auto"/>
        </w:rPr>
        <w:t>” means, as of any Conversion Date or other date of determination the lower of (i) $10.92 per Common Share (the “</w:t>
      </w:r>
      <w:r>
        <w:rPr>
          <w:rFonts w:ascii="Times New Roman" w:cs="Times New Roman" w:eastAsia="Times New Roman" w:hAnsi="Times New Roman"/>
          <w:sz w:val="22"/>
          <w:szCs w:val="22"/>
          <w:b w:val="1"/>
          <w:bCs w:val="1"/>
          <w:color w:val="auto"/>
        </w:rPr>
        <w:t>Fixed Price</w:t>
      </w:r>
      <w:r>
        <w:rPr>
          <w:rFonts w:ascii="Times New Roman" w:cs="Times New Roman" w:eastAsia="Times New Roman" w:hAnsi="Times New Roman"/>
          <w:sz w:val="22"/>
          <w:szCs w:val="22"/>
          <w:color w:val="auto"/>
        </w:rPr>
        <w:t>”), or (ii) the average of the daily VWAPs on the Principal U.S. Market during the 5 Trading Days immediately preceding the Conversion Date or other date of determination (the “</w:t>
      </w:r>
      <w:r>
        <w:rPr>
          <w:rFonts w:ascii="Times New Roman" w:cs="Times New Roman" w:eastAsia="Times New Roman" w:hAnsi="Times New Roman"/>
          <w:sz w:val="22"/>
          <w:szCs w:val="22"/>
          <w:b w:val="1"/>
          <w:bCs w:val="1"/>
          <w:color w:val="auto"/>
        </w:rPr>
        <w:t>Variable Price</w:t>
      </w:r>
      <w:r>
        <w:rPr>
          <w:rFonts w:ascii="Times New Roman" w:cs="Times New Roman" w:eastAsia="Times New Roman" w:hAnsi="Times New Roman"/>
          <w:sz w:val="22"/>
          <w:szCs w:val="22"/>
          <w:color w:val="auto"/>
        </w:rPr>
        <w:t>”). The Conversion Price shall be adjusted from time to time pursuant to the other terms and conditions of this Note.</w:t>
      </w:r>
    </w:p>
    <w:p>
      <w:pPr>
        <w:sectPr>
          <w:pgSz w:w="11900" w:h="16838" w:orient="portrait"/>
          <w:cols w:equalWidth="0" w:num="1">
            <w:col w:w="11240"/>
          </w:cols>
          <w:pgMar w:left="320" w:top="1395" w:right="339" w:bottom="1440" w:gutter="0" w:footer="0" w:header="0"/>
        </w:sectPr>
      </w:pPr>
    </w:p>
    <w:bookmarkStart w:id="129" w:name="page130"/>
    <w:bookmarkEnd w:id="129"/>
    <w:p>
      <w:pPr>
        <w:ind w:left="1940" w:hanging="636"/>
        <w:spacing w:after="0"/>
        <w:tabs>
          <w:tab w:leader="none" w:pos="194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179"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57"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Transaction”</w:t>
      </w:r>
      <w:r>
        <w:rPr>
          <w:rFonts w:ascii="Times New Roman" w:cs="Times New Roman" w:eastAsia="Times New Roman" w:hAnsi="Times New Roman"/>
          <w:sz w:val="22"/>
          <w:szCs w:val="22"/>
          <w:color w:val="auto"/>
        </w:rPr>
        <w:t xml:space="preserve">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Common Shares are permitted to tender or exchange their shares for other securities, cash or property, or (4) the Company effects any reclassification of the Common Shares or any compulsory share exchange pursuant to which the Common Shares is effectively converted into or exchanged for other securities, cash or property.</w:t>
      </w:r>
    </w:p>
    <w:p>
      <w:pPr>
        <w:spacing w:after="0" w:line="14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Maturity Date</w:t>
      </w:r>
      <w:r>
        <w:rPr>
          <w:rFonts w:ascii="Times New Roman" w:cs="Times New Roman" w:eastAsia="Times New Roman" w:hAnsi="Times New Roman"/>
          <w:sz w:val="22"/>
          <w:szCs w:val="22"/>
          <w:color w:val="auto"/>
        </w:rPr>
        <w:t>” shall have the meaning set forth in Section 1(a).</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Optional Prepayment</w:t>
      </w:r>
      <w:r>
        <w:rPr>
          <w:rFonts w:ascii="Times New Roman" w:cs="Times New Roman" w:eastAsia="Times New Roman" w:hAnsi="Times New Roman"/>
          <w:sz w:val="22"/>
          <w:szCs w:val="22"/>
          <w:color w:val="auto"/>
        </w:rPr>
        <w:t>” shall have the meaning set forth in Section 1(d).</w:t>
      </w:r>
    </w:p>
    <w:p>
      <w:pPr>
        <w:spacing w:after="0" w:line="179" w:lineRule="exact"/>
        <w:rPr>
          <w:rFonts w:ascii="Times New Roman" w:cs="Times New Roman" w:eastAsia="Times New Roman" w:hAnsi="Times New Roman"/>
          <w:sz w:val="22"/>
          <w:szCs w:val="22"/>
          <w:color w:val="auto"/>
        </w:rPr>
      </w:pPr>
    </w:p>
    <w:p>
      <w:pPr>
        <w:ind w:right="20" w:firstLine="1304"/>
        <w:spacing w:after="0" w:line="238" w:lineRule="auto"/>
        <w:tabs>
          <w:tab w:leader="none" w:pos="1939"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Notes</w:t>
      </w:r>
      <w:r>
        <w:rPr>
          <w:rFonts w:ascii="Times New Roman" w:cs="Times New Roman" w:eastAsia="Times New Roman" w:hAnsi="Times New Roman"/>
          <w:sz w:val="22"/>
          <w:szCs w:val="22"/>
          <w:color w:val="auto"/>
        </w:rPr>
        <w:t>” means any other Notes issued pursuant to the Securities Purchase Agreement and any other Notes, notes, or other instruments issued in exchange, replacement, or modification of the foregoing.</w:t>
      </w:r>
    </w:p>
    <w:p>
      <w:pPr>
        <w:spacing w:after="0" w:line="146" w:lineRule="exact"/>
        <w:rPr>
          <w:rFonts w:ascii="Times New Roman" w:cs="Times New Roman" w:eastAsia="Times New Roman" w:hAnsi="Times New Roman"/>
          <w:sz w:val="22"/>
          <w:szCs w:val="22"/>
          <w:color w:val="auto"/>
        </w:rPr>
      </w:pPr>
    </w:p>
    <w:p>
      <w:pPr>
        <w:ind w:firstLine="1304"/>
        <w:spacing w:after="0" w:line="259" w:lineRule="auto"/>
        <w:tabs>
          <w:tab w:leader="none" w:pos="1966"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Payment Premium</w:t>
      </w:r>
      <w:r>
        <w:rPr>
          <w:rFonts w:ascii="Times New Roman" w:cs="Times New Roman" w:eastAsia="Times New Roman" w:hAnsi="Times New Roman"/>
          <w:sz w:val="21"/>
          <w:szCs w:val="21"/>
          <w:color w:val="auto"/>
        </w:rPr>
        <w:t>” means 5% of the Principal Amount being paid if such Principal Amount is paid within one year from the Issuance Date, and 3% of the Principal Amount being paid if such Principal Amount is paid thereafter.</w:t>
      </w:r>
    </w:p>
    <w:p>
      <w:pPr>
        <w:spacing w:after="0" w:line="126" w:lineRule="exact"/>
        <w:rPr>
          <w:rFonts w:ascii="Times New Roman" w:cs="Times New Roman" w:eastAsia="Times New Roman" w:hAnsi="Times New Roman"/>
          <w:sz w:val="21"/>
          <w:szCs w:val="21"/>
          <w:color w:val="auto"/>
        </w:rPr>
      </w:pPr>
    </w:p>
    <w:p>
      <w:pPr>
        <w:jc w:val="both"/>
        <w:ind w:firstLine="1304"/>
        <w:spacing w:after="0" w:line="216" w:lineRule="auto"/>
        <w:tabs>
          <w:tab w:leader="none" w:pos="196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Periodic Reports</w:t>
      </w:r>
      <w:r>
        <w:rPr>
          <w:rFonts w:ascii="Times New Roman" w:cs="Times New Roman" w:eastAsia="Times New Roman" w:hAnsi="Times New Roman"/>
          <w:sz w:val="22"/>
          <w:szCs w:val="22"/>
          <w:color w:val="auto"/>
        </w:rPr>
        <w:t xml:space="preserve">” shall mean all of the Company’s reports required to be filed by the Company with the Commission under applicable laws and regulations (including, without limitation, Regulation S-K), including annual reports (on Form 10-K), quarterly reports (on Form 10-Q), and current reports (on Form 8-K), for so long as any amounts are outstanding under this Note;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such Periodic Reports shall include, when filed, all information, financial statements, audit reports (when applicable) and other information required to be included in such Periodic Reports in compliance with all applicable laws and regulations.</w:t>
      </w:r>
    </w:p>
    <w:p>
      <w:pPr>
        <w:spacing w:after="0" w:line="145" w:lineRule="exact"/>
        <w:rPr>
          <w:rFonts w:ascii="Times New Roman" w:cs="Times New Roman" w:eastAsia="Times New Roman" w:hAnsi="Times New Roman"/>
          <w:sz w:val="22"/>
          <w:szCs w:val="22"/>
          <w:color w:val="auto"/>
        </w:rPr>
      </w:pPr>
    </w:p>
    <w:p>
      <w:pPr>
        <w:ind w:right="20" w:firstLine="1304"/>
        <w:spacing w:after="0" w:line="238" w:lineRule="auto"/>
        <w:tabs>
          <w:tab w:leader="none" w:pos="1966"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 corporation, an association, a partnership, organization, a business, an individual, a government or political subdivision thereof or a governmental agency.</w:t>
      </w:r>
    </w:p>
    <w:p>
      <w:pPr>
        <w:spacing w:after="0" w:line="146" w:lineRule="exact"/>
        <w:rPr>
          <w:rFonts w:ascii="Times New Roman" w:cs="Times New Roman" w:eastAsia="Times New Roman" w:hAnsi="Times New Roman"/>
          <w:sz w:val="22"/>
          <w:szCs w:val="22"/>
          <w:color w:val="auto"/>
        </w:rPr>
      </w:pPr>
    </w:p>
    <w:p>
      <w:pPr>
        <w:ind w:left="1980" w:hanging="676"/>
        <w:spacing w:after="0"/>
        <w:tabs>
          <w:tab w:leader="none" w:pos="198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Prepayment Amount</w:t>
      </w:r>
      <w:r>
        <w:rPr>
          <w:rFonts w:ascii="Times New Roman" w:cs="Times New Roman" w:eastAsia="Times New Roman" w:hAnsi="Times New Roman"/>
          <w:sz w:val="22"/>
          <w:szCs w:val="22"/>
          <w:color w:val="auto"/>
        </w:rPr>
        <w:t>” shall have the meaning set forth in Section 1(d).</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Prepayment Notice</w:t>
      </w:r>
      <w:r>
        <w:rPr>
          <w:rFonts w:ascii="Times New Roman" w:cs="Times New Roman" w:eastAsia="Times New Roman" w:hAnsi="Times New Roman"/>
          <w:sz w:val="22"/>
          <w:szCs w:val="22"/>
          <w:color w:val="auto"/>
        </w:rPr>
        <w:t>” shall have the meaning set forth in Section 1(d).</w:t>
      </w:r>
    </w:p>
    <w:p>
      <w:pPr>
        <w:spacing w:after="0" w:line="179" w:lineRule="exact"/>
        <w:rPr>
          <w:sz w:val="20"/>
          <w:szCs w:val="20"/>
          <w:color w:val="auto"/>
        </w:rPr>
      </w:pPr>
    </w:p>
    <w:p>
      <w:pPr>
        <w:ind w:firstLine="1304"/>
        <w:spacing w:after="0" w:line="238" w:lineRule="auto"/>
        <w:tabs>
          <w:tab w:leader="none" w:pos="1915"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Pre-Paid Interest Amount</w:t>
      </w:r>
      <w:r>
        <w:rPr>
          <w:rFonts w:ascii="Times New Roman" w:cs="Times New Roman" w:eastAsia="Times New Roman" w:hAnsi="Times New Roman"/>
          <w:sz w:val="22"/>
          <w:szCs w:val="22"/>
          <w:color w:val="auto"/>
        </w:rPr>
        <w:t>” shall mean the amount of $5,500,000, reflecting pre-paid interest of 5.5% of the Principal per annum for the period from the Issuance Date to the Maturity Date.</w:t>
      </w:r>
    </w:p>
    <w:p>
      <w:pPr>
        <w:spacing w:after="0" w:line="146"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2"/>
          <w:szCs w:val="22"/>
          <w:color w:val="auto"/>
        </w:rPr>
        <w:t>(ab) “</w:t>
      </w:r>
      <w:r>
        <w:rPr>
          <w:rFonts w:ascii="Times New Roman" w:cs="Times New Roman" w:eastAsia="Times New Roman" w:hAnsi="Times New Roman"/>
          <w:sz w:val="22"/>
          <w:szCs w:val="22"/>
          <w:b w:val="1"/>
          <w:bCs w:val="1"/>
          <w:color w:val="auto"/>
        </w:rPr>
        <w:t>Principal U.S. Market</w:t>
      </w:r>
      <w:r>
        <w:rPr>
          <w:rFonts w:ascii="Times New Roman" w:cs="Times New Roman" w:eastAsia="Times New Roman" w:hAnsi="Times New Roman"/>
          <w:sz w:val="22"/>
          <w:szCs w:val="22"/>
          <w:color w:val="auto"/>
        </w:rPr>
        <w:t>” shall mean the NYSE American; provided however, that in the event the Company’s Common Shares are ever listed or traded on the</w:t>
      </w:r>
    </w:p>
    <w:p>
      <w:pPr>
        <w:sectPr>
          <w:pgSz w:w="11900" w:h="16838" w:orient="portrait"/>
          <w:cols w:equalWidth="0" w:num="1">
            <w:col w:w="11240"/>
          </w:cols>
          <w:pgMar w:left="320" w:top="1391" w:right="339" w:bottom="1440" w:gutter="0" w:footer="0" w:header="0"/>
        </w:sectPr>
      </w:pPr>
    </w:p>
    <w:bookmarkStart w:id="130" w:name="page131"/>
    <w:bookmarkEnd w:id="130"/>
    <w:p>
      <w:pPr>
        <w:jc w:val="both"/>
        <w:spacing w:after="0" w:line="225" w:lineRule="auto"/>
        <w:rPr>
          <w:sz w:val="20"/>
          <w:szCs w:val="20"/>
          <w:color w:val="auto"/>
        </w:rPr>
      </w:pPr>
      <w:r>
        <w:rPr>
          <w:rFonts w:ascii="Times New Roman" w:cs="Times New Roman" w:eastAsia="Times New Roman" w:hAnsi="Times New Roman"/>
          <w:sz w:val="22"/>
          <w:szCs w:val="22"/>
          <w:color w:val="auto"/>
        </w:rPr>
        <w:t>New York Stock Exchange or the Nasdaq Stock Market, then the “Principal U.S. Market” shall mean such other market or exchange on which the Company’s Common Shares are then listed or traded to the extent such other market or exchange is the principal trading market or exchange for the Common Shares in the United States.</w:t>
      </w:r>
    </w:p>
    <w:p>
      <w:pPr>
        <w:sectPr>
          <w:pgSz w:w="11900" w:h="16838" w:orient="portrait"/>
          <w:cols w:equalWidth="0" w:num="1">
            <w:col w:w="11240"/>
          </w:cols>
          <w:pgMar w:left="320" w:top="1395" w:right="339" w:bottom="1440" w:gutter="0" w:footer="0" w:header="0"/>
        </w:sectPr>
      </w:pP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(ac)</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Registration Rights Agreement</w:t>
      </w:r>
      <w:r>
        <w:rPr>
          <w:rFonts w:ascii="Times New Roman" w:cs="Times New Roman" w:eastAsia="Times New Roman" w:hAnsi="Times New Roman"/>
          <w:sz w:val="21"/>
          <w:szCs w:val="21"/>
          <w:color w:val="auto"/>
        </w:rPr>
        <w:t>” has the meaning given such term in the Securities Purchase Agreement.</w:t>
      </w:r>
    </w:p>
    <w:p>
      <w:pPr>
        <w:spacing w:after="0" w:line="191" w:lineRule="exact"/>
        <w:rPr>
          <w:sz w:val="20"/>
          <w:szCs w:val="20"/>
          <w:color w:val="auto"/>
        </w:rPr>
      </w:pPr>
    </w:p>
    <w:p>
      <w:pPr>
        <w:sectPr>
          <w:pgSz w:w="11900" w:h="16838" w:orient="portrait"/>
          <w:cols w:equalWidth="0" w:num="2">
            <w:col w:w="1640" w:space="280"/>
            <w:col w:w="9320"/>
          </w:cols>
          <w:pgMar w:left="320" w:top="1395" w:right="339" w:bottom="1440" w:gutter="0" w:footer="0" w:header="0"/>
          <w:type w:val="continuous"/>
        </w:sectPr>
      </w:pPr>
    </w:p>
    <w:p>
      <w:pPr>
        <w:ind w:firstLine="1296"/>
        <w:spacing w:after="0" w:line="238" w:lineRule="auto"/>
        <w:rPr>
          <w:sz w:val="20"/>
          <w:szCs w:val="20"/>
          <w:color w:val="auto"/>
        </w:rPr>
      </w:pPr>
      <w:r>
        <w:rPr>
          <w:rFonts w:ascii="Times New Roman" w:cs="Times New Roman" w:eastAsia="Times New Roman" w:hAnsi="Times New Roman"/>
          <w:sz w:val="22"/>
          <w:szCs w:val="22"/>
          <w:color w:val="auto"/>
        </w:rPr>
        <w:t>(ad)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means a registration statement meeting the requirements set forth in the Registration Rights Agreement, covering among other things the resale of the Underlying Shares.</w:t>
      </w:r>
    </w:p>
    <w:p>
      <w:pPr>
        <w:sectPr>
          <w:pgSz w:w="11900" w:h="16838" w:orient="portrait"/>
          <w:cols w:equalWidth="0" w:num="1">
            <w:col w:w="11240"/>
          </w:cols>
          <w:pgMar w:left="320" w:top="1395" w:right="339" w:bottom="1440" w:gutter="0" w:footer="0" w:header="0"/>
          <w:type w:val="continuous"/>
        </w:sectPr>
      </w:pP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Securities Act</w:t>
      </w:r>
      <w:r>
        <w:rPr>
          <w:rFonts w:ascii="Times New Roman" w:cs="Times New Roman" w:eastAsia="Times New Roman" w:hAnsi="Times New Roman"/>
          <w:sz w:val="21"/>
          <w:szCs w:val="21"/>
          <w:color w:val="auto"/>
        </w:rPr>
        <w:t>” means the Securities Act of 1933, as amended, and the rules and regulations promulgated</w:t>
      </w:r>
    </w:p>
    <w:p>
      <w:pPr>
        <w:spacing w:after="0" w:line="8" w:lineRule="exact"/>
        <w:rPr>
          <w:sz w:val="20"/>
          <w:szCs w:val="20"/>
          <w:color w:val="auto"/>
        </w:rPr>
      </w:pPr>
    </w:p>
    <w:p>
      <w:pPr>
        <w:sectPr>
          <w:pgSz w:w="11900" w:h="16838" w:orient="portrait"/>
          <w:cols w:equalWidth="0" w:num="2">
            <w:col w:w="1640" w:space="280"/>
            <w:col w:w="9320"/>
          </w:cols>
          <w:pgMar w:left="320" w:top="139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thereunder.</w:t>
      </w:r>
    </w:p>
    <w:p>
      <w:pPr>
        <w:spacing w:after="0" w:line="14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(af)</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 Delivery Date</w:t>
      </w:r>
      <w:r>
        <w:rPr>
          <w:rFonts w:ascii="Times New Roman" w:cs="Times New Roman" w:eastAsia="Times New Roman" w:hAnsi="Times New Roman"/>
          <w:sz w:val="22"/>
          <w:szCs w:val="22"/>
          <w:color w:val="auto"/>
        </w:rPr>
        <w:t>” shall have the meaning set forth in Section 3(b)(i).</w:t>
      </w:r>
    </w:p>
    <w:p>
      <w:pPr>
        <w:spacing w:after="0" w:line="17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(ag)</w:t>
        <w:tab/>
        <w:t>“</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shall mean any Person in which the Company, directly or indirectly, (x) owns a majority of</w:t>
      </w:r>
    </w:p>
    <w:p>
      <w:pPr>
        <w:sectPr>
          <w:pgSz w:w="11900" w:h="16838" w:orient="portrait"/>
          <w:cols w:equalWidth="0" w:num="1">
            <w:col w:w="11240"/>
          </w:cols>
          <w:pgMar w:left="320" w:top="1395" w:right="339" w:bottom="1440" w:gutter="0" w:footer="0" w:header="0"/>
          <w:type w:val="continuous"/>
        </w:sectPr>
      </w:pPr>
    </w:p>
    <w:p>
      <w:pPr>
        <w:spacing w:after="0" w:line="45"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2"/>
          <w:szCs w:val="22"/>
          <w:color w:val="auto"/>
        </w:rPr>
        <w:t>the outstanding capital stock or holds a majority of the equity or similar interest of such Person or (y) controls or operates all or substantially all of the business, operations or administration of such Person, and the foregoing are collectively referred to herein as “</w:t>
      </w:r>
      <w:r>
        <w:rPr>
          <w:rFonts w:ascii="Times New Roman" w:cs="Times New Roman" w:eastAsia="Times New Roman" w:hAnsi="Times New Roman"/>
          <w:sz w:val="22"/>
          <w:szCs w:val="22"/>
          <w:b w:val="1"/>
          <w:bCs w:val="1"/>
          <w:color w:val="auto"/>
        </w:rPr>
        <w:t>Subsidiaries</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right="20" w:firstLine="1296"/>
        <w:spacing w:after="0" w:line="227" w:lineRule="auto"/>
        <w:rPr>
          <w:sz w:val="20"/>
          <w:szCs w:val="20"/>
          <w:color w:val="auto"/>
        </w:rPr>
      </w:pPr>
      <w:r>
        <w:rPr>
          <w:rFonts w:ascii="Times New Roman" w:cs="Times New Roman" w:eastAsia="Times New Roman" w:hAnsi="Times New Roman"/>
          <w:sz w:val="22"/>
          <w:szCs w:val="22"/>
          <w:color w:val="auto"/>
        </w:rPr>
        <w:t>(ah) “</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on which the Common Shares are quoted or traded on a Principal U.S. Market on which the Common Shares are then quoted or listed; provided, that in the event that the Common Shares are not listed or quoted, then Trading Day shall mean a Business Day.</w:t>
      </w:r>
    </w:p>
    <w:p>
      <w:pPr>
        <w:sectPr>
          <w:pgSz w:w="11900" w:h="16838" w:orient="portrait"/>
          <w:cols w:equalWidth="0" w:num="1">
            <w:col w:w="11240"/>
          </w:cols>
          <w:pgMar w:left="320" w:top="1395" w:right="339" w:bottom="1440" w:gutter="0" w:footer="0" w:header="0"/>
          <w:type w:val="continuous"/>
        </w:sectPr>
      </w:pP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(ai)</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(aj)</w:t>
      </w:r>
    </w:p>
    <w:p>
      <w:pPr>
        <w:spacing w:after="0"/>
        <w:rPr>
          <w:sz w:val="20"/>
          <w:szCs w:val="20"/>
          <w:color w:val="auto"/>
        </w:rPr>
      </w:pPr>
      <w:r>
        <w:rPr>
          <w:rFonts w:ascii="Times New Roman" w:cs="Times New Roman" w:eastAsia="Times New Roman" w:hAnsi="Times New Roman"/>
          <w:sz w:val="21"/>
          <w:szCs w:val="21"/>
          <w:color w:val="auto"/>
        </w:rPr>
        <w:t>with the terms hereof.</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 Document</w:t>
      </w:r>
      <w:r>
        <w:rPr>
          <w:rFonts w:ascii="Times New Roman" w:cs="Times New Roman" w:eastAsia="Times New Roman" w:hAnsi="Times New Roman"/>
          <w:sz w:val="22"/>
          <w:szCs w:val="22"/>
          <w:color w:val="auto"/>
        </w:rPr>
        <w:t>” has the meaning given such term in the Securities Purchase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Underlying Shares</w:t>
      </w:r>
      <w:r>
        <w:rPr>
          <w:rFonts w:ascii="Times New Roman" w:cs="Times New Roman" w:eastAsia="Times New Roman" w:hAnsi="Times New Roman"/>
          <w:sz w:val="22"/>
          <w:szCs w:val="22"/>
          <w:color w:val="auto"/>
        </w:rPr>
        <w:t>” means the Common Shares issuable upon conversion of this Note in accordance</w:t>
      </w:r>
    </w:p>
    <w:p>
      <w:pPr>
        <w:spacing w:after="0" w:line="395" w:lineRule="exact"/>
        <w:rPr>
          <w:sz w:val="20"/>
          <w:szCs w:val="20"/>
          <w:color w:val="auto"/>
        </w:rPr>
      </w:pPr>
    </w:p>
    <w:p>
      <w:pPr>
        <w:sectPr>
          <w:pgSz w:w="11900" w:h="16838" w:orient="portrait"/>
          <w:cols w:equalWidth="0" w:num="2">
            <w:col w:w="1900" w:space="60"/>
            <w:col w:w="9280"/>
          </w:cols>
          <w:pgMar w:left="320" w:top="1395" w:right="339" w:bottom="1440" w:gutter="0" w:footer="0" w:header="0"/>
          <w:type w:val="continuous"/>
        </w:sect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(ak)</w:t>
        <w:tab/>
        <w:t>“</w:t>
      </w:r>
      <w:r>
        <w:rPr>
          <w:rFonts w:ascii="Times New Roman" w:cs="Times New Roman" w:eastAsia="Times New Roman" w:hAnsi="Times New Roman"/>
          <w:sz w:val="21"/>
          <w:szCs w:val="21"/>
          <w:b w:val="1"/>
          <w:bCs w:val="1"/>
          <w:color w:val="auto"/>
        </w:rPr>
        <w:t>VWAP</w:t>
      </w:r>
      <w:r>
        <w:rPr>
          <w:rFonts w:ascii="Times New Roman" w:cs="Times New Roman" w:eastAsia="Times New Roman" w:hAnsi="Times New Roman"/>
          <w:sz w:val="21"/>
          <w:szCs w:val="21"/>
          <w:color w:val="auto"/>
        </w:rPr>
        <w:t>” means, for any Trading Day, the daily volume weighted average price of the Common Shares for</w:t>
      </w:r>
    </w:p>
    <w:p>
      <w:pPr>
        <w:sectPr>
          <w:pgSz w:w="11900" w:h="16838" w:orient="portrait"/>
          <w:cols w:equalWidth="0" w:num="1">
            <w:col w:w="11240"/>
          </w:cols>
          <w:pgMar w:left="320" w:top="1395"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such Trading Day on the Principal U.S. Market during regular trading hours as reported by Bloomberg L.P.</w:t>
      </w:r>
    </w:p>
    <w:p>
      <w:pPr>
        <w:spacing w:after="0" w:line="17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ectPr>
          <w:pgSz w:w="11900" w:h="16838" w:orient="portrait"/>
          <w:cols w:equalWidth="0" w:num="1">
            <w:col w:w="11240"/>
          </w:cols>
          <w:pgMar w:left="320" w:top="1395" w:right="339" w:bottom="1440" w:gutter="0" w:footer="0" w:header="0"/>
          <w:type w:val="continuous"/>
        </w:sectPr>
      </w:pPr>
    </w:p>
    <w:bookmarkStart w:id="131" w:name="page132"/>
    <w:bookmarkEnd w:id="131"/>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has caused this Convertible Note to be duly executed by a duly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(signed) “</w:t>
      </w:r>
      <w:r>
        <w:rPr>
          <w:rFonts w:ascii="Times New Roman" w:cs="Times New Roman" w:eastAsia="Times New Roman" w:hAnsi="Times New Roman"/>
          <w:sz w:val="22"/>
          <w:szCs w:val="22"/>
          <w:i w:val="1"/>
          <w:iCs w:val="1"/>
          <w:color w:val="auto"/>
        </w:rPr>
        <w:t>Doug Drysdale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-11430</wp:posOffset>
            </wp:positionV>
            <wp:extent cx="17214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721485" cy="8890"/>
                    </a:xfrm>
                    <a:prstGeom prst="rect">
                      <a:avLst/>
                    </a:prstGeom>
                    <a:noFill/>
                  </pic:spPr>
                </pic:pic>
              </a:graphicData>
            </a:graphic>
          </wp:anchor>
        </w:drawing>
      </w:r>
    </w:p>
    <w:p>
      <w:pPr>
        <w:spacing w:after="0" w:line="15" w:lineRule="exact"/>
        <w:rPr>
          <w:sz w:val="20"/>
          <w:szCs w:val="20"/>
          <w:color w:val="auto"/>
        </w:rPr>
      </w:pPr>
    </w:p>
    <w:p>
      <w:pPr>
        <w:ind w:left="5620"/>
        <w:spacing w:after="0"/>
        <w:tabs>
          <w:tab w:leader="none" w:pos="6440" w:val="left"/>
        </w:tabs>
        <w:rPr>
          <w:sz w:val="20"/>
          <w:szCs w:val="20"/>
          <w:color w:val="auto"/>
        </w:rPr>
      </w:pPr>
      <w:r>
        <w:rPr>
          <w:rFonts w:ascii="Times New Roman" w:cs="Times New Roman" w:eastAsia="Times New Roman" w:hAnsi="Times New Roman"/>
          <w:sz w:val="22"/>
          <w:szCs w:val="22"/>
          <w:color w:val="auto"/>
        </w:rPr>
        <w:t>Name:</w:t>
        <w:tab/>
        <w:t>Doug Drysdale</w:t>
      </w:r>
    </w:p>
    <w:p>
      <w:pPr>
        <w:spacing w:after="0" w:line="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Title: Chief Executive Officer</w:t>
      </w:r>
    </w:p>
    <w:p>
      <w:pPr>
        <w:sectPr>
          <w:pgSz w:w="11900" w:h="16838" w:orient="portrait"/>
          <w:cols w:equalWidth="0" w:num="1">
            <w:col w:w="11240"/>
          </w:cols>
          <w:pgMar w:left="320" w:top="1418" w:right="339" w:bottom="1440" w:gutter="0" w:footer="0" w:header="0"/>
        </w:sectPr>
      </w:pPr>
    </w:p>
    <w:bookmarkStart w:id="132" w:name="page133"/>
    <w:bookmarkEnd w:id="132"/>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CONVERSION NOTICE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be executed by the Holder in order to Convert the Note)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 CYBIN INC.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Via Email:</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The undersigned hereby irrevocably elects to convert a portion of the outstanding and unpaid Conversion Amount of Note No. </w:t>
      </w:r>
      <w:r>
        <w:rPr>
          <w:rFonts w:ascii="Times New Roman" w:cs="Times New Roman" w:eastAsia="Times New Roman" w:hAnsi="Times New Roman"/>
          <w:sz w:val="22"/>
          <w:szCs w:val="22"/>
          <w:u w:val="single" w:color="auto"/>
          <w:color w:val="auto"/>
        </w:rPr>
        <w:t>CYBN-1</w:t>
      </w:r>
      <w:r>
        <w:rPr>
          <w:rFonts w:ascii="Times New Roman" w:cs="Times New Roman" w:eastAsia="Times New Roman" w:hAnsi="Times New Roman"/>
          <w:sz w:val="22"/>
          <w:szCs w:val="22"/>
          <w:color w:val="auto"/>
        </w:rPr>
        <w:t xml:space="preserve"> into Common Shares of </w:t>
      </w:r>
      <w:r>
        <w:rPr>
          <w:rFonts w:ascii="Times New Roman" w:cs="Times New Roman" w:eastAsia="Times New Roman" w:hAnsi="Times New Roman"/>
          <w:sz w:val="22"/>
          <w:szCs w:val="22"/>
          <w:b w:val="1"/>
          <w:bCs w:val="1"/>
          <w:color w:val="auto"/>
        </w:rPr>
        <w:t>CYBIN INC.</w:t>
      </w:r>
      <w:r>
        <w:rPr>
          <w:rFonts w:ascii="Times New Roman" w:cs="Times New Roman" w:eastAsia="Times New Roman" w:hAnsi="Times New Roman"/>
          <w:sz w:val="22"/>
          <w:szCs w:val="22"/>
          <w:color w:val="auto"/>
        </w:rPr>
        <w:t>, according to the conditions stated therein, as of the Conversion Date written below.</w:t>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Conversion Date:</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Principal Amount to be Converted:</w:t>
      </w: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Total Conversion Amount to be converted:</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Fixed Price: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Variable Price: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Applicable Conversion Price: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Number of Common Shares to be issued:</w:t>
      </w: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Please issue the Common Shares in the following name and deliver them to the following account:</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Issue to:</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Broker DTC Participant Code:</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Account Number:</w:t>
      </w: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Authorized Signature:</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-148590</wp:posOffset>
            </wp:positionV>
            <wp:extent cx="47059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116205</wp:posOffset>
            </wp:positionV>
            <wp:extent cx="47059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4705985"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-148590</wp:posOffset>
            </wp:positionV>
            <wp:extent cx="47059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470598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EXHIBIT II</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FORM OF TRANSFER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VALUE RECEIVED</w:t>
      </w:r>
      <w:r>
        <w:rPr>
          <w:rFonts w:ascii="Times New Roman" w:cs="Times New Roman" w:eastAsia="Times New Roman" w:hAnsi="Times New Roman"/>
          <w:sz w:val="20"/>
          <w:szCs w:val="20"/>
          <w:color w:val="auto"/>
        </w:rPr>
        <w:t>, the undersigned transferor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of the Notes registered in the name of the undersigned transferor represented by the attached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969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96900" cy="8255"/>
                    </a:xfrm>
                    <a:prstGeom prst="rect">
                      <a:avLst/>
                    </a:prstGeom>
                    <a:noFill/>
                  </pic:spPr>
                </pic:pic>
              </a:graphicData>
            </a:graphic>
          </wp:anchor>
        </w:drawing>
      </w:r>
    </w:p>
    <w:p>
      <w:pPr>
        <w:spacing w:after="0" w:line="2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undersigned hereby represents, warrants and certifies that the transfer is being made in accordance with a transaction that does not require registration under the United States Securities Act of 1933, as amended (the “Securities Act”) or any applicable state securities laws, and the undersigned has furnished to the Company an opinion of counsel of recognized standing or other evidence of exemption, in form and substance reasonably satisfactory to the Company to such effect.</w:t>
      </w:r>
    </w:p>
    <w:p>
      <w:pPr>
        <w:spacing w:after="0" w:line="209" w:lineRule="exact"/>
        <w:rPr>
          <w:sz w:val="20"/>
          <w:szCs w:val="20"/>
          <w:color w:val="auto"/>
        </w:rPr>
      </w:pPr>
    </w:p>
    <w:p>
      <w:pPr>
        <w:ind w:left="200"/>
        <w:spacing w:after="0"/>
        <w:tabs>
          <w:tab w:leader="none" w:pos="1800" w:val="left"/>
          <w:tab w:leader="none" w:pos="3780" w:val="left"/>
          <w:tab w:leader="none" w:pos="4420" w:val="left"/>
        </w:tabs>
        <w:rPr>
          <w:sz w:val="20"/>
          <w:szCs w:val="20"/>
          <w:color w:val="auto"/>
        </w:rPr>
      </w:pPr>
      <w:r>
        <w:rPr>
          <w:rFonts w:ascii="Times New Roman" w:cs="Times New Roman" w:eastAsia="Times New Roman" w:hAnsi="Times New Roman"/>
          <w:sz w:val="20"/>
          <w:szCs w:val="20"/>
          <w:b w:val="1"/>
          <w:bCs w:val="1"/>
          <w:color w:val="auto"/>
        </w:rPr>
        <w:t xml:space="preserve">DATED </w:t>
      </w:r>
      <w:r>
        <w:rPr>
          <w:rFonts w:ascii="Times New Roman" w:cs="Times New Roman" w:eastAsia="Times New Roman" w:hAnsi="Times New Roman"/>
          <w:sz w:val="20"/>
          <w:szCs w:val="20"/>
          <w:color w:val="auto"/>
        </w:rPr>
        <w:t>this</w:t>
      </w:r>
      <w:r>
        <w:rPr>
          <w:sz w:val="20"/>
          <w:szCs w:val="20"/>
          <w:color w:val="auto"/>
        </w:rPr>
        <w:tab/>
      </w:r>
      <w:r>
        <w:rPr>
          <w:rFonts w:ascii="Times New Roman" w:cs="Times New Roman" w:eastAsia="Times New Roman" w:hAnsi="Times New Roman"/>
          <w:sz w:val="20"/>
          <w:szCs w:val="20"/>
          <w:color w:val="auto"/>
        </w:rPr>
        <w:t>day of</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-8255</wp:posOffset>
            </wp:positionV>
            <wp:extent cx="20135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01358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445135</wp:posOffset>
            </wp:positionV>
            <wp:extent cx="1257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Signature of Holder</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287655</wp:posOffset>
            </wp:positionV>
            <wp:extent cx="1257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Print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297180</wp:posOffset>
            </wp:positionV>
            <wp:extent cx="1257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596900</wp:posOffset>
            </wp:positionV>
            <wp:extent cx="1257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Address</w:t>
      </w:r>
    </w:p>
    <w:p>
      <w:pPr>
        <w:spacing w:after="0" w:line="200" w:lineRule="exact"/>
        <w:rPr>
          <w:sz w:val="20"/>
          <w:szCs w:val="20"/>
          <w:color w:val="auto"/>
        </w:rPr>
      </w:pPr>
    </w:p>
    <w:p>
      <w:pPr>
        <w:spacing w:after="0" w:line="381" w:lineRule="exact"/>
        <w:rPr>
          <w:sz w:val="20"/>
          <w:szCs w:val="20"/>
          <w:color w:val="auto"/>
        </w:rPr>
      </w:pPr>
    </w:p>
    <w:p>
      <w:pPr>
        <w:ind w:left="780" w:hanging="1295"/>
        <w:spacing w:after="0" w:line="258" w:lineRule="auto"/>
        <w:tabs>
          <w:tab w:leader="none" w:pos="760" w:val="left"/>
        </w:tabs>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signature on this transfer form must correspond with the name as recorded on the face of the certificate in every particular without alteration or enlargement or any change whatsoever or this transfer form must be signed by a duly authorized trustee, executor, administrator, curator, guardian, attorney of the Holder or a duly authorized signing officer in the case of a corporation. If this transfer form is signed by any of the foregoing, or any person acting in a fiduciary or representative capacity, the certificate must be accompanied by evidence of authority to sign.</w:t>
      </w:r>
    </w:p>
    <w:p>
      <w:pPr>
        <w:sectPr>
          <w:pgSz w:w="11900" w:h="16838" w:orient="portrait"/>
          <w:cols w:equalWidth="0" w:num="1">
            <w:col w:w="11200"/>
          </w:cols>
          <w:pgMar w:left="320" w:top="1440" w:right="379" w:bottom="1440" w:gutter="0" w:footer="0" w:header="0"/>
        </w:sectPr>
      </w:pPr>
    </w:p>
    <w:bookmarkStart w:id="134" w:name="page135"/>
    <w:bookmarkEnd w:id="134"/>
    <w:p>
      <w:pPr>
        <w:spacing w:after="0" w:line="18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This transfer form must be accompanied by an opinion of counsel or other evidence (which must be reasonably satisfactory to the Company), to the effect that the transfer is exempt from the registration requirements of the </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b w:val="1"/>
          <w:bCs w:val="1"/>
          <w:color w:val="auto"/>
        </w:rPr>
        <w:t xml:space="preserve"> and the securities laws of all applicable states of the United States.</w:t>
      </w:r>
    </w:p>
    <w:sectPr>
      <w:pgSz w:w="11900" w:h="16838" w:orient="portrait"/>
      <w:cols w:equalWidth="0" w:num="1">
        <w:col w:w="10860"/>
      </w:cols>
      <w:pgMar w:left="320" w:top="144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272110"/>
    <w:multiLevelType w:val="hybridMultilevel"/>
    <w:lvl w:ilvl="0">
      <w:lvlJc w:val="left"/>
      <w:lvlText w:val="%1."/>
      <w:numFmt w:val="upperLetter"/>
      <w:start w:val="1"/>
    </w:lvl>
  </w:abstractNum>
  <w:abstractNum w:abstractNumId="1">
    <w:nsid w:val="4C04A8AF"/>
    <w:multiLevelType w:val="hybridMultilevel"/>
    <w:lvl w:ilvl="0">
      <w:lvlJc w:val="left"/>
      <w:lvlText w:val="%1."/>
      <w:numFmt w:val="decimal"/>
      <w:start w:val="1"/>
    </w:lvl>
  </w:abstractNum>
  <w:abstractNum w:abstractNumId="2">
    <w:nsid w:val="1716703B"/>
    <w:multiLevelType w:val="hybridMultilevel"/>
    <w:lvl w:ilvl="0">
      <w:lvlJc w:val="left"/>
      <w:lvlText w:val="(%1)"/>
      <w:numFmt w:val="lowerLetter"/>
      <w:start w:val="1"/>
    </w:lvl>
  </w:abstractNum>
  <w:abstractNum w:abstractNumId="3">
    <w:nsid w:val="14E17E33"/>
    <w:multiLevelType w:val="hybridMultilevel"/>
    <w:lvl w:ilvl="0">
      <w:lvlJc w:val="left"/>
      <w:lvlText w:val="(%1)"/>
      <w:numFmt w:val="lowerLetter"/>
      <w:start w:val="3"/>
    </w:lvl>
  </w:abstractNum>
  <w:abstractNum w:abstractNumId="4">
    <w:nsid w:val="3222E7CD"/>
    <w:multiLevelType w:val="hybridMultilevel"/>
    <w:lvl w:ilvl="0">
      <w:lvlJc w:val="left"/>
      <w:lvlText w:val="(%1)"/>
      <w:numFmt w:val="lowerLetter"/>
      <w:start w:val="14"/>
    </w:lvl>
  </w:abstractNum>
  <w:abstractNum w:abstractNumId="5">
    <w:nsid w:val="74DE0EE3"/>
    <w:multiLevelType w:val="hybridMultilevel"/>
    <w:lvl w:ilvl="0">
      <w:lvlJc w:val="left"/>
      <w:lvlText w:val="%1."/>
      <w:numFmt w:val="decimal"/>
      <w:start w:val="2"/>
    </w:lvl>
    <w:lvl w:ilvl="1">
      <w:lvlJc w:val="left"/>
      <w:lvlText w:val="(%2)"/>
      <w:numFmt w:val="lowerLetter"/>
      <w:start w:val="1"/>
    </w:lvl>
  </w:abstractNum>
  <w:abstractNum w:abstractNumId="6">
    <w:nsid w:val="68EBC550"/>
    <w:multiLevelType w:val="hybridMultilevel"/>
    <w:lvl w:ilvl="0">
      <w:lvlJc w:val="left"/>
      <w:lvlText w:val="(%1)"/>
      <w:numFmt w:val="lowerLetter"/>
      <w:start w:val="3"/>
    </w:lvl>
  </w:abstractNum>
  <w:abstractNum w:abstractNumId="7">
    <w:nsid w:val="2DF6D648"/>
    <w:multiLevelType w:val="hybridMultilevel"/>
    <w:lvl w:ilvl="0">
      <w:lvlJc w:val="left"/>
      <w:lvlText w:val="(%1)"/>
      <w:numFmt w:val="lowerLetter"/>
      <w:start w:val="5"/>
    </w:lvl>
  </w:abstractNum>
  <w:abstractNum w:abstractNumId="8">
    <w:nsid w:val="46B7D447"/>
    <w:multiLevelType w:val="hybridMultilevel"/>
    <w:lvl w:ilvl="0">
      <w:lvlJc w:val="left"/>
      <w:lvlText w:val="%1."/>
      <w:numFmt w:val="decimal"/>
      <w:start w:val="3"/>
    </w:lvl>
    <w:lvl w:ilvl="1">
      <w:lvlJc w:val="left"/>
      <w:lvlText w:val="(%2)"/>
      <w:numFmt w:val="lowerLetter"/>
      <w:start w:val="1"/>
    </w:lvl>
  </w:abstractNum>
  <w:abstractNum w:abstractNumId="9">
    <w:nsid w:val="4A2AC315"/>
    <w:multiLevelType w:val="hybridMultilevel"/>
    <w:lvl w:ilvl="0">
      <w:lvlJc w:val="left"/>
      <w:lvlText w:val="(%1)"/>
      <w:numFmt w:val="lowerLetter"/>
      <w:start w:val="5"/>
    </w:lvl>
  </w:abstractNum>
  <w:abstractNum w:abstractNumId="10">
    <w:nsid w:val="39EE015C"/>
    <w:multiLevelType w:val="hybridMultilevel"/>
    <w:lvl w:ilvl="0">
      <w:lvlJc w:val="left"/>
      <w:lvlText w:val="%1"/>
      <w:numFmt w:val="decimal"/>
      <w:start w:val="1"/>
    </w:lvl>
    <w:lvl w:ilvl="1">
      <w:lvlJc w:val="left"/>
      <w:lvlText w:val="(%2)"/>
      <w:numFmt w:val="lowerLetter"/>
      <w:start w:val="11"/>
    </w:lvl>
  </w:abstractNum>
  <w:abstractNum w:abstractNumId="11">
    <w:nsid w:val="57FC4FBB"/>
    <w:multiLevelType w:val="hybridMultilevel"/>
    <w:lvl w:ilvl="0">
      <w:lvlJc w:val="left"/>
      <w:lvlText w:val="%1."/>
      <w:numFmt w:val="decimal"/>
      <w:start w:val="4"/>
    </w:lvl>
    <w:lvl w:ilvl="1">
      <w:lvlJc w:val="left"/>
      <w:lvlText w:val="(%2)"/>
      <w:numFmt w:val="lowerLetter"/>
      <w:start w:val="1"/>
    </w:lvl>
  </w:abstractNum>
  <w:abstractNum w:abstractNumId="12">
    <w:nsid w:val="CC1016F"/>
    <w:multiLevelType w:val="hybridMultilevel"/>
    <w:lvl w:ilvl="0">
      <w:lvlJc w:val="left"/>
      <w:lvlText w:val="%1."/>
      <w:numFmt w:val="decimal"/>
      <w:start w:val="6"/>
    </w:lvl>
  </w:abstractNum>
  <w:abstractNum w:abstractNumId="13">
    <w:nsid w:val="43F18422"/>
    <w:multiLevelType w:val="hybridMultilevel"/>
    <w:lvl w:ilvl="0">
      <w:lvlJc w:val="left"/>
      <w:lvlText w:val="(%1)"/>
      <w:numFmt w:val="lowerLetter"/>
      <w:start w:val="1"/>
    </w:lvl>
  </w:abstractNum>
  <w:abstractNum w:abstractNumId="14">
    <w:nsid w:val="60EF0119"/>
    <w:multiLevelType w:val="hybridMultilevel"/>
    <w:lvl w:ilvl="0">
      <w:lvlJc w:val="left"/>
      <w:lvlText w:val="(%1)"/>
      <w:numFmt w:val="lowerLetter"/>
      <w:start w:val="3"/>
    </w:lvl>
  </w:abstractNum>
  <w:abstractNum w:abstractNumId="15">
    <w:nsid w:val="26F324BA"/>
    <w:multiLevelType w:val="hybridMultilevel"/>
    <w:lvl w:ilvl="0">
      <w:lvlJc w:val="left"/>
      <w:lvlText w:val="%1"/>
      <w:numFmt w:val="decimal"/>
      <w:start w:val="1"/>
    </w:lvl>
    <w:lvl w:ilvl="1">
      <w:lvlJc w:val="left"/>
      <w:lvlText w:val="(%2)"/>
      <w:numFmt w:val="lowerLetter"/>
      <w:start w:val="4"/>
    </w:lvl>
  </w:abstractNum>
  <w:abstractNum w:abstractNumId="16">
    <w:nsid w:val="7F01579B"/>
    <w:multiLevelType w:val="hybridMultilevel"/>
    <w:lvl w:ilvl="0">
      <w:lvlJc w:val="left"/>
      <w:lvlText w:val="%1."/>
      <w:numFmt w:val="decimal"/>
      <w:start w:val="7"/>
    </w:lvl>
    <w:lvl w:ilvl="1">
      <w:lvlJc w:val="left"/>
      <w:lvlText w:val="%2"/>
      <w:numFmt w:val="lowerLetter"/>
      <w:start w:val="1"/>
    </w:lvl>
  </w:abstractNum>
  <w:abstractNum w:abstractNumId="17">
    <w:nsid w:val="49DA307D"/>
    <w:multiLevelType w:val="hybridMultilevel"/>
    <w:lvl w:ilvl="0">
      <w:lvlJc w:val="left"/>
      <w:lvlText w:val="%1."/>
      <w:numFmt w:val="decimal"/>
      <w:start w:val="8"/>
    </w:lvl>
  </w:abstractNum>
  <w:abstractNum w:abstractNumId="18">
    <w:nsid w:val="7055A5F5"/>
    <w:multiLevelType w:val="hybridMultilevel"/>
    <w:lvl w:ilvl="0">
      <w:lvlJc w:val="left"/>
      <w:lvlText w:val="(%1)"/>
      <w:numFmt w:val="lowerLetter"/>
      <w:start w:val="1"/>
    </w:lvl>
  </w:abstractNum>
  <w:abstractNum w:abstractNumId="19">
    <w:nsid w:val="5FB8370B"/>
    <w:multiLevelType w:val="hybridMultilevel"/>
    <w:lvl w:ilvl="0">
      <w:lvlJc w:val="left"/>
      <w:lvlText w:val="%1."/>
      <w:numFmt w:val="decimal"/>
      <w:start w:val="9"/>
    </w:lvl>
  </w:abstractNum>
  <w:abstractNum w:abstractNumId="20">
    <w:nsid w:val="50801EE1"/>
    <w:multiLevelType w:val="hybridMultilevel"/>
    <w:lvl w:ilvl="0">
      <w:lvlJc w:val="left"/>
      <w:lvlText w:val="%1."/>
      <w:numFmt w:val="decimal"/>
      <w:start w:val="10"/>
    </w:lvl>
    <w:lvl w:ilvl="1">
      <w:lvlJc w:val="left"/>
      <w:lvlText w:val="(%2)"/>
      <w:numFmt w:val="lowerLetter"/>
      <w:start w:val="1"/>
    </w:lvl>
  </w:abstractNum>
  <w:abstractNum w:abstractNumId="21">
    <w:nsid w:val="488AC1A"/>
    <w:multiLevelType w:val="hybridMultilevel"/>
    <w:lvl w:ilvl="0">
      <w:lvlJc w:val="left"/>
      <w:lvlText w:val="(%1)"/>
      <w:numFmt w:val="lowerLetter"/>
      <w:start w:val="6"/>
    </w:lvl>
  </w:abstractNum>
  <w:abstractNum w:abstractNumId="22">
    <w:nsid w:val="5FB8011C"/>
    <w:multiLevelType w:val="hybridMultilevel"/>
    <w:lvl w:ilvl="0">
      <w:lvlJc w:val="left"/>
      <w:lvlText w:val="(%1)"/>
      <w:numFmt w:val="lowerLetter"/>
      <w:start w:val="11"/>
    </w:lvl>
  </w:abstractNum>
  <w:abstractNum w:abstractNumId="23">
    <w:nsid w:val="6AA78F7F"/>
    <w:multiLevelType w:val="hybridMultilevel"/>
    <w:lvl w:ilvl="0">
      <w:lvlJc w:val="left"/>
      <w:lvlText w:val="%1."/>
      <w:numFmt w:val="decimal"/>
      <w:start w:val="1"/>
    </w:lvl>
    <w:lvl w:ilvl="1">
      <w:lvlJc w:val="left"/>
      <w:lvlText w:val="(%2)"/>
      <w:numFmt w:val="lowerLetter"/>
      <w:start w:val="1"/>
    </w:lvl>
  </w:abstractNum>
  <w:abstractNum w:abstractNumId="24">
    <w:nsid w:val="7672BD23"/>
    <w:multiLevelType w:val="hybridMultilevel"/>
    <w:lvl w:ilvl="0">
      <w:lvlJc w:val="left"/>
      <w:lvlText w:val="%1."/>
      <w:numFmt w:val="decimal"/>
      <w:start w:val="1"/>
    </w:lvl>
  </w:abstractNum>
  <w:abstractNum w:abstractNumId="25">
    <w:nsid w:val="6FC75AF8"/>
    <w:multiLevelType w:val="hybridMultilevel"/>
    <w:lvl w:ilvl="0">
      <w:lvlJc w:val="left"/>
      <w:lvlText w:val="%1."/>
      <w:numFmt w:val="decimal"/>
      <w:start w:val="2"/>
    </w:lvl>
    <w:lvl w:ilvl="1">
      <w:lvlJc w:val="left"/>
      <w:lvlText w:val="(%2)"/>
      <w:numFmt w:val="lowerLetter"/>
      <w:start w:val="1"/>
    </w:lvl>
  </w:abstractNum>
  <w:abstractNum w:abstractNumId="26">
    <w:nsid w:val="6A5F7029"/>
    <w:multiLevelType w:val="hybridMultilevel"/>
    <w:lvl w:ilvl="0">
      <w:lvlJc w:val="left"/>
      <w:lvlText w:val="(%1)"/>
      <w:numFmt w:val="lowerLetter"/>
      <w:start w:val="2"/>
    </w:lvl>
  </w:abstractNum>
  <w:abstractNum w:abstractNumId="27">
    <w:nsid w:val="7D5E18F8"/>
    <w:multiLevelType w:val="hybridMultilevel"/>
    <w:lvl w:ilvl="0">
      <w:lvlJc w:val="left"/>
      <w:lvlText w:val="(%1)"/>
      <w:numFmt w:val="lowerLetter"/>
      <w:start w:val="4"/>
    </w:lvl>
  </w:abstractNum>
  <w:abstractNum w:abstractNumId="28">
    <w:nsid w:val="5F3534A4"/>
    <w:multiLevelType w:val="hybridMultilevel"/>
    <w:lvl w:ilvl="0">
      <w:lvlJc w:val="left"/>
      <w:lvlText w:val="%1."/>
      <w:numFmt w:val="decimal"/>
      <w:start w:val="3"/>
    </w:lvl>
    <w:lvl w:ilvl="1">
      <w:lvlJc w:val="left"/>
      <w:lvlText w:val="(%2)"/>
      <w:numFmt w:val="lowerLetter"/>
      <w:start w:val="1"/>
    </w:lvl>
  </w:abstractNum>
  <w:abstractNum w:abstractNumId="29">
    <w:nsid w:val="73A1821B"/>
    <w:multiLevelType w:val="hybridMultilevel"/>
    <w:lvl w:ilvl="0">
      <w:lvlJc w:val="left"/>
      <w:lvlText w:val="%1"/>
      <w:numFmt w:val="decimal"/>
      <w:start w:val="1"/>
    </w:lvl>
    <w:lvl w:ilvl="1">
      <w:lvlJc w:val="left"/>
      <w:lvlText w:val="(%2)"/>
      <w:numFmt w:val="lowerLetter"/>
      <w:start w:val="5"/>
    </w:lvl>
  </w:abstractNum>
  <w:abstractNum w:abstractNumId="30">
    <w:nsid w:val="7DE67713"/>
    <w:multiLevelType w:val="hybridMultilevel"/>
    <w:lvl w:ilvl="0">
      <w:lvlJc w:val="left"/>
      <w:lvlText w:val="%1."/>
      <w:numFmt w:val="decimal"/>
      <w:start w:val="4"/>
    </w:lvl>
    <w:lvl w:ilvl="1">
      <w:lvlJc w:val="left"/>
      <w:lvlText w:val="%2"/>
      <w:numFmt w:val="lowerLetter"/>
      <w:start w:val="1"/>
    </w:lvl>
  </w:abstractNum>
  <w:abstractNum w:abstractNumId="31">
    <w:nsid w:val="555C55B5"/>
    <w:multiLevelType w:val="hybridMultilevel"/>
    <w:lvl w:ilvl="0">
      <w:lvlJc w:val="left"/>
      <w:lvlText w:val="%1."/>
      <w:numFmt w:val="decimal"/>
      <w:start w:val="1"/>
    </w:lvl>
    <w:lvl w:ilvl="1">
      <w:lvlJc w:val="left"/>
      <w:lvlText w:val="(%2)"/>
      <w:numFmt w:val="lowerLetter"/>
      <w:start w:val="1"/>
    </w:lvl>
  </w:abstractNum>
  <w:abstractNum w:abstractNumId="32">
    <w:nsid w:val="3FA62ACA"/>
    <w:multiLevelType w:val="hybridMultilevel"/>
    <w:lvl w:ilvl="0">
      <w:lvlJc w:val="left"/>
      <w:lvlText w:val="(%1)"/>
      <w:numFmt w:val="lowerLetter"/>
      <w:start w:val="2"/>
    </w:lvl>
  </w:abstractNum>
  <w:abstractNum w:abstractNumId="33">
    <w:nsid w:val="14FCE74E"/>
    <w:multiLevelType w:val="hybridMultilevel"/>
    <w:lvl w:ilvl="0">
      <w:lvlJc w:val="left"/>
      <w:lvlText w:val="(%1)"/>
      <w:numFmt w:val="lowerLetter"/>
      <w:start w:val="6"/>
    </w:lvl>
  </w:abstractNum>
  <w:abstractNum w:abstractNumId="34">
    <w:nsid w:val="6A3DD3E8"/>
    <w:multiLevelType w:val="hybridMultilevel"/>
    <w:lvl w:ilvl="0">
      <w:lvlJc w:val="left"/>
      <w:lvlText w:val="(%1)"/>
      <w:numFmt w:val="upperLetter"/>
      <w:start w:val="1"/>
    </w:lvl>
    <w:lvl w:ilvl="1">
      <w:lvlJc w:val="left"/>
      <w:lvlText w:val="(%2)"/>
      <w:numFmt w:val="lowerLetter"/>
      <w:start w:val="7"/>
    </w:lvl>
  </w:abstractNum>
  <w:abstractNum w:abstractNumId="35">
    <w:nsid w:val="71C91298"/>
    <w:multiLevelType w:val="hybridMultilevel"/>
    <w:lvl w:ilvl="0">
      <w:lvlJc w:val="left"/>
      <w:lvlText w:val="(%1)"/>
      <w:numFmt w:val="lowerLetter"/>
      <w:start w:val="8"/>
    </w:lvl>
  </w:abstractNum>
  <w:abstractNum w:abstractNumId="36">
    <w:nsid w:val="9DAF632"/>
    <w:multiLevelType w:val="hybridMultilevel"/>
    <w:lvl w:ilvl="0">
      <w:lvlJc w:val="left"/>
      <w:lvlText w:val="%1"/>
      <w:numFmt w:val="decimal"/>
      <w:start w:val="1"/>
    </w:lvl>
    <w:lvl w:ilvl="1">
      <w:lvlJc w:val="left"/>
      <w:lvlText w:val="(%2)"/>
      <w:numFmt w:val="lowerLetter"/>
      <w:start w:val="15"/>
    </w:lvl>
  </w:abstractNum>
  <w:abstractNum w:abstractNumId="37">
    <w:nsid w:val="53299938"/>
    <w:multiLevelType w:val="hybridMultilevel"/>
    <w:lvl w:ilvl="0">
      <w:lvlJc w:val="left"/>
      <w:lvlText w:val="%1."/>
      <w:numFmt w:val="decimal"/>
      <w:start w:val="3"/>
    </w:lvl>
    <w:lvl w:ilvl="1">
      <w:lvlJc w:val="left"/>
      <w:lvlText w:val="%2"/>
      <w:numFmt w:val="lowerLetter"/>
      <w:start w:val="1"/>
    </w:lvl>
  </w:abstractNum>
  <w:abstractNum w:abstractNumId="38">
    <w:nsid w:val="1FBFE8E0"/>
    <w:multiLevelType w:val="hybridMultilevel"/>
    <w:lvl w:ilvl="0">
      <w:lvlJc w:val="left"/>
      <w:lvlText w:val="(%1)"/>
      <w:numFmt w:val="lowerLetter"/>
      <w:start w:val="1"/>
    </w:lvl>
  </w:abstractNum>
  <w:abstractNum w:abstractNumId="39">
    <w:nsid w:val="5092CA79"/>
    <w:multiLevelType w:val="hybridMultilevel"/>
    <w:lvl w:ilvl="0">
      <w:lvlJc w:val="left"/>
      <w:lvlText w:val="%1"/>
      <w:numFmt w:val="lowerLetter"/>
      <w:start w:val="1"/>
    </w:lvl>
    <w:lvl w:ilvl="1">
      <w:lvlJc w:val="left"/>
      <w:lvlText w:val="(%2)"/>
      <w:numFmt w:val="lowerLetter"/>
      <w:start w:val="3"/>
    </w:lvl>
  </w:abstractNum>
  <w:abstractNum w:abstractNumId="40">
    <w:nsid w:val="1D545C4D"/>
    <w:multiLevelType w:val="hybridMultilevel"/>
    <w:lvl w:ilvl="0">
      <w:lvlJc w:val="left"/>
      <w:lvlText w:val="(%1)"/>
      <w:numFmt w:val="lowerLetter"/>
      <w:start w:val="61"/>
    </w:lvl>
    <w:lvl w:ilvl="1">
      <w:lvlJc w:val="left"/>
      <w:lvlText w:val="%2"/>
      <w:numFmt w:val="lowerLetter"/>
      <w:start w:val="1"/>
    </w:lvl>
  </w:abstractNum>
  <w:abstractNum w:abstractNumId="41">
    <w:nsid w:val="59ADEA3D"/>
    <w:multiLevelType w:val="hybridMultilevel"/>
    <w:lvl w:ilvl="0">
      <w:lvlJc w:val="left"/>
      <w:lvlText w:val="(%1)"/>
      <w:numFmt w:val="lowerLetter"/>
      <w:start w:val="6"/>
    </w:lvl>
  </w:abstractNum>
  <w:abstractNum w:abstractNumId="42">
    <w:nsid w:val="288F1A34"/>
    <w:multiLevelType w:val="hybridMultilevel"/>
    <w:lvl w:ilvl="0">
      <w:lvlJc w:val="left"/>
      <w:lvlText w:val="(%1)"/>
      <w:numFmt w:val="lowerLetter"/>
      <w:start w:val="11"/>
    </w:lvl>
  </w:abstractNum>
  <w:abstractNum w:abstractNumId="43">
    <w:nsid w:val="2A155DBC"/>
    <w:multiLevelType w:val="hybridMultilevel"/>
    <w:lvl w:ilvl="0">
      <w:lvlJc w:val="left"/>
      <w:lvlText w:val="%1"/>
      <w:numFmt w:val="lowerLetter"/>
      <w:start w:val="1"/>
    </w:lvl>
    <w:lvl w:ilvl="1">
      <w:lvlJc w:val="left"/>
      <w:lvlText w:val="(%2)"/>
      <w:numFmt w:val="lowerLetter"/>
      <w:start w:val="13"/>
    </w:lvl>
  </w:abstractNum>
  <w:abstractNum w:abstractNumId="44">
    <w:nsid w:val="1D9F6E5F"/>
    <w:multiLevelType w:val="hybridMultilevel"/>
    <w:lvl w:ilvl="0">
      <w:lvlJc w:val="left"/>
      <w:lvlText w:val="(%1)"/>
      <w:numFmt w:val="lowerLetter"/>
      <w:start w:val="35"/>
    </w:lvl>
    <w:lvl w:ilvl="1">
      <w:lvlJc w:val="left"/>
      <w:lvlText w:val="(%2)"/>
      <w:numFmt w:val="lowerLetter"/>
      <w:start w:val="14"/>
    </w:lvl>
  </w:abstractNum>
  <w:abstractNum w:abstractNumId="45">
    <w:nsid w:val="97E1B4E"/>
    <w:multiLevelType w:val="hybridMultilevel"/>
    <w:lvl w:ilvl="0">
      <w:lvlJc w:val="left"/>
      <w:lvlText w:val="(%1)"/>
      <w:numFmt w:val="lowerLetter"/>
      <w:start w:val="15"/>
    </w:lvl>
  </w:abstractNum>
  <w:abstractNum w:abstractNumId="46">
    <w:nsid w:val="51088277"/>
    <w:multiLevelType w:val="hybridMultilevel"/>
    <w:lvl w:ilvl="0">
      <w:lvlJc w:val="left"/>
      <w:lvlText w:val="(%1)"/>
      <w:numFmt w:val="lowerLetter"/>
      <w:start w:val="18"/>
    </w:lvl>
  </w:abstractNum>
  <w:abstractNum w:abstractNumId="47">
    <w:nsid w:val="1CA0C5FA"/>
    <w:multiLevelType w:val="hybridMultilevel"/>
    <w:lvl w:ilvl="0">
      <w:lvlJc w:val="left"/>
      <w:lvlText w:val="(%1)"/>
      <w:numFmt w:val="lowerLetter"/>
      <w:start w:val="24"/>
    </w:lvl>
  </w:abstractNum>
  <w:abstractNum w:abstractNumId="48">
    <w:nsid w:val="53584BCB"/>
    <w:multiLevelType w:val="hybridMultilevel"/>
    <w:lvl w:ilvl="0">
      <w:lvlJc w:val="left"/>
      <w:lvlText w:val="%1"/>
      <w:numFmt w:val="decimal"/>
      <w:start w:val="1"/>
    </w:lvl>
    <w:lvl w:ilvl="1">
      <w:lvlJc w:val="left"/>
      <w:lvlText w:val="(%2)"/>
      <w:numFmt w:val="lowerLetter"/>
      <w:start w:val="27"/>
    </w:lvl>
  </w:abstractNum>
  <w:abstractNum w:abstractNumId="49">
    <w:nsid w:val="415E286C"/>
    <w:multiLevelType w:val="hybridMultilevel"/>
    <w:lvl w:ilvl="0">
      <w:lvlJc w:val="left"/>
      <w:lvlText w:val="%1."/>
      <w:numFmt w:val="decimal"/>
      <w:start w:val="4"/>
    </w:lvl>
    <w:lvl w:ilvl="1">
      <w:lvlJc w:val="left"/>
      <w:lvlText w:val="(%2)"/>
      <w:numFmt w:val="lowerLetter"/>
      <w:start w:val="1"/>
    </w:lvl>
  </w:abstractNum>
  <w:abstractNum w:abstractNumId="50">
    <w:nsid w:val="7C58FD05"/>
    <w:multiLevelType w:val="hybridMultilevel"/>
    <w:lvl w:ilvl="0">
      <w:lvlJc w:val="left"/>
      <w:lvlText w:val="(%1)"/>
      <w:numFmt w:val="lowerLetter"/>
      <w:start w:val="3"/>
    </w:lvl>
  </w:abstractNum>
  <w:abstractNum w:abstractNumId="51">
    <w:nsid w:val="23D86AAC"/>
    <w:multiLevelType w:val="hybridMultilevel"/>
    <w:lvl w:ilvl="0">
      <w:lvlJc w:val="left"/>
      <w:lvlText w:val="(%1)"/>
      <w:numFmt w:val="lowerLetter"/>
      <w:start w:val="6"/>
    </w:lvl>
    <w:lvl w:ilvl="1">
      <w:lvlJc w:val="left"/>
      <w:lvlText w:val="(%2)"/>
      <w:numFmt w:val="lowerRoman"/>
      <w:start w:val="1"/>
    </w:lvl>
  </w:abstractNum>
  <w:abstractNum w:abstractNumId="52">
    <w:nsid w:val="45E6D486"/>
    <w:multiLevelType w:val="hybridMultilevel"/>
    <w:lvl w:ilvl="0">
      <w:lvlJc w:val="left"/>
      <w:lvlText w:val="%1"/>
      <w:numFmt w:val="decimal"/>
      <w:start w:val="1"/>
    </w:lvl>
    <w:lvl w:ilvl="1">
      <w:lvlJc w:val="left"/>
      <w:lvlText w:val="(%2)"/>
      <w:numFmt w:val="lowerLetter"/>
      <w:start w:val="9"/>
    </w:lvl>
  </w:abstractNum>
  <w:abstractNum w:abstractNumId="53">
    <w:nsid w:val="5C10FE21"/>
    <w:multiLevelType w:val="hybridMultilevel"/>
    <w:lvl w:ilvl="0">
      <w:lvlJc w:val="left"/>
      <w:lvlText w:val="%1."/>
      <w:numFmt w:val="decimal"/>
      <w:start w:val="5"/>
    </w:lvl>
    <w:lvl w:ilvl="1">
      <w:lvlJc w:val="left"/>
      <w:lvlText w:val="(%2)"/>
      <w:numFmt w:val="lowerLetter"/>
      <w:start w:val="1"/>
    </w:lvl>
  </w:abstractNum>
  <w:abstractNum w:abstractNumId="54">
    <w:nsid w:val="E7FFA2B"/>
    <w:multiLevelType w:val="hybridMultilevel"/>
    <w:lvl w:ilvl="0">
      <w:lvlJc w:val="left"/>
      <w:lvlText w:val="%1"/>
      <w:numFmt w:val="decimal"/>
      <w:start w:val="1"/>
    </w:lvl>
    <w:lvl w:ilvl="1">
      <w:lvlJc w:val="left"/>
      <w:lvlText w:val="(%2)"/>
      <w:numFmt w:val="lowerLetter"/>
      <w:start w:val="2"/>
    </w:lvl>
  </w:abstractNum>
  <w:abstractNum w:abstractNumId="55">
    <w:nsid w:val="3C5991AA"/>
    <w:multiLevelType w:val="hybridMultilevel"/>
    <w:lvl w:ilvl="0">
      <w:lvlJc w:val="left"/>
      <w:lvlText w:val="%1."/>
      <w:numFmt w:val="decimal"/>
      <w:start w:val="6"/>
    </w:lvl>
    <w:lvl w:ilvl="1">
      <w:lvlJc w:val="left"/>
      <w:lvlText w:val="%2"/>
      <w:numFmt w:val="lowerLetter"/>
      <w:start w:val="1"/>
    </w:lvl>
  </w:abstractNum>
  <w:abstractNum w:abstractNumId="56">
    <w:nsid w:val="4BD8591A"/>
    <w:multiLevelType w:val="hybridMultilevel"/>
    <w:lvl w:ilvl="0">
      <w:lvlJc w:val="left"/>
      <w:lvlText w:val="%1"/>
      <w:numFmt w:val="lowerLetter"/>
      <w:start w:val="1"/>
    </w:lvl>
    <w:lvl w:ilvl="1">
      <w:lvlJc w:val="left"/>
      <w:lvlText w:val="(%2)"/>
      <w:numFmt w:val="lowerLetter"/>
      <w:start w:val="1"/>
    </w:lvl>
  </w:abstractNum>
  <w:abstractNum w:abstractNumId="57">
    <w:nsid w:val="78DF6A55"/>
    <w:multiLevelType w:val="hybridMultilevel"/>
    <w:lvl w:ilvl="0">
      <w:lvlJc w:val="left"/>
      <w:lvlText w:val="(%1)"/>
      <w:numFmt w:val="lowerLetter"/>
      <w:start w:val="35"/>
    </w:lvl>
    <w:lvl w:ilvl="1">
      <w:lvlJc w:val="left"/>
      <w:lvlText w:val="%2"/>
      <w:numFmt w:val="lowerLetter"/>
      <w:start w:val="1"/>
    </w:lvl>
  </w:abstractNum>
  <w:abstractNum w:abstractNumId="58">
    <w:nsid w:val="39B7AAA2"/>
    <w:multiLevelType w:val="hybridMultilevel"/>
    <w:lvl w:ilvl="0">
      <w:lvlJc w:val="left"/>
      <w:lvlText w:val="%1."/>
      <w:numFmt w:val="decimal"/>
      <w:start w:val="7"/>
    </w:lvl>
  </w:abstractNum>
  <w:abstractNum w:abstractNumId="59">
    <w:nsid w:val="2B0D8DBE"/>
    <w:multiLevelType w:val="hybridMultilevel"/>
    <w:lvl w:ilvl="0">
      <w:lvlJc w:val="left"/>
      <w:lvlText w:val="%1"/>
      <w:numFmt w:val="upperLetter"/>
      <w:start w:val="1"/>
    </w:lvl>
    <w:lvl w:ilvl="1">
      <w:lvlJc w:val="left"/>
      <w:lvlText w:val="(%2)"/>
      <w:numFmt w:val="lowerLetter"/>
      <w:start w:val="1"/>
    </w:lvl>
  </w:abstractNum>
  <w:abstractNum w:abstractNumId="60">
    <w:nsid w:val="6C80EC70"/>
    <w:multiLevelType w:val="hybridMultilevel"/>
    <w:lvl w:ilvl="0">
      <w:lvlJc w:val="left"/>
      <w:lvlText w:val="(%1)"/>
      <w:numFmt w:val="upperLetter"/>
      <w:start w:val="9"/>
    </w:lvl>
    <w:lvl w:ilvl="1">
      <w:lvlJc w:val="left"/>
      <w:lvlText w:val="(%2)"/>
      <w:numFmt w:val="lowerLetter"/>
      <w:start w:val="6"/>
    </w:lvl>
  </w:abstractNum>
  <w:abstractNum w:abstractNumId="61">
    <w:nsid w:val="379E21B5"/>
    <w:multiLevelType w:val="hybridMultilevel"/>
    <w:lvl w:ilvl="0">
      <w:lvlJc w:val="left"/>
      <w:lvlText w:val="%1"/>
      <w:numFmt w:val="lowerRoman"/>
      <w:start w:val="1"/>
    </w:lvl>
    <w:lvl w:ilvl="1">
      <w:lvlJc w:val="left"/>
      <w:lvlText w:val="(%2)"/>
      <w:numFmt w:val="lowerRoman"/>
      <w:start w:val="1"/>
    </w:lvl>
  </w:abstractNum>
  <w:abstractNum w:abstractNumId="62">
    <w:nsid w:val="69E373"/>
    <w:multiLevelType w:val="hybridMultilevel"/>
    <w:lvl w:ilvl="0">
      <w:lvlJc w:val="left"/>
      <w:lvlText w:val="(%1)"/>
      <w:numFmt w:val="lowerRoman"/>
      <w:start w:val="2"/>
    </w:lvl>
    <w:lvl w:ilvl="1">
      <w:lvlJc w:val="left"/>
      <w:lvlText w:val="%2"/>
      <w:numFmt w:val="lowerRoman"/>
      <w:start w:val="1"/>
    </w:lvl>
  </w:abstractNum>
  <w:abstractNum w:abstractNumId="63">
    <w:nsid w:val="2C27173B"/>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64">
    <w:nsid w:val="4C9B0904"/>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65">
    <w:nsid w:val="6AA7B75C"/>
    <w:multiLevelType w:val="hybridMultilevel"/>
    <w:lvl w:ilvl="0">
      <w:lvlJc w:val="left"/>
      <w:lvlText w:val="(%1)"/>
      <w:numFmt w:val="lowerRoman"/>
      <w:start w:val="2"/>
    </w:lvl>
  </w:abstractNum>
  <w:abstractNum w:abstractNumId="66">
    <w:nsid w:val="1DF029D3"/>
    <w:multiLevelType w:val="hybridMultilevel"/>
    <w:lvl w:ilvl="0">
      <w:lvlJc w:val="left"/>
      <w:lvlText w:val="%1"/>
      <w:numFmt w:val="lowerLetter"/>
      <w:start w:val="1"/>
    </w:lvl>
    <w:lvl w:ilvl="1">
      <w:lvlJc w:val="left"/>
      <w:lvlText w:val="(%2)"/>
      <w:numFmt w:val="lowerLetter"/>
      <w:start w:val="22"/>
    </w:lvl>
  </w:abstractNum>
  <w:abstractNum w:abstractNumId="67">
    <w:nsid w:val="5675FF36"/>
    <w:multiLevelType w:val="hybridMultilevel"/>
    <w:lvl w:ilvl="0">
      <w:lvlJc w:val="left"/>
      <w:lvlText w:val="(%1)"/>
      <w:numFmt w:val="lowerLetter"/>
      <w:start w:val="4"/>
    </w:lvl>
    <w:lvl w:ilvl="1">
      <w:lvlJc w:val="left"/>
      <w:lvlText w:val="%2"/>
      <w:numFmt w:val="lowerLetter"/>
      <w:start w:val="1"/>
    </w:lvl>
  </w:abstractNum>
  <w:abstractNum w:abstractNumId="68">
    <w:nsid w:val="3DD15094"/>
    <w:multiLevelType w:val="hybridMultilevel"/>
    <w:lvl w:ilvl="0">
      <w:lvlJc w:val="left"/>
      <w:lvlText w:val="(%1)"/>
      <w:numFmt w:val="lowerLetter"/>
      <w:start w:val="10"/>
    </w:lvl>
    <w:lvl w:ilvl="1">
      <w:lvlJc w:val="left"/>
      <w:lvlText w:val="(%2)"/>
      <w:numFmt w:val="lowerRoman"/>
      <w:start w:val="1"/>
    </w:lvl>
  </w:abstractNum>
  <w:abstractNum w:abstractNumId="69">
    <w:nsid w:val="3DB012B3"/>
    <w:multiLevelType w:val="hybridMultilevel"/>
    <w:lvl w:ilvl="0">
      <w:lvlJc w:val="left"/>
      <w:lvlText w:val="(%1)"/>
      <w:numFmt w:val="lowerRoman"/>
      <w:start w:val="3"/>
    </w:lvl>
  </w:abstractNum>
  <w:abstractNum w:abstractNumId="70">
    <w:nsid w:val="2708C9AF"/>
    <w:multiLevelType w:val="hybridMultilevel"/>
    <w:lvl w:ilvl="0">
      <w:lvlJc w:val="left"/>
      <w:lvlText w:val="%1"/>
      <w:numFmt w:val="lowerLetter"/>
      <w:start w:val="1"/>
    </w:lvl>
    <w:lvl w:ilvl="1">
      <w:lvlJc w:val="left"/>
      <w:lvlText w:val="(%2)"/>
      <w:numFmt w:val="lowerRoman"/>
      <w:start w:val="4"/>
    </w:lvl>
  </w:abstractNum>
  <w:abstractNum w:abstractNumId="71">
    <w:nsid w:val="5B25ACE2"/>
    <w:multiLevelType w:val="hybridMultilevel"/>
    <w:lvl w:ilvl="0">
      <w:lvlJc w:val="left"/>
      <w:lvlText w:val="(%1)"/>
      <w:numFmt w:val="lowerLetter"/>
      <w:start w:val="12"/>
    </w:lvl>
    <w:lvl w:ilvl="1">
      <w:lvlJc w:val="left"/>
      <w:lvlText w:val="%2"/>
      <w:numFmt w:val="lowerRoman"/>
      <w:start w:val="1"/>
    </w:lvl>
  </w:abstractNum>
  <w:abstractNum w:abstractNumId="72">
    <w:nsid w:val="175DFCF0"/>
    <w:multiLevelType w:val="hybridMultilevel"/>
    <w:lvl w:ilvl="0">
      <w:lvlJc w:val="left"/>
      <w:lvlText w:val="%1."/>
      <w:numFmt w:val="decimal"/>
      <w:start w:val="1"/>
    </w:lvl>
    <w:lvl w:ilvl="1">
      <w:lvlJc w:val="left"/>
      <w:lvlText w:val="(%2)"/>
      <w:numFmt w:val="lowerLetter"/>
      <w:start w:val="1"/>
    </w:lvl>
  </w:abstractNum>
  <w:abstractNum w:abstractNumId="73">
    <w:nsid w:val="4F97E3E4"/>
    <w:multiLevelType w:val="hybridMultilevel"/>
    <w:lvl w:ilvl="0">
      <w:lvlJc w:val="left"/>
      <w:lvlText w:val="(%1)"/>
      <w:numFmt w:val="lowerLetter"/>
      <w:start w:val="6"/>
    </w:lvl>
  </w:abstractNum>
  <w:abstractNum w:abstractNumId="74">
    <w:nsid w:val="53B0A9E"/>
    <w:multiLevelType w:val="hybridMultilevel"/>
    <w:lvl w:ilvl="0">
      <w:lvlJc w:val="left"/>
      <w:lvlText w:val="%1."/>
      <w:numFmt w:val="decimal"/>
      <w:start w:val="2"/>
    </w:lvl>
    <w:lvl w:ilvl="1">
      <w:lvlJc w:val="left"/>
      <w:lvlText w:val="(%2)"/>
      <w:numFmt w:val="lowerLetter"/>
      <w:start w:val="1"/>
    </w:lvl>
  </w:abstractNum>
  <w:abstractNum w:abstractNumId="75">
    <w:nsid w:val="34FD6B4F"/>
    <w:multiLevelType w:val="hybridMultilevel"/>
    <w:lvl w:ilvl="0">
      <w:lvlJc w:val="left"/>
      <w:lvlText w:val="(%1)"/>
      <w:numFmt w:val="lowerLetter"/>
      <w:start w:val="1"/>
    </w:lvl>
  </w:abstractNum>
  <w:abstractNum w:abstractNumId="76">
    <w:nsid w:val="5915FF32"/>
    <w:multiLevelType w:val="hybridMultilevel"/>
    <w:lvl w:ilvl="0">
      <w:lvlJc w:val="left"/>
      <w:lvlText w:val="(%1)"/>
      <w:numFmt w:val="lowerLetter"/>
      <w:start w:val="4"/>
    </w:lvl>
  </w:abstractNum>
  <w:abstractNum w:abstractNumId="77">
    <w:nsid w:val="56438D15"/>
    <w:multiLevelType w:val="hybridMultilevel"/>
    <w:lvl w:ilvl="0">
      <w:lvlJc w:val="left"/>
      <w:lvlText w:val="(%1)"/>
      <w:numFmt w:val="lowerLetter"/>
      <w:start w:val="13"/>
    </w:lvl>
  </w:abstractNum>
  <w:abstractNum w:abstractNumId="78">
    <w:nsid w:val="519E3149"/>
    <w:multiLevelType w:val="hybridMultilevel"/>
    <w:lvl w:ilvl="0">
      <w:lvlJc w:val="left"/>
      <w:lvlText w:val="%1."/>
      <w:numFmt w:val="decimal"/>
      <w:start w:val="3"/>
    </w:lvl>
    <w:lvl w:ilvl="1">
      <w:lvlJc w:val="left"/>
      <w:lvlText w:val="(%2)"/>
      <w:numFmt w:val="lowerLetter"/>
      <w:start w:val="1"/>
    </w:lvl>
  </w:abstractNum>
  <w:abstractNum w:abstractNumId="79">
    <w:nsid w:val="2C6E4AFD"/>
    <w:multiLevelType w:val="hybridMultilevel"/>
    <w:lvl w:ilvl="0">
      <w:lvlJc w:val="left"/>
      <w:lvlText w:val="(%1)"/>
      <w:numFmt w:val="lowerLetter"/>
      <w:start w:val="1"/>
    </w:lvl>
  </w:abstractNum>
  <w:abstractNum w:abstractNumId="80">
    <w:nsid w:val="17A1B582"/>
    <w:multiLevelType w:val="hybridMultilevel"/>
    <w:lvl w:ilvl="0">
      <w:lvlJc w:val="left"/>
      <w:lvlText w:val="(%1)"/>
      <w:numFmt w:val="lowerLetter"/>
      <w:start w:val="2"/>
    </w:lvl>
  </w:abstractNum>
  <w:abstractNum w:abstractNumId="81">
    <w:nsid w:val="4DF72E4E"/>
    <w:multiLevelType w:val="hybridMultilevel"/>
    <w:lvl w:ilvl="0">
      <w:lvlJc w:val="left"/>
      <w:lvlText w:val="(%1)"/>
      <w:numFmt w:val="lowerLetter"/>
      <w:start w:val="1"/>
    </w:lvl>
  </w:abstractNum>
  <w:abstractNum w:abstractNumId="82">
    <w:nsid w:val="5046B5A9"/>
    <w:multiLevelType w:val="hybridMultilevel"/>
    <w:lvl w:ilvl="0">
      <w:lvlJc w:val="left"/>
      <w:lvlText w:val="(%1)"/>
      <w:numFmt w:val="lowerLetter"/>
      <w:start w:val="2"/>
    </w:lvl>
  </w:abstractNum>
  <w:abstractNum w:abstractNumId="83">
    <w:nsid w:val="5D888A08"/>
    <w:multiLevelType w:val="hybridMultilevel"/>
    <w:lvl w:ilvl="0">
      <w:lvlJc w:val="left"/>
      <w:lvlText w:val="(%1)"/>
      <w:numFmt w:val="lowerLetter"/>
      <w:start w:val="1"/>
    </w:lvl>
  </w:abstractNum>
  <w:abstractNum w:abstractNumId="84">
    <w:nsid w:val="2A082C70"/>
    <w:multiLevelType w:val="hybridMultilevel"/>
    <w:lvl w:ilvl="0">
      <w:lvlJc w:val="left"/>
      <w:lvlText w:val="%1"/>
      <w:numFmt w:val="lowerLetter"/>
      <w:start w:val="1"/>
    </w:lvl>
    <w:lvl w:ilvl="1">
      <w:lvlJc w:val="left"/>
      <w:lvlText w:val="(%2)"/>
      <w:numFmt w:val="lowerLetter"/>
      <w:start w:val="3"/>
    </w:lvl>
  </w:abstractNum>
  <w:abstractNum w:abstractNumId="85">
    <w:nsid w:val="5EC6AFD4"/>
    <w:multiLevelType w:val="hybridMultilevel"/>
    <w:lvl w:ilvl="0">
      <w:lvlJc w:val="left"/>
      <w:lvlText w:val="(%1)"/>
      <w:numFmt w:val="lowerLetter"/>
      <w:start w:val="9"/>
    </w:lvl>
    <w:lvl w:ilvl="1">
      <w:lvlJc w:val="left"/>
      <w:lvlText w:val="(%2)"/>
      <w:numFmt w:val="lowerLetter"/>
      <w:start w:val="6"/>
    </w:lvl>
  </w:abstractNum>
  <w:abstractNum w:abstractNumId="86">
    <w:nsid w:val="19E21BB2"/>
    <w:multiLevelType w:val="hybridMultilevel"/>
    <w:lvl w:ilvl="0">
      <w:lvlJc w:val="left"/>
      <w:lvlText w:val="%1"/>
      <w:numFmt w:val="decimal"/>
      <w:start w:val="1"/>
    </w:lvl>
    <w:lvl w:ilvl="1">
      <w:lvlJc w:val="left"/>
      <w:lvlText w:val="(%2)"/>
      <w:numFmt w:val="lowerLetter"/>
      <w:start w:val="7"/>
    </w:lvl>
  </w:abstractNum>
  <w:abstractNum w:abstractNumId="87">
    <w:nsid w:val="75E0858A"/>
    <w:multiLevelType w:val="hybridMultilevel"/>
    <w:lvl w:ilvl="0">
      <w:lvlJc w:val="left"/>
      <w:lvlText w:val="%1."/>
      <w:numFmt w:val="decimal"/>
      <w:start w:val="4"/>
    </w:lvl>
    <w:lvl w:ilvl="1">
      <w:lvlJc w:val="left"/>
      <w:lvlText w:val="(%2)"/>
      <w:numFmt w:val="lowerLetter"/>
      <w:start w:val="1"/>
    </w:lvl>
  </w:abstractNum>
  <w:abstractNum w:abstractNumId="88">
    <w:nsid w:val="57A61A29"/>
    <w:multiLevelType w:val="hybridMultilevel"/>
    <w:lvl w:ilvl="0">
      <w:lvlJc w:val="left"/>
      <w:lvlText w:val="(%1)"/>
      <w:numFmt w:val="lowerLetter"/>
      <w:start w:val="3"/>
    </w:lvl>
    <w:lvl w:ilvl="1">
      <w:lvlJc w:val="left"/>
      <w:lvlText w:val="(%2)"/>
      <w:numFmt w:val="lowerLetter"/>
      <w:start w:val="4"/>
    </w:lvl>
  </w:abstractNum>
  <w:abstractNum w:abstractNumId="89">
    <w:nsid w:val="5399C654"/>
    <w:multiLevelType w:val="hybridMultilevel"/>
    <w:lvl w:ilvl="0">
      <w:lvlJc w:val="left"/>
      <w:lvlText w:val="%1."/>
      <w:numFmt w:val="decimal"/>
      <w:start w:val="5"/>
    </w:lvl>
  </w:abstractNum>
  <w:abstractNum w:abstractNumId="90">
    <w:nsid w:val="20EE1348"/>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1"/>
    </w:lvl>
  </w:abstractNum>
  <w:abstractNum w:abstractNumId="91">
    <w:nsid w:val="4427069A"/>
    <w:multiLevelType w:val="hybridMultilevel"/>
    <w:lvl w:ilvl="0">
      <w:lvlJc w:val="left"/>
      <w:lvlText w:val="(%1)"/>
      <w:numFmt w:val="lowerLetter"/>
      <w:start w:val="1"/>
    </w:lvl>
  </w:abstractNum>
  <w:abstractNum w:abstractNumId="92">
    <w:nsid w:val="B37E80A"/>
    <w:multiLevelType w:val="hybridMultilevel"/>
    <w:lvl w:ilvl="0">
      <w:lvlJc w:val="left"/>
      <w:lvlText w:val="%1"/>
      <w:numFmt w:val="decimal"/>
      <w:start w:val="1"/>
    </w:lvl>
    <w:lvl w:ilvl="1">
      <w:lvlJc w:val="left"/>
      <w:lvlText w:val="(%2)"/>
      <w:numFmt w:val="lowerLetter"/>
      <w:start w:val="4"/>
    </w:lvl>
  </w:abstractNum>
  <w:abstractNum w:abstractNumId="93">
    <w:nsid w:val="2157F6BC"/>
    <w:multiLevelType w:val="hybridMultilevel"/>
    <w:lvl w:ilvl="0">
      <w:lvlJc w:val="left"/>
      <w:lvlText w:val="%1."/>
      <w:numFmt w:val="decimal"/>
      <w:start w:val="9"/>
    </w:lvl>
    <w:lvl w:ilvl="1">
      <w:lvlJc w:val="left"/>
      <w:lvlText w:val="%2"/>
      <w:numFmt w:val="lowerLetter"/>
      <w:start w:val="1"/>
    </w:lvl>
  </w:abstractNum>
  <w:abstractNum w:abstractNumId="94">
    <w:nsid w:val="704E1DD5"/>
    <w:multiLevelType w:val="hybridMultilevel"/>
    <w:lvl w:ilvl="0">
      <w:lvlJc w:val="left"/>
      <w:lvlText w:val="%1."/>
      <w:numFmt w:val="decimal"/>
      <w:start w:val="10"/>
    </w:lvl>
    <w:lvl w:ilvl="1">
      <w:lvlJc w:val="left"/>
      <w:lvlText w:val="(%2)"/>
      <w:numFmt w:val="lowerLetter"/>
      <w:start w:val="1"/>
    </w:lvl>
  </w:abstractNum>
  <w:abstractNum w:abstractNumId="95">
    <w:nsid w:val="57D2F10E"/>
    <w:multiLevelType w:val="hybridMultilevel"/>
    <w:lvl w:ilvl="0">
      <w:lvlJc w:val="left"/>
      <w:lvlText w:val="%1"/>
      <w:numFmt w:val="lowerLetter"/>
      <w:start w:val="1"/>
    </w:lvl>
    <w:lvl w:ilvl="1">
      <w:lvlJc w:val="left"/>
      <w:lvlText w:val="(%2)"/>
      <w:numFmt w:val="lowerLetter"/>
      <w:start w:val="1"/>
    </w:lvl>
  </w:abstractNum>
  <w:abstractNum w:abstractNumId="96">
    <w:nsid w:val="BFFAE18"/>
    <w:multiLevelType w:val="hybridMultilevel"/>
    <w:lvl w:ilvl="0">
      <w:lvlJc w:val="left"/>
      <w:lvlText w:val="(%1)"/>
      <w:numFmt w:val="lowerLetter"/>
      <w:start w:val="3"/>
    </w:lvl>
    <w:lvl w:ilvl="1">
      <w:lvlJc w:val="left"/>
      <w:lvlText w:val="%2"/>
      <w:numFmt w:val="lowerLetter"/>
      <w:start w:val="1"/>
    </w:lvl>
  </w:abstractNum>
  <w:abstractNum w:abstractNumId="97">
    <w:nsid w:val="E3E47A8"/>
    <w:multiLevelType w:val="hybridMultilevel"/>
    <w:lvl w:ilvl="0">
      <w:lvlJc w:val="left"/>
      <w:lvlText w:val="%1."/>
      <w:numFmt w:val="decimal"/>
      <w:start w:val="14"/>
    </w:lvl>
    <w:lvl w:ilvl="1">
      <w:lvlJc w:val="left"/>
      <w:lvlText w:val="(%2)"/>
      <w:numFmt w:val="lowerLetter"/>
      <w:start w:val="1"/>
    </w:lvl>
  </w:abstractNum>
  <w:abstractNum w:abstractNumId="98">
    <w:nsid w:val="2E48F044"/>
    <w:multiLevelType w:val="hybridMultilevel"/>
    <w:lvl w:ilvl="0">
      <w:lvlJc w:val="left"/>
      <w:lvlText w:val="(%1)"/>
      <w:numFmt w:val="lowerLetter"/>
      <w:start w:val="2"/>
    </w:lvl>
    <w:lvl w:ilvl="1">
      <w:lvlJc w:val="left"/>
      <w:lvlText w:val="%2"/>
      <w:numFmt w:val="lowerLetter"/>
      <w:start w:val="1"/>
    </w:lvl>
  </w:abstractNum>
  <w:abstractNum w:abstractNumId="99">
    <w:nsid w:val="49D0FEAC"/>
    <w:multiLevelType w:val="hybridMultilevel"/>
    <w:lvl w:ilvl="0">
      <w:lvlJc w:val="left"/>
      <w:lvlText w:val="(%1)"/>
      <w:numFmt w:val="lowerLetter"/>
      <w:start w:val="6"/>
    </w:lvl>
    <w:lvl w:ilvl="1">
      <w:lvlJc w:val="left"/>
      <w:lvlText w:val="(%2)"/>
      <w:numFmt w:val="lowerLetter"/>
      <w:start w:val="9"/>
    </w:lvl>
  </w:abstractNum>
  <w:abstractNum w:abstractNumId="100">
    <w:nsid w:val="4BEE5A5B"/>
    <w:multiLevelType w:val="hybridMultilevel"/>
    <w:lvl w:ilvl="0">
      <w:lvlJc w:val="left"/>
      <w:lvlText w:val="(%1)"/>
      <w:numFmt w:val="lowerLetter"/>
      <w:start w:val="17"/>
    </w:lvl>
  </w:abstractNum>
  <w:abstractNum w:abstractNumId="101">
    <w:nsid w:val="5551B9F3"/>
    <w:multiLevelType w:val="hybridMultilevel"/>
    <w:lvl w:ilvl="0">
      <w:lvlJc w:val="left"/>
      <w:lvlText w:val="(%1)"/>
      <w:numFmt w:val="lowerLetter"/>
      <w:start w:val="27"/>
    </w:lvl>
  </w:abstractNum>
  <w:abstractNum w:abstractNumId="102">
    <w:nsid w:val="24F6AB8E"/>
    <w:multiLevelType w:val="hybridMultilevel"/>
    <w:lvl w:ilvl="0">
      <w:lvlJc w:val="left"/>
      <w:lvlText w:val="%1."/>
      <w:numFmt w:val="decimal"/>
      <w:start w:val="1"/>
    </w:lvl>
    <w:lvl w:ilvl="1">
      <w:lvlJc w:val="left"/>
      <w:lvlText w:val="(%2)"/>
      <w:numFmt w:val="lowerLetter"/>
      <w:start w:val="1"/>
    </w:lvl>
  </w:abstractNum>
  <w:abstractNum w:abstractNumId="103">
    <w:nsid w:val="634C574C"/>
    <w:multiLevelType w:val="hybridMultilevel"/>
    <w:lvl w:ilvl="0">
      <w:lvlJc w:val="left"/>
      <w:lvlText w:val="(%1)"/>
      <w:numFmt w:val="lowerLetter"/>
      <w:start w:val="2"/>
    </w:lvl>
  </w:abstractNum>
  <w:abstractNum w:abstractNumId="104">
    <w:nsid w:val="24E99DD7"/>
    <w:multiLevelType w:val="hybridMultilevel"/>
    <w:lvl w:ilvl="0">
      <w:lvlJc w:val="left"/>
      <w:lvlText w:val="(%1)"/>
      <w:numFmt w:val="lowerLetter"/>
      <w:start w:val="6"/>
    </w:lvl>
  </w:abstractNum>
  <w:abstractNum w:abstractNumId="105">
    <w:nsid w:val="2A31B62D"/>
    <w:multiLevelType w:val="hybridMultilevel"/>
    <w:lvl w:ilvl="0">
      <w:lvlJc w:val="left"/>
      <w:lvlText w:val="(%1)"/>
      <w:numFmt w:val="upperLetter"/>
      <w:start w:val="1"/>
    </w:lvl>
    <w:lvl w:ilvl="1">
      <w:lvlJc w:val="left"/>
      <w:lvlText w:val="(%2)"/>
      <w:numFmt w:val="lowerLetter"/>
      <w:start w:val="7"/>
    </w:lvl>
  </w:abstractNum>
  <w:abstractNum w:abstractNumId="106">
    <w:nsid w:val="1849C29B"/>
    <w:multiLevelType w:val="hybridMultilevel"/>
    <w:lvl w:ilvl="0">
      <w:lvlJc w:val="left"/>
      <w:lvlText w:val="(%1)"/>
      <w:numFmt w:val="lowerLetter"/>
      <w:start w:val="8"/>
    </w:lvl>
  </w:abstractNum>
  <w:abstractNum w:abstractNumId="107">
    <w:nsid w:val="7DFF9D09"/>
    <w:multiLevelType w:val="hybridMultilevel"/>
    <w:lvl w:ilvl="0">
      <w:lvlJc w:val="left"/>
      <w:lvlText w:val="%1"/>
      <w:numFmt w:val="decimal"/>
      <w:start w:val="1"/>
    </w:lvl>
    <w:lvl w:ilvl="1">
      <w:lvlJc w:val="left"/>
      <w:lvlText w:val="(%2)"/>
      <w:numFmt w:val="lowerLetter"/>
      <w:start w:val="15"/>
    </w:lvl>
  </w:abstractNum>
  <w:abstractNum w:abstractNumId="108">
    <w:nsid w:val="754342"/>
    <w:multiLevelType w:val="hybridMultilevel"/>
    <w:lvl w:ilvl="0">
      <w:lvlJc w:val="left"/>
      <w:lvlText w:val="%1."/>
      <w:numFmt w:val="decimal"/>
      <w:start w:val="3"/>
    </w:lvl>
    <w:lvl w:ilvl="1">
      <w:lvlJc w:val="left"/>
      <w:lvlText w:val="%2"/>
      <w:numFmt w:val="lowerLetter"/>
      <w:start w:val="1"/>
    </w:lvl>
  </w:abstractNum>
  <w:abstractNum w:abstractNumId="109">
    <w:nsid w:val="69E7F3E5"/>
    <w:multiLevelType w:val="hybridMultilevel"/>
    <w:lvl w:ilvl="0">
      <w:lvlJc w:val="left"/>
      <w:lvlText w:val="(%1)"/>
      <w:numFmt w:val="lowerLetter"/>
      <w:start w:val="1"/>
    </w:lvl>
  </w:abstractNum>
  <w:abstractNum w:abstractNumId="110">
    <w:nsid w:val="2A6DE806"/>
    <w:multiLevelType w:val="hybridMultilevel"/>
    <w:lvl w:ilvl="0">
      <w:lvlJc w:val="left"/>
      <w:lvlText w:val="%1"/>
      <w:numFmt w:val="lowerLetter"/>
      <w:start w:val="1"/>
    </w:lvl>
    <w:lvl w:ilvl="1">
      <w:lvlJc w:val="left"/>
      <w:lvlText w:val="(%2)"/>
      <w:numFmt w:val="lowerLetter"/>
      <w:start w:val="3"/>
    </w:lvl>
  </w:abstractNum>
  <w:abstractNum w:abstractNumId="111">
    <w:nsid w:val="1816F8C4"/>
    <w:multiLevelType w:val="hybridMultilevel"/>
    <w:lvl w:ilvl="0">
      <w:lvlJc w:val="left"/>
      <w:lvlText w:val="(%1)"/>
      <w:numFmt w:val="lowerLetter"/>
      <w:start w:val="61"/>
    </w:lvl>
    <w:lvl w:ilvl="1">
      <w:lvlJc w:val="left"/>
      <w:lvlText w:val="%2"/>
      <w:numFmt w:val="lowerLetter"/>
      <w:start w:val="1"/>
    </w:lvl>
  </w:abstractNum>
  <w:abstractNum w:abstractNumId="112">
    <w:nsid w:val="37DF2233"/>
    <w:multiLevelType w:val="hybridMultilevel"/>
    <w:lvl w:ilvl="0">
      <w:lvlJc w:val="left"/>
      <w:lvlText w:val="(%1)"/>
      <w:numFmt w:val="lowerLetter"/>
      <w:start w:val="6"/>
    </w:lvl>
  </w:abstractNum>
  <w:abstractNum w:abstractNumId="113">
    <w:nsid w:val="7AB49DAF"/>
    <w:multiLevelType w:val="hybridMultilevel"/>
    <w:lvl w:ilvl="0">
      <w:lvlJc w:val="left"/>
      <w:lvlText w:val="(%1)"/>
      <w:numFmt w:val="lowerLetter"/>
      <w:start w:val="11"/>
    </w:lvl>
  </w:abstractNum>
  <w:abstractNum w:abstractNumId="114">
    <w:nsid w:val="759F82CD"/>
    <w:multiLevelType w:val="hybridMultilevel"/>
    <w:lvl w:ilvl="0">
      <w:lvlJc w:val="left"/>
      <w:lvlText w:val="%1"/>
      <w:numFmt w:val="lowerLetter"/>
      <w:start w:val="1"/>
    </w:lvl>
    <w:lvl w:ilvl="1">
      <w:lvlJc w:val="left"/>
      <w:lvlText w:val="(%2)"/>
      <w:numFmt w:val="lowerLetter"/>
      <w:start w:val="13"/>
    </w:lvl>
  </w:abstractNum>
  <w:abstractNum w:abstractNumId="115">
    <w:nsid w:val="61E74EA3"/>
    <w:multiLevelType w:val="hybridMultilevel"/>
    <w:lvl w:ilvl="0">
      <w:lvlJc w:val="left"/>
      <w:lvlText w:val="(%1)"/>
      <w:numFmt w:val="lowerLetter"/>
      <w:start w:val="35"/>
    </w:lvl>
    <w:lvl w:ilvl="1">
      <w:lvlJc w:val="left"/>
      <w:lvlText w:val="(%2)"/>
      <w:numFmt w:val="lowerLetter"/>
      <w:start w:val="14"/>
    </w:lvl>
  </w:abstractNum>
  <w:abstractNum w:abstractNumId="116">
    <w:nsid w:val="597B4D84"/>
    <w:multiLevelType w:val="hybridMultilevel"/>
    <w:lvl w:ilvl="0">
      <w:lvlJc w:val="left"/>
      <w:lvlText w:val="(%1)"/>
      <w:numFmt w:val="lowerLetter"/>
      <w:start w:val="15"/>
    </w:lvl>
  </w:abstractNum>
  <w:abstractNum w:abstractNumId="117">
    <w:nsid w:val="F819E7F"/>
    <w:multiLevelType w:val="hybridMultilevel"/>
    <w:lvl w:ilvl="0">
      <w:lvlJc w:val="left"/>
      <w:lvlText w:val="(%1)"/>
      <w:numFmt w:val="lowerLetter"/>
      <w:start w:val="18"/>
    </w:lvl>
  </w:abstractNum>
  <w:abstractNum w:abstractNumId="118">
    <w:nsid w:val="57C7D42D"/>
    <w:multiLevelType w:val="hybridMultilevel"/>
    <w:lvl w:ilvl="0">
      <w:lvlJc w:val="left"/>
      <w:lvlText w:val="(%1)"/>
      <w:numFmt w:val="lowerLetter"/>
      <w:start w:val="24"/>
    </w:lvl>
  </w:abstractNum>
  <w:abstractNum w:abstractNumId="119">
    <w:nsid w:val="312167AD"/>
    <w:multiLevelType w:val="hybridMultilevel"/>
    <w:lvl w:ilvl="0">
      <w:lvlJc w:val="left"/>
      <w:lvlText w:val="%1"/>
      <w:numFmt w:val="decimal"/>
      <w:start w:val="1"/>
    </w:lvl>
    <w:lvl w:ilvl="1">
      <w:lvlJc w:val="left"/>
      <w:lvlText w:val="(%2)"/>
      <w:numFmt w:val="lowerLetter"/>
      <w:start w:val="27"/>
    </w:lvl>
  </w:abstractNum>
  <w:abstractNum w:abstractNumId="120">
    <w:nsid w:val="631B64D4"/>
    <w:multiLevelType w:val="hybridMultilevel"/>
    <w:lvl w:ilvl="0">
      <w:lvlJc w:val="left"/>
      <w:lvlText w:val="%1."/>
      <w:numFmt w:val="decimal"/>
      <w:start w:val="4"/>
    </w:lvl>
    <w:lvl w:ilvl="1">
      <w:lvlJc w:val="left"/>
      <w:lvlText w:val="(%2)"/>
      <w:numFmt w:val="lowerLetter"/>
      <w:start w:val="1"/>
    </w:lvl>
  </w:abstractNum>
  <w:abstractNum w:abstractNumId="121">
    <w:nsid w:val="78B5E776"/>
    <w:multiLevelType w:val="hybridMultilevel"/>
    <w:lvl w:ilvl="0">
      <w:lvlJc w:val="left"/>
      <w:lvlText w:val="(%1)"/>
      <w:numFmt w:val="lowerLetter"/>
      <w:start w:val="3"/>
    </w:lvl>
  </w:abstractNum>
  <w:abstractNum w:abstractNumId="122">
    <w:nsid w:val="75486E47"/>
    <w:multiLevelType w:val="hybridMultilevel"/>
    <w:lvl w:ilvl="0">
      <w:lvlJc w:val="left"/>
      <w:lvlText w:val="(%1)"/>
      <w:numFmt w:val="lowerLetter"/>
      <w:start w:val="6"/>
    </w:lvl>
    <w:lvl w:ilvl="1">
      <w:lvlJc w:val="left"/>
      <w:lvlText w:val="(%2)"/>
      <w:numFmt w:val="lowerRoman"/>
      <w:start w:val="1"/>
    </w:lvl>
  </w:abstractNum>
  <w:abstractNum w:abstractNumId="123">
    <w:nsid w:val="6E534CDE"/>
    <w:multiLevelType w:val="hybridMultilevel"/>
    <w:lvl w:ilvl="0">
      <w:lvlJc w:val="left"/>
      <w:lvlText w:val="%1"/>
      <w:numFmt w:val="decimal"/>
      <w:start w:val="1"/>
    </w:lvl>
    <w:lvl w:ilvl="1">
      <w:lvlJc w:val="left"/>
      <w:lvlText w:val="(%2)"/>
      <w:numFmt w:val="lowerLetter"/>
      <w:start w:val="9"/>
    </w:lvl>
  </w:abstractNum>
  <w:abstractNum w:abstractNumId="124">
    <w:nsid w:val="1A0DDE32"/>
    <w:multiLevelType w:val="hybridMultilevel"/>
    <w:lvl w:ilvl="0">
      <w:lvlJc w:val="left"/>
      <w:lvlText w:val="%1."/>
      <w:numFmt w:val="decimal"/>
      <w:start w:val="5"/>
    </w:lvl>
    <w:lvl w:ilvl="1">
      <w:lvlJc w:val="left"/>
      <w:lvlText w:val="(%2)"/>
      <w:numFmt w:val="lowerLetter"/>
      <w:start w:val="1"/>
    </w:lvl>
  </w:abstractNum>
  <w:abstractNum w:abstractNumId="125">
    <w:nsid w:val="65968C1C"/>
    <w:multiLevelType w:val="hybridMultilevel"/>
    <w:lvl w:ilvl="0">
      <w:lvlJc w:val="left"/>
      <w:lvlText w:val="%1"/>
      <w:numFmt w:val="decimal"/>
      <w:start w:val="1"/>
    </w:lvl>
    <w:lvl w:ilvl="1">
      <w:lvlJc w:val="left"/>
      <w:lvlText w:val="(%2)"/>
      <w:numFmt w:val="lowerLetter"/>
      <w:start w:val="2"/>
    </w:lvl>
  </w:abstractNum>
  <w:abstractNum w:abstractNumId="126">
    <w:nsid w:val="46263DEC"/>
    <w:multiLevelType w:val="hybridMultilevel"/>
    <w:lvl w:ilvl="0">
      <w:lvlJc w:val="left"/>
      <w:lvlText w:val="%1."/>
      <w:numFmt w:val="decimal"/>
      <w:start w:val="6"/>
    </w:lvl>
    <w:lvl w:ilvl="1">
      <w:lvlJc w:val="left"/>
      <w:lvlText w:val="%2"/>
      <w:numFmt w:val="lowerLetter"/>
      <w:start w:val="1"/>
    </w:lvl>
  </w:abstractNum>
  <w:abstractNum w:abstractNumId="127">
    <w:nsid w:val="260D8C4A"/>
    <w:multiLevelType w:val="hybridMultilevel"/>
    <w:lvl w:ilvl="0">
      <w:lvlJc w:val="left"/>
      <w:lvlText w:val="%1"/>
      <w:numFmt w:val="lowerLetter"/>
      <w:start w:val="1"/>
    </w:lvl>
    <w:lvl w:ilvl="1">
      <w:lvlJc w:val="left"/>
      <w:lvlText w:val="(%2)"/>
      <w:numFmt w:val="lowerLetter"/>
      <w:start w:val="1"/>
    </w:lvl>
  </w:abstractNum>
  <w:abstractNum w:abstractNumId="128">
    <w:nsid w:val="73D4D3C4"/>
    <w:multiLevelType w:val="hybridMultilevel"/>
    <w:lvl w:ilvl="0">
      <w:lvlJc w:val="left"/>
      <w:lvlText w:val="(%1)"/>
      <w:numFmt w:val="lowerLetter"/>
      <w:start w:val="35"/>
    </w:lvl>
    <w:lvl w:ilvl="1">
      <w:lvlJc w:val="left"/>
      <w:lvlText w:val="%2"/>
      <w:numFmt w:val="lowerLetter"/>
      <w:start w:val="1"/>
    </w:lvl>
  </w:abstractNum>
  <w:abstractNum w:abstractNumId="129">
    <w:nsid w:val="746F2E30"/>
    <w:multiLevelType w:val="hybridMultilevel"/>
    <w:lvl w:ilvl="0">
      <w:lvlJc w:val="left"/>
      <w:lvlText w:val="%1."/>
      <w:numFmt w:val="decimal"/>
      <w:start w:val="7"/>
    </w:lvl>
  </w:abstractNum>
  <w:abstractNum w:abstractNumId="130">
    <w:nsid w:val="6FDE8AF6"/>
    <w:multiLevelType w:val="hybridMultilevel"/>
    <w:lvl w:ilvl="0">
      <w:lvlJc w:val="left"/>
      <w:lvlText w:val="%1"/>
      <w:numFmt w:val="upperLetter"/>
      <w:start w:val="1"/>
    </w:lvl>
    <w:lvl w:ilvl="1">
      <w:lvlJc w:val="left"/>
      <w:lvlText w:val="(%2)"/>
      <w:numFmt w:val="lowerLetter"/>
      <w:start w:val="1"/>
    </w:lvl>
  </w:abstractNum>
  <w:abstractNum w:abstractNumId="131">
    <w:nsid w:val="3FC32E20"/>
    <w:multiLevelType w:val="hybridMultilevel"/>
    <w:lvl w:ilvl="0">
      <w:lvlJc w:val="left"/>
      <w:lvlText w:val="(%1)"/>
      <w:numFmt w:val="upperLetter"/>
      <w:start w:val="9"/>
    </w:lvl>
    <w:lvl w:ilvl="1">
      <w:lvlJc w:val="left"/>
      <w:lvlText w:val="(%2)"/>
      <w:numFmt w:val="lowerLetter"/>
      <w:start w:val="6"/>
    </w:lvl>
  </w:abstractNum>
  <w:abstractNum w:abstractNumId="132">
    <w:nsid w:val="49C0E823"/>
    <w:multiLevelType w:val="hybridMultilevel"/>
    <w:lvl w:ilvl="0">
      <w:lvlJc w:val="left"/>
      <w:lvlText w:val="%1"/>
      <w:numFmt w:val="lowerRoman"/>
      <w:start w:val="1"/>
    </w:lvl>
    <w:lvl w:ilvl="1">
      <w:lvlJc w:val="left"/>
      <w:lvlText w:val="(%2)"/>
      <w:numFmt w:val="lowerRoman"/>
      <w:start w:val="1"/>
    </w:lvl>
  </w:abstractNum>
  <w:abstractNum w:abstractNumId="133">
    <w:nsid w:val="14D53685"/>
    <w:multiLevelType w:val="hybridMultilevel"/>
    <w:lvl w:ilvl="0">
      <w:lvlJc w:val="left"/>
      <w:lvlText w:val="(%1)"/>
      <w:numFmt w:val="lowerRoman"/>
      <w:start w:val="2"/>
    </w:lvl>
    <w:lvl w:ilvl="1">
      <w:lvlJc w:val="left"/>
      <w:lvlText w:val="%2"/>
      <w:numFmt w:val="lowerRoman"/>
      <w:start w:val="1"/>
    </w:lvl>
  </w:abstractNum>
  <w:abstractNum w:abstractNumId="134">
    <w:nsid w:val="230F856C"/>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135">
    <w:nsid w:val="6EAA85FB"/>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36">
    <w:nsid w:val="3F06ECB2"/>
    <w:multiLevelType w:val="hybridMultilevel"/>
    <w:lvl w:ilvl="0">
      <w:lvlJc w:val="left"/>
      <w:lvlText w:val="(%1)"/>
      <w:numFmt w:val="lowerRoman"/>
      <w:start w:val="2"/>
    </w:lvl>
  </w:abstractNum>
  <w:abstractNum w:abstractNumId="137">
    <w:nsid w:val="3B594807"/>
    <w:multiLevelType w:val="hybridMultilevel"/>
    <w:lvl w:ilvl="0">
      <w:lvlJc w:val="left"/>
      <w:lvlText w:val="%1"/>
      <w:numFmt w:val="lowerLetter"/>
      <w:start w:val="1"/>
    </w:lvl>
    <w:lvl w:ilvl="1">
      <w:lvlJc w:val="left"/>
      <w:lvlText w:val="(%2)"/>
      <w:numFmt w:val="lowerLetter"/>
      <w:start w:val="22"/>
    </w:lvl>
  </w:abstractNum>
  <w:abstractNum w:abstractNumId="138">
    <w:nsid w:val="6CAA2304"/>
    <w:multiLevelType w:val="hybridMultilevel"/>
    <w:lvl w:ilvl="0">
      <w:lvlJc w:val="left"/>
      <w:lvlText w:val="(%1)"/>
      <w:numFmt w:val="lowerLetter"/>
      <w:start w:val="4"/>
    </w:lvl>
    <w:lvl w:ilvl="1">
      <w:lvlJc w:val="left"/>
      <w:lvlText w:val="%2"/>
      <w:numFmt w:val="lowerLetter"/>
      <w:start w:val="1"/>
    </w:lvl>
  </w:abstractNum>
  <w:abstractNum w:abstractNumId="139">
    <w:nsid w:val="3F7C2FF4"/>
    <w:multiLevelType w:val="hybridMultilevel"/>
    <w:lvl w:ilvl="0">
      <w:lvlJc w:val="left"/>
      <w:lvlText w:val="(%1)"/>
      <w:numFmt w:val="lowerLetter"/>
      <w:start w:val="10"/>
    </w:lvl>
    <w:lvl w:ilvl="1">
      <w:lvlJc w:val="left"/>
      <w:lvlText w:val="(%2)"/>
      <w:numFmt w:val="lowerRoman"/>
      <w:start w:val="1"/>
    </w:lvl>
  </w:abstractNum>
  <w:abstractNum w:abstractNumId="140">
    <w:nsid w:val="25413BEC"/>
    <w:multiLevelType w:val="hybridMultilevel"/>
    <w:lvl w:ilvl="0">
      <w:lvlJc w:val="left"/>
      <w:lvlText w:val="(%1)"/>
      <w:numFmt w:val="lowerRoman"/>
      <w:start w:val="3"/>
    </w:lvl>
  </w:abstractNum>
  <w:abstractNum w:abstractNumId="141">
    <w:nsid w:val="17180B0B"/>
    <w:multiLevelType w:val="hybridMultilevel"/>
    <w:lvl w:ilvl="0">
      <w:lvlJc w:val="left"/>
      <w:lvlText w:val="%1"/>
      <w:numFmt w:val="lowerLetter"/>
      <w:start w:val="1"/>
    </w:lvl>
    <w:lvl w:ilvl="1">
      <w:lvlJc w:val="left"/>
      <w:lvlText w:val="(%2)"/>
      <w:numFmt w:val="lowerRoman"/>
      <w:start w:val="4"/>
    </w:lvl>
  </w:abstractNum>
  <w:abstractNum w:abstractNumId="142">
    <w:nsid w:val="579328B9"/>
    <w:multiLevelType w:val="hybridMultilevel"/>
    <w:lvl w:ilvl="0">
      <w:lvlJc w:val="left"/>
      <w:lvlText w:val="(%1)"/>
      <w:numFmt w:val="lowerLetter"/>
      <w:start w:val="12"/>
    </w:lvl>
    <w:lvl w:ilvl="1">
      <w:lvlJc w:val="left"/>
      <w:lvlText w:val="%2"/>
      <w:numFmt w:val="lowerRoman"/>
      <w:start w:val="1"/>
    </w:lvl>
  </w:abstractNum>
  <w:abstractNum w:abstractNumId="143">
    <w:nsid w:val="5D205E20"/>
    <w:multiLevelType w:val="hybridMultilevel"/>
    <w:lvl w:ilvl="0">
      <w:lvlJc w:val="left"/>
      <w:lvlText w:val="%1."/>
      <w:numFmt w:val="decimal"/>
      <w:start w:val="1"/>
    </w:lvl>
    <w:lvl w:ilvl="1">
      <w:lvlJc w:val="left"/>
      <w:lvlText w:val="(%2)"/>
      <w:numFmt w:val="lowerLetter"/>
      <w:start w:val="1"/>
    </w:lvl>
  </w:abstractNum>
  <w:abstractNum w:abstractNumId="144">
    <w:nsid w:val="11CCA8BA"/>
    <w:multiLevelType w:val="hybridMultilevel"/>
    <w:lvl w:ilvl="0">
      <w:lvlJc w:val="left"/>
      <w:lvlText w:val="(%1)"/>
      <w:numFmt w:val="lowerLetter"/>
      <w:start w:val="6"/>
    </w:lvl>
  </w:abstractNum>
  <w:abstractNum w:abstractNumId="145">
    <w:nsid w:val="4D32AB86"/>
    <w:multiLevelType w:val="hybridMultilevel"/>
    <w:lvl w:ilvl="0">
      <w:lvlJc w:val="left"/>
      <w:lvlText w:val="%1."/>
      <w:numFmt w:val="decimal"/>
      <w:start w:val="2"/>
    </w:lvl>
    <w:lvl w:ilvl="1">
      <w:lvlJc w:val="left"/>
      <w:lvlText w:val="(%2)"/>
      <w:numFmt w:val="lowerLetter"/>
      <w:start w:val="1"/>
    </w:lvl>
  </w:abstractNum>
  <w:abstractNum w:abstractNumId="146">
    <w:nsid w:val="3F07ACC3"/>
    <w:multiLevelType w:val="hybridMultilevel"/>
    <w:lvl w:ilvl="0">
      <w:lvlJc w:val="left"/>
      <w:lvlText w:val="(%1)"/>
      <w:numFmt w:val="lowerLetter"/>
      <w:start w:val="1"/>
    </w:lvl>
  </w:abstractNum>
  <w:abstractNum w:abstractNumId="147">
    <w:nsid w:val="6B47F63E"/>
    <w:multiLevelType w:val="hybridMultilevel"/>
    <w:lvl w:ilvl="0">
      <w:lvlJc w:val="left"/>
      <w:lvlText w:val="(%1)"/>
      <w:numFmt w:val="lowerLetter"/>
      <w:start w:val="4"/>
    </w:lvl>
  </w:abstractNum>
  <w:abstractNum w:abstractNumId="148">
    <w:nsid w:val="5CB44A05"/>
    <w:multiLevelType w:val="hybridMultilevel"/>
    <w:lvl w:ilvl="0">
      <w:lvlJc w:val="left"/>
      <w:lvlText w:val="(%1)"/>
      <w:numFmt w:val="lowerLetter"/>
      <w:start w:val="13"/>
    </w:lvl>
  </w:abstractNum>
  <w:abstractNum w:abstractNumId="149">
    <w:nsid w:val="16CF80F1"/>
    <w:multiLevelType w:val="hybridMultilevel"/>
    <w:lvl w:ilvl="0">
      <w:lvlJc w:val="left"/>
      <w:lvlText w:val="%1."/>
      <w:numFmt w:val="decimal"/>
      <w:start w:val="3"/>
    </w:lvl>
    <w:lvl w:ilvl="1">
      <w:lvlJc w:val="left"/>
      <w:lvlText w:val="(%2)"/>
      <w:numFmt w:val="lowerLetter"/>
      <w:start w:val="1"/>
    </w:lvl>
  </w:abstractNum>
  <w:abstractNum w:abstractNumId="150">
    <w:nsid w:val="1C695DEC"/>
    <w:multiLevelType w:val="hybridMultilevel"/>
    <w:lvl w:ilvl="0">
      <w:lvlJc w:val="left"/>
      <w:lvlText w:val="(%1)"/>
      <w:numFmt w:val="lowerLetter"/>
      <w:start w:val="1"/>
    </w:lvl>
  </w:abstractNum>
  <w:abstractNum w:abstractNumId="151">
    <w:nsid w:val="3FCFAED9"/>
    <w:multiLevelType w:val="hybridMultilevel"/>
    <w:lvl w:ilvl="0">
      <w:lvlJc w:val="left"/>
      <w:lvlText w:val="(%1)"/>
      <w:numFmt w:val="lowerLetter"/>
      <w:start w:val="2"/>
    </w:lvl>
  </w:abstractNum>
  <w:abstractNum w:abstractNumId="152">
    <w:nsid w:val="F856867"/>
    <w:multiLevelType w:val="hybridMultilevel"/>
    <w:lvl w:ilvl="0">
      <w:lvlJc w:val="left"/>
      <w:lvlText w:val="(%1)"/>
      <w:numFmt w:val="lowerLetter"/>
      <w:start w:val="1"/>
    </w:lvl>
  </w:abstractNum>
  <w:abstractNum w:abstractNumId="153">
    <w:nsid w:val="11B1CC33"/>
    <w:multiLevelType w:val="hybridMultilevel"/>
    <w:lvl w:ilvl="0">
      <w:lvlJc w:val="left"/>
      <w:lvlText w:val="(%1)"/>
      <w:numFmt w:val="lowerLetter"/>
      <w:start w:val="2"/>
    </w:lvl>
  </w:abstractNum>
  <w:abstractNum w:abstractNumId="154">
    <w:nsid w:val="2E22FBB7"/>
    <w:multiLevelType w:val="hybridMultilevel"/>
    <w:lvl w:ilvl="0">
      <w:lvlJc w:val="left"/>
      <w:lvlText w:val="(%1)"/>
      <w:numFmt w:val="lowerLetter"/>
      <w:start w:val="1"/>
    </w:lvl>
  </w:abstractNum>
  <w:abstractNum w:abstractNumId="155">
    <w:nsid w:val="29934699"/>
    <w:multiLevelType w:val="hybridMultilevel"/>
    <w:lvl w:ilvl="0">
      <w:lvlJc w:val="left"/>
      <w:lvlText w:val="%1"/>
      <w:numFmt w:val="lowerLetter"/>
      <w:start w:val="1"/>
    </w:lvl>
    <w:lvl w:ilvl="1">
      <w:lvlJc w:val="left"/>
      <w:lvlText w:val="(%2)"/>
      <w:numFmt w:val="lowerLetter"/>
      <w:start w:val="3"/>
    </w:lvl>
  </w:abstractNum>
  <w:abstractNum w:abstractNumId="156">
    <w:nsid w:val="77485850"/>
    <w:multiLevelType w:val="hybridMultilevel"/>
    <w:lvl w:ilvl="0">
      <w:lvlJc w:val="left"/>
      <w:lvlText w:val="(%1)"/>
      <w:numFmt w:val="lowerLetter"/>
      <w:start w:val="9"/>
    </w:lvl>
    <w:lvl w:ilvl="1">
      <w:lvlJc w:val="left"/>
      <w:lvlText w:val="(%2)"/>
      <w:numFmt w:val="lowerLetter"/>
      <w:start w:val="6"/>
    </w:lvl>
  </w:abstractNum>
  <w:abstractNum w:abstractNumId="157">
    <w:nsid w:val="744939A3"/>
    <w:multiLevelType w:val="hybridMultilevel"/>
    <w:lvl w:ilvl="0">
      <w:lvlJc w:val="left"/>
      <w:lvlText w:val="%1"/>
      <w:numFmt w:val="decimal"/>
      <w:start w:val="1"/>
    </w:lvl>
    <w:lvl w:ilvl="1">
      <w:lvlJc w:val="left"/>
      <w:lvlText w:val="(%2)"/>
      <w:numFmt w:val="lowerLetter"/>
      <w:start w:val="7"/>
    </w:lvl>
  </w:abstractNum>
  <w:abstractNum w:abstractNumId="158">
    <w:nsid w:val="4FA0D2E3"/>
    <w:multiLevelType w:val="hybridMultilevel"/>
    <w:lvl w:ilvl="0">
      <w:lvlJc w:val="left"/>
      <w:lvlText w:val="%1."/>
      <w:numFmt w:val="decimal"/>
      <w:start w:val="4"/>
    </w:lvl>
    <w:lvl w:ilvl="1">
      <w:lvlJc w:val="left"/>
      <w:lvlText w:val="(%2)"/>
      <w:numFmt w:val="lowerLetter"/>
      <w:start w:val="1"/>
    </w:lvl>
  </w:abstractNum>
  <w:abstractNum w:abstractNumId="159">
    <w:nsid w:val="6B1D2C14"/>
    <w:multiLevelType w:val="hybridMultilevel"/>
    <w:lvl w:ilvl="0">
      <w:lvlJc w:val="left"/>
      <w:lvlText w:val="(%1)"/>
      <w:numFmt w:val="lowerLetter"/>
      <w:start w:val="3"/>
    </w:lvl>
    <w:lvl w:ilvl="1">
      <w:lvlJc w:val="left"/>
      <w:lvlText w:val="(%2)"/>
      <w:numFmt w:val="lowerLetter"/>
      <w:start w:val="4"/>
    </w:lvl>
  </w:abstractNum>
  <w:abstractNum w:abstractNumId="160">
    <w:nsid w:val="68B867D3"/>
    <w:multiLevelType w:val="hybridMultilevel"/>
    <w:lvl w:ilvl="0">
      <w:lvlJc w:val="left"/>
      <w:lvlText w:val="%1."/>
      <w:numFmt w:val="decimal"/>
      <w:start w:val="5"/>
    </w:lvl>
  </w:abstractNum>
  <w:abstractNum w:abstractNumId="161">
    <w:nsid w:val="3F7F5DD9"/>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1"/>
    </w:lvl>
  </w:abstractNum>
  <w:abstractNum w:abstractNumId="162">
    <w:nsid w:val="2AE05A34"/>
    <w:multiLevelType w:val="hybridMultilevel"/>
    <w:lvl w:ilvl="0">
      <w:lvlJc w:val="left"/>
      <w:lvlText w:val="(%1)"/>
      <w:numFmt w:val="lowerLetter"/>
      <w:start w:val="1"/>
    </w:lvl>
  </w:abstractNum>
  <w:abstractNum w:abstractNumId="163">
    <w:nsid w:val="32794FF7"/>
    <w:multiLevelType w:val="hybridMultilevel"/>
    <w:lvl w:ilvl="0">
      <w:lvlJc w:val="left"/>
      <w:lvlText w:val="%1"/>
      <w:numFmt w:val="decimal"/>
      <w:start w:val="1"/>
    </w:lvl>
    <w:lvl w:ilvl="1">
      <w:lvlJc w:val="left"/>
      <w:lvlText w:val="(%2)"/>
      <w:numFmt w:val="lowerLetter"/>
      <w:start w:val="4"/>
    </w:lvl>
  </w:abstractNum>
  <w:abstractNum w:abstractNumId="164">
    <w:nsid w:val="5454945E"/>
    <w:multiLevelType w:val="hybridMultilevel"/>
    <w:lvl w:ilvl="0">
      <w:lvlJc w:val="left"/>
      <w:lvlText w:val="%1."/>
      <w:numFmt w:val="decimal"/>
      <w:start w:val="9"/>
    </w:lvl>
    <w:lvl w:ilvl="1">
      <w:lvlJc w:val="left"/>
      <w:lvlText w:val="%2"/>
      <w:numFmt w:val="lowerLetter"/>
      <w:start w:val="1"/>
    </w:lvl>
  </w:abstractNum>
  <w:abstractNum w:abstractNumId="165">
    <w:nsid w:val="4DEFDFA0"/>
    <w:multiLevelType w:val="hybridMultilevel"/>
    <w:lvl w:ilvl="0">
      <w:lvlJc w:val="left"/>
      <w:lvlText w:val="%1."/>
      <w:numFmt w:val="decimal"/>
      <w:start w:val="10"/>
    </w:lvl>
    <w:lvl w:ilvl="1">
      <w:lvlJc w:val="left"/>
      <w:lvlText w:val="(%2)"/>
      <w:numFmt w:val="lowerLetter"/>
      <w:start w:val="1"/>
    </w:lvl>
  </w:abstractNum>
  <w:abstractNum w:abstractNumId="166">
    <w:nsid w:val="2123D5F2"/>
    <w:multiLevelType w:val="hybridMultilevel"/>
    <w:lvl w:ilvl="0">
      <w:lvlJc w:val="left"/>
      <w:lvlText w:val="%1"/>
      <w:numFmt w:val="lowerLetter"/>
      <w:start w:val="1"/>
    </w:lvl>
    <w:lvl w:ilvl="1">
      <w:lvlJc w:val="left"/>
      <w:lvlText w:val="(%2)"/>
      <w:numFmt w:val="lowerLetter"/>
      <w:start w:val="1"/>
    </w:lvl>
  </w:abstractNum>
  <w:abstractNum w:abstractNumId="167">
    <w:nsid w:val="135B8110"/>
    <w:multiLevelType w:val="hybridMultilevel"/>
    <w:lvl w:ilvl="0">
      <w:lvlJc w:val="left"/>
      <w:lvlText w:val="(%1)"/>
      <w:numFmt w:val="lowerLetter"/>
      <w:start w:val="3"/>
    </w:lvl>
    <w:lvl w:ilvl="1">
      <w:lvlJc w:val="left"/>
      <w:lvlText w:val="%2"/>
      <w:numFmt w:val="lowerLetter"/>
      <w:start w:val="1"/>
    </w:lvl>
  </w:abstractNum>
  <w:abstractNum w:abstractNumId="168">
    <w:nsid w:val="94927A8"/>
    <w:multiLevelType w:val="hybridMultilevel"/>
    <w:lvl w:ilvl="0">
      <w:lvlJc w:val="left"/>
      <w:lvlText w:val="%1."/>
      <w:numFmt w:val="decimal"/>
      <w:start w:val="14"/>
    </w:lvl>
    <w:lvl w:ilvl="1">
      <w:lvlJc w:val="left"/>
      <w:lvlText w:val="(%2)"/>
      <w:numFmt w:val="lowerLetter"/>
      <w:start w:val="1"/>
    </w:lvl>
  </w:abstractNum>
  <w:abstractNum w:abstractNumId="169">
    <w:nsid w:val="DCDF8F6"/>
    <w:multiLevelType w:val="hybridMultilevel"/>
    <w:lvl w:ilvl="0">
      <w:lvlJc w:val="left"/>
      <w:lvlText w:val="(%1)"/>
      <w:numFmt w:val="lowerLetter"/>
      <w:start w:val="2"/>
    </w:lvl>
    <w:lvl w:ilvl="1">
      <w:lvlJc w:val="left"/>
      <w:lvlText w:val="%2"/>
      <w:numFmt w:val="lowerLetter"/>
      <w:start w:val="1"/>
    </w:lvl>
  </w:abstractNum>
  <w:abstractNum w:abstractNumId="170">
    <w:nsid w:val="52D7B105"/>
    <w:multiLevelType w:val="hybridMultilevel"/>
    <w:lvl w:ilvl="0">
      <w:lvlJc w:val="left"/>
      <w:lvlText w:val="(%1)"/>
      <w:numFmt w:val="lowerLetter"/>
      <w:start w:val="6"/>
    </w:lvl>
    <w:lvl w:ilvl="1">
      <w:lvlJc w:val="left"/>
      <w:lvlText w:val="(%2)"/>
      <w:numFmt w:val="lowerLetter"/>
      <w:start w:val="9"/>
    </w:lvl>
  </w:abstractNum>
  <w:abstractNum w:abstractNumId="171">
    <w:nsid w:val="2E8A6394"/>
    <w:multiLevelType w:val="hybridMultilevel"/>
    <w:lvl w:ilvl="0">
      <w:lvlJc w:val="left"/>
      <w:lvlText w:val="(%1)"/>
      <w:numFmt w:val="lowerLetter"/>
      <w:start w:val="17"/>
    </w:lvl>
  </w:abstractNum>
  <w:abstractNum w:abstractNumId="172">
    <w:nsid w:val="24E60401"/>
    <w:multiLevelType w:val="hybridMultilevel"/>
    <w:lvl w:ilvl="0">
      <w:lvlJc w:val="left"/>
      <w:lvlText w:val="(%1)"/>
      <w:numFmt w:val="low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8" Type="http://schemas.openxmlformats.org/officeDocument/2006/relationships/hyperlink" Target="https://www.sec.gov/Archives/edgar/data/1833141/000106299325000510/form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2025-07-01T09:53:38Z</dcterms:created>
  <dcterms:modified xsi:type="dcterms:W3CDTF">2025-07-01T09:53:38Z</dcterms:modified>
</cp:coreProperties>
</file>