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Exhibit 99.1 of this Form 6-K of Cybin Inc. (the “Company”) are hereby incorporated by reference into the Registration Statement on Form F-10 (File No.</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43"/>
        </w:trPr>
        <w:tc>
          <w:tcPr>
            <w:tcW w:w="56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6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1, 2023</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9"/>
        </w:trPr>
        <w:tc>
          <w:tcPr>
            <w:tcW w:w="5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Material Change Report Dated May 31, 2023</w:t>
      </w:r>
    </w:p>
    <w:p>
      <w:pPr>
        <w:sectPr>
          <w:pgSz w:w="11900" w:h="16838" w:orient="portrait"/>
          <w:cols w:equalWidth="0" w:num="1">
            <w:col w:w="10119"/>
          </w:cols>
          <w:pgMar w:left="340" w:top="1404" w:right="1440" w:bottom="1440" w:gutter="0" w:footer="0" w:header="0"/>
        </w:sectPr>
      </w:pPr>
    </w:p>
    <w:bookmarkStart w:id="3" w:name="page4"/>
    <w:bookmarkEnd w:id="3"/>
    <w:p>
      <w:pPr>
        <w:jc w:val="center"/>
        <w:ind w:left="720"/>
        <w:spacing w:after="0"/>
        <w:rPr>
          <w:sz w:val="20"/>
          <w:szCs w:val="20"/>
          <w:color w:val="auto"/>
        </w:rPr>
      </w:pPr>
      <w:r>
        <w:rPr>
          <w:rFonts w:ascii="Arial" w:cs="Arial" w:eastAsia="Arial" w:hAnsi="Arial"/>
          <w:sz w:val="20"/>
          <w:szCs w:val="20"/>
          <w:b w:val="1"/>
          <w:bCs w:val="1"/>
          <w:color w:val="auto"/>
        </w:rPr>
        <w:t>FORM 51-102F3</w:t>
      </w:r>
    </w:p>
    <w:p>
      <w:pPr>
        <w:jc w:val="center"/>
        <w:ind w:left="720"/>
        <w:spacing w:after="0"/>
        <w:rPr>
          <w:sz w:val="20"/>
          <w:szCs w:val="20"/>
          <w:color w:val="auto"/>
        </w:rPr>
      </w:pPr>
      <w:r>
        <w:rPr>
          <w:rFonts w:ascii="Arial" w:cs="Arial" w:eastAsia="Arial" w:hAnsi="Arial"/>
          <w:sz w:val="20"/>
          <w:szCs w:val="20"/>
          <w:b w:val="1"/>
          <w:bCs w:val="1"/>
          <w:color w:val="auto"/>
        </w:rPr>
        <w:t>MATERIAL CHANGE REPORT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Name and Address of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Cybin Inc.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7" w:lineRule="auto"/>
        <w:rPr>
          <w:sz w:val="20"/>
          <w:szCs w:val="20"/>
          <w:color w:val="auto"/>
        </w:rPr>
      </w:pPr>
      <w:r>
        <w:rPr>
          <w:rFonts w:ascii="Arial" w:cs="Arial" w:eastAsia="Arial" w:hAnsi="Arial"/>
          <w:sz w:val="20"/>
          <w:szCs w:val="20"/>
          <w:color w:val="auto"/>
        </w:rPr>
        <w:t>100 King Street West, Suite 5600</w:t>
      </w:r>
    </w:p>
    <w:p>
      <w:pPr>
        <w:spacing w:after="0" w:line="211"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Date of Material Change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May 30,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News Release</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 news release with respect to the material change was disseminated by the Company on May 30, 2023 through BusinessWire (the “</w:t>
      </w:r>
      <w:r>
        <w:rPr>
          <w:rFonts w:ascii="Arial" w:cs="Arial" w:eastAsia="Arial" w:hAnsi="Arial"/>
          <w:sz w:val="20"/>
          <w:szCs w:val="20"/>
          <w:b w:val="1"/>
          <w:bCs w:val="1"/>
          <w:color w:val="auto"/>
        </w:rPr>
        <w:t>News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Release </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Summary of Material Change</w:t>
      </w:r>
    </w:p>
    <w:p>
      <w:pPr>
        <w:spacing w:after="0" w:line="8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On May 30, 2023, the Company announced that it had entered into a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with Lincoln Park Capital Fund, LLC (“</w:t>
      </w:r>
      <w:r>
        <w:rPr>
          <w:rFonts w:ascii="Arial" w:cs="Arial" w:eastAsia="Arial" w:hAnsi="Arial"/>
          <w:sz w:val="18"/>
          <w:szCs w:val="18"/>
          <w:b w:val="1"/>
          <w:bCs w:val="1"/>
          <w:color w:val="auto"/>
        </w:rPr>
        <w:t>LPC</w:t>
      </w:r>
      <w:r>
        <w:rPr>
          <w:rFonts w:ascii="Arial" w:cs="Arial" w:eastAsia="Arial" w:hAnsi="Arial"/>
          <w:sz w:val="18"/>
          <w:szCs w:val="18"/>
          <w:color w:val="auto"/>
        </w:rPr>
        <w:t>”), an institutional investor. The Purchase Agreement allows the Company to issue and sell up to US$30,000,000</w:t>
      </w:r>
    </w:p>
    <w:p>
      <w:pPr>
        <w:spacing w:after="0" w:line="236" w:lineRule="auto"/>
        <w:rPr>
          <w:sz w:val="20"/>
          <w:szCs w:val="20"/>
          <w:color w:val="auto"/>
        </w:rPr>
      </w:pPr>
      <w:r>
        <w:rPr>
          <w:rFonts w:ascii="Arial" w:cs="Arial" w:eastAsia="Arial" w:hAnsi="Arial"/>
          <w:sz w:val="18"/>
          <w:szCs w:val="18"/>
          <w:color w:val="auto"/>
        </w:rPr>
        <w:t>of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over a 36-month period at prices that are based on the market price at the</w:t>
      </w:r>
    </w:p>
    <w:p>
      <w:pPr>
        <w:ind w:right="100"/>
        <w:spacing w:after="0" w:line="220" w:lineRule="auto"/>
        <w:rPr>
          <w:sz w:val="20"/>
          <w:szCs w:val="20"/>
          <w:color w:val="auto"/>
        </w:rPr>
      </w:pPr>
      <w:r>
        <w:rPr>
          <w:rFonts w:ascii="Arial" w:cs="Arial" w:eastAsia="Arial" w:hAnsi="Arial"/>
          <w:sz w:val="20"/>
          <w:szCs w:val="20"/>
          <w:color w:val="auto"/>
        </w:rPr>
        <w:t>time of each sale to LPC (the “</w:t>
      </w:r>
      <w:r>
        <w:rPr>
          <w:rFonts w:ascii="Arial" w:cs="Arial" w:eastAsia="Arial" w:hAnsi="Arial"/>
          <w:sz w:val="20"/>
          <w:szCs w:val="20"/>
          <w:b w:val="1"/>
          <w:bCs w:val="1"/>
          <w:color w:val="auto"/>
        </w:rPr>
        <w:t>Offering</w:t>
      </w:r>
      <w:r>
        <w:rPr>
          <w:rFonts w:ascii="Arial" w:cs="Arial" w:eastAsia="Arial" w:hAnsi="Arial"/>
          <w:sz w:val="20"/>
          <w:szCs w:val="20"/>
          <w:color w:val="auto"/>
        </w:rPr>
        <w:t>”). As consideration for LPC’s obligation to purchase Shares from the Company at the Company’s discretion under the Purchase Agreement, the Company issued 2,538,844 Shares to LPC as a commitment fee.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Offering is made pursuant to and qualified by way of a prospectus supplement dated May 30, 2023 (the “</w:t>
      </w:r>
      <w:r>
        <w:rPr>
          <w:rFonts w:ascii="Arial" w:cs="Arial" w:eastAsia="Arial" w:hAnsi="Arial"/>
          <w:sz w:val="19"/>
          <w:szCs w:val="19"/>
          <w:b w:val="1"/>
          <w:bCs w:val="1"/>
          <w:color w:val="auto"/>
        </w:rPr>
        <w:t>Supplement</w:t>
      </w:r>
      <w:r>
        <w:rPr>
          <w:rFonts w:ascii="Arial" w:cs="Arial" w:eastAsia="Arial" w:hAnsi="Arial"/>
          <w:sz w:val="19"/>
          <w:szCs w:val="19"/>
          <w:color w:val="auto"/>
        </w:rPr>
        <w:t>”) to the</w:t>
      </w:r>
    </w:p>
    <w:p>
      <w:pPr>
        <w:spacing w:after="0" w:line="6"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Company’s short form base shelf prospectus dated July 5, 2021 (“</w:t>
      </w:r>
      <w:r>
        <w:rPr>
          <w:rFonts w:ascii="Arial" w:cs="Arial" w:eastAsia="Arial" w:hAnsi="Arial"/>
          <w:sz w:val="16"/>
          <w:szCs w:val="16"/>
          <w:b w:val="1"/>
          <w:bCs w:val="1"/>
          <w:color w:val="auto"/>
        </w:rPr>
        <w:t>Base Prospectus</w:t>
      </w:r>
      <w:r>
        <w:rPr>
          <w:rFonts w:ascii="Arial" w:cs="Arial" w:eastAsia="Arial" w:hAnsi="Arial"/>
          <w:sz w:val="16"/>
          <w:szCs w:val="16"/>
          <w:color w:val="auto"/>
        </w:rPr>
        <w:t>”). The Supplement was filed with the Ontario Securities Commission and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part of a registration statement on Form F-</w:t>
      </w:r>
    </w:p>
    <w:p>
      <w:pPr>
        <w:spacing w:after="0" w:line="235" w:lineRule="auto"/>
        <w:rPr>
          <w:sz w:val="20"/>
          <w:szCs w:val="20"/>
          <w:color w:val="auto"/>
        </w:rPr>
      </w:pPr>
      <w:r>
        <w:rPr>
          <w:rFonts w:ascii="Arial" w:cs="Arial" w:eastAsia="Arial" w:hAnsi="Arial"/>
          <w:sz w:val="18"/>
          <w:szCs w:val="18"/>
          <w:color w:val="auto"/>
        </w:rPr>
        <w:t>10, which was declared effective by the SEC on October 8, 2021, in accordance with the Multijurisdictional Disclosure System established</w:t>
      </w:r>
    </w:p>
    <w:p>
      <w:pPr>
        <w:ind w:right="100"/>
        <w:spacing w:after="0" w:line="220" w:lineRule="auto"/>
        <w:rPr>
          <w:sz w:val="20"/>
          <w:szCs w:val="20"/>
          <w:color w:val="auto"/>
        </w:rPr>
      </w:pPr>
      <w:r>
        <w:rPr>
          <w:rFonts w:ascii="Arial" w:cs="Arial" w:eastAsia="Arial" w:hAnsi="Arial"/>
          <w:sz w:val="20"/>
          <w:szCs w:val="20"/>
          <w:color w:val="auto"/>
        </w:rPr>
        <w:t>between Canada and the United States. No offers or sales of any Shares will be made in Canada or on the NEO Exchange Inc. pursuant to the Purchase Agreement or the Supplement and accompanying Base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provides that the Company may not issue or sell any Shares to LPC under the Purchase Agreement which, when</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aggregated with all other Shares then beneficially owned by LPC and its affiliates (as calculated pursuant to Section 13(d) of the U.S. Securities Exchange Act of 1934, as amended, and Rule 13d-3 thereunder), would result in LPC beneficially owning more than 9.99%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outstanding Shares.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Full Description of Material Change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See the full text of the News Release attached hereto as Schedule “A”.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Reliance on subsection 7.1(2) of National Instrument 51-102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Omitted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Executive Officer</w:t>
      </w:r>
    </w:p>
    <w:p>
      <w:pPr>
        <w:sectPr>
          <w:pgSz w:w="11900" w:h="16838" w:orient="portrait"/>
          <w:cols w:equalWidth="0" w:num="1">
            <w:col w:w="11240"/>
          </w:cols>
          <w:pgMar w:left="320" w:top="1394" w:right="339" w:bottom="1440" w:gutter="0" w:footer="0" w:header="0"/>
        </w:sectPr>
      </w:pPr>
    </w:p>
    <w:bookmarkStart w:id="4" w:name="page5"/>
    <w:bookmarkEnd w:id="4"/>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Further information regarding the matters described in this report may be obtained from Gabriel Fahel, Chief Legal Officer of the Company, who is knowledgeable about the details of the material change and may be contacted at 1-866-292-4601.</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Date of Report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May 31, 2023.</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276860</wp:posOffset>
            </wp:positionV>
            <wp:extent cx="2117090" cy="1226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Announces US$30M Common Stock Purchase Agreement</w:t>
      </w:r>
    </w:p>
    <w:p>
      <w:pPr>
        <w:jc w:val="center"/>
        <w:ind w:right="-19"/>
        <w:spacing w:after="0"/>
        <w:rPr>
          <w:sz w:val="20"/>
          <w:szCs w:val="20"/>
          <w:color w:val="auto"/>
        </w:rPr>
      </w:pPr>
      <w:r>
        <w:rPr>
          <w:rFonts w:ascii="Arial" w:cs="Arial" w:eastAsia="Arial" w:hAnsi="Arial"/>
          <w:sz w:val="25"/>
          <w:szCs w:val="25"/>
          <w:b w:val="1"/>
          <w:bCs w:val="1"/>
          <w:color w:val="auto"/>
        </w:rPr>
        <w:t>from Lincoln Park Capital Fund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Share purchase agreement further strengthens Company’s position to deliver on value-driving clinical milestones -</w:t>
      </w:r>
    </w:p>
    <w:p>
      <w:pPr>
        <w:spacing w:after="0" w:line="234" w:lineRule="exact"/>
        <w:rPr>
          <w:sz w:val="20"/>
          <w:szCs w:val="20"/>
          <w:color w:val="auto"/>
        </w:rPr>
      </w:pPr>
    </w:p>
    <w:p>
      <w:pPr>
        <w:jc w:val="both"/>
        <w:ind w:right="60"/>
        <w:spacing w:after="0" w:line="264"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30, 2023 – Cybin Inc. (</w:t>
      </w:r>
      <w:r>
        <w:rPr>
          <w:rFonts w:ascii="Arial" w:cs="Arial" w:eastAsia="Arial" w:hAnsi="Arial"/>
          <w:sz w:val="20"/>
          <w:szCs w:val="20"/>
          <w:u w:val="single" w:color="auto"/>
          <w:color w:val="auto"/>
        </w:rPr>
        <w:t>NEO:CYBN</w:t>
      </w:r>
      <w:r>
        <w:rPr>
          <w:rFonts w:ascii="Arial" w:cs="Arial" w:eastAsia="Arial" w:hAnsi="Arial"/>
          <w:sz w:val="20"/>
          <w:szCs w:val="20"/>
          <w:color w:val="auto"/>
        </w:rPr>
        <w:t>) (NYSE American: CYBN) (“Cybin” or the “Company”),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is pleased to announce that it has entered into a common share purchase agreement (the “Agreement”) with Lincoln Park Capital Fund, LLC (“LPC”), an institutional investor.</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Subject to the terms and conditions of the Agreement, Cybin has the right to sell, and LPC is obligated to purchase, up to US$30 million (CAD$41 million) of the Company’s common shares over a 36-month period at prices that are based on the market price at the time of each sale to LPC. Cybin, in its sole discretion, controls the timing and amount of all sales of common shares under the Agreement, and there are no warrants, derivatives, or other share classes associated with this Agreement.</w:t>
      </w:r>
    </w:p>
    <w:p>
      <w:pPr>
        <w:spacing w:after="0" w:line="189" w:lineRule="exact"/>
        <w:rPr>
          <w:sz w:val="20"/>
          <w:szCs w:val="20"/>
          <w:color w:val="auto"/>
        </w:rPr>
      </w:pPr>
    </w:p>
    <w:p>
      <w:pPr>
        <w:jc w:val="both"/>
        <w:ind w:right="60"/>
        <w:spacing w:after="0" w:line="260" w:lineRule="auto"/>
        <w:rPr>
          <w:sz w:val="20"/>
          <w:szCs w:val="20"/>
          <w:color w:val="auto"/>
        </w:rPr>
      </w:pPr>
      <w:r>
        <w:rPr>
          <w:rFonts w:ascii="Arial" w:cs="Arial" w:eastAsia="Arial" w:hAnsi="Arial"/>
          <w:sz w:val="20"/>
          <w:szCs w:val="20"/>
          <w:color w:val="auto"/>
        </w:rPr>
        <w:t>“This committed equity facility by LPC provides us with access to capital on an as-needed basis and is expected to allow Cybin to best utilize market conditions to raise capital in support of our drug development programs,” said Doug Drysdale, Chief Executive Officer of Cybin. “The ability to further strengthen our cash position through sales of common shares to LPC under this facility provides additional runway for our success moving forward.”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Cybin has the right to terminate the Agreement at any time at no cost or penalty. LPC has agreed not to engage in any short selling or hedging activity of any kind in the Company’s common shares. As consideration for LPC’s obligation to purchase common shares from Cybin at our direction under this Agreement, Cybin has issued 2,538,844 common shares to LPC as a commitment fee.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sale of common shares under the Agreement will be made pursuant to and qualified by way of a prospectus supplement, dated May 30, 2023 (the “Supplement”), to the Company’s short form base shelf prospectus dated July 5, 2021 (the “Base Prospectus”) filed with the securities</w:t>
      </w:r>
    </w:p>
    <w:p>
      <w:pPr>
        <w:sectPr>
          <w:pgSz w:w="11900" w:h="16838" w:orient="portrait"/>
          <w:cols w:equalWidth="0" w:num="1">
            <w:col w:w="11240"/>
          </w:cols>
          <w:pgMar w:left="320" w:top="1395" w:right="339" w:bottom="1440" w:gutter="0" w:footer="0" w:header="0"/>
        </w:sectPr>
      </w:pPr>
    </w:p>
    <w:bookmarkStart w:id="6" w:name="page7"/>
    <w:bookmarkEnd w:id="6"/>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commissions in each of the provinces and territories of Canada. The Supplement was also filed with the United States Securities and Exchange Commission (the “SEC”), as part of a registration statement on Form F-10, which was declared effective by the SEC on October 8, 2021, in accordance with the Multijurisdictional Disclosure System established between Canada and the United States. No offers or sales of any common shares will be made in Canada or on the NEO Exchange pursuant to the Agreement or the Supplement and accompanying Base Prospectus.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Supplement and accompanying Base Prospectus contain important detailed information about the Agreement. The Agreement, the Supplement and accompanying Base Prospectus can be found under the Company’s profile on SEDAR 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www.sedar.com</w:t>
      </w:r>
      <w:r>
        <w:rPr>
          <w:rFonts w:ascii="Arial" w:cs="Arial" w:eastAsia="Arial" w:hAnsi="Arial"/>
          <w:sz w:val="20"/>
          <w:szCs w:val="20"/>
          <w:color w:val="0000FF"/>
        </w:rPr>
        <w:t xml:space="preserve"> </w:t>
      </w:r>
      <w:r>
        <w:rPr>
          <w:rFonts w:ascii="Arial" w:cs="Arial" w:eastAsia="Arial" w:hAnsi="Arial"/>
          <w:sz w:val="20"/>
          <w:szCs w:val="20"/>
          <w:color w:val="000000"/>
        </w:rPr>
        <w:t>and with the SEC on EDGAR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www.sec.gov</w:t>
      </w:r>
      <w:r>
        <w:rPr>
          <w:rFonts w:ascii="Arial" w:cs="Arial" w:eastAsia="Arial" w:hAnsi="Arial"/>
          <w:sz w:val="20"/>
          <w:szCs w:val="20"/>
          <w:color w:val="000000"/>
        </w:rPr>
        <w:t>.</w:t>
      </w:r>
    </w:p>
    <w:p>
      <w:pPr>
        <w:spacing w:after="0" w:line="22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w:t>
      </w:r>
    </w:p>
    <w:p>
      <w:pPr>
        <w:jc w:val="both"/>
        <w:spacing w:after="0" w:line="204" w:lineRule="auto"/>
        <w:rPr>
          <w:sz w:val="20"/>
          <w:szCs w:val="20"/>
          <w:color w:val="auto"/>
        </w:rPr>
      </w:pPr>
      <w:r>
        <w:rPr>
          <w:rFonts w:ascii="Arial" w:cs="Arial" w:eastAsia="Arial" w:hAnsi="Arial"/>
          <w:sz w:val="20"/>
          <w:szCs w:val="20"/>
          <w:color w:val="auto"/>
        </w:rPr>
        <w:t>recognized scientists aimed at progressing proprietary drug discovery platforms, innovative drug delivery systems, and novel formulation approaches and treatment regimens. The Company is currently developing CYB003, a proprietary deuterated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psilocybin analog for the treatment of major depressive disorder and CYB004, a proprietary deuterated DMT molecule for generalized anxiety disorder and has a research pipeline of investigational psychedelic-based compounds.</w:t>
      </w:r>
    </w:p>
    <w:p>
      <w:pPr>
        <w:spacing w:after="0" w:line="128" w:lineRule="exact"/>
        <w:rPr>
          <w:sz w:val="20"/>
          <w:szCs w:val="20"/>
          <w:color w:val="auto"/>
        </w:rPr>
      </w:pPr>
    </w:p>
    <w:p>
      <w:pPr>
        <w:jc w:val="both"/>
        <w:spacing w:after="0" w:line="211"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Twitter, LinkedIn, You Tube and Instagram.</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Certain statements in this press release constitute forward-looking information. All statements other than statements of historical</w:t>
      </w:r>
    </w:p>
    <w:p>
      <w:pPr>
        <w:jc w:val="both"/>
        <w:spacing w:after="0" w:line="215" w:lineRule="auto"/>
        <w:rPr>
          <w:sz w:val="20"/>
          <w:szCs w:val="20"/>
          <w:color w:val="auto"/>
        </w:rPr>
      </w:pPr>
      <w:r>
        <w:rPr>
          <w:rFonts w:ascii="Arial" w:cs="Arial" w:eastAsia="Arial" w:hAnsi="Arial"/>
          <w:sz w:val="19"/>
          <w:szCs w:val="19"/>
          <w:color w:val="auto"/>
        </w:rPr>
        <w:t>fact contained in this press release, including, without limitation, statements regarding Cybin’s future, strategy, plans, objectives, goals and targets, and any statements preceded by, followed by or that include the words “believe”, “expect”, “aim”, “intend”,</w:t>
      </w:r>
    </w:p>
    <w:p>
      <w:pPr>
        <w:spacing w:after="0" w:line="211" w:lineRule="auto"/>
        <w:rPr>
          <w:sz w:val="20"/>
          <w:szCs w:val="20"/>
          <w:color w:val="auto"/>
        </w:rPr>
      </w:pPr>
      <w:r>
        <w:rPr>
          <w:rFonts w:ascii="Arial" w:cs="Arial" w:eastAsia="Arial" w:hAnsi="Arial"/>
          <w:sz w:val="20"/>
          <w:szCs w:val="20"/>
          <w:color w:val="auto"/>
        </w:rPr>
        <w:t>“plan”, “continue”, “will”, “may”, “would”, “anticipate”, “estimate”, “forecast”, “predict”, “project”, “seek”, “should” or similar</w:t>
      </w:r>
    </w:p>
    <w:p>
      <w:pPr>
        <w:jc w:val="both"/>
        <w:spacing w:after="0" w:line="215" w:lineRule="auto"/>
        <w:rPr>
          <w:sz w:val="20"/>
          <w:szCs w:val="20"/>
          <w:color w:val="auto"/>
        </w:rPr>
      </w:pPr>
      <w:r>
        <w:rPr>
          <w:rFonts w:ascii="Arial" w:cs="Arial" w:eastAsia="Arial" w:hAnsi="Arial"/>
          <w:sz w:val="19"/>
          <w:szCs w:val="19"/>
          <w:color w:val="auto"/>
        </w:rPr>
        <w:t>expressions or the negative thereof, are forward-looking statements. Forward-looking statements in this news release include statements regarding the potential sale of common shares under the Agreement and the Company’s ability to address the need</w:t>
      </w:r>
    </w:p>
    <w:p>
      <w:pPr>
        <w:spacing w:after="0"/>
        <w:rPr>
          <w:sz w:val="20"/>
          <w:szCs w:val="20"/>
          <w:color w:val="auto"/>
        </w:rPr>
      </w:pPr>
      <w:r>
        <w:rPr>
          <w:rFonts w:ascii="Arial" w:cs="Arial" w:eastAsia="Arial" w:hAnsi="Arial"/>
          <w:sz w:val="20"/>
          <w:szCs w:val="20"/>
          <w:color w:val="auto"/>
        </w:rPr>
        <w:t>for new and innovative treatment options for people who suffer from mental health conditions.</w:t>
      </w:r>
    </w:p>
    <w:p>
      <w:pPr>
        <w:spacing w:after="0" w:line="188"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unknown risks, uncertainties, and other factors which may cause the actual results, performance, or achievements of the Company to materially differ from any future results, performance, or achievements expressed or implied by such forward-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looking statements. Such factors, among other things, include:</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implications of the COVID-19 pandemic on the Company’s operations; fluctuations in general macroeconomic conditions;</w:t>
      </w:r>
    </w:p>
    <w:p>
      <w:pPr>
        <w:spacing w:after="0" w:line="204" w:lineRule="auto"/>
        <w:rPr>
          <w:sz w:val="20"/>
          <w:szCs w:val="20"/>
          <w:color w:val="auto"/>
        </w:rPr>
      </w:pPr>
      <w:r>
        <w:rPr>
          <w:rFonts w:ascii="Arial" w:cs="Arial" w:eastAsia="Arial" w:hAnsi="Arial"/>
          <w:sz w:val="20"/>
          <w:szCs w:val="20"/>
          <w:color w:val="auto"/>
        </w:rPr>
        <w:t>fluctuations in securities markets; expectations regarding the size of the psychedelics market; the ability of the Company to successfully achieve its business objectives; plans for growth; political, social and environmental uncertainties; employee</w:t>
      </w:r>
    </w:p>
    <w:p>
      <w:pPr>
        <w:spacing w:after="0" w:line="211" w:lineRule="auto"/>
        <w:rPr>
          <w:sz w:val="20"/>
          <w:szCs w:val="20"/>
          <w:color w:val="auto"/>
        </w:rPr>
      </w:pPr>
      <w:r>
        <w:rPr>
          <w:rFonts w:ascii="Arial" w:cs="Arial" w:eastAsia="Arial" w:hAnsi="Arial"/>
          <w:sz w:val="20"/>
          <w:szCs w:val="20"/>
          <w:color w:val="auto"/>
        </w:rPr>
        <w:t>relations; the presence of laws and regulations that may impose restrictions in the markets where the Company operates;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risk factors set out in the Company's management's discussion and analysis for the three and nine month periods ended December 31, 2022, the Company’s annual information form for the year ended March 31, 2022, and the Company's listing</w:t>
      </w:r>
    </w:p>
    <w:p>
      <w:pPr>
        <w:spacing w:after="0" w:line="211" w:lineRule="auto"/>
        <w:rPr>
          <w:sz w:val="20"/>
          <w:szCs w:val="20"/>
          <w:color w:val="auto"/>
        </w:rPr>
      </w:pPr>
      <w:r>
        <w:rPr>
          <w:rFonts w:ascii="Arial" w:cs="Arial" w:eastAsia="Arial" w:hAnsi="Arial"/>
          <w:sz w:val="20"/>
          <w:szCs w:val="20"/>
          <w:color w:val="auto"/>
        </w:rPr>
        <w:t>statement dated November 9, 2020, which are available under the Company's profile on www.sedar.com and with the SEC on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EDGAR at www.sec.gov. Although the forward-looking statements contained in this news release are based upon what management of the Company believes, or believed at the time, to be reasonable assumptions, the Company cannot assure</w:t>
      </w:r>
    </w:p>
    <w:p>
      <w:pPr>
        <w:spacing w:after="0" w:line="211" w:lineRule="auto"/>
        <w:rPr>
          <w:sz w:val="20"/>
          <w:szCs w:val="20"/>
          <w:color w:val="auto"/>
        </w:rPr>
      </w:pPr>
      <w:r>
        <w:rPr>
          <w:rFonts w:ascii="Arial" w:cs="Arial" w:eastAsia="Arial" w:hAnsi="Arial"/>
          <w:sz w:val="20"/>
          <w:szCs w:val="20"/>
          <w:color w:val="auto"/>
        </w:rPr>
        <w:t>shareholders that actual results will be consistent with such forward-looking statements, as there may be other factors that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cause results not to be as anticipated, estimated or intended. Readers should not place undue reliance on the forward-looking statements and information contained in this news release. The Company assumes no obligation to update the forward-looking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statements of beliefs, opinions, projections, or other factors, should they change, except as required by law.</w:t>
      </w:r>
    </w:p>
    <w:p>
      <w:pPr>
        <w:spacing w:after="0" w:line="202" w:lineRule="exact"/>
        <w:rPr>
          <w:sz w:val="20"/>
          <w:szCs w:val="20"/>
          <w:color w:val="auto"/>
        </w:rPr>
      </w:pPr>
    </w:p>
    <w:p>
      <w:pPr>
        <w:jc w:val="both"/>
        <w:spacing w:after="0" w:line="211"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w:t>
      </w:r>
    </w:p>
    <w:p>
      <w:pPr>
        <w:spacing w:after="0" w:line="212" w:lineRule="auto"/>
        <w:rPr>
          <w:sz w:val="20"/>
          <w:szCs w:val="20"/>
          <w:color w:val="auto"/>
        </w:rPr>
      </w:pPr>
      <w:r>
        <w:rPr>
          <w:rFonts w:ascii="Arial" w:cs="Arial" w:eastAsia="Arial" w:hAnsi="Arial"/>
          <w:sz w:val="20"/>
          <w:szCs w:val="20"/>
          <w:color w:val="auto"/>
        </w:rPr>
        <w:t>psychedelic tryptamine, tryptamine derivatives or other psychedelic compounds. The efficacy of such products has not been</w:t>
      </w:r>
    </w:p>
    <w:p>
      <w:pPr>
        <w:spacing w:after="0" w:line="204" w:lineRule="auto"/>
        <w:rPr>
          <w:sz w:val="20"/>
          <w:szCs w:val="20"/>
          <w:color w:val="auto"/>
        </w:rPr>
      </w:pPr>
      <w:r>
        <w:rPr>
          <w:rFonts w:ascii="Arial" w:cs="Arial" w:eastAsia="Arial" w:hAnsi="Arial"/>
          <w:sz w:val="20"/>
          <w:szCs w:val="20"/>
          <w:color w:val="auto"/>
        </w:rPr>
        <w:t>confirmed by approved research. There is no assurance that the use of psilocybin, psychedelic tryptamine, tryptamine derivatives or other psychedelic compounds can diagnose, treat, cure or prevent any disease or condition. Rigorous scientific</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research and clinical trials are needed. Cybin has not conducted clinical trials for the use of its proposed products. Any references to quality, consistency, efficacy and safety of potential products do not imply that Cybin verified such in clinical trials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or that Cybin will complete such trials. If Cybin cannot obtain the approvals or research necessary to commercialize its business, it may have a material adverse effect on Cybin’s performance and operations.</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11" w:lineRule="auto"/>
        <w:rPr>
          <w:sz w:val="20"/>
          <w:szCs w:val="20"/>
          <w:color w:val="auto"/>
        </w:rPr>
      </w:pPr>
      <w:r>
        <w:rPr>
          <w:rFonts w:ascii="Arial" w:cs="Arial" w:eastAsia="Arial" w:hAnsi="Arial"/>
          <w:sz w:val="20"/>
          <w:szCs w:val="20"/>
          <w:color w:val="auto"/>
        </w:rPr>
        <w:t>Chief Legal Officer</w:t>
      </w:r>
    </w:p>
    <w:p>
      <w:pPr>
        <w:spacing w:after="0" w:line="197" w:lineRule="auto"/>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irteam@cybin.com – or – media@cybin.com</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2023-06-01T13:58:40Z</dcterms:created>
  <dcterms:modified xsi:type="dcterms:W3CDTF">2023-06-01T13:58:40Z</dcterms:modified>
</cp:coreProperties>
</file>