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519"/>
        <w:spacing w:after="0"/>
        <w:rPr>
          <w:sz w:val="20"/>
          <w:szCs w:val="20"/>
          <w:color w:val="auto"/>
        </w:rPr>
      </w:pPr>
      <w:r>
        <w:rPr>
          <w:rFonts w:ascii="Times New Roman" w:cs="Times New Roman" w:eastAsia="Times New Roman" w:hAnsi="Times New Roman"/>
          <w:sz w:val="12"/>
          <w:szCs w:val="12"/>
          <w:b w:val="1"/>
          <w:bCs w:val="1"/>
          <w:color w:val="auto"/>
        </w:rPr>
        <w:t>UNITED STATES</w:t>
      </w:r>
    </w:p>
    <w:p>
      <w:pPr>
        <w:jc w:val="center"/>
        <w:ind w:right="-519"/>
        <w:spacing w:after="0" w:line="203" w:lineRule="auto"/>
        <w:rPr>
          <w:sz w:val="20"/>
          <w:szCs w:val="20"/>
          <w:color w:val="auto"/>
        </w:rPr>
      </w:pPr>
      <w:r>
        <w:rPr>
          <w:rFonts w:ascii="Times New Roman" w:cs="Times New Roman" w:eastAsia="Times New Roman" w:hAnsi="Times New Roman"/>
          <w:sz w:val="12"/>
          <w:szCs w:val="12"/>
          <w:b w:val="1"/>
          <w:bCs w:val="1"/>
          <w:color w:val="auto"/>
        </w:rPr>
        <w:t>SECURITIES AND EXCHANGE COMMISSION</w:t>
      </w:r>
    </w:p>
    <w:p>
      <w:pPr>
        <w:jc w:val="center"/>
        <w:ind w:right="-519"/>
        <w:spacing w:after="0"/>
        <w:rPr>
          <w:sz w:val="20"/>
          <w:szCs w:val="20"/>
          <w:color w:val="auto"/>
        </w:rPr>
      </w:pPr>
      <w:r>
        <w:rPr>
          <w:rFonts w:ascii="Times New Roman" w:cs="Times New Roman" w:eastAsia="Times New Roman" w:hAnsi="Times New Roman"/>
          <w:sz w:val="12"/>
          <w:szCs w:val="12"/>
          <w:b w:val="1"/>
          <w:bCs w:val="1"/>
          <w:color w:val="auto"/>
        </w:rPr>
        <w:t>Washington, D.C. 20549</w:t>
      </w:r>
    </w:p>
    <w:p>
      <w:pPr>
        <w:spacing w:after="0" w:line="89" w:lineRule="exact"/>
        <w:rPr>
          <w:sz w:val="24"/>
          <w:szCs w:val="24"/>
          <w:color w:val="auto"/>
        </w:rPr>
      </w:pPr>
    </w:p>
    <w:p>
      <w:pPr>
        <w:ind w:left="5380"/>
        <w:spacing w:after="0"/>
        <w:rPr>
          <w:sz w:val="20"/>
          <w:szCs w:val="20"/>
          <w:color w:val="auto"/>
        </w:rPr>
      </w:pPr>
      <w:r>
        <w:rPr>
          <w:rFonts w:ascii="Times New Roman" w:cs="Times New Roman" w:eastAsia="Times New Roman" w:hAnsi="Times New Roman"/>
          <w:sz w:val="12"/>
          <w:szCs w:val="12"/>
          <w:b w:val="1"/>
          <w:bCs w:val="1"/>
          <w:color w:val="auto"/>
        </w:rPr>
        <w:t>Form 6-K</w:t>
      </w:r>
    </w:p>
    <w:p>
      <w:pPr>
        <w:spacing w:after="0" w:line="100" w:lineRule="exact"/>
        <w:rPr>
          <w:sz w:val="24"/>
          <w:szCs w:val="24"/>
          <w:color w:val="auto"/>
        </w:rPr>
      </w:pPr>
    </w:p>
    <w:p>
      <w:pPr>
        <w:ind w:left="3400"/>
        <w:spacing w:after="0"/>
        <w:rPr>
          <w:sz w:val="20"/>
          <w:szCs w:val="20"/>
          <w:color w:val="auto"/>
        </w:rPr>
      </w:pPr>
      <w:r>
        <w:rPr>
          <w:rFonts w:ascii="Times New Roman" w:cs="Times New Roman" w:eastAsia="Times New Roman" w:hAnsi="Times New Roman"/>
          <w:sz w:val="12"/>
          <w:szCs w:val="12"/>
          <w:b w:val="1"/>
          <w:bCs w:val="1"/>
          <w:color w:val="auto"/>
        </w:rPr>
        <w:t>REPORT OF FOREIGN PRIVATE ISSUER PURSUANT TO RULE 13a-16 OR 15d-16</w:t>
      </w:r>
    </w:p>
    <w:p>
      <w:pPr>
        <w:ind w:left="4180"/>
        <w:spacing w:after="0"/>
        <w:rPr>
          <w:sz w:val="20"/>
          <w:szCs w:val="20"/>
          <w:color w:val="auto"/>
        </w:rPr>
      </w:pPr>
      <w:r>
        <w:rPr>
          <w:rFonts w:ascii="Times New Roman" w:cs="Times New Roman" w:eastAsia="Times New Roman" w:hAnsi="Times New Roman"/>
          <w:sz w:val="12"/>
          <w:szCs w:val="12"/>
          <w:b w:val="1"/>
          <w:bCs w:val="1"/>
          <w:color w:val="auto"/>
        </w:rPr>
        <w:t>UNDER THE SECURITIES EXCHANGE ACT OF 1934</w:t>
      </w:r>
    </w:p>
    <w:p>
      <w:pPr>
        <w:spacing w:after="0" w:line="30" w:lineRule="exact"/>
        <w:rPr>
          <w:sz w:val="24"/>
          <w:szCs w:val="24"/>
          <w:color w:val="auto"/>
        </w:rPr>
      </w:pPr>
    </w:p>
    <w:p>
      <w:pPr>
        <w:spacing w:after="0"/>
        <w:rPr>
          <w:sz w:val="20"/>
          <w:szCs w:val="20"/>
          <w:color w:val="auto"/>
        </w:rPr>
      </w:pPr>
      <w:r>
        <w:rPr>
          <w:rFonts w:ascii="Times New Roman" w:cs="Times New Roman" w:eastAsia="Times New Roman" w:hAnsi="Times New Roman"/>
          <w:sz w:val="12"/>
          <w:szCs w:val="12"/>
          <w:color w:val="auto"/>
        </w:rPr>
        <w:t>For the month of July, 2025.</w:t>
      </w:r>
    </w:p>
    <w:p>
      <w:pPr>
        <w:spacing w:after="0" w:line="38" w:lineRule="exact"/>
        <w:rPr>
          <w:sz w:val="24"/>
          <w:szCs w:val="24"/>
          <w:color w:val="auto"/>
        </w:rPr>
      </w:pPr>
    </w:p>
    <w:p>
      <w:pPr>
        <w:spacing w:after="0"/>
        <w:rPr>
          <w:sz w:val="20"/>
          <w:szCs w:val="20"/>
          <w:color w:val="auto"/>
        </w:rPr>
      </w:pPr>
      <w:r>
        <w:rPr>
          <w:rFonts w:ascii="Times New Roman" w:cs="Times New Roman" w:eastAsia="Times New Roman" w:hAnsi="Times New Roman"/>
          <w:sz w:val="12"/>
          <w:szCs w:val="12"/>
          <w:color w:val="auto"/>
        </w:rPr>
        <w:t xml:space="preserve">Commission File Number: </w:t>
      </w:r>
      <w:r>
        <w:rPr>
          <w:rFonts w:ascii="Times New Roman" w:cs="Times New Roman" w:eastAsia="Times New Roman" w:hAnsi="Times New Roman"/>
          <w:sz w:val="12"/>
          <w:szCs w:val="12"/>
          <w:b w:val="1"/>
          <w:bCs w:val="1"/>
          <w:color w:val="auto"/>
        </w:rPr>
        <w:t>001-40673</w:t>
      </w:r>
    </w:p>
    <w:p>
      <w:pPr>
        <w:spacing w:after="0" w:line="208" w:lineRule="exact"/>
        <w:rPr>
          <w:sz w:val="24"/>
          <w:szCs w:val="24"/>
          <w:color w:val="auto"/>
        </w:rPr>
      </w:pPr>
    </w:p>
    <w:p>
      <w:pPr>
        <w:jc w:val="center"/>
        <w:ind w:right="-519"/>
        <w:spacing w:after="0"/>
        <w:rPr>
          <w:sz w:val="20"/>
          <w:szCs w:val="20"/>
          <w:color w:val="auto"/>
        </w:rPr>
      </w:pPr>
      <w:r>
        <w:rPr>
          <w:rFonts w:ascii="Times New Roman" w:cs="Times New Roman" w:eastAsia="Times New Roman" w:hAnsi="Times New Roman"/>
          <w:sz w:val="14"/>
          <w:szCs w:val="14"/>
          <w:b w:val="1"/>
          <w:bCs w:val="1"/>
          <w:u w:val="single" w:color="auto"/>
          <w:color w:val="auto"/>
        </w:rPr>
        <w:t>Cybin Inc.</w:t>
      </w:r>
    </w:p>
    <w:p>
      <w:pPr>
        <w:spacing w:after="0" w:line="4" w:lineRule="exact"/>
        <w:rPr>
          <w:sz w:val="24"/>
          <w:szCs w:val="24"/>
          <w:color w:val="auto"/>
        </w:rPr>
      </w:pPr>
    </w:p>
    <w:p>
      <w:pPr>
        <w:ind w:left="4420"/>
        <w:spacing w:after="0"/>
        <w:rPr>
          <w:sz w:val="20"/>
          <w:szCs w:val="20"/>
          <w:color w:val="auto"/>
        </w:rPr>
      </w:pPr>
      <w:r>
        <w:rPr>
          <w:rFonts w:ascii="Times New Roman" w:cs="Times New Roman" w:eastAsia="Times New Roman" w:hAnsi="Times New Roman"/>
          <w:sz w:val="12"/>
          <w:szCs w:val="12"/>
          <w:color w:val="auto"/>
        </w:rPr>
        <w:t>(Exact Name of Registrant as Specified in Charter)</w:t>
      </w:r>
    </w:p>
    <w:p>
      <w:pPr>
        <w:spacing w:after="0" w:line="84" w:lineRule="exact"/>
        <w:rPr>
          <w:sz w:val="24"/>
          <w:szCs w:val="24"/>
          <w:color w:val="auto"/>
        </w:rPr>
      </w:pPr>
    </w:p>
    <w:p>
      <w:pPr>
        <w:ind w:left="4060"/>
        <w:spacing w:after="0"/>
        <w:rPr>
          <w:sz w:val="20"/>
          <w:szCs w:val="20"/>
          <w:color w:val="auto"/>
        </w:rPr>
      </w:pPr>
      <w:r>
        <w:rPr>
          <w:rFonts w:ascii="Times New Roman" w:cs="Times New Roman" w:eastAsia="Times New Roman" w:hAnsi="Times New Roman"/>
          <w:sz w:val="12"/>
          <w:szCs w:val="12"/>
          <w:b w:val="1"/>
          <w:bCs w:val="1"/>
          <w:color w:val="auto"/>
        </w:rPr>
        <w:t>100 King Street West, Suite 5600, Toronto, Ontario, M5X 1C9</w:t>
      </w:r>
    </w:p>
    <w:p>
      <w:pPr>
        <w:ind w:left="4700"/>
        <w:spacing w:after="0"/>
        <w:rPr>
          <w:sz w:val="20"/>
          <w:szCs w:val="20"/>
          <w:color w:val="auto"/>
        </w:rPr>
      </w:pPr>
      <w:r>
        <w:rPr>
          <w:rFonts w:ascii="Times New Roman" w:cs="Times New Roman" w:eastAsia="Times New Roman" w:hAnsi="Times New Roman"/>
          <w:sz w:val="12"/>
          <w:szCs w:val="12"/>
          <w:color w:val="auto"/>
        </w:rPr>
        <w:t>(Address of principal executive offices)</w:t>
      </w:r>
    </w:p>
    <w:p>
      <w:pPr>
        <w:spacing w:after="0" w:line="122" w:lineRule="exact"/>
        <w:rPr>
          <w:sz w:val="24"/>
          <w:szCs w:val="24"/>
          <w:color w:val="auto"/>
        </w:rPr>
      </w:pPr>
    </w:p>
    <w:p>
      <w:pPr>
        <w:spacing w:after="0"/>
        <w:rPr>
          <w:sz w:val="20"/>
          <w:szCs w:val="20"/>
          <w:color w:val="auto"/>
        </w:rPr>
      </w:pPr>
      <w:r>
        <w:rPr>
          <w:rFonts w:ascii="Times New Roman" w:cs="Times New Roman" w:eastAsia="Times New Roman" w:hAnsi="Times New Roman"/>
          <w:sz w:val="12"/>
          <w:szCs w:val="12"/>
          <w:color w:val="auto"/>
        </w:rPr>
        <w:t>Indicate by check mark whether the registrant files or will file annual reports under cover Form 20-F or Form 40-F.</w:t>
      </w:r>
    </w:p>
    <w:p>
      <w:pPr>
        <w:spacing w:after="0" w:line="184" w:lineRule="exact"/>
        <w:rPr>
          <w:sz w:val="20"/>
          <w:szCs w:val="20"/>
          <w:color w:val="auto"/>
        </w:rPr>
      </w:pPr>
      <w:r>
        <w:rPr>
          <w:rFonts w:ascii="Times New Roman" w:cs="Times New Roman" w:eastAsia="Times New Roman" w:hAnsi="Times New Roman"/>
          <w:sz w:val="12"/>
          <w:szCs w:val="12"/>
          <w:color w:val="auto"/>
        </w:rPr>
        <w:t xml:space="preserve">Form 20-F </w:t>
      </w:r>
      <w:r>
        <w:rPr>
          <w:rFonts w:ascii="Times New Roman" w:cs="Times New Roman" w:eastAsia="Times New Roman" w:hAnsi="Times New Roman"/>
          <w:sz w:val="16"/>
          <w:szCs w:val="16"/>
          <w:color w:val="auto"/>
        </w:rPr>
        <w:t>□</w:t>
      </w:r>
      <w:r>
        <w:rPr>
          <w:rFonts w:ascii="Times New Roman" w:cs="Times New Roman" w:eastAsia="Times New Roman" w:hAnsi="Times New Roman"/>
          <w:sz w:val="12"/>
          <w:szCs w:val="12"/>
          <w:color w:val="auto"/>
        </w:rPr>
        <w:t xml:space="preserve"> Form 40-F </w:t>
      </w:r>
      <w:r>
        <w:rPr>
          <w:rFonts w:ascii="MS PGothic" w:cs="MS PGothic" w:eastAsia="MS PGothic" w:hAnsi="MS PGothic"/>
          <w:sz w:val="12"/>
          <w:szCs w:val="12"/>
          <w:color w:val="auto"/>
        </w:rPr>
        <w:t>⊠</w:t>
      </w:r>
    </w:p>
    <w:p>
      <w:pPr>
        <w:spacing w:after="0" w:line="194" w:lineRule="exact"/>
        <w:rPr>
          <w:sz w:val="24"/>
          <w:szCs w:val="24"/>
          <w:color w:val="auto"/>
        </w:rPr>
      </w:pPr>
    </w:p>
    <w:p>
      <w:pPr>
        <w:jc w:val="center"/>
        <w:ind w:right="-519"/>
        <w:spacing w:after="0"/>
        <w:rPr>
          <w:sz w:val="20"/>
          <w:szCs w:val="20"/>
          <w:color w:val="auto"/>
        </w:rPr>
      </w:pPr>
      <w:r>
        <w:rPr>
          <w:rFonts w:ascii="Times New Roman" w:cs="Times New Roman" w:eastAsia="Times New Roman" w:hAnsi="Times New Roman"/>
          <w:sz w:val="12"/>
          <w:szCs w:val="12"/>
          <w:b w:val="1"/>
          <w:bCs w:val="1"/>
          <w:color w:val="auto"/>
        </w:rPr>
        <w:t>INCORPORATION BY REFERENCE</w:t>
      </w:r>
    </w:p>
    <w:p>
      <w:pPr>
        <w:spacing w:after="0" w:line="127" w:lineRule="exact"/>
        <w:rPr>
          <w:sz w:val="24"/>
          <w:szCs w:val="24"/>
          <w:color w:val="auto"/>
        </w:rPr>
      </w:pPr>
    </w:p>
    <w:p>
      <w:pPr>
        <w:jc w:val="center"/>
        <w:ind w:right="-419"/>
        <w:spacing w:after="0"/>
        <w:rPr>
          <w:rFonts w:ascii="Times New Roman" w:cs="Times New Roman" w:eastAsia="Times New Roman" w:hAnsi="Times New Roman"/>
          <w:sz w:val="11"/>
          <w:szCs w:val="11"/>
          <w:color w:val="auto"/>
        </w:rPr>
      </w:pPr>
      <w:r>
        <w:rPr>
          <w:rFonts w:ascii="Times New Roman" w:cs="Times New Roman" w:eastAsia="Times New Roman" w:hAnsi="Times New Roman"/>
          <w:sz w:val="11"/>
          <w:szCs w:val="11"/>
          <w:color w:val="auto"/>
        </w:rPr>
        <w:t>Exhibit 99.1 of this Form 6-K of Cybin Inc. (the "Company") are hereby incorporated by reference into the Registration Statement on Form F-10 (</w:t>
      </w:r>
      <w:hyperlink r:id="rId8">
        <w:r>
          <w:rPr>
            <w:rFonts w:ascii="Times New Roman" w:cs="Times New Roman" w:eastAsia="Times New Roman" w:hAnsi="Times New Roman"/>
            <w:sz w:val="11"/>
            <w:szCs w:val="11"/>
            <w:u w:val="single" w:color="auto"/>
            <w:color w:val="0000FF"/>
          </w:rPr>
          <w:t>File No. 333-284173</w:t>
        </w:r>
      </w:hyperlink>
      <w:r>
        <w:rPr>
          <w:rFonts w:ascii="Times New Roman" w:cs="Times New Roman" w:eastAsia="Times New Roman" w:hAnsi="Times New Roman"/>
          <w:sz w:val="11"/>
          <w:szCs w:val="11"/>
          <w:color w:val="auto"/>
        </w:rPr>
        <w:t>) of the Company, as amended or supplemented.</w:t>
      </w:r>
    </w:p>
    <w:p>
      <w:pPr>
        <w:sectPr>
          <w:pgSz w:w="11900" w:h="16838" w:orient="portrait"/>
          <w:cols w:equalWidth="0" w:num="1">
            <w:col w:w="10780"/>
          </w:cols>
          <w:pgMar w:left="300" w:top="1110" w:right="819" w:bottom="1440" w:gutter="0" w:footer="0" w:header="0"/>
        </w:sectPr>
      </w:pPr>
    </w:p>
    <w:bookmarkStart w:id="1" w:name="page2"/>
    <w:bookmarkEnd w:id="1"/>
    <w:p>
      <w:pPr>
        <w:ind w:left="5300"/>
        <w:spacing w:after="0"/>
        <w:rPr>
          <w:sz w:val="20"/>
          <w:szCs w:val="20"/>
          <w:color w:val="auto"/>
        </w:rPr>
      </w:pPr>
      <w:r>
        <w:rPr>
          <w:rFonts w:ascii="Times New Roman" w:cs="Times New Roman" w:eastAsia="Times New Roman" w:hAnsi="Times New Roman"/>
          <w:sz w:val="12"/>
          <w:szCs w:val="12"/>
          <w:b w:val="1"/>
          <w:bCs w:val="1"/>
          <w:color w:val="auto"/>
        </w:rPr>
        <w:t>SIGNATURE</w:t>
      </w:r>
    </w:p>
    <w:p>
      <w:pPr>
        <w:spacing w:after="0" w:line="55"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Pursuant to the requirements of the Securities Exchange Act of 1934, the registrant has duly caused this report to be signed on its behalf by the undersigned, thereunto duly authorized.</w:t>
      </w:r>
    </w:p>
    <w:p>
      <w:pPr>
        <w:spacing w:after="0" w:line="92" w:lineRule="exact"/>
        <w:rPr>
          <w:sz w:val="20"/>
          <w:szCs w:val="20"/>
          <w:color w:val="auto"/>
        </w:rPr>
      </w:pPr>
    </w:p>
    <w:tbl>
      <w:tblPr>
        <w:tblLayout w:type="fixed"/>
        <w:tblInd w:w="0" w:type="dxa"/>
        <w:tblCellMar>
          <w:top w:w="0" w:type="dxa"/>
          <w:left w:w="0" w:type="dxa"/>
          <w:bottom w:w="0" w:type="dxa"/>
          <w:right w:w="0" w:type="dxa"/>
        </w:tblCellMar>
      </w:tblPr>
      <w:tr>
        <w:trPr>
          <w:trHeight w:val="157"/>
        </w:trPr>
        <w:tc>
          <w:tcPr>
            <w:tcW w:w="480" w:type="dxa"/>
            <w:vAlign w:val="bottom"/>
          </w:tcPr>
          <w:p>
            <w:pPr>
              <w:spacing w:after="0"/>
              <w:rPr>
                <w:sz w:val="13"/>
                <w:szCs w:val="13"/>
                <w:color w:val="auto"/>
              </w:rPr>
            </w:pPr>
          </w:p>
        </w:tc>
        <w:tc>
          <w:tcPr>
            <w:tcW w:w="5180" w:type="dxa"/>
            <w:vAlign w:val="bottom"/>
          </w:tcPr>
          <w:p>
            <w:pPr>
              <w:spacing w:after="0"/>
              <w:rPr>
                <w:sz w:val="13"/>
                <w:szCs w:val="13"/>
                <w:color w:val="auto"/>
              </w:rPr>
            </w:pPr>
          </w:p>
        </w:tc>
        <w:tc>
          <w:tcPr>
            <w:tcW w:w="720" w:type="dxa"/>
            <w:vAlign w:val="bottom"/>
          </w:tcPr>
          <w:p>
            <w:pPr>
              <w:ind w:left="20"/>
              <w:spacing w:after="0"/>
              <w:rPr>
                <w:sz w:val="20"/>
                <w:szCs w:val="20"/>
                <w:color w:val="auto"/>
              </w:rPr>
            </w:pPr>
            <w:r>
              <w:rPr>
                <w:rFonts w:ascii="Times New Roman" w:cs="Times New Roman" w:eastAsia="Times New Roman" w:hAnsi="Times New Roman"/>
                <w:sz w:val="12"/>
                <w:szCs w:val="12"/>
                <w:b w:val="1"/>
                <w:bCs w:val="1"/>
                <w:color w:val="auto"/>
              </w:rPr>
              <w:t>CYBIN INC.</w:t>
            </w:r>
          </w:p>
        </w:tc>
        <w:tc>
          <w:tcPr>
            <w:tcW w:w="3960" w:type="dxa"/>
            <w:vAlign w:val="bottom"/>
          </w:tcPr>
          <w:p>
            <w:pPr>
              <w:spacing w:after="0"/>
              <w:rPr>
                <w:sz w:val="13"/>
                <w:szCs w:val="13"/>
                <w:color w:val="auto"/>
              </w:rPr>
            </w:pPr>
          </w:p>
        </w:tc>
      </w:tr>
      <w:tr>
        <w:trPr>
          <w:trHeight w:val="155"/>
        </w:trPr>
        <w:tc>
          <w:tcPr>
            <w:tcW w:w="480" w:type="dxa"/>
            <w:vAlign w:val="bottom"/>
          </w:tcPr>
          <w:p>
            <w:pPr>
              <w:spacing w:after="0"/>
              <w:rPr>
                <w:sz w:val="13"/>
                <w:szCs w:val="13"/>
                <w:color w:val="auto"/>
              </w:rPr>
            </w:pPr>
          </w:p>
        </w:tc>
        <w:tc>
          <w:tcPr>
            <w:tcW w:w="5180" w:type="dxa"/>
            <w:vAlign w:val="bottom"/>
          </w:tcPr>
          <w:p>
            <w:pPr>
              <w:spacing w:after="0"/>
              <w:rPr>
                <w:sz w:val="13"/>
                <w:szCs w:val="13"/>
                <w:color w:val="auto"/>
              </w:rPr>
            </w:pPr>
          </w:p>
        </w:tc>
        <w:tc>
          <w:tcPr>
            <w:tcW w:w="720" w:type="dxa"/>
            <w:vAlign w:val="bottom"/>
          </w:tcPr>
          <w:p>
            <w:pPr>
              <w:ind w:left="20"/>
              <w:spacing w:after="0"/>
              <w:rPr>
                <w:sz w:val="20"/>
                <w:szCs w:val="20"/>
                <w:color w:val="auto"/>
              </w:rPr>
            </w:pPr>
            <w:r>
              <w:rPr>
                <w:rFonts w:ascii="Times New Roman" w:cs="Times New Roman" w:eastAsia="Times New Roman" w:hAnsi="Times New Roman"/>
                <w:sz w:val="12"/>
                <w:szCs w:val="12"/>
                <w:color w:val="auto"/>
              </w:rPr>
              <w:t>(Registrant)</w:t>
            </w:r>
          </w:p>
        </w:tc>
        <w:tc>
          <w:tcPr>
            <w:tcW w:w="3960" w:type="dxa"/>
            <w:vAlign w:val="bottom"/>
          </w:tcPr>
          <w:p>
            <w:pPr>
              <w:spacing w:after="0"/>
              <w:rPr>
                <w:sz w:val="13"/>
                <w:szCs w:val="13"/>
                <w:color w:val="auto"/>
              </w:rPr>
            </w:pPr>
          </w:p>
        </w:tc>
      </w:tr>
      <w:tr>
        <w:trPr>
          <w:trHeight w:val="306"/>
        </w:trPr>
        <w:tc>
          <w:tcPr>
            <w:tcW w:w="480" w:type="dxa"/>
            <w:vAlign w:val="bottom"/>
          </w:tcPr>
          <w:p>
            <w:pPr>
              <w:spacing w:after="0"/>
              <w:rPr>
                <w:sz w:val="20"/>
                <w:szCs w:val="20"/>
                <w:color w:val="auto"/>
              </w:rPr>
            </w:pPr>
            <w:r>
              <w:rPr>
                <w:rFonts w:ascii="Times New Roman" w:cs="Times New Roman" w:eastAsia="Times New Roman" w:hAnsi="Times New Roman"/>
                <w:sz w:val="12"/>
                <w:szCs w:val="12"/>
                <w:color w:val="auto"/>
              </w:rPr>
              <w:t>Date:</w:t>
            </w:r>
          </w:p>
        </w:tc>
        <w:tc>
          <w:tcPr>
            <w:tcW w:w="5180" w:type="dxa"/>
            <w:vAlign w:val="bottom"/>
          </w:tcPr>
          <w:p>
            <w:pPr>
              <w:ind w:left="220"/>
              <w:spacing w:after="0"/>
              <w:rPr>
                <w:sz w:val="20"/>
                <w:szCs w:val="20"/>
                <w:color w:val="auto"/>
              </w:rPr>
            </w:pPr>
            <w:r>
              <w:rPr>
                <w:rFonts w:ascii="Times New Roman" w:cs="Times New Roman" w:eastAsia="Times New Roman" w:hAnsi="Times New Roman"/>
                <w:sz w:val="12"/>
                <w:szCs w:val="12"/>
                <w:color w:val="auto"/>
              </w:rPr>
              <w:t>July 28, 2025</w:t>
            </w:r>
          </w:p>
        </w:tc>
        <w:tc>
          <w:tcPr>
            <w:tcW w:w="7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2"/>
                <w:szCs w:val="12"/>
                <w:color w:val="auto"/>
              </w:rPr>
              <w:t>By:</w:t>
            </w:r>
          </w:p>
        </w:tc>
        <w:tc>
          <w:tcPr>
            <w:tcW w:w="396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2"/>
                <w:szCs w:val="12"/>
                <w:i w:val="1"/>
                <w:iCs w:val="1"/>
                <w:color w:val="auto"/>
              </w:rPr>
              <w:t>/s/ Doug Drysdale</w:t>
            </w:r>
          </w:p>
        </w:tc>
      </w:tr>
      <w:tr>
        <w:trPr>
          <w:trHeight w:val="140"/>
        </w:trPr>
        <w:tc>
          <w:tcPr>
            <w:tcW w:w="480" w:type="dxa"/>
            <w:vAlign w:val="bottom"/>
          </w:tcPr>
          <w:p>
            <w:pPr>
              <w:spacing w:after="0"/>
              <w:rPr>
                <w:sz w:val="12"/>
                <w:szCs w:val="12"/>
                <w:color w:val="auto"/>
              </w:rPr>
            </w:pPr>
          </w:p>
        </w:tc>
        <w:tc>
          <w:tcPr>
            <w:tcW w:w="5180" w:type="dxa"/>
            <w:vAlign w:val="bottom"/>
          </w:tcPr>
          <w:p>
            <w:pPr>
              <w:spacing w:after="0"/>
              <w:rPr>
                <w:sz w:val="12"/>
                <w:szCs w:val="12"/>
                <w:color w:val="auto"/>
              </w:rPr>
            </w:pPr>
          </w:p>
        </w:tc>
        <w:tc>
          <w:tcPr>
            <w:tcW w:w="720" w:type="dxa"/>
            <w:vAlign w:val="bottom"/>
          </w:tcPr>
          <w:p>
            <w:pPr>
              <w:ind w:left="20"/>
              <w:spacing w:after="0"/>
              <w:rPr>
                <w:sz w:val="20"/>
                <w:szCs w:val="20"/>
                <w:color w:val="auto"/>
              </w:rPr>
            </w:pPr>
            <w:r>
              <w:rPr>
                <w:rFonts w:ascii="Times New Roman" w:cs="Times New Roman" w:eastAsia="Times New Roman" w:hAnsi="Times New Roman"/>
                <w:sz w:val="12"/>
                <w:szCs w:val="12"/>
                <w:color w:val="auto"/>
              </w:rPr>
              <w:t>Name:</w:t>
            </w:r>
          </w:p>
        </w:tc>
        <w:tc>
          <w:tcPr>
            <w:tcW w:w="3960" w:type="dxa"/>
            <w:vAlign w:val="bottom"/>
          </w:tcPr>
          <w:p>
            <w:pPr>
              <w:ind w:left="60"/>
              <w:spacing w:after="0"/>
              <w:rPr>
                <w:sz w:val="20"/>
                <w:szCs w:val="20"/>
                <w:color w:val="auto"/>
              </w:rPr>
            </w:pPr>
            <w:r>
              <w:rPr>
                <w:rFonts w:ascii="Times New Roman" w:cs="Times New Roman" w:eastAsia="Times New Roman" w:hAnsi="Times New Roman"/>
                <w:sz w:val="12"/>
                <w:szCs w:val="12"/>
                <w:color w:val="auto"/>
              </w:rPr>
              <w:t>Doug Drysdale</w:t>
            </w:r>
          </w:p>
        </w:tc>
      </w:tr>
      <w:tr>
        <w:trPr>
          <w:trHeight w:val="155"/>
        </w:trPr>
        <w:tc>
          <w:tcPr>
            <w:tcW w:w="480" w:type="dxa"/>
            <w:vAlign w:val="bottom"/>
          </w:tcPr>
          <w:p>
            <w:pPr>
              <w:spacing w:after="0"/>
              <w:rPr>
                <w:sz w:val="13"/>
                <w:szCs w:val="13"/>
                <w:color w:val="auto"/>
              </w:rPr>
            </w:pPr>
          </w:p>
        </w:tc>
        <w:tc>
          <w:tcPr>
            <w:tcW w:w="5180" w:type="dxa"/>
            <w:vAlign w:val="bottom"/>
          </w:tcPr>
          <w:p>
            <w:pPr>
              <w:spacing w:after="0"/>
              <w:rPr>
                <w:sz w:val="13"/>
                <w:szCs w:val="13"/>
                <w:color w:val="auto"/>
              </w:rPr>
            </w:pPr>
          </w:p>
        </w:tc>
        <w:tc>
          <w:tcPr>
            <w:tcW w:w="720" w:type="dxa"/>
            <w:vAlign w:val="bottom"/>
          </w:tcPr>
          <w:p>
            <w:pPr>
              <w:ind w:left="20"/>
              <w:spacing w:after="0"/>
              <w:rPr>
                <w:sz w:val="20"/>
                <w:szCs w:val="20"/>
                <w:color w:val="auto"/>
              </w:rPr>
            </w:pPr>
            <w:r>
              <w:rPr>
                <w:rFonts w:ascii="Times New Roman" w:cs="Times New Roman" w:eastAsia="Times New Roman" w:hAnsi="Times New Roman"/>
                <w:sz w:val="12"/>
                <w:szCs w:val="12"/>
                <w:color w:val="auto"/>
              </w:rPr>
              <w:t>Title:</w:t>
            </w:r>
          </w:p>
        </w:tc>
        <w:tc>
          <w:tcPr>
            <w:tcW w:w="3960" w:type="dxa"/>
            <w:vAlign w:val="bottom"/>
          </w:tcPr>
          <w:p>
            <w:pPr>
              <w:ind w:left="60"/>
              <w:spacing w:after="0"/>
              <w:rPr>
                <w:sz w:val="20"/>
                <w:szCs w:val="20"/>
                <w:color w:val="auto"/>
              </w:rPr>
            </w:pPr>
            <w:r>
              <w:rPr>
                <w:rFonts w:ascii="Times New Roman" w:cs="Times New Roman" w:eastAsia="Times New Roman" w:hAnsi="Times New Roman"/>
                <w:sz w:val="12"/>
                <w:szCs w:val="12"/>
                <w:color w:val="auto"/>
              </w:rPr>
              <w:t>Chief Executive Officer</w:t>
            </w:r>
          </w:p>
        </w:tc>
      </w:tr>
    </w:tbl>
    <w:p>
      <w:pPr>
        <w:sectPr>
          <w:pgSz w:w="11900" w:h="16838" w:orient="portrait"/>
          <w:cols w:equalWidth="0" w:num="1">
            <w:col w:w="10340"/>
          </w:cols>
          <w:pgMar w:left="300" w:top="1142" w:right="1259" w:bottom="1440" w:gutter="0" w:footer="0" w:header="0"/>
        </w:sectPr>
      </w:pPr>
    </w:p>
    <w:bookmarkStart w:id="2" w:name="page3"/>
    <w:bookmarkEnd w:id="2"/>
    <w:p>
      <w:pPr>
        <w:jc w:val="right"/>
        <w:ind w:right="4059"/>
        <w:spacing w:after="0"/>
        <w:rPr>
          <w:sz w:val="20"/>
          <w:szCs w:val="20"/>
          <w:color w:val="auto"/>
        </w:rPr>
      </w:pPr>
      <w:r>
        <w:rPr>
          <w:rFonts w:ascii="Times New Roman" w:cs="Times New Roman" w:eastAsia="Times New Roman" w:hAnsi="Times New Roman"/>
          <w:sz w:val="12"/>
          <w:szCs w:val="12"/>
          <w:b w:val="1"/>
          <w:bCs w:val="1"/>
          <w:u w:val="single" w:color="auto"/>
          <w:color w:val="auto"/>
        </w:rPr>
        <w:t>EXHIBIT INDEX</w:t>
      </w:r>
    </w:p>
    <w:p>
      <w:pPr>
        <w:spacing w:after="0" w:line="396" w:lineRule="exact"/>
        <w:rPr>
          <w:sz w:val="20"/>
          <w:szCs w:val="20"/>
          <w:color w:val="auto"/>
        </w:rPr>
      </w:pPr>
    </w:p>
    <w:tbl>
      <w:tblPr>
        <w:tblLayout w:type="fixed"/>
        <w:tblInd w:w="0" w:type="dxa"/>
        <w:tblCellMar>
          <w:top w:w="0" w:type="dxa"/>
          <w:left w:w="0" w:type="dxa"/>
          <w:bottom w:w="0" w:type="dxa"/>
          <w:right w:w="0" w:type="dxa"/>
        </w:tblCellMar>
      </w:tblPr>
      <w:tr>
        <w:trPr>
          <w:trHeight w:val="138"/>
        </w:trPr>
        <w:tc>
          <w:tcPr>
            <w:tcW w:w="1000" w:type="dxa"/>
            <w:vAlign w:val="bottom"/>
          </w:tcPr>
          <w:p>
            <w:pPr>
              <w:jc w:val="right"/>
              <w:ind w:right="720"/>
              <w:spacing w:after="0"/>
              <w:rPr>
                <w:sz w:val="20"/>
                <w:szCs w:val="20"/>
                <w:color w:val="auto"/>
              </w:rPr>
            </w:pPr>
            <w:r>
              <w:rPr>
                <w:rFonts w:ascii="Times New Roman" w:cs="Times New Roman" w:eastAsia="Times New Roman" w:hAnsi="Times New Roman"/>
                <w:sz w:val="12"/>
                <w:szCs w:val="12"/>
                <w:color w:val="auto"/>
                <w:w w:val="95"/>
              </w:rPr>
              <w:t>99.1</w:t>
            </w:r>
          </w:p>
        </w:tc>
        <w:tc>
          <w:tcPr>
            <w:tcW w:w="3420" w:type="dxa"/>
            <w:vAlign w:val="bottom"/>
            <w:gridSpan w:val="4"/>
          </w:tcPr>
          <w:p>
            <w:pPr>
              <w:spacing w:after="0"/>
              <w:rPr>
                <w:sz w:val="20"/>
                <w:szCs w:val="20"/>
                <w:color w:val="auto"/>
              </w:rPr>
            </w:pPr>
            <w:r>
              <w:rPr>
                <w:rFonts w:ascii="Times New Roman" w:cs="Times New Roman" w:eastAsia="Times New Roman" w:hAnsi="Times New Roman"/>
                <w:sz w:val="12"/>
                <w:szCs w:val="12"/>
                <w:color w:val="0000FF"/>
              </w:rPr>
              <w:t>Management Information Circular</w:t>
            </w:r>
          </w:p>
        </w:tc>
      </w:tr>
      <w:tr>
        <w:trPr>
          <w:trHeight w:val="133"/>
        </w:trPr>
        <w:tc>
          <w:tcPr>
            <w:tcW w:w="1000" w:type="dxa"/>
            <w:vAlign w:val="bottom"/>
          </w:tcPr>
          <w:p>
            <w:pPr>
              <w:jc w:val="right"/>
              <w:ind w:right="720"/>
              <w:spacing w:after="0" w:line="133" w:lineRule="exact"/>
              <w:rPr>
                <w:sz w:val="20"/>
                <w:szCs w:val="20"/>
                <w:color w:val="auto"/>
              </w:rPr>
            </w:pPr>
            <w:r>
              <w:rPr>
                <w:rFonts w:ascii="Times New Roman" w:cs="Times New Roman" w:eastAsia="Times New Roman" w:hAnsi="Times New Roman"/>
                <w:sz w:val="12"/>
                <w:szCs w:val="12"/>
                <w:color w:val="auto"/>
                <w:w w:val="95"/>
              </w:rPr>
              <w:t>99.2</w:t>
            </w:r>
          </w:p>
        </w:tc>
        <w:tc>
          <w:tcPr>
            <w:tcW w:w="1640" w:type="dxa"/>
            <w:vAlign w:val="bottom"/>
            <w:tcBorders>
              <w:top w:val="single" w:sz="8" w:color="0000FF"/>
            </w:tcBorders>
            <w:gridSpan w:val="3"/>
          </w:tcPr>
          <w:p>
            <w:pPr>
              <w:spacing w:after="0" w:line="133" w:lineRule="exact"/>
              <w:rPr>
                <w:sz w:val="20"/>
                <w:szCs w:val="20"/>
                <w:color w:val="auto"/>
              </w:rPr>
            </w:pPr>
            <w:r>
              <w:rPr>
                <w:rFonts w:ascii="Times New Roman" w:cs="Times New Roman" w:eastAsia="Times New Roman" w:hAnsi="Times New Roman"/>
                <w:sz w:val="12"/>
                <w:szCs w:val="12"/>
                <w:color w:val="0000FF"/>
              </w:rPr>
              <w:t>Abridgment Certificate</w:t>
            </w:r>
          </w:p>
        </w:tc>
        <w:tc>
          <w:tcPr>
            <w:tcW w:w="1780" w:type="dxa"/>
            <w:vAlign w:val="bottom"/>
          </w:tcPr>
          <w:p>
            <w:pPr>
              <w:spacing w:after="0"/>
              <w:rPr>
                <w:sz w:val="11"/>
                <w:szCs w:val="11"/>
                <w:color w:val="auto"/>
              </w:rPr>
            </w:pPr>
          </w:p>
        </w:tc>
      </w:tr>
      <w:tr>
        <w:trPr>
          <w:trHeight w:val="133"/>
        </w:trPr>
        <w:tc>
          <w:tcPr>
            <w:tcW w:w="1000" w:type="dxa"/>
            <w:vAlign w:val="bottom"/>
          </w:tcPr>
          <w:p>
            <w:pPr>
              <w:jc w:val="right"/>
              <w:ind w:right="720"/>
              <w:spacing w:after="0" w:line="133" w:lineRule="exact"/>
              <w:rPr>
                <w:sz w:val="20"/>
                <w:szCs w:val="20"/>
                <w:color w:val="auto"/>
              </w:rPr>
            </w:pPr>
            <w:r>
              <w:rPr>
                <w:rFonts w:ascii="Times New Roman" w:cs="Times New Roman" w:eastAsia="Times New Roman" w:hAnsi="Times New Roman"/>
                <w:sz w:val="12"/>
                <w:szCs w:val="12"/>
                <w:color w:val="auto"/>
                <w:w w:val="95"/>
              </w:rPr>
              <w:t>99.3</w:t>
            </w:r>
          </w:p>
        </w:tc>
        <w:tc>
          <w:tcPr>
            <w:tcW w:w="1100" w:type="dxa"/>
            <w:vAlign w:val="bottom"/>
            <w:tcBorders>
              <w:top w:val="single" w:sz="8" w:color="0000FF"/>
            </w:tcBorders>
            <w:gridSpan w:val="2"/>
          </w:tcPr>
          <w:p>
            <w:pPr>
              <w:spacing w:after="0" w:line="133" w:lineRule="exact"/>
              <w:rPr>
                <w:sz w:val="20"/>
                <w:szCs w:val="20"/>
                <w:color w:val="auto"/>
              </w:rPr>
            </w:pPr>
            <w:r>
              <w:rPr>
                <w:rFonts w:ascii="Times New Roman" w:cs="Times New Roman" w:eastAsia="Times New Roman" w:hAnsi="Times New Roman"/>
                <w:sz w:val="12"/>
                <w:szCs w:val="12"/>
                <w:color w:val="0000FF"/>
              </w:rPr>
              <w:t>Form of Proxy</w:t>
            </w:r>
          </w:p>
        </w:tc>
        <w:tc>
          <w:tcPr>
            <w:tcW w:w="2320" w:type="dxa"/>
            <w:vAlign w:val="bottom"/>
            <w:gridSpan w:val="2"/>
          </w:tcPr>
          <w:p>
            <w:pPr>
              <w:spacing w:after="0"/>
              <w:rPr>
                <w:sz w:val="11"/>
                <w:szCs w:val="11"/>
                <w:color w:val="auto"/>
              </w:rPr>
            </w:pPr>
          </w:p>
        </w:tc>
      </w:tr>
      <w:tr>
        <w:trPr>
          <w:trHeight w:val="20"/>
        </w:trPr>
        <w:tc>
          <w:tcPr>
            <w:tcW w:w="1000" w:type="dxa"/>
            <w:vAlign w:val="bottom"/>
          </w:tcPr>
          <w:p>
            <w:pPr>
              <w:spacing w:after="0" w:line="20" w:lineRule="exact"/>
              <w:rPr>
                <w:sz w:val="1"/>
                <w:szCs w:val="1"/>
                <w:color w:val="auto"/>
              </w:rPr>
            </w:pPr>
          </w:p>
        </w:tc>
        <w:tc>
          <w:tcPr>
            <w:tcW w:w="700" w:type="dxa"/>
            <w:vAlign w:val="bottom"/>
            <w:shd w:val="clear" w:color="auto" w:fill="0000FF"/>
          </w:tcPr>
          <w:p>
            <w:pPr>
              <w:spacing w:after="0" w:line="20" w:lineRule="exact"/>
              <w:rPr>
                <w:sz w:val="1"/>
                <w:szCs w:val="1"/>
                <w:color w:val="auto"/>
              </w:rPr>
            </w:pPr>
          </w:p>
        </w:tc>
        <w:tc>
          <w:tcPr>
            <w:tcW w:w="2720" w:type="dxa"/>
            <w:vAlign w:val="bottom"/>
            <w:gridSpan w:val="3"/>
          </w:tcPr>
          <w:p>
            <w:pPr>
              <w:spacing w:after="0" w:line="20" w:lineRule="exact"/>
              <w:rPr>
                <w:sz w:val="1"/>
                <w:szCs w:val="1"/>
                <w:color w:val="auto"/>
              </w:rPr>
            </w:pPr>
          </w:p>
        </w:tc>
      </w:tr>
      <w:tr>
        <w:trPr>
          <w:trHeight w:val="133"/>
        </w:trPr>
        <w:tc>
          <w:tcPr>
            <w:tcW w:w="1000" w:type="dxa"/>
            <w:vAlign w:val="bottom"/>
          </w:tcPr>
          <w:p>
            <w:pPr>
              <w:jc w:val="right"/>
              <w:ind w:right="720"/>
              <w:spacing w:after="0" w:line="133" w:lineRule="exact"/>
              <w:rPr>
                <w:sz w:val="20"/>
                <w:szCs w:val="20"/>
                <w:color w:val="auto"/>
              </w:rPr>
            </w:pPr>
            <w:r>
              <w:rPr>
                <w:rFonts w:ascii="Times New Roman" w:cs="Times New Roman" w:eastAsia="Times New Roman" w:hAnsi="Times New Roman"/>
                <w:sz w:val="12"/>
                <w:szCs w:val="12"/>
                <w:color w:val="auto"/>
                <w:w w:val="95"/>
              </w:rPr>
              <w:t>99.4</w:t>
            </w:r>
          </w:p>
        </w:tc>
        <w:tc>
          <w:tcPr>
            <w:tcW w:w="3420" w:type="dxa"/>
            <w:vAlign w:val="bottom"/>
            <w:tcBorders>
              <w:bottom w:val="single" w:sz="8" w:color="0000FF"/>
            </w:tcBorders>
            <w:gridSpan w:val="4"/>
          </w:tcPr>
          <w:p>
            <w:pPr>
              <w:spacing w:after="0" w:line="133" w:lineRule="exact"/>
              <w:rPr>
                <w:sz w:val="20"/>
                <w:szCs w:val="20"/>
                <w:color w:val="auto"/>
              </w:rPr>
            </w:pPr>
            <w:r>
              <w:rPr>
                <w:rFonts w:ascii="Times New Roman" w:cs="Times New Roman" w:eastAsia="Times New Roman" w:hAnsi="Times New Roman"/>
                <w:sz w:val="12"/>
                <w:szCs w:val="12"/>
                <w:color w:val="0000FF"/>
                <w:w w:val="99"/>
              </w:rPr>
              <w:t>Notice of Annual General Meeting of Shareholders dated July 14, 2025</w:t>
            </w:r>
          </w:p>
        </w:tc>
      </w:tr>
    </w:tbl>
    <w:p>
      <w:pPr>
        <w:sectPr>
          <w:pgSz w:w="11900" w:h="16838" w:orient="portrait"/>
          <w:cols w:equalWidth="0" w:num="1">
            <w:col w:w="10159"/>
          </w:cols>
          <w:pgMar w:left="300" w:top="980" w:right="1440" w:bottom="1440" w:gutter="0" w:footer="0" w:header="0"/>
        </w:sectPr>
      </w:pPr>
    </w:p>
    <w:bookmarkStart w:id="3" w:name="page4"/>
    <w:bookmarkEnd w:id="3"/>
    <w:p>
      <w:pPr>
        <w:spacing w:after="0" w:line="280" w:lineRule="exact"/>
        <w:rPr>
          <w:sz w:val="20"/>
          <w:szCs w:val="20"/>
          <w:color w:val="auto"/>
        </w:rPr>
      </w:pPr>
    </w:p>
    <w:p>
      <w:pPr>
        <w:ind w:left="4920"/>
        <w:spacing w:after="0"/>
        <w:rPr>
          <w:sz w:val="20"/>
          <w:szCs w:val="20"/>
          <w:color w:val="auto"/>
        </w:rPr>
      </w:pPr>
      <w:r>
        <w:rPr>
          <w:rFonts w:ascii="Times New Roman" w:cs="Times New Roman" w:eastAsia="Times New Roman" w:hAnsi="Times New Roman"/>
          <w:sz w:val="22"/>
          <w:szCs w:val="22"/>
          <w:b w:val="1"/>
          <w:bCs w:val="1"/>
          <w:color w:val="auto"/>
        </w:rPr>
        <w:t>CYBIN INC.</w:t>
      </w:r>
    </w:p>
    <w:p>
      <w:pPr>
        <w:spacing w:after="0" w:line="200" w:lineRule="exact"/>
        <w:rPr>
          <w:sz w:val="20"/>
          <w:szCs w:val="20"/>
          <w:color w:val="auto"/>
        </w:rPr>
      </w:pPr>
    </w:p>
    <w:p>
      <w:pPr>
        <w:spacing w:after="0" w:line="264" w:lineRule="exact"/>
        <w:rPr>
          <w:sz w:val="20"/>
          <w:szCs w:val="20"/>
          <w:color w:val="auto"/>
        </w:rPr>
      </w:pPr>
    </w:p>
    <w:p>
      <w:pPr>
        <w:jc w:val="right"/>
        <w:ind w:right="2499"/>
        <w:spacing w:after="0"/>
        <w:rPr>
          <w:sz w:val="20"/>
          <w:szCs w:val="20"/>
          <w:color w:val="auto"/>
        </w:rPr>
      </w:pPr>
      <w:r>
        <w:rPr>
          <w:rFonts w:ascii="Times New Roman" w:cs="Times New Roman" w:eastAsia="Times New Roman" w:hAnsi="Times New Roman"/>
          <w:sz w:val="13"/>
          <w:szCs w:val="13"/>
          <w:b w:val="1"/>
          <w:bCs w:val="1"/>
          <w:color w:val="auto"/>
        </w:rPr>
        <w:t>NOTICE OF ANNUAL GENERAL MEETING OF SHAREHOLDERS</w:t>
      </w:r>
    </w:p>
    <w:p>
      <w:pPr>
        <w:spacing w:after="0" w:line="148"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color w:val="auto"/>
        </w:rPr>
        <w:t>AND</w:t>
      </w:r>
    </w:p>
    <w:p>
      <w:pPr>
        <w:spacing w:after="0" w:line="157" w:lineRule="exact"/>
        <w:rPr>
          <w:sz w:val="20"/>
          <w:szCs w:val="20"/>
          <w:color w:val="auto"/>
        </w:rPr>
      </w:pPr>
    </w:p>
    <w:p>
      <w:pPr>
        <w:ind w:left="4160"/>
        <w:spacing w:after="0"/>
        <w:rPr>
          <w:sz w:val="20"/>
          <w:szCs w:val="20"/>
          <w:color w:val="auto"/>
        </w:rPr>
      </w:pPr>
      <w:r>
        <w:rPr>
          <w:rFonts w:ascii="Times New Roman" w:cs="Times New Roman" w:eastAsia="Times New Roman" w:hAnsi="Times New Roman"/>
          <w:sz w:val="13"/>
          <w:szCs w:val="13"/>
          <w:b w:val="1"/>
          <w:bCs w:val="1"/>
          <w:color w:val="auto"/>
        </w:rPr>
        <w:t>MANAGEMENT INFORMATION CIRCULAR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ind w:left="5160"/>
        <w:spacing w:after="0"/>
        <w:rPr>
          <w:sz w:val="20"/>
          <w:szCs w:val="20"/>
          <w:color w:val="auto"/>
        </w:rPr>
      </w:pPr>
      <w:r>
        <w:rPr>
          <w:rFonts w:ascii="Times New Roman" w:cs="Times New Roman" w:eastAsia="Times New Roman" w:hAnsi="Times New Roman"/>
          <w:sz w:val="13"/>
          <w:szCs w:val="13"/>
          <w:b w:val="1"/>
          <w:bCs w:val="1"/>
          <w:color w:val="auto"/>
        </w:rPr>
        <w:t xml:space="preserve">July </w:t>
      </w:r>
      <w:r>
        <w:rPr>
          <w:rFonts w:ascii="Times New Roman" w:cs="Times New Roman" w:eastAsia="Times New Roman" w:hAnsi="Times New Roman"/>
          <w:sz w:val="13"/>
          <w:szCs w:val="13"/>
          <w:color w:val="auto"/>
        </w:rPr>
        <w:t>14</w:t>
      </w:r>
      <w:r>
        <w:rPr>
          <w:rFonts w:ascii="Times New Roman" w:cs="Times New Roman" w:eastAsia="Times New Roman" w:hAnsi="Times New Roman"/>
          <w:sz w:val="13"/>
          <w:szCs w:val="13"/>
          <w:b w:val="1"/>
          <w:bCs w:val="1"/>
          <w:color w:val="auto"/>
        </w:rPr>
        <w:t>, 2025</w:t>
      </w:r>
    </w:p>
    <w:p>
      <w:pPr>
        <w:sectPr>
          <w:pgSz w:w="11900" w:h="16838" w:orient="portrait"/>
          <w:cols w:equalWidth="0" w:num="1">
            <w:col w:w="10039"/>
          </w:cols>
          <w:pgMar w:left="420" w:top="1440" w:right="1440" w:bottom="1440" w:gutter="0" w:footer="0" w:header="0"/>
        </w:sectPr>
      </w:pPr>
    </w:p>
    <w:bookmarkStart w:id="4" w:name="page5"/>
    <w:bookmarkEnd w:id="4"/>
    <w:tbl>
      <w:tblPr>
        <w:tblLayout w:type="fixed"/>
        <w:tblInd w:w="0" w:type="dxa"/>
        <w:tblCellMar>
          <w:top w:w="0" w:type="dxa"/>
          <w:left w:w="0" w:type="dxa"/>
          <w:bottom w:w="0" w:type="dxa"/>
          <w:right w:w="0" w:type="dxa"/>
        </w:tblCellMar>
      </w:tblPr>
      <w:tr>
        <w:trPr>
          <w:trHeight w:val="222"/>
        </w:trPr>
        <w:tc>
          <w:tcPr>
            <w:tcW w:w="8780" w:type="dxa"/>
            <w:vAlign w:val="bottom"/>
          </w:tcPr>
          <w:p>
            <w:pPr>
              <w:ind w:left="4740"/>
              <w:spacing w:after="0"/>
              <w:rPr>
                <w:sz w:val="20"/>
                <w:szCs w:val="20"/>
                <w:color w:val="auto"/>
              </w:rPr>
            </w:pPr>
            <w:r>
              <w:rPr>
                <w:rFonts w:ascii="Times New Roman" w:cs="Times New Roman" w:eastAsia="Times New Roman" w:hAnsi="Times New Roman"/>
                <w:sz w:val="17"/>
                <w:szCs w:val="17"/>
                <w:b w:val="1"/>
                <w:bCs w:val="1"/>
                <w:color w:val="auto"/>
              </w:rPr>
              <w:t>TABLE OF CONTENTS</w:t>
            </w:r>
          </w:p>
        </w:tc>
        <w:tc>
          <w:tcPr>
            <w:tcW w:w="2500" w:type="dxa"/>
            <w:vAlign w:val="bottom"/>
          </w:tcPr>
          <w:p>
            <w:pPr>
              <w:spacing w:after="0"/>
              <w:rPr>
                <w:sz w:val="19"/>
                <w:szCs w:val="19"/>
                <w:color w:val="auto"/>
              </w:rPr>
            </w:pPr>
          </w:p>
        </w:tc>
      </w:tr>
      <w:tr>
        <w:trPr>
          <w:trHeight w:val="322"/>
        </w:trPr>
        <w:tc>
          <w:tcPr>
            <w:tcW w:w="8780" w:type="dxa"/>
            <w:vAlign w:val="bottom"/>
          </w:tcPr>
          <w:p>
            <w:pPr>
              <w:spacing w:after="0"/>
              <w:rPr>
                <w:sz w:val="20"/>
                <w:szCs w:val="20"/>
                <w:color w:val="auto"/>
              </w:rPr>
            </w:pPr>
            <w:r>
              <w:rPr>
                <w:rFonts w:ascii="Times New Roman" w:cs="Times New Roman" w:eastAsia="Times New Roman" w:hAnsi="Times New Roman"/>
                <w:sz w:val="13"/>
                <w:szCs w:val="13"/>
                <w:color w:val="auto"/>
              </w:rPr>
              <w:t>NOTICE OF ANNUAL GENERAL MEETING OF SHAREHOLDERS</w:t>
            </w:r>
          </w:p>
        </w:tc>
        <w:tc>
          <w:tcPr>
            <w:tcW w:w="25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- 2 -</w:t>
            </w:r>
          </w:p>
        </w:tc>
      </w:tr>
      <w:tr>
        <w:trPr>
          <w:trHeight w:val="171"/>
        </w:trPr>
        <w:tc>
          <w:tcPr>
            <w:tcW w:w="8780" w:type="dxa"/>
            <w:vAlign w:val="bottom"/>
          </w:tcPr>
          <w:p>
            <w:pPr>
              <w:spacing w:after="0"/>
              <w:rPr>
                <w:sz w:val="20"/>
                <w:szCs w:val="20"/>
                <w:color w:val="auto"/>
              </w:rPr>
            </w:pPr>
            <w:r>
              <w:rPr>
                <w:rFonts w:ascii="Times New Roman" w:cs="Times New Roman" w:eastAsia="Times New Roman" w:hAnsi="Times New Roman"/>
                <w:sz w:val="13"/>
                <w:szCs w:val="13"/>
                <w:color w:val="auto"/>
              </w:rPr>
              <w:t>MANAGEMENT INFORMATION CIRCULAR</w:t>
            </w:r>
          </w:p>
        </w:tc>
        <w:tc>
          <w:tcPr>
            <w:tcW w:w="25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- 4 -</w:t>
            </w:r>
          </w:p>
        </w:tc>
      </w:tr>
      <w:tr>
        <w:trPr>
          <w:trHeight w:val="171"/>
        </w:trPr>
        <w:tc>
          <w:tcPr>
            <w:tcW w:w="8780" w:type="dxa"/>
            <w:vAlign w:val="bottom"/>
          </w:tcPr>
          <w:p>
            <w:pPr>
              <w:spacing w:after="0"/>
              <w:rPr>
                <w:sz w:val="20"/>
                <w:szCs w:val="20"/>
                <w:color w:val="auto"/>
              </w:rPr>
            </w:pPr>
            <w:r>
              <w:rPr>
                <w:rFonts w:ascii="Times New Roman" w:cs="Times New Roman" w:eastAsia="Times New Roman" w:hAnsi="Times New Roman"/>
                <w:sz w:val="13"/>
                <w:szCs w:val="13"/>
                <w:color w:val="auto"/>
              </w:rPr>
              <w:t>SOLICITATION OF PROXIES</w:t>
            </w:r>
          </w:p>
        </w:tc>
        <w:tc>
          <w:tcPr>
            <w:tcW w:w="25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- 4 -</w:t>
            </w:r>
          </w:p>
        </w:tc>
      </w:tr>
      <w:tr>
        <w:trPr>
          <w:trHeight w:val="171"/>
        </w:trPr>
        <w:tc>
          <w:tcPr>
            <w:tcW w:w="8780" w:type="dxa"/>
            <w:vAlign w:val="bottom"/>
          </w:tcPr>
          <w:p>
            <w:pPr>
              <w:spacing w:after="0"/>
              <w:rPr>
                <w:sz w:val="20"/>
                <w:szCs w:val="20"/>
                <w:color w:val="auto"/>
              </w:rPr>
            </w:pPr>
            <w:r>
              <w:rPr>
                <w:rFonts w:ascii="Times New Roman" w:cs="Times New Roman" w:eastAsia="Times New Roman" w:hAnsi="Times New Roman"/>
                <w:sz w:val="13"/>
                <w:szCs w:val="13"/>
                <w:color w:val="auto"/>
              </w:rPr>
              <w:t>VOTING AT THE MEETING</w:t>
            </w:r>
          </w:p>
        </w:tc>
        <w:tc>
          <w:tcPr>
            <w:tcW w:w="25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- 4 -</w:t>
            </w:r>
          </w:p>
        </w:tc>
      </w:tr>
      <w:tr>
        <w:trPr>
          <w:trHeight w:val="171"/>
        </w:trPr>
        <w:tc>
          <w:tcPr>
            <w:tcW w:w="8780" w:type="dxa"/>
            <w:vAlign w:val="bottom"/>
          </w:tcPr>
          <w:p>
            <w:pPr>
              <w:spacing w:after="0"/>
              <w:rPr>
                <w:sz w:val="20"/>
                <w:szCs w:val="20"/>
                <w:color w:val="auto"/>
              </w:rPr>
            </w:pPr>
            <w:r>
              <w:rPr>
                <w:rFonts w:ascii="Times New Roman" w:cs="Times New Roman" w:eastAsia="Times New Roman" w:hAnsi="Times New Roman"/>
                <w:sz w:val="13"/>
                <w:szCs w:val="13"/>
                <w:color w:val="auto"/>
              </w:rPr>
              <w:t>APPOINTMENT AND REVOCATION OF PROXIES</w:t>
            </w:r>
          </w:p>
        </w:tc>
        <w:tc>
          <w:tcPr>
            <w:tcW w:w="25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- 5 -</w:t>
            </w:r>
          </w:p>
        </w:tc>
      </w:tr>
      <w:tr>
        <w:trPr>
          <w:trHeight w:val="171"/>
        </w:trPr>
        <w:tc>
          <w:tcPr>
            <w:tcW w:w="8780" w:type="dxa"/>
            <w:vAlign w:val="bottom"/>
          </w:tcPr>
          <w:p>
            <w:pPr>
              <w:spacing w:after="0"/>
              <w:rPr>
                <w:sz w:val="20"/>
                <w:szCs w:val="20"/>
                <w:color w:val="auto"/>
              </w:rPr>
            </w:pPr>
            <w:r>
              <w:rPr>
                <w:rFonts w:ascii="Times New Roman" w:cs="Times New Roman" w:eastAsia="Times New Roman" w:hAnsi="Times New Roman"/>
                <w:sz w:val="13"/>
                <w:szCs w:val="13"/>
                <w:color w:val="auto"/>
              </w:rPr>
              <w:t>EXERCISE OF DISCRETION BY PROXIES</w:t>
            </w:r>
          </w:p>
        </w:tc>
        <w:tc>
          <w:tcPr>
            <w:tcW w:w="25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- 5 -</w:t>
            </w:r>
          </w:p>
        </w:tc>
      </w:tr>
      <w:tr>
        <w:trPr>
          <w:trHeight w:val="171"/>
        </w:trPr>
        <w:tc>
          <w:tcPr>
            <w:tcW w:w="8780" w:type="dxa"/>
            <w:vAlign w:val="bottom"/>
          </w:tcPr>
          <w:p>
            <w:pPr>
              <w:spacing w:after="0"/>
              <w:rPr>
                <w:sz w:val="20"/>
                <w:szCs w:val="20"/>
                <w:color w:val="auto"/>
              </w:rPr>
            </w:pPr>
            <w:r>
              <w:rPr>
                <w:rFonts w:ascii="Times New Roman" w:cs="Times New Roman" w:eastAsia="Times New Roman" w:hAnsi="Times New Roman"/>
                <w:sz w:val="13"/>
                <w:szCs w:val="13"/>
                <w:color w:val="auto"/>
              </w:rPr>
              <w:t>HOW DO I ATTEND AND PARTICIPATE AT THE MEETING?</w:t>
            </w:r>
          </w:p>
        </w:tc>
        <w:tc>
          <w:tcPr>
            <w:tcW w:w="25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- 6 -</w:t>
            </w:r>
          </w:p>
        </w:tc>
      </w:tr>
      <w:tr>
        <w:trPr>
          <w:trHeight w:val="171"/>
        </w:trPr>
        <w:tc>
          <w:tcPr>
            <w:tcW w:w="8780" w:type="dxa"/>
            <w:vAlign w:val="bottom"/>
          </w:tcPr>
          <w:p>
            <w:pPr>
              <w:spacing w:after="0"/>
              <w:rPr>
                <w:sz w:val="20"/>
                <w:szCs w:val="20"/>
                <w:color w:val="auto"/>
              </w:rPr>
            </w:pPr>
            <w:r>
              <w:rPr>
                <w:rFonts w:ascii="Times New Roman" w:cs="Times New Roman" w:eastAsia="Times New Roman" w:hAnsi="Times New Roman"/>
                <w:sz w:val="13"/>
                <w:szCs w:val="13"/>
                <w:color w:val="auto"/>
              </w:rPr>
              <w:t>ADVICE TO BENEFICIAL SHAREHOLDERS</w:t>
            </w:r>
          </w:p>
        </w:tc>
        <w:tc>
          <w:tcPr>
            <w:tcW w:w="25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- 6 -</w:t>
            </w:r>
          </w:p>
        </w:tc>
      </w:tr>
      <w:tr>
        <w:trPr>
          <w:trHeight w:val="171"/>
        </w:trPr>
        <w:tc>
          <w:tcPr>
            <w:tcW w:w="8780" w:type="dxa"/>
            <w:vAlign w:val="bottom"/>
          </w:tcPr>
          <w:p>
            <w:pPr>
              <w:spacing w:after="0"/>
              <w:rPr>
                <w:sz w:val="20"/>
                <w:szCs w:val="20"/>
                <w:color w:val="auto"/>
              </w:rPr>
            </w:pPr>
            <w:r>
              <w:rPr>
                <w:rFonts w:ascii="Times New Roman" w:cs="Times New Roman" w:eastAsia="Times New Roman" w:hAnsi="Times New Roman"/>
                <w:sz w:val="13"/>
                <w:szCs w:val="13"/>
                <w:color w:val="auto"/>
              </w:rPr>
              <w:t>NOTE TO NON-OBJECTING BENEFICIAL OWNERS</w:t>
            </w:r>
          </w:p>
        </w:tc>
        <w:tc>
          <w:tcPr>
            <w:tcW w:w="25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- 7 -</w:t>
            </w:r>
          </w:p>
        </w:tc>
      </w:tr>
      <w:tr>
        <w:trPr>
          <w:trHeight w:val="171"/>
        </w:trPr>
        <w:tc>
          <w:tcPr>
            <w:tcW w:w="8780" w:type="dxa"/>
            <w:vAlign w:val="bottom"/>
          </w:tcPr>
          <w:p>
            <w:pPr>
              <w:spacing w:after="0"/>
              <w:rPr>
                <w:sz w:val="20"/>
                <w:szCs w:val="20"/>
                <w:color w:val="auto"/>
              </w:rPr>
            </w:pPr>
            <w:r>
              <w:rPr>
                <w:rFonts w:ascii="Times New Roman" w:cs="Times New Roman" w:eastAsia="Times New Roman" w:hAnsi="Times New Roman"/>
                <w:sz w:val="13"/>
                <w:szCs w:val="13"/>
                <w:color w:val="auto"/>
              </w:rPr>
              <w:t>VOTING SECURITIES AND PRINCIPAL HOLDERS THEREOF</w:t>
            </w:r>
          </w:p>
        </w:tc>
        <w:tc>
          <w:tcPr>
            <w:tcW w:w="25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- 8 -</w:t>
            </w:r>
          </w:p>
        </w:tc>
      </w:tr>
      <w:tr>
        <w:trPr>
          <w:trHeight w:val="171"/>
        </w:trPr>
        <w:tc>
          <w:tcPr>
            <w:tcW w:w="8780" w:type="dxa"/>
            <w:vAlign w:val="bottom"/>
          </w:tcPr>
          <w:p>
            <w:pPr>
              <w:spacing w:after="0"/>
              <w:rPr>
                <w:sz w:val="20"/>
                <w:szCs w:val="20"/>
                <w:color w:val="auto"/>
              </w:rPr>
            </w:pPr>
            <w:r>
              <w:rPr>
                <w:rFonts w:ascii="Times New Roman" w:cs="Times New Roman" w:eastAsia="Times New Roman" w:hAnsi="Times New Roman"/>
                <w:sz w:val="13"/>
                <w:szCs w:val="13"/>
                <w:color w:val="auto"/>
              </w:rPr>
              <w:t>CORPORATE OVERVIEW</w:t>
            </w:r>
          </w:p>
        </w:tc>
        <w:tc>
          <w:tcPr>
            <w:tcW w:w="25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- 8 -</w:t>
            </w:r>
          </w:p>
        </w:tc>
      </w:tr>
      <w:tr>
        <w:trPr>
          <w:trHeight w:val="171"/>
        </w:trPr>
        <w:tc>
          <w:tcPr>
            <w:tcW w:w="8780" w:type="dxa"/>
            <w:vAlign w:val="bottom"/>
          </w:tcPr>
          <w:p>
            <w:pPr>
              <w:spacing w:after="0"/>
              <w:rPr>
                <w:sz w:val="20"/>
                <w:szCs w:val="20"/>
                <w:color w:val="auto"/>
              </w:rPr>
            </w:pPr>
            <w:r>
              <w:rPr>
                <w:rFonts w:ascii="Times New Roman" w:cs="Times New Roman" w:eastAsia="Times New Roman" w:hAnsi="Times New Roman"/>
                <w:sz w:val="13"/>
                <w:szCs w:val="13"/>
                <w:color w:val="auto"/>
              </w:rPr>
              <w:t>EXECUTIVE COMPENSATION</w:t>
            </w:r>
          </w:p>
        </w:tc>
        <w:tc>
          <w:tcPr>
            <w:tcW w:w="25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- 8 -</w:t>
            </w:r>
          </w:p>
        </w:tc>
      </w:tr>
      <w:tr>
        <w:trPr>
          <w:trHeight w:val="171"/>
        </w:trPr>
        <w:tc>
          <w:tcPr>
            <w:tcW w:w="8780" w:type="dxa"/>
            <w:vAlign w:val="bottom"/>
          </w:tcPr>
          <w:p>
            <w:pPr>
              <w:spacing w:after="0"/>
              <w:rPr>
                <w:sz w:val="20"/>
                <w:szCs w:val="20"/>
                <w:color w:val="auto"/>
              </w:rPr>
            </w:pPr>
            <w:r>
              <w:rPr>
                <w:rFonts w:ascii="Times New Roman" w:cs="Times New Roman" w:eastAsia="Times New Roman" w:hAnsi="Times New Roman"/>
                <w:sz w:val="13"/>
                <w:szCs w:val="13"/>
                <w:color w:val="auto"/>
              </w:rPr>
              <w:t>PERFORMANCE GRAPH</w:t>
            </w:r>
          </w:p>
        </w:tc>
        <w:tc>
          <w:tcPr>
            <w:tcW w:w="25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- 16 -</w:t>
            </w:r>
          </w:p>
        </w:tc>
      </w:tr>
      <w:tr>
        <w:trPr>
          <w:trHeight w:val="171"/>
        </w:trPr>
        <w:tc>
          <w:tcPr>
            <w:tcW w:w="8780" w:type="dxa"/>
            <w:vAlign w:val="bottom"/>
          </w:tcPr>
          <w:p>
            <w:pPr>
              <w:spacing w:after="0"/>
              <w:rPr>
                <w:sz w:val="20"/>
                <w:szCs w:val="20"/>
                <w:color w:val="auto"/>
              </w:rPr>
            </w:pPr>
            <w:r>
              <w:rPr>
                <w:rFonts w:ascii="Times New Roman" w:cs="Times New Roman" w:eastAsia="Times New Roman" w:hAnsi="Times New Roman"/>
                <w:sz w:val="13"/>
                <w:szCs w:val="13"/>
                <w:color w:val="auto"/>
              </w:rPr>
              <w:t>SUMMARY COMPENSATION TABLE</w:t>
            </w:r>
          </w:p>
        </w:tc>
        <w:tc>
          <w:tcPr>
            <w:tcW w:w="25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- 17 -</w:t>
            </w:r>
          </w:p>
        </w:tc>
      </w:tr>
      <w:tr>
        <w:trPr>
          <w:trHeight w:val="171"/>
        </w:trPr>
        <w:tc>
          <w:tcPr>
            <w:tcW w:w="8780" w:type="dxa"/>
            <w:vAlign w:val="bottom"/>
          </w:tcPr>
          <w:p>
            <w:pPr>
              <w:spacing w:after="0"/>
              <w:rPr>
                <w:sz w:val="20"/>
                <w:szCs w:val="20"/>
                <w:color w:val="auto"/>
              </w:rPr>
            </w:pPr>
            <w:r>
              <w:rPr>
                <w:rFonts w:ascii="Times New Roman" w:cs="Times New Roman" w:eastAsia="Times New Roman" w:hAnsi="Times New Roman"/>
                <w:sz w:val="13"/>
                <w:szCs w:val="13"/>
                <w:color w:val="auto"/>
              </w:rPr>
              <w:t>INCENTIVE PLAN AWARDS</w:t>
            </w:r>
          </w:p>
        </w:tc>
        <w:tc>
          <w:tcPr>
            <w:tcW w:w="25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- 18 -</w:t>
            </w:r>
          </w:p>
        </w:tc>
      </w:tr>
      <w:tr>
        <w:trPr>
          <w:trHeight w:val="171"/>
        </w:trPr>
        <w:tc>
          <w:tcPr>
            <w:tcW w:w="8780" w:type="dxa"/>
            <w:vAlign w:val="bottom"/>
          </w:tcPr>
          <w:p>
            <w:pPr>
              <w:spacing w:after="0"/>
              <w:rPr>
                <w:sz w:val="20"/>
                <w:szCs w:val="20"/>
                <w:color w:val="auto"/>
              </w:rPr>
            </w:pPr>
            <w:r>
              <w:rPr>
                <w:rFonts w:ascii="Times New Roman" w:cs="Times New Roman" w:eastAsia="Times New Roman" w:hAnsi="Times New Roman"/>
                <w:sz w:val="13"/>
                <w:szCs w:val="13"/>
                <w:color w:val="auto"/>
              </w:rPr>
              <w:t>DIRECTOR COMPENSATION</w:t>
            </w:r>
          </w:p>
        </w:tc>
        <w:tc>
          <w:tcPr>
            <w:tcW w:w="25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- 20 -</w:t>
            </w:r>
          </w:p>
        </w:tc>
      </w:tr>
      <w:tr>
        <w:trPr>
          <w:trHeight w:val="171"/>
        </w:trPr>
        <w:tc>
          <w:tcPr>
            <w:tcW w:w="8780" w:type="dxa"/>
            <w:vAlign w:val="bottom"/>
          </w:tcPr>
          <w:p>
            <w:pPr>
              <w:spacing w:after="0"/>
              <w:rPr>
                <w:sz w:val="20"/>
                <w:szCs w:val="20"/>
                <w:color w:val="auto"/>
              </w:rPr>
            </w:pPr>
            <w:r>
              <w:rPr>
                <w:rFonts w:ascii="Times New Roman" w:cs="Times New Roman" w:eastAsia="Times New Roman" w:hAnsi="Times New Roman"/>
                <w:sz w:val="13"/>
                <w:szCs w:val="13"/>
                <w:color w:val="auto"/>
              </w:rPr>
              <w:t>SECURITIES AUTHORIZED FOR ISSUANCE UNDER EQUITY COMPENSATION PLANS</w:t>
            </w:r>
          </w:p>
        </w:tc>
        <w:tc>
          <w:tcPr>
            <w:tcW w:w="25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- 22 -</w:t>
            </w:r>
          </w:p>
        </w:tc>
      </w:tr>
      <w:tr>
        <w:trPr>
          <w:trHeight w:val="171"/>
        </w:trPr>
        <w:tc>
          <w:tcPr>
            <w:tcW w:w="8780" w:type="dxa"/>
            <w:vAlign w:val="bottom"/>
          </w:tcPr>
          <w:p>
            <w:pPr>
              <w:spacing w:after="0"/>
              <w:rPr>
                <w:sz w:val="20"/>
                <w:szCs w:val="20"/>
                <w:color w:val="auto"/>
              </w:rPr>
            </w:pPr>
            <w:r>
              <w:rPr>
                <w:rFonts w:ascii="Times New Roman" w:cs="Times New Roman" w:eastAsia="Times New Roman" w:hAnsi="Times New Roman"/>
                <w:sz w:val="13"/>
                <w:szCs w:val="13"/>
                <w:color w:val="auto"/>
              </w:rPr>
              <w:t>INDEBTEDNESS OF DIRECTORS AND EXECUTIVE OFFICERS</w:t>
            </w:r>
          </w:p>
        </w:tc>
        <w:tc>
          <w:tcPr>
            <w:tcW w:w="25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- 22 -</w:t>
            </w:r>
          </w:p>
        </w:tc>
      </w:tr>
      <w:tr>
        <w:trPr>
          <w:trHeight w:val="171"/>
        </w:trPr>
        <w:tc>
          <w:tcPr>
            <w:tcW w:w="8780" w:type="dxa"/>
            <w:vAlign w:val="bottom"/>
          </w:tcPr>
          <w:p>
            <w:pPr>
              <w:spacing w:after="0"/>
              <w:rPr>
                <w:sz w:val="20"/>
                <w:szCs w:val="20"/>
                <w:color w:val="auto"/>
              </w:rPr>
            </w:pPr>
            <w:r>
              <w:rPr>
                <w:rFonts w:ascii="Times New Roman" w:cs="Times New Roman" w:eastAsia="Times New Roman" w:hAnsi="Times New Roman"/>
                <w:sz w:val="13"/>
                <w:szCs w:val="13"/>
                <w:color w:val="auto"/>
              </w:rPr>
              <w:t>REPORT ON CORPORATE GOVERNANCE</w:t>
            </w:r>
          </w:p>
        </w:tc>
        <w:tc>
          <w:tcPr>
            <w:tcW w:w="25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- 22 -</w:t>
            </w:r>
          </w:p>
        </w:tc>
      </w:tr>
      <w:tr>
        <w:trPr>
          <w:trHeight w:val="171"/>
        </w:trPr>
        <w:tc>
          <w:tcPr>
            <w:tcW w:w="8780" w:type="dxa"/>
            <w:vAlign w:val="bottom"/>
          </w:tcPr>
          <w:p>
            <w:pPr>
              <w:spacing w:after="0"/>
              <w:rPr>
                <w:sz w:val="20"/>
                <w:szCs w:val="20"/>
                <w:color w:val="auto"/>
              </w:rPr>
            </w:pPr>
            <w:r>
              <w:rPr>
                <w:rFonts w:ascii="Times New Roman" w:cs="Times New Roman" w:eastAsia="Times New Roman" w:hAnsi="Times New Roman"/>
                <w:sz w:val="13"/>
                <w:szCs w:val="13"/>
                <w:color w:val="auto"/>
              </w:rPr>
              <w:t>AUDIT COMMITTEE DISCLOSURE</w:t>
            </w:r>
          </w:p>
        </w:tc>
        <w:tc>
          <w:tcPr>
            <w:tcW w:w="25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- 22 -</w:t>
            </w:r>
          </w:p>
        </w:tc>
      </w:tr>
      <w:tr>
        <w:trPr>
          <w:trHeight w:val="171"/>
        </w:trPr>
        <w:tc>
          <w:tcPr>
            <w:tcW w:w="8780" w:type="dxa"/>
            <w:vAlign w:val="bottom"/>
          </w:tcPr>
          <w:p>
            <w:pPr>
              <w:spacing w:after="0"/>
              <w:rPr>
                <w:sz w:val="20"/>
                <w:szCs w:val="20"/>
                <w:color w:val="auto"/>
              </w:rPr>
            </w:pPr>
            <w:r>
              <w:rPr>
                <w:rFonts w:ascii="Times New Roman" w:cs="Times New Roman" w:eastAsia="Times New Roman" w:hAnsi="Times New Roman"/>
                <w:sz w:val="13"/>
                <w:szCs w:val="13"/>
                <w:color w:val="auto"/>
              </w:rPr>
              <w:t>INTERESTS OF INFORMED PERSONS IN MATERIAL TRANSACTIONS</w:t>
            </w:r>
          </w:p>
        </w:tc>
        <w:tc>
          <w:tcPr>
            <w:tcW w:w="25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- 24 -</w:t>
            </w:r>
          </w:p>
        </w:tc>
      </w:tr>
      <w:tr>
        <w:trPr>
          <w:trHeight w:val="171"/>
        </w:trPr>
        <w:tc>
          <w:tcPr>
            <w:tcW w:w="8780" w:type="dxa"/>
            <w:vAlign w:val="bottom"/>
          </w:tcPr>
          <w:p>
            <w:pPr>
              <w:spacing w:after="0"/>
              <w:rPr>
                <w:sz w:val="20"/>
                <w:szCs w:val="20"/>
                <w:color w:val="auto"/>
              </w:rPr>
            </w:pPr>
            <w:r>
              <w:rPr>
                <w:rFonts w:ascii="Times New Roman" w:cs="Times New Roman" w:eastAsia="Times New Roman" w:hAnsi="Times New Roman"/>
                <w:sz w:val="13"/>
                <w:szCs w:val="13"/>
                <w:color w:val="auto"/>
              </w:rPr>
              <w:t>PARTICULARS OF MATTERS TO BE ACTED UPON</w:t>
            </w:r>
          </w:p>
        </w:tc>
        <w:tc>
          <w:tcPr>
            <w:tcW w:w="25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- 25 -</w:t>
            </w:r>
          </w:p>
        </w:tc>
      </w:tr>
      <w:tr>
        <w:trPr>
          <w:trHeight w:val="171"/>
        </w:trPr>
        <w:tc>
          <w:tcPr>
            <w:tcW w:w="8780" w:type="dxa"/>
            <w:vAlign w:val="bottom"/>
          </w:tcPr>
          <w:p>
            <w:pPr>
              <w:spacing w:after="0"/>
              <w:rPr>
                <w:sz w:val="20"/>
                <w:szCs w:val="20"/>
                <w:color w:val="auto"/>
              </w:rPr>
            </w:pPr>
            <w:r>
              <w:rPr>
                <w:rFonts w:ascii="Times New Roman" w:cs="Times New Roman" w:eastAsia="Times New Roman" w:hAnsi="Times New Roman"/>
                <w:sz w:val="13"/>
                <w:szCs w:val="13"/>
                <w:color w:val="auto"/>
              </w:rPr>
              <w:t>INTEREST OF CERTAIN PERSONS IN MATTERS TO BE ACTED UPON</w:t>
            </w:r>
          </w:p>
        </w:tc>
        <w:tc>
          <w:tcPr>
            <w:tcW w:w="25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- 30 -</w:t>
            </w:r>
          </w:p>
        </w:tc>
      </w:tr>
      <w:tr>
        <w:trPr>
          <w:trHeight w:val="171"/>
        </w:trPr>
        <w:tc>
          <w:tcPr>
            <w:tcW w:w="8780" w:type="dxa"/>
            <w:vAlign w:val="bottom"/>
          </w:tcPr>
          <w:p>
            <w:pPr>
              <w:spacing w:after="0"/>
              <w:rPr>
                <w:sz w:val="20"/>
                <w:szCs w:val="20"/>
                <w:color w:val="auto"/>
              </w:rPr>
            </w:pPr>
            <w:r>
              <w:rPr>
                <w:rFonts w:ascii="Times New Roman" w:cs="Times New Roman" w:eastAsia="Times New Roman" w:hAnsi="Times New Roman"/>
                <w:sz w:val="13"/>
                <w:szCs w:val="13"/>
                <w:color w:val="auto"/>
              </w:rPr>
              <w:t>ADDITIONAL INFORMATION</w:t>
            </w:r>
          </w:p>
        </w:tc>
        <w:tc>
          <w:tcPr>
            <w:tcW w:w="25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- 31 -</w:t>
            </w:r>
          </w:p>
        </w:tc>
      </w:tr>
      <w:tr>
        <w:trPr>
          <w:trHeight w:val="171"/>
        </w:trPr>
        <w:tc>
          <w:tcPr>
            <w:tcW w:w="8780" w:type="dxa"/>
            <w:vAlign w:val="bottom"/>
          </w:tcPr>
          <w:p>
            <w:pPr>
              <w:spacing w:after="0"/>
              <w:rPr>
                <w:sz w:val="20"/>
                <w:szCs w:val="20"/>
                <w:color w:val="auto"/>
              </w:rPr>
            </w:pPr>
            <w:r>
              <w:rPr>
                <w:rFonts w:ascii="Times New Roman" w:cs="Times New Roman" w:eastAsia="Times New Roman" w:hAnsi="Times New Roman"/>
                <w:sz w:val="13"/>
                <w:szCs w:val="13"/>
                <w:color w:val="auto"/>
              </w:rPr>
              <w:t>APPROVAL OF BOARD OF DIRECTORS</w:t>
            </w:r>
          </w:p>
        </w:tc>
        <w:tc>
          <w:tcPr>
            <w:tcW w:w="25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- 31 -</w:t>
            </w:r>
          </w:p>
        </w:tc>
      </w:tr>
      <w:tr>
        <w:trPr>
          <w:trHeight w:val="135"/>
        </w:trPr>
        <w:tc>
          <w:tcPr>
            <w:tcW w:w="8780" w:type="dxa"/>
            <w:vAlign w:val="bottom"/>
          </w:tcPr>
          <w:p>
            <w:pPr>
              <w:spacing w:after="0" w:line="135" w:lineRule="exact"/>
              <w:rPr>
                <w:sz w:val="20"/>
                <w:szCs w:val="20"/>
                <w:color w:val="auto"/>
              </w:rPr>
            </w:pPr>
            <w:r>
              <w:rPr>
                <w:rFonts w:ascii="Times New Roman" w:cs="Times New Roman" w:eastAsia="Times New Roman" w:hAnsi="Times New Roman"/>
                <w:sz w:val="13"/>
                <w:szCs w:val="13"/>
                <w:color w:val="auto"/>
              </w:rPr>
              <w:t>SCHEDULE "A"</w:t>
            </w:r>
          </w:p>
        </w:tc>
        <w:tc>
          <w:tcPr>
            <w:tcW w:w="250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A - 1</w:t>
            </w:r>
          </w:p>
        </w:tc>
      </w:tr>
      <w:tr>
        <w:trPr>
          <w:trHeight w:val="162"/>
        </w:trPr>
        <w:tc>
          <w:tcPr>
            <w:tcW w:w="8780" w:type="dxa"/>
            <w:vAlign w:val="bottom"/>
          </w:tcPr>
          <w:p>
            <w:pPr>
              <w:ind w:left="1300"/>
              <w:spacing w:after="0"/>
              <w:rPr>
                <w:sz w:val="20"/>
                <w:szCs w:val="20"/>
                <w:color w:val="auto"/>
              </w:rPr>
            </w:pPr>
            <w:r>
              <w:rPr>
                <w:rFonts w:ascii="Times New Roman" w:cs="Times New Roman" w:eastAsia="Times New Roman" w:hAnsi="Times New Roman"/>
                <w:sz w:val="13"/>
                <w:szCs w:val="13"/>
                <w:color w:val="auto"/>
              </w:rPr>
              <w:t>STATEMENT OF GOVERNANCE PRACTICES</w:t>
            </w:r>
          </w:p>
        </w:tc>
        <w:tc>
          <w:tcPr>
            <w:tcW w:w="2500" w:type="dxa"/>
            <w:vAlign w:val="bottom"/>
          </w:tcPr>
          <w:p>
            <w:pPr>
              <w:spacing w:after="0"/>
              <w:rPr>
                <w:sz w:val="14"/>
                <w:szCs w:val="14"/>
                <w:color w:val="auto"/>
              </w:rPr>
            </w:pPr>
          </w:p>
        </w:tc>
      </w:tr>
      <w:tr>
        <w:trPr>
          <w:trHeight w:val="135"/>
        </w:trPr>
        <w:tc>
          <w:tcPr>
            <w:tcW w:w="8780" w:type="dxa"/>
            <w:vAlign w:val="bottom"/>
          </w:tcPr>
          <w:p>
            <w:pPr>
              <w:spacing w:after="0" w:line="135" w:lineRule="exact"/>
              <w:rPr>
                <w:sz w:val="20"/>
                <w:szCs w:val="20"/>
                <w:color w:val="auto"/>
              </w:rPr>
            </w:pPr>
            <w:r>
              <w:rPr>
                <w:rFonts w:ascii="Times New Roman" w:cs="Times New Roman" w:eastAsia="Times New Roman" w:hAnsi="Times New Roman"/>
                <w:sz w:val="13"/>
                <w:szCs w:val="13"/>
                <w:color w:val="auto"/>
              </w:rPr>
              <w:t>SCHEDULE "B"</w:t>
            </w:r>
          </w:p>
        </w:tc>
        <w:tc>
          <w:tcPr>
            <w:tcW w:w="250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B - 1</w:t>
            </w:r>
          </w:p>
        </w:tc>
      </w:tr>
      <w:tr>
        <w:trPr>
          <w:trHeight w:val="162"/>
        </w:trPr>
        <w:tc>
          <w:tcPr>
            <w:tcW w:w="8780" w:type="dxa"/>
            <w:vAlign w:val="bottom"/>
          </w:tcPr>
          <w:p>
            <w:pPr>
              <w:ind w:left="1300"/>
              <w:spacing w:after="0"/>
              <w:rPr>
                <w:sz w:val="20"/>
                <w:szCs w:val="20"/>
                <w:color w:val="auto"/>
              </w:rPr>
            </w:pPr>
            <w:r>
              <w:rPr>
                <w:rFonts w:ascii="Times New Roman" w:cs="Times New Roman" w:eastAsia="Times New Roman" w:hAnsi="Times New Roman"/>
                <w:sz w:val="13"/>
                <w:szCs w:val="13"/>
                <w:color w:val="auto"/>
              </w:rPr>
              <w:t>AUDIT COMMITTEE CHART</w:t>
            </w:r>
          </w:p>
        </w:tc>
        <w:tc>
          <w:tcPr>
            <w:tcW w:w="2500" w:type="dxa"/>
            <w:vAlign w:val="bottom"/>
          </w:tcPr>
          <w:p>
            <w:pPr>
              <w:spacing w:after="0"/>
              <w:rPr>
                <w:sz w:val="14"/>
                <w:szCs w:val="14"/>
                <w:color w:val="auto"/>
              </w:rPr>
            </w:pPr>
          </w:p>
        </w:tc>
      </w:tr>
      <w:tr>
        <w:trPr>
          <w:trHeight w:val="135"/>
        </w:trPr>
        <w:tc>
          <w:tcPr>
            <w:tcW w:w="8780" w:type="dxa"/>
            <w:vAlign w:val="bottom"/>
          </w:tcPr>
          <w:p>
            <w:pPr>
              <w:spacing w:after="0" w:line="135" w:lineRule="exact"/>
              <w:rPr>
                <w:sz w:val="20"/>
                <w:szCs w:val="20"/>
                <w:color w:val="auto"/>
              </w:rPr>
            </w:pPr>
            <w:r>
              <w:rPr>
                <w:rFonts w:ascii="Times New Roman" w:cs="Times New Roman" w:eastAsia="Times New Roman" w:hAnsi="Times New Roman"/>
                <w:sz w:val="13"/>
                <w:szCs w:val="13"/>
                <w:color w:val="auto"/>
              </w:rPr>
              <w:t>SCHEDULE "C"</w:t>
            </w:r>
          </w:p>
        </w:tc>
        <w:tc>
          <w:tcPr>
            <w:tcW w:w="250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C - 1</w:t>
            </w:r>
          </w:p>
        </w:tc>
      </w:tr>
      <w:tr>
        <w:trPr>
          <w:trHeight w:val="172"/>
        </w:trPr>
        <w:tc>
          <w:tcPr>
            <w:tcW w:w="8780" w:type="dxa"/>
            <w:vAlign w:val="bottom"/>
          </w:tcPr>
          <w:p>
            <w:pPr>
              <w:ind w:left="1300"/>
              <w:spacing w:after="0"/>
              <w:rPr>
                <w:sz w:val="20"/>
                <w:szCs w:val="20"/>
                <w:color w:val="auto"/>
              </w:rPr>
            </w:pPr>
            <w:r>
              <w:rPr>
                <w:rFonts w:ascii="Times New Roman" w:cs="Times New Roman" w:eastAsia="Times New Roman" w:hAnsi="Times New Roman"/>
                <w:sz w:val="13"/>
                <w:szCs w:val="13"/>
                <w:color w:val="auto"/>
              </w:rPr>
              <w:t>DIRECTORS’ MANDATE</w:t>
            </w:r>
          </w:p>
        </w:tc>
        <w:tc>
          <w:tcPr>
            <w:tcW w:w="2500" w:type="dxa"/>
            <w:vAlign w:val="bottom"/>
          </w:tcPr>
          <w:p>
            <w:pPr>
              <w:spacing w:after="0"/>
              <w:rPr>
                <w:sz w:val="14"/>
                <w:szCs w:val="14"/>
                <w:color w:val="auto"/>
              </w:rPr>
            </w:pPr>
          </w:p>
        </w:tc>
      </w:tr>
    </w:tbl>
    <w:p>
      <w:pPr>
        <w:sectPr>
          <w:pgSz w:w="11900" w:h="16838" w:orient="portrait"/>
          <w:cols w:equalWidth="0" w:num="1">
            <w:col w:w="11280"/>
          </w:cols>
          <w:pgMar w:left="300" w:top="814" w:right="319" w:bottom="1440" w:gutter="0" w:footer="0" w:header="0"/>
        </w:sectPr>
      </w:pPr>
    </w:p>
    <w:bookmarkStart w:id="5" w:name="page6"/>
    <w:bookmarkEnd w:id="5"/>
    <w:p>
      <w:pPr>
        <w:jc w:val="center"/>
        <w:ind w:right="-7"/>
        <w:spacing w:after="0"/>
        <w:rPr>
          <w:sz w:val="20"/>
          <w:szCs w:val="20"/>
          <w:color w:val="auto"/>
        </w:rPr>
      </w:pPr>
      <w:r>
        <w:rPr>
          <w:rFonts w:ascii="Times New Roman" w:cs="Times New Roman" w:eastAsia="Times New Roman" w:hAnsi="Times New Roman"/>
          <w:sz w:val="13"/>
          <w:szCs w:val="13"/>
          <w:b w:val="1"/>
          <w:bCs w:val="1"/>
          <w:color w:val="auto"/>
        </w:rPr>
        <w:t>CYBIN INC.</w:t>
      </w:r>
    </w:p>
    <w:p>
      <w:pPr>
        <w:spacing w:after="0" w:line="157" w:lineRule="exact"/>
        <w:rPr>
          <w:sz w:val="20"/>
          <w:szCs w:val="20"/>
          <w:color w:val="auto"/>
        </w:rPr>
      </w:pPr>
    </w:p>
    <w:p>
      <w:pPr>
        <w:jc w:val="center"/>
        <w:ind w:right="-7"/>
        <w:spacing w:after="0"/>
        <w:rPr>
          <w:sz w:val="20"/>
          <w:szCs w:val="20"/>
          <w:color w:val="auto"/>
        </w:rPr>
      </w:pPr>
      <w:r>
        <w:rPr>
          <w:rFonts w:ascii="Times New Roman" w:cs="Times New Roman" w:eastAsia="Times New Roman" w:hAnsi="Times New Roman"/>
          <w:sz w:val="13"/>
          <w:szCs w:val="13"/>
          <w:b w:val="1"/>
          <w:bCs w:val="1"/>
          <w:color w:val="auto"/>
        </w:rPr>
        <w:t>(the “Corporation”)</w:t>
      </w:r>
    </w:p>
    <w:p>
      <w:pPr>
        <w:spacing w:after="0" w:line="148" w:lineRule="exact"/>
        <w:rPr>
          <w:sz w:val="20"/>
          <w:szCs w:val="20"/>
          <w:color w:val="auto"/>
        </w:rPr>
      </w:pPr>
    </w:p>
    <w:p>
      <w:pPr>
        <w:jc w:val="center"/>
        <w:ind w:right="-7"/>
        <w:spacing w:after="0"/>
        <w:rPr>
          <w:sz w:val="20"/>
          <w:szCs w:val="20"/>
          <w:color w:val="auto"/>
        </w:rPr>
      </w:pPr>
      <w:r>
        <w:rPr>
          <w:rFonts w:ascii="Times New Roman" w:cs="Times New Roman" w:eastAsia="Times New Roman" w:hAnsi="Times New Roman"/>
          <w:sz w:val="13"/>
          <w:szCs w:val="13"/>
          <w:b w:val="1"/>
          <w:bCs w:val="1"/>
          <w:color w:val="auto"/>
        </w:rPr>
        <w:t>NOTICE OF ANNUAL GENERAL MEETING OF SHAREHOLDERS</w:t>
      </w:r>
    </w:p>
    <w:p>
      <w:pPr>
        <w:spacing w:after="0" w:line="157" w:lineRule="exact"/>
        <w:rPr>
          <w:sz w:val="20"/>
          <w:szCs w:val="20"/>
          <w:color w:val="auto"/>
        </w:rPr>
      </w:pPr>
    </w:p>
    <w:p>
      <w:pPr>
        <w:jc w:val="both"/>
        <w:ind w:left="8"/>
        <w:spacing w:after="0" w:line="272" w:lineRule="auto"/>
        <w:rPr>
          <w:sz w:val="20"/>
          <w:szCs w:val="20"/>
          <w:color w:val="auto"/>
        </w:rPr>
      </w:pPr>
      <w:r>
        <w:rPr>
          <w:rFonts w:ascii="Times New Roman" w:cs="Times New Roman" w:eastAsia="Times New Roman" w:hAnsi="Times New Roman"/>
          <w:sz w:val="13"/>
          <w:szCs w:val="13"/>
          <w:color w:val="auto"/>
        </w:rPr>
        <w:t>NOTICE IS HEREBY GIVEN that an annual general meeting (the “</w:t>
      </w:r>
      <w:r>
        <w:rPr>
          <w:rFonts w:ascii="Times New Roman" w:cs="Times New Roman" w:eastAsia="Times New Roman" w:hAnsi="Times New Roman"/>
          <w:sz w:val="13"/>
          <w:szCs w:val="13"/>
          <w:b w:val="1"/>
          <w:bCs w:val="1"/>
          <w:color w:val="auto"/>
        </w:rPr>
        <w:t>Meeting</w:t>
      </w:r>
      <w:r>
        <w:rPr>
          <w:rFonts w:ascii="Times New Roman" w:cs="Times New Roman" w:eastAsia="Times New Roman" w:hAnsi="Times New Roman"/>
          <w:sz w:val="13"/>
          <w:szCs w:val="13"/>
          <w:color w:val="auto"/>
        </w:rPr>
        <w:t>”) of the holders (collectively, the “</w:t>
      </w:r>
      <w:r>
        <w:rPr>
          <w:rFonts w:ascii="Times New Roman" w:cs="Times New Roman" w:eastAsia="Times New Roman" w:hAnsi="Times New Roman"/>
          <w:sz w:val="13"/>
          <w:szCs w:val="13"/>
          <w:b w:val="1"/>
          <w:bCs w:val="1"/>
          <w:color w:val="auto"/>
        </w:rPr>
        <w:t>Shareholders</w:t>
      </w:r>
      <w:r>
        <w:rPr>
          <w:rFonts w:ascii="Times New Roman" w:cs="Times New Roman" w:eastAsia="Times New Roman" w:hAnsi="Times New Roman"/>
          <w:sz w:val="13"/>
          <w:szCs w:val="13"/>
          <w:color w:val="auto"/>
        </w:rPr>
        <w:t>” or individually, a “</w:t>
      </w:r>
      <w:r>
        <w:rPr>
          <w:rFonts w:ascii="Times New Roman" w:cs="Times New Roman" w:eastAsia="Times New Roman" w:hAnsi="Times New Roman"/>
          <w:sz w:val="13"/>
          <w:szCs w:val="13"/>
          <w:b w:val="1"/>
          <w:bCs w:val="1"/>
          <w:color w:val="auto"/>
        </w:rPr>
        <w:t>Shareholder</w:t>
      </w:r>
      <w:r>
        <w:rPr>
          <w:rFonts w:ascii="Times New Roman" w:cs="Times New Roman" w:eastAsia="Times New Roman" w:hAnsi="Times New Roman"/>
          <w:sz w:val="13"/>
          <w:szCs w:val="13"/>
          <w:color w:val="auto"/>
        </w:rPr>
        <w:t>”) of the common shares in the capital of the Corporation (the “</w:t>
      </w:r>
      <w:r>
        <w:rPr>
          <w:rFonts w:ascii="Times New Roman" w:cs="Times New Roman" w:eastAsia="Times New Roman" w:hAnsi="Times New Roman"/>
          <w:sz w:val="13"/>
          <w:szCs w:val="13"/>
          <w:b w:val="1"/>
          <w:bCs w:val="1"/>
          <w:color w:val="auto"/>
        </w:rPr>
        <w:t>Common Shares</w:t>
      </w:r>
      <w:r>
        <w:rPr>
          <w:rFonts w:ascii="Times New Roman" w:cs="Times New Roman" w:eastAsia="Times New Roman" w:hAnsi="Times New Roman"/>
          <w:sz w:val="13"/>
          <w:szCs w:val="13"/>
          <w:color w:val="auto"/>
        </w:rPr>
        <w:t xml:space="preserve">”) will be held on August 18, 2025 at the hour of 10:00 a.m. (Toronto time). The Meeting will be held in a virtual meeting format only via live webcast online at </w:t>
      </w:r>
      <w:r>
        <w:rPr>
          <w:rFonts w:ascii="Times New Roman" w:cs="Times New Roman" w:eastAsia="Times New Roman" w:hAnsi="Times New Roman"/>
          <w:sz w:val="13"/>
          <w:szCs w:val="13"/>
          <w:u w:val="single" w:color="auto"/>
          <w:color w:val="0000FF"/>
        </w:rPr>
        <w:t>https://meetings.lumiconnect.com/400-915-565-382</w:t>
      </w:r>
      <w:r>
        <w:rPr>
          <w:rFonts w:ascii="Times New Roman" w:cs="Times New Roman" w:eastAsia="Times New Roman" w:hAnsi="Times New Roman"/>
          <w:sz w:val="13"/>
          <w:szCs w:val="13"/>
          <w:color w:val="0000FF"/>
        </w:rPr>
        <w:t xml:space="preserve"> </w:t>
      </w:r>
      <w:r>
        <w:rPr>
          <w:rFonts w:ascii="Times New Roman" w:cs="Times New Roman" w:eastAsia="Times New Roman" w:hAnsi="Times New Roman"/>
          <w:sz w:val="13"/>
          <w:szCs w:val="13"/>
          <w:color w:val="000000"/>
        </w:rPr>
        <w:t>for the following purposes:</w:t>
      </w:r>
    </w:p>
    <w:p>
      <w:pPr>
        <w:spacing w:after="0" w:line="106" w:lineRule="exact"/>
        <w:rPr>
          <w:sz w:val="20"/>
          <w:szCs w:val="20"/>
          <w:color w:val="auto"/>
        </w:rPr>
      </w:pPr>
    </w:p>
    <w:p>
      <w:pPr>
        <w:ind w:left="428" w:hanging="428"/>
        <w:spacing w:after="0"/>
        <w:tabs>
          <w:tab w:leader="none" w:pos="428" w:val="left"/>
        </w:tabs>
        <w:numPr>
          <w:ilvl w:val="0"/>
          <w:numId w:val="1"/>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to receive the audited financial statements of the Corporation for the financial year ended March 31, 2025, together with the report of the auditor thereon;</w:t>
      </w:r>
    </w:p>
    <w:p>
      <w:pPr>
        <w:spacing w:after="0" w:line="120" w:lineRule="exact"/>
        <w:rPr>
          <w:rFonts w:ascii="Times New Roman" w:cs="Times New Roman" w:eastAsia="Times New Roman" w:hAnsi="Times New Roman"/>
          <w:sz w:val="13"/>
          <w:szCs w:val="13"/>
          <w:color w:val="auto"/>
        </w:rPr>
      </w:pPr>
    </w:p>
    <w:p>
      <w:pPr>
        <w:ind w:left="428" w:hanging="428"/>
        <w:spacing w:after="0"/>
        <w:tabs>
          <w:tab w:leader="none" w:pos="428" w:val="left"/>
        </w:tabs>
        <w:numPr>
          <w:ilvl w:val="0"/>
          <w:numId w:val="1"/>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to appoint Zeifmans LLP as auditor of the Corporation for the ensuing year and to authorize the directors of the Corporation to fix its remuneration;</w:t>
      </w:r>
    </w:p>
    <w:p>
      <w:pPr>
        <w:spacing w:after="0" w:line="129" w:lineRule="exact"/>
        <w:rPr>
          <w:rFonts w:ascii="Times New Roman" w:cs="Times New Roman" w:eastAsia="Times New Roman" w:hAnsi="Times New Roman"/>
          <w:sz w:val="13"/>
          <w:szCs w:val="13"/>
          <w:color w:val="auto"/>
        </w:rPr>
      </w:pPr>
    </w:p>
    <w:p>
      <w:pPr>
        <w:ind w:left="428" w:hanging="428"/>
        <w:spacing w:after="0" w:line="252" w:lineRule="auto"/>
        <w:tabs>
          <w:tab w:leader="none" w:pos="428" w:val="left"/>
        </w:tabs>
        <w:numPr>
          <w:ilvl w:val="0"/>
          <w:numId w:val="1"/>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to consider and, if thought appropriate, pass, with or without variation, a special resolution to set the number of directors of the Corporation at six (6), as more fully described in the accompanying management information circular dated July 14, 2025 (the “</w:t>
      </w:r>
      <w:r>
        <w:rPr>
          <w:rFonts w:ascii="Times New Roman" w:cs="Times New Roman" w:eastAsia="Times New Roman" w:hAnsi="Times New Roman"/>
          <w:sz w:val="13"/>
          <w:szCs w:val="13"/>
          <w:b w:val="1"/>
          <w:bCs w:val="1"/>
          <w:color w:val="auto"/>
        </w:rPr>
        <w:t>Circular</w:t>
      </w:r>
      <w:r>
        <w:rPr>
          <w:rFonts w:ascii="Times New Roman" w:cs="Times New Roman" w:eastAsia="Times New Roman" w:hAnsi="Times New Roman"/>
          <w:sz w:val="13"/>
          <w:szCs w:val="13"/>
          <w:color w:val="auto"/>
        </w:rPr>
        <w:t>”);</w:t>
      </w:r>
    </w:p>
    <w:p>
      <w:pPr>
        <w:spacing w:after="0" w:line="91" w:lineRule="exact"/>
        <w:rPr>
          <w:rFonts w:ascii="Times New Roman" w:cs="Times New Roman" w:eastAsia="Times New Roman" w:hAnsi="Times New Roman"/>
          <w:sz w:val="13"/>
          <w:szCs w:val="13"/>
          <w:color w:val="auto"/>
        </w:rPr>
      </w:pPr>
    </w:p>
    <w:p>
      <w:pPr>
        <w:ind w:left="428" w:hanging="428"/>
        <w:spacing w:after="0"/>
        <w:tabs>
          <w:tab w:leader="none" w:pos="428" w:val="left"/>
        </w:tabs>
        <w:numPr>
          <w:ilvl w:val="0"/>
          <w:numId w:val="1"/>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to elect the directors of the Corporation; and</w:t>
      </w:r>
    </w:p>
    <w:p>
      <w:pPr>
        <w:spacing w:after="0" w:line="129" w:lineRule="exact"/>
        <w:rPr>
          <w:rFonts w:ascii="Times New Roman" w:cs="Times New Roman" w:eastAsia="Times New Roman" w:hAnsi="Times New Roman"/>
          <w:sz w:val="13"/>
          <w:szCs w:val="13"/>
          <w:color w:val="auto"/>
        </w:rPr>
      </w:pPr>
    </w:p>
    <w:p>
      <w:pPr>
        <w:ind w:left="428" w:right="4360" w:hanging="428"/>
        <w:spacing w:after="0" w:line="249" w:lineRule="auto"/>
        <w:tabs>
          <w:tab w:leader="none" w:pos="428" w:val="left"/>
        </w:tabs>
        <w:numPr>
          <w:ilvl w:val="0"/>
          <w:numId w:val="1"/>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to transact such other business as may properly be brought before the Meeting or any adjournment or adjournments thereof. 6.</w:t>
      </w:r>
    </w:p>
    <w:p>
      <w:pPr>
        <w:spacing w:after="0" w:line="1" w:lineRule="exact"/>
        <w:rPr>
          <w:sz w:val="20"/>
          <w:szCs w:val="20"/>
          <w:color w:val="auto"/>
        </w:rPr>
      </w:pPr>
    </w:p>
    <w:p>
      <w:pPr>
        <w:jc w:val="both"/>
        <w:ind w:left="8"/>
        <w:spacing w:after="0" w:line="273" w:lineRule="auto"/>
        <w:rPr>
          <w:sz w:val="20"/>
          <w:szCs w:val="20"/>
          <w:color w:val="auto"/>
        </w:rPr>
      </w:pPr>
      <w:r>
        <w:rPr>
          <w:rFonts w:ascii="Times New Roman" w:cs="Times New Roman" w:eastAsia="Times New Roman" w:hAnsi="Times New Roman"/>
          <w:sz w:val="13"/>
          <w:szCs w:val="13"/>
          <w:color w:val="auto"/>
        </w:rPr>
        <w:t>Accompanying this Notice of Annual General Meeting of Shareholders is the Circular, a form of proxy for Shareholders and a copy of the audited financial statements of the Corporation for the financial year ended March 31, 2025, together with the report of the auditor thereon.</w:t>
      </w:r>
    </w:p>
    <w:p>
      <w:pPr>
        <w:spacing w:after="0" w:line="123" w:lineRule="exact"/>
        <w:rPr>
          <w:sz w:val="20"/>
          <w:szCs w:val="20"/>
          <w:color w:val="auto"/>
        </w:rPr>
      </w:pPr>
    </w:p>
    <w:p>
      <w:pPr>
        <w:jc w:val="both"/>
        <w:ind w:left="8" w:right="20"/>
        <w:spacing w:after="0" w:line="295" w:lineRule="auto"/>
        <w:rPr>
          <w:sz w:val="20"/>
          <w:szCs w:val="20"/>
          <w:color w:val="auto"/>
        </w:rPr>
      </w:pPr>
      <w:r>
        <w:rPr>
          <w:rFonts w:ascii="Times New Roman" w:cs="Times New Roman" w:eastAsia="Times New Roman" w:hAnsi="Times New Roman"/>
          <w:sz w:val="13"/>
          <w:szCs w:val="13"/>
          <w:color w:val="auto"/>
        </w:rPr>
        <w:t xml:space="preserve">The Meeting will be held in a virtual meeting format only via live webcast online at </w:t>
      </w:r>
      <w:r>
        <w:rPr>
          <w:rFonts w:ascii="Times New Roman" w:cs="Times New Roman" w:eastAsia="Times New Roman" w:hAnsi="Times New Roman"/>
          <w:sz w:val="13"/>
          <w:szCs w:val="13"/>
          <w:u w:val="single" w:color="auto"/>
          <w:color w:val="0000FF"/>
        </w:rPr>
        <w:t>https://meetings.lumiconnect.com/400-915-565-382</w:t>
      </w:r>
      <w:r>
        <w:rPr>
          <w:rFonts w:ascii="Times New Roman" w:cs="Times New Roman" w:eastAsia="Times New Roman" w:hAnsi="Times New Roman"/>
          <w:sz w:val="13"/>
          <w:szCs w:val="13"/>
          <w:color w:val="auto"/>
        </w:rPr>
        <w:t xml:space="preserve"> password: “cybin2025” (case sensitive). Registered Shareholders and duly appointed proxyholders will be able to attend the Meeting (virtually), submit questions and vote by online ballot, provided they are connected to the internet and follow the instructions in the Circular.</w:t>
      </w:r>
    </w:p>
    <w:p>
      <w:pPr>
        <w:spacing w:after="0" w:line="110" w:lineRule="exact"/>
        <w:rPr>
          <w:sz w:val="20"/>
          <w:szCs w:val="20"/>
          <w:color w:val="auto"/>
        </w:rPr>
      </w:pPr>
    </w:p>
    <w:p>
      <w:pPr>
        <w:jc w:val="both"/>
        <w:ind w:left="8"/>
        <w:spacing w:after="0" w:line="295" w:lineRule="auto"/>
        <w:rPr>
          <w:sz w:val="20"/>
          <w:szCs w:val="20"/>
          <w:color w:val="auto"/>
        </w:rPr>
      </w:pPr>
      <w:r>
        <w:rPr>
          <w:rFonts w:ascii="Times New Roman" w:cs="Times New Roman" w:eastAsia="Times New Roman" w:hAnsi="Times New Roman"/>
          <w:sz w:val="13"/>
          <w:szCs w:val="13"/>
          <w:color w:val="auto"/>
        </w:rPr>
        <w:t>As a Shareholder of the Corporation, it is very important that you read the Circular and other Meeting materials carefully. They contain important information with respect to voting your Common Shares and attending and participating at the Meeting.</w:t>
      </w:r>
    </w:p>
    <w:p>
      <w:pPr>
        <w:spacing w:after="0" w:line="119" w:lineRule="exact"/>
        <w:rPr>
          <w:sz w:val="20"/>
          <w:szCs w:val="20"/>
          <w:color w:val="auto"/>
        </w:rPr>
      </w:pPr>
    </w:p>
    <w:p>
      <w:pPr>
        <w:jc w:val="both"/>
        <w:ind w:left="8"/>
        <w:spacing w:after="0" w:line="262" w:lineRule="auto"/>
        <w:rPr>
          <w:sz w:val="20"/>
          <w:szCs w:val="20"/>
          <w:color w:val="auto"/>
        </w:rPr>
      </w:pPr>
      <w:r>
        <w:rPr>
          <w:rFonts w:ascii="Times New Roman" w:cs="Times New Roman" w:eastAsia="Times New Roman" w:hAnsi="Times New Roman"/>
          <w:sz w:val="13"/>
          <w:szCs w:val="13"/>
          <w:color w:val="auto"/>
        </w:rPr>
        <w:t>A Shareholder wishing to be represented by proxy at the Meeting or any adjournment thereof must deposit his, her or its duly executed form of proxy with the Corporation’s transfer agent and registrar, Odyssey Trust Company, (a) by mail at Attn: Proxy Department, 67 Yonge St., Suite 702, Toronto ON M5E 1J8, or (b) by voting online at https://login.odysseytrust.com/pxlogin, clicking on vote and entering their 12 digit control number by no later than 10:00 a.m. (Toronto time) on Thursday, August 14, 2025 or if the Meeting is adjourned, not less than 24 hours (excluding Saturdays, Sundays and holidays) before the time set for any reconvened meeting at which the proxy is to be used.</w:t>
      </w:r>
    </w:p>
    <w:p>
      <w:pPr>
        <w:spacing w:after="0" w:line="139" w:lineRule="exact"/>
        <w:rPr>
          <w:sz w:val="20"/>
          <w:szCs w:val="20"/>
          <w:color w:val="auto"/>
        </w:rPr>
      </w:pPr>
    </w:p>
    <w:p>
      <w:pPr>
        <w:ind w:left="8"/>
        <w:spacing w:after="0"/>
        <w:rPr>
          <w:sz w:val="20"/>
          <w:szCs w:val="20"/>
          <w:color w:val="auto"/>
        </w:rPr>
      </w:pPr>
      <w:r>
        <w:rPr>
          <w:rFonts w:ascii="Times New Roman" w:cs="Times New Roman" w:eastAsia="Times New Roman" w:hAnsi="Times New Roman"/>
          <w:sz w:val="13"/>
          <w:szCs w:val="13"/>
          <w:color w:val="auto"/>
        </w:rPr>
        <w:t>Shareholders who wish to appoint a person other than the management nominees identified in the form of proxy must carefully follow the instructions in the Circular and on their form of proxy. These instructions</w:t>
      </w:r>
    </w:p>
    <w:p>
      <w:pPr>
        <w:sectPr>
          <w:pgSz w:w="11900" w:h="16838" w:orient="portrait"/>
          <w:cols w:equalWidth="0" w:num="1">
            <w:col w:w="11308"/>
          </w:cols>
          <w:pgMar w:left="292" w:top="987" w:right="299" w:bottom="1440" w:gutter="0" w:footer="0" w:header="0"/>
        </w:sectPr>
      </w:pPr>
    </w:p>
    <w:bookmarkStart w:id="6" w:name="page7"/>
    <w:bookmarkEnd w:id="6"/>
    <w:p>
      <w:pPr>
        <w:jc w:val="center"/>
        <w:spacing w:after="0"/>
        <w:rPr>
          <w:sz w:val="20"/>
          <w:szCs w:val="20"/>
          <w:color w:val="auto"/>
        </w:rPr>
      </w:pPr>
      <w:r>
        <w:rPr>
          <w:rFonts w:ascii="Times New Roman" w:cs="Times New Roman" w:eastAsia="Times New Roman" w:hAnsi="Times New Roman"/>
          <w:sz w:val="13"/>
          <w:szCs w:val="13"/>
          <w:color w:val="auto"/>
        </w:rPr>
        <w:t>- 3 -</w:t>
      </w:r>
    </w:p>
    <w:p>
      <w:pPr>
        <w:spacing w:after="0" w:line="200" w:lineRule="exact"/>
        <w:rPr>
          <w:sz w:val="20"/>
          <w:szCs w:val="20"/>
          <w:color w:val="auto"/>
        </w:rPr>
      </w:pPr>
    </w:p>
    <w:p>
      <w:pPr>
        <w:spacing w:after="0" w:line="200" w:lineRule="exact"/>
        <w:rPr>
          <w:sz w:val="20"/>
          <w:szCs w:val="20"/>
          <w:color w:val="auto"/>
        </w:rPr>
      </w:pPr>
    </w:p>
    <w:p>
      <w:pPr>
        <w:spacing w:after="0" w:line="312"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 xml:space="preserve">include the additional step of registering the proxyholder with the Corporation’s transfer agent, Odyssey Trust Company, after submitting the form of proxy. </w:t>
      </w:r>
      <w:r>
        <w:rPr>
          <w:rFonts w:ascii="Times New Roman" w:cs="Times New Roman" w:eastAsia="Times New Roman" w:hAnsi="Times New Roman"/>
          <w:sz w:val="13"/>
          <w:szCs w:val="13"/>
          <w:b w:val="1"/>
          <w:bCs w:val="1"/>
          <w:color w:val="auto"/>
        </w:rPr>
        <w:t>If you wish that a person other than the management</w:t>
      </w:r>
    </w:p>
    <w:p>
      <w:pPr>
        <w:spacing w:after="0" w:line="24"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3"/>
          <w:szCs w:val="13"/>
          <w:b w:val="1"/>
          <w:bCs w:val="1"/>
          <w:color w:val="auto"/>
        </w:rPr>
        <w:t>nominees identified on the form of proxy attend and participate at the Meeting as your proxy and vote your Common Shares, including if you are a non-registered Shareholder and wish to appoint yourself as proxyholder to attend, you MUST register the proxyholder after having submitted your form of proxy identifying such proxyholder. Failure to register the proxyholder with our transfer agent will result in the proxyholder not receiving login credentials to participate in the Meeting and will not be able to attend or vote at the Meeting.</w:t>
      </w:r>
    </w:p>
    <w:p>
      <w:pPr>
        <w:spacing w:after="0" w:line="131" w:lineRule="exact"/>
        <w:rPr>
          <w:sz w:val="20"/>
          <w:szCs w:val="20"/>
          <w:color w:val="auto"/>
        </w:rPr>
      </w:pPr>
    </w:p>
    <w:p>
      <w:pPr>
        <w:jc w:val="both"/>
        <w:spacing w:after="0" w:line="277" w:lineRule="auto"/>
        <w:rPr>
          <w:sz w:val="20"/>
          <w:szCs w:val="20"/>
          <w:color w:val="auto"/>
        </w:rPr>
      </w:pPr>
      <w:r>
        <w:rPr>
          <w:rFonts w:ascii="Times New Roman" w:cs="Times New Roman" w:eastAsia="Times New Roman" w:hAnsi="Times New Roman"/>
          <w:sz w:val="13"/>
          <w:szCs w:val="13"/>
          <w:color w:val="auto"/>
        </w:rPr>
        <w:t>The record date for the purposes of determining the Shareholders entitled to receive notice of and to vote at the Meeting and any adjournment(s) or postponement(s) is the close of business on July 8, 2025 (the “</w:t>
      </w:r>
      <w:r>
        <w:rPr>
          <w:rFonts w:ascii="Times New Roman" w:cs="Times New Roman" w:eastAsia="Times New Roman" w:hAnsi="Times New Roman"/>
          <w:sz w:val="13"/>
          <w:szCs w:val="13"/>
          <w:b w:val="1"/>
          <w:bCs w:val="1"/>
          <w:color w:val="auto"/>
        </w:rPr>
        <w:t>Record Date</w:t>
      </w:r>
      <w:r>
        <w:rPr>
          <w:rFonts w:ascii="Times New Roman" w:cs="Times New Roman" w:eastAsia="Times New Roman" w:hAnsi="Times New Roman"/>
          <w:sz w:val="13"/>
          <w:szCs w:val="13"/>
          <w:color w:val="auto"/>
        </w:rPr>
        <w:t>”). The Shareholders of record as of the close of business on the Record Date will be entitled to receive this Notice of the Annual General Meeting of Shareholders and the accompanying Circular and to (virtually) attend and vote at the Meeting and any adjournment(s) or postponement(s) thereof.</w:t>
      </w:r>
    </w:p>
    <w:p>
      <w:pPr>
        <w:spacing w:after="0" w:line="101"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color w:val="auto"/>
        </w:rPr>
        <w:t xml:space="preserve">DATED </w:t>
      </w:r>
      <w:r>
        <w:rPr>
          <w:rFonts w:ascii="Times New Roman" w:cs="Times New Roman" w:eastAsia="Times New Roman" w:hAnsi="Times New Roman"/>
          <w:sz w:val="13"/>
          <w:szCs w:val="13"/>
          <w:color w:val="auto"/>
        </w:rPr>
        <w:t>at Toronto, Ontario this 14</w:t>
      </w:r>
      <w:r>
        <w:rPr>
          <w:rFonts w:ascii="Times New Roman" w:cs="Times New Roman" w:eastAsia="Times New Roman" w:hAnsi="Times New Roman"/>
          <w:sz w:val="17"/>
          <w:szCs w:val="17"/>
          <w:color w:val="auto"/>
          <w:vertAlign w:val="superscript"/>
        </w:rPr>
        <w:t>th</w:t>
      </w:r>
      <w:r>
        <w:rPr>
          <w:rFonts w:ascii="Times New Roman" w:cs="Times New Roman" w:eastAsia="Times New Roman" w:hAnsi="Times New Roman"/>
          <w:sz w:val="13"/>
          <w:szCs w:val="13"/>
          <w:b w:val="1"/>
          <w:bCs w:val="1"/>
          <w:color w:val="auto"/>
        </w:rPr>
        <w:t xml:space="preserve"> </w:t>
      </w:r>
      <w:r>
        <w:rPr>
          <w:rFonts w:ascii="Times New Roman" w:cs="Times New Roman" w:eastAsia="Times New Roman" w:hAnsi="Times New Roman"/>
          <w:sz w:val="13"/>
          <w:szCs w:val="13"/>
          <w:color w:val="auto"/>
        </w:rPr>
        <w:t>day of July, 2025.</w:t>
      </w:r>
    </w:p>
    <w:p>
      <w:pPr>
        <w:spacing w:after="0" w:line="41" w:lineRule="exact"/>
        <w:rPr>
          <w:sz w:val="20"/>
          <w:szCs w:val="20"/>
          <w:color w:val="auto"/>
        </w:rPr>
      </w:pPr>
    </w:p>
    <w:p>
      <w:pPr>
        <w:ind w:left="2580"/>
        <w:spacing w:after="0"/>
        <w:rPr>
          <w:sz w:val="20"/>
          <w:szCs w:val="20"/>
          <w:color w:val="auto"/>
        </w:rPr>
      </w:pPr>
      <w:r>
        <w:rPr>
          <w:rFonts w:ascii="Times New Roman" w:cs="Times New Roman" w:eastAsia="Times New Roman" w:hAnsi="Times New Roman"/>
          <w:sz w:val="13"/>
          <w:szCs w:val="13"/>
          <w:color w:val="auto"/>
        </w:rPr>
        <w:t>BY ORDER OF THE BOARD</w:t>
      </w:r>
    </w:p>
    <w:p>
      <w:pPr>
        <w:spacing w:after="0" w:line="164" w:lineRule="exact"/>
        <w:rPr>
          <w:sz w:val="20"/>
          <w:szCs w:val="20"/>
          <w:color w:val="auto"/>
        </w:rPr>
      </w:pPr>
    </w:p>
    <w:p>
      <w:pPr>
        <w:ind w:left="2580"/>
        <w:spacing w:after="0"/>
        <w:rPr>
          <w:sz w:val="20"/>
          <w:szCs w:val="20"/>
          <w:color w:val="auto"/>
        </w:rPr>
      </w:pPr>
      <w:r>
        <w:rPr>
          <w:rFonts w:ascii="Times New Roman" w:cs="Times New Roman" w:eastAsia="Times New Roman" w:hAnsi="Times New Roman"/>
          <w:sz w:val="13"/>
          <w:szCs w:val="13"/>
          <w:i w:val="1"/>
          <w:iCs w:val="1"/>
          <w:color w:val="auto"/>
        </w:rPr>
        <w:t>“Eric So”</w:t>
      </w:r>
    </w:p>
    <w:p>
      <w:pPr>
        <w:spacing w:after="0" w:line="24" w:lineRule="exact"/>
        <w:rPr>
          <w:sz w:val="20"/>
          <w:szCs w:val="20"/>
          <w:color w:val="auto"/>
        </w:rPr>
      </w:pPr>
    </w:p>
    <w:p>
      <w:pPr>
        <w:ind w:left="2580"/>
        <w:spacing w:after="0"/>
        <w:rPr>
          <w:sz w:val="20"/>
          <w:szCs w:val="20"/>
          <w:color w:val="auto"/>
        </w:rPr>
      </w:pPr>
      <w:r>
        <w:rPr>
          <w:rFonts w:ascii="Times New Roman" w:cs="Times New Roman" w:eastAsia="Times New Roman" w:hAnsi="Times New Roman"/>
          <w:sz w:val="13"/>
          <w:szCs w:val="13"/>
          <w:color w:val="auto"/>
        </w:rPr>
        <w:t>Eric So</w:t>
      </w:r>
    </w:p>
    <w:p>
      <w:pPr>
        <w:spacing w:after="0" w:line="13" w:lineRule="exact"/>
        <w:rPr>
          <w:sz w:val="20"/>
          <w:szCs w:val="20"/>
          <w:color w:val="auto"/>
        </w:rPr>
      </w:pPr>
    </w:p>
    <w:p>
      <w:pPr>
        <w:ind w:left="2580"/>
        <w:spacing w:after="0"/>
        <w:rPr>
          <w:sz w:val="20"/>
          <w:szCs w:val="20"/>
          <w:color w:val="auto"/>
        </w:rPr>
      </w:pPr>
      <w:r>
        <w:rPr>
          <w:rFonts w:ascii="Times New Roman" w:cs="Times New Roman" w:eastAsia="Times New Roman" w:hAnsi="Times New Roman"/>
          <w:sz w:val="13"/>
          <w:szCs w:val="13"/>
          <w:color w:val="auto"/>
        </w:rPr>
        <w:t>Director and President</w:t>
      </w:r>
    </w:p>
    <w:p>
      <w:pPr>
        <w:sectPr>
          <w:pgSz w:w="11900" w:h="16838" w:orient="portrait"/>
          <w:cols w:equalWidth="0" w:num="1">
            <w:col w:w="11300"/>
          </w:cols>
          <w:pgMar w:left="300" w:top="125" w:right="299" w:bottom="1440" w:gutter="0" w:footer="0" w:header="0"/>
        </w:sectPr>
      </w:pPr>
    </w:p>
    <w:bookmarkStart w:id="7" w:name="page8"/>
    <w:bookmarkEnd w:id="7"/>
    <w:p>
      <w:pPr>
        <w:jc w:val="center"/>
        <w:spacing w:after="0"/>
        <w:rPr>
          <w:sz w:val="20"/>
          <w:szCs w:val="20"/>
          <w:color w:val="auto"/>
        </w:rPr>
      </w:pPr>
      <w:r>
        <w:rPr>
          <w:rFonts w:ascii="Times New Roman" w:cs="Times New Roman" w:eastAsia="Times New Roman" w:hAnsi="Times New Roman"/>
          <w:sz w:val="13"/>
          <w:szCs w:val="13"/>
          <w:color w:val="auto"/>
        </w:rPr>
        <w:t>- 4 -</w:t>
      </w:r>
    </w:p>
    <w:p>
      <w:pPr>
        <w:spacing w:after="0" w:line="200" w:lineRule="exact"/>
        <w:rPr>
          <w:sz w:val="20"/>
          <w:szCs w:val="20"/>
          <w:color w:val="auto"/>
        </w:rPr>
      </w:pPr>
    </w:p>
    <w:p>
      <w:pPr>
        <w:spacing w:after="0" w:line="200" w:lineRule="exact"/>
        <w:rPr>
          <w:sz w:val="20"/>
          <w:szCs w:val="20"/>
          <w:color w:val="auto"/>
        </w:rPr>
      </w:pPr>
    </w:p>
    <w:p>
      <w:pPr>
        <w:spacing w:after="0" w:line="3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CYBIN INC.</w:t>
      </w:r>
    </w:p>
    <w:p>
      <w:pPr>
        <w:spacing w:after="0" w:line="1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MANAGEMENT INFORMATION CIRCULAR</w:t>
      </w:r>
    </w:p>
    <w:p>
      <w:pPr>
        <w:spacing w:after="0" w:line="1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SOLICITATION OF PROXIES</w:t>
      </w:r>
    </w:p>
    <w:p>
      <w:pPr>
        <w:spacing w:after="0" w:line="157"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3"/>
          <w:szCs w:val="13"/>
          <w:color w:val="auto"/>
        </w:rPr>
        <w:t>This management information circular (the “</w:t>
      </w:r>
      <w:r>
        <w:rPr>
          <w:rFonts w:ascii="Times New Roman" w:cs="Times New Roman" w:eastAsia="Times New Roman" w:hAnsi="Times New Roman"/>
          <w:sz w:val="13"/>
          <w:szCs w:val="13"/>
          <w:b w:val="1"/>
          <w:bCs w:val="1"/>
          <w:color w:val="auto"/>
        </w:rPr>
        <w:t>Circular</w:t>
      </w:r>
      <w:r>
        <w:rPr>
          <w:rFonts w:ascii="Times New Roman" w:cs="Times New Roman" w:eastAsia="Times New Roman" w:hAnsi="Times New Roman"/>
          <w:sz w:val="13"/>
          <w:szCs w:val="13"/>
          <w:color w:val="auto"/>
        </w:rPr>
        <w:t>”) is furnished in connection with the solicitation of proxies by the management of Cybin Inc. (the “</w:t>
      </w:r>
      <w:r>
        <w:rPr>
          <w:rFonts w:ascii="Times New Roman" w:cs="Times New Roman" w:eastAsia="Times New Roman" w:hAnsi="Times New Roman"/>
          <w:sz w:val="13"/>
          <w:szCs w:val="13"/>
          <w:b w:val="1"/>
          <w:bCs w:val="1"/>
          <w:color w:val="auto"/>
        </w:rPr>
        <w:t>Corporation</w:t>
      </w:r>
      <w:r>
        <w:rPr>
          <w:rFonts w:ascii="Times New Roman" w:cs="Times New Roman" w:eastAsia="Times New Roman" w:hAnsi="Times New Roman"/>
          <w:sz w:val="13"/>
          <w:szCs w:val="13"/>
          <w:color w:val="auto"/>
        </w:rPr>
        <w:t>”) for use at the annual general meeting (the “</w:t>
      </w:r>
      <w:r>
        <w:rPr>
          <w:rFonts w:ascii="Times New Roman" w:cs="Times New Roman" w:eastAsia="Times New Roman" w:hAnsi="Times New Roman"/>
          <w:sz w:val="13"/>
          <w:szCs w:val="13"/>
          <w:b w:val="1"/>
          <w:bCs w:val="1"/>
          <w:color w:val="auto"/>
        </w:rPr>
        <w:t>Meeting</w:t>
      </w:r>
      <w:r>
        <w:rPr>
          <w:rFonts w:ascii="Times New Roman" w:cs="Times New Roman" w:eastAsia="Times New Roman" w:hAnsi="Times New Roman"/>
          <w:sz w:val="13"/>
          <w:szCs w:val="13"/>
          <w:color w:val="auto"/>
        </w:rPr>
        <w:t>”) of holders (collectively, the “</w:t>
      </w:r>
      <w:r>
        <w:rPr>
          <w:rFonts w:ascii="Times New Roman" w:cs="Times New Roman" w:eastAsia="Times New Roman" w:hAnsi="Times New Roman"/>
          <w:sz w:val="13"/>
          <w:szCs w:val="13"/>
          <w:b w:val="1"/>
          <w:bCs w:val="1"/>
          <w:color w:val="auto"/>
        </w:rPr>
        <w:t>Shareholders</w:t>
      </w:r>
      <w:r>
        <w:rPr>
          <w:rFonts w:ascii="Times New Roman" w:cs="Times New Roman" w:eastAsia="Times New Roman" w:hAnsi="Times New Roman"/>
          <w:sz w:val="13"/>
          <w:szCs w:val="13"/>
          <w:color w:val="auto"/>
        </w:rPr>
        <w:t>” or individually, a “</w:t>
      </w:r>
      <w:r>
        <w:rPr>
          <w:rFonts w:ascii="Times New Roman" w:cs="Times New Roman" w:eastAsia="Times New Roman" w:hAnsi="Times New Roman"/>
          <w:sz w:val="13"/>
          <w:szCs w:val="13"/>
          <w:b w:val="1"/>
          <w:bCs w:val="1"/>
          <w:color w:val="auto"/>
        </w:rPr>
        <w:t>Shareholder</w:t>
      </w:r>
      <w:r>
        <w:rPr>
          <w:rFonts w:ascii="Times New Roman" w:cs="Times New Roman" w:eastAsia="Times New Roman" w:hAnsi="Times New Roman"/>
          <w:sz w:val="13"/>
          <w:szCs w:val="13"/>
          <w:color w:val="auto"/>
        </w:rPr>
        <w:t>”) of common shares in the capital of the Corporation (the “</w:t>
      </w:r>
      <w:r>
        <w:rPr>
          <w:rFonts w:ascii="Times New Roman" w:cs="Times New Roman" w:eastAsia="Times New Roman" w:hAnsi="Times New Roman"/>
          <w:sz w:val="13"/>
          <w:szCs w:val="13"/>
          <w:b w:val="1"/>
          <w:bCs w:val="1"/>
          <w:color w:val="auto"/>
        </w:rPr>
        <w:t>Common Shares</w:t>
      </w:r>
      <w:r>
        <w:rPr>
          <w:rFonts w:ascii="Times New Roman" w:cs="Times New Roman" w:eastAsia="Times New Roman" w:hAnsi="Times New Roman"/>
          <w:sz w:val="13"/>
          <w:szCs w:val="13"/>
          <w:color w:val="auto"/>
        </w:rPr>
        <w:t xml:space="preserve">”). The Meeting will be held in a virtual meeting format only via live webcast online at </w:t>
      </w:r>
      <w:r>
        <w:rPr>
          <w:rFonts w:ascii="Times New Roman" w:cs="Times New Roman" w:eastAsia="Times New Roman" w:hAnsi="Times New Roman"/>
          <w:sz w:val="13"/>
          <w:szCs w:val="13"/>
          <w:u w:val="single" w:color="auto"/>
          <w:color w:val="0000FF"/>
        </w:rPr>
        <w:t>https://meetings.lumiconnect.com/400-915-565-382</w:t>
      </w:r>
      <w:r>
        <w:rPr>
          <w:rFonts w:ascii="Times New Roman" w:cs="Times New Roman" w:eastAsia="Times New Roman" w:hAnsi="Times New Roman"/>
          <w:sz w:val="13"/>
          <w:szCs w:val="13"/>
          <w:color w:val="auto"/>
        </w:rPr>
        <w:t>, password: “cybin2025” (case sensitive). This Circular and the attached Notice of Annual General Meeting of Shareholders (the “</w:t>
      </w:r>
      <w:r>
        <w:rPr>
          <w:rFonts w:ascii="Times New Roman" w:cs="Times New Roman" w:eastAsia="Times New Roman" w:hAnsi="Times New Roman"/>
          <w:sz w:val="13"/>
          <w:szCs w:val="13"/>
          <w:b w:val="1"/>
          <w:bCs w:val="1"/>
          <w:color w:val="auto"/>
        </w:rPr>
        <w:t>Notice</w:t>
      </w:r>
      <w:r>
        <w:rPr>
          <w:rFonts w:ascii="Times New Roman" w:cs="Times New Roman" w:eastAsia="Times New Roman" w:hAnsi="Times New Roman"/>
          <w:sz w:val="13"/>
          <w:szCs w:val="13"/>
          <w:color w:val="auto"/>
        </w:rPr>
        <w:t>”) describes the item to be voted on at the Meeting as well as the voting process and other relevant matters.</w:t>
      </w:r>
    </w:p>
    <w:p>
      <w:pPr>
        <w:spacing w:after="0" w:line="108" w:lineRule="exact"/>
        <w:rPr>
          <w:sz w:val="20"/>
          <w:szCs w:val="20"/>
          <w:color w:val="auto"/>
        </w:rPr>
      </w:pPr>
    </w:p>
    <w:p>
      <w:pPr>
        <w:jc w:val="both"/>
        <w:spacing w:after="0" w:line="295" w:lineRule="auto"/>
        <w:rPr>
          <w:sz w:val="20"/>
          <w:szCs w:val="20"/>
          <w:color w:val="auto"/>
        </w:rPr>
      </w:pPr>
      <w:r>
        <w:rPr>
          <w:rFonts w:ascii="Times New Roman" w:cs="Times New Roman" w:eastAsia="Times New Roman" w:hAnsi="Times New Roman"/>
          <w:sz w:val="13"/>
          <w:szCs w:val="13"/>
          <w:color w:val="auto"/>
        </w:rPr>
        <w:t>The solicitation of proxies will primarily be made by sending proxy materials to the Shareholders by mail, but proxies may also be solicited personally or by telephone by regular employees of the Corporation. The cost of solicitation will be borne by the Corporation. Except as otherwise stated, the information contained herein is given as of July 14, 2025.</w:t>
      </w:r>
    </w:p>
    <w:p>
      <w:pPr>
        <w:spacing w:after="0" w:line="9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3"/>
          <w:szCs w:val="13"/>
          <w:color w:val="auto"/>
        </w:rPr>
        <w:t>Except as noted below, the Corporation has distributed or made available for distribution, copies of the Notice, Circular and form of proxy or voting instruction form (if applicable) (collectively, the “</w:t>
      </w:r>
      <w:r>
        <w:rPr>
          <w:rFonts w:ascii="Times New Roman" w:cs="Times New Roman" w:eastAsia="Times New Roman" w:hAnsi="Times New Roman"/>
          <w:sz w:val="13"/>
          <w:szCs w:val="13"/>
          <w:b w:val="1"/>
          <w:bCs w:val="1"/>
          <w:color w:val="auto"/>
        </w:rPr>
        <w:t>Meeting</w:t>
      </w:r>
      <w:r>
        <w:rPr>
          <w:rFonts w:ascii="Times New Roman" w:cs="Times New Roman" w:eastAsia="Times New Roman" w:hAnsi="Times New Roman"/>
          <w:sz w:val="13"/>
          <w:szCs w:val="13"/>
          <w:color w:val="auto"/>
        </w:rPr>
        <w:t xml:space="preserve"> </w:t>
      </w:r>
      <w:r>
        <w:rPr>
          <w:rFonts w:ascii="Times New Roman" w:cs="Times New Roman" w:eastAsia="Times New Roman" w:hAnsi="Times New Roman"/>
          <w:sz w:val="13"/>
          <w:szCs w:val="13"/>
          <w:b w:val="1"/>
          <w:bCs w:val="1"/>
          <w:color w:val="auto"/>
        </w:rPr>
        <w:t>Materials</w:t>
      </w:r>
      <w:r>
        <w:rPr>
          <w:rFonts w:ascii="Times New Roman" w:cs="Times New Roman" w:eastAsia="Times New Roman" w:hAnsi="Times New Roman"/>
          <w:sz w:val="13"/>
          <w:szCs w:val="13"/>
          <w:color w:val="auto"/>
        </w:rPr>
        <w:t>”) to clearing agencies, securities dealers, banks and trust companies or their nominees (collectively, the “</w:t>
      </w:r>
      <w:r>
        <w:rPr>
          <w:rFonts w:ascii="Times New Roman" w:cs="Times New Roman" w:eastAsia="Times New Roman" w:hAnsi="Times New Roman"/>
          <w:sz w:val="13"/>
          <w:szCs w:val="13"/>
          <w:b w:val="1"/>
          <w:bCs w:val="1"/>
          <w:color w:val="auto"/>
        </w:rPr>
        <w:t>Intermediaries</w:t>
      </w:r>
      <w:r>
        <w:rPr>
          <w:rFonts w:ascii="Times New Roman" w:cs="Times New Roman" w:eastAsia="Times New Roman" w:hAnsi="Times New Roman"/>
          <w:sz w:val="13"/>
          <w:szCs w:val="13"/>
          <w:color w:val="auto"/>
        </w:rPr>
        <w:t>” and each, an “</w:t>
      </w:r>
      <w:r>
        <w:rPr>
          <w:rFonts w:ascii="Times New Roman" w:cs="Times New Roman" w:eastAsia="Times New Roman" w:hAnsi="Times New Roman"/>
          <w:sz w:val="13"/>
          <w:szCs w:val="13"/>
          <w:b w:val="1"/>
          <w:bCs w:val="1"/>
          <w:color w:val="auto"/>
        </w:rPr>
        <w:t>Intermediary</w:t>
      </w:r>
      <w:r>
        <w:rPr>
          <w:rFonts w:ascii="Times New Roman" w:cs="Times New Roman" w:eastAsia="Times New Roman" w:hAnsi="Times New Roman"/>
          <w:sz w:val="13"/>
          <w:szCs w:val="13"/>
          <w:color w:val="auto"/>
        </w:rPr>
        <w:t>”) for distribution to Beneficial Shareholders (as</w:t>
      </w:r>
      <w:r>
        <w:rPr>
          <w:rFonts w:ascii="Times New Roman" w:cs="Times New Roman" w:eastAsia="Times New Roman" w:hAnsi="Times New Roman"/>
          <w:sz w:val="13"/>
          <w:szCs w:val="13"/>
          <w:b w:val="1"/>
          <w:bCs w:val="1"/>
          <w:color w:val="auto"/>
        </w:rPr>
        <w:t xml:space="preserve"> </w:t>
      </w:r>
      <w:r>
        <w:rPr>
          <w:rFonts w:ascii="Times New Roman" w:cs="Times New Roman" w:eastAsia="Times New Roman" w:hAnsi="Times New Roman"/>
          <w:sz w:val="13"/>
          <w:szCs w:val="13"/>
          <w:color w:val="auto"/>
        </w:rPr>
        <w:t>defined below) whose Common Shares are held by or in custody of such Intermediaries. Such Intermediaries are required to forward such documents to Beneficial Shareholders unless a Beneficial Shareholder has waived the right to receive them. The Corporation has elected to pay for the delivery of the Meeting Materials to objecting Beneficial Shareholders by the Intermediaries. The Corporation is sending proxy-related materials directly to non-objecting Beneficial Shareholders, through the services of its transfer agent and registrar, Odyssey Trust Company. The solicitation of proxies from Beneficial Shareholders will be carried out by the Intermediaries or by the Corporation if the names and addresses of the Beneficial Shareholders are provided by Intermediaries. The Corporation will pay the permitted fees and costs of Intermediaries incurred in connection with the distribution of the Meeting Materials. The Corporation is not relying on the notice-and-access provisions of securities laws for delivery of the Meeting Materials to registered Shareholders or Beneficial Shareholders.</w:t>
      </w:r>
    </w:p>
    <w:p>
      <w:pPr>
        <w:spacing w:after="0" w:line="1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VOTING AT THE MEETING</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Registered Shareholders may vote at the Meeting by completing a ballot online during the Meeting, as further described below. See “How Do I Attend and Participate at the Meeting?”.</w:t>
      </w:r>
    </w:p>
    <w:p>
      <w:pPr>
        <w:spacing w:after="0" w:line="148"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3"/>
          <w:szCs w:val="13"/>
          <w:color w:val="auto"/>
        </w:rPr>
        <w:t>Beneficial Shareholders who have not duly appointed themselves as proxyholder will not be able to attend, participate or vote at the Meeting. This is because the Corporation and its transfer agent do not have a record of the Beneficial Shareholders, and, as a result, will have no knowledge of your shareholdings or entitlement to vote, unless you appoint yourself as proxyholder. If you are a Beneficial Shareholder and wish to vote at the Meeting, you have to appoint yourself as proxyholder, by inserting your own name in the space provided on the voting instruction form sent to you and must follow all of the applicable instructions provided by your intermediary. See “Appointment of a Third Party as Proxy” and “How do I attend and participate at the Meeting?”.</w:t>
      </w:r>
    </w:p>
    <w:p>
      <w:pPr>
        <w:sectPr>
          <w:pgSz w:w="11900" w:h="16838" w:orient="portrait"/>
          <w:cols w:equalWidth="0" w:num="1">
            <w:col w:w="11300"/>
          </w:cols>
          <w:pgMar w:left="300" w:top="125" w:right="299" w:bottom="1440" w:gutter="0" w:footer="0" w:header="0"/>
        </w:sectPr>
      </w:pPr>
    </w:p>
    <w:bookmarkStart w:id="8" w:name="page9"/>
    <w:bookmarkEnd w:id="8"/>
    <w:p>
      <w:pPr>
        <w:jc w:val="center"/>
        <w:spacing w:after="0"/>
        <w:rPr>
          <w:sz w:val="20"/>
          <w:szCs w:val="20"/>
          <w:color w:val="auto"/>
        </w:rPr>
      </w:pPr>
      <w:r>
        <w:rPr>
          <w:rFonts w:ascii="Times New Roman" w:cs="Times New Roman" w:eastAsia="Times New Roman" w:hAnsi="Times New Roman"/>
          <w:sz w:val="13"/>
          <w:szCs w:val="13"/>
          <w:color w:val="auto"/>
        </w:rPr>
        <w:t>- 5 -</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APPOINTMENT AND REVOCATION OF PROXIES</w:t>
      </w:r>
    </w:p>
    <w:p>
      <w:pPr>
        <w:spacing w:after="0" w:line="157" w:lineRule="exact"/>
        <w:rPr>
          <w:sz w:val="20"/>
          <w:szCs w:val="20"/>
          <w:color w:val="auto"/>
        </w:rPr>
      </w:pPr>
    </w:p>
    <w:p>
      <w:pPr>
        <w:jc w:val="both"/>
        <w:ind w:right="20"/>
        <w:spacing w:after="0" w:line="262" w:lineRule="auto"/>
        <w:rPr>
          <w:sz w:val="20"/>
          <w:szCs w:val="20"/>
          <w:color w:val="auto"/>
        </w:rPr>
      </w:pPr>
      <w:r>
        <w:rPr>
          <w:rFonts w:ascii="Times New Roman" w:cs="Times New Roman" w:eastAsia="Times New Roman" w:hAnsi="Times New Roman"/>
          <w:sz w:val="13"/>
          <w:szCs w:val="13"/>
          <w:color w:val="auto"/>
        </w:rPr>
        <w:t xml:space="preserve">A registered Shareholder can vote by proxy whether or not they attend the Meeting. The persons named in the enclosed form of proxy are officers and/or directors of the Corporation. </w:t>
      </w:r>
      <w:r>
        <w:rPr>
          <w:rFonts w:ascii="Times New Roman" w:cs="Times New Roman" w:eastAsia="Times New Roman" w:hAnsi="Times New Roman"/>
          <w:sz w:val="13"/>
          <w:szCs w:val="13"/>
          <w:b w:val="1"/>
          <w:bCs w:val="1"/>
          <w:color w:val="auto"/>
        </w:rPr>
        <w:t>A registered Shareholder</w:t>
      </w:r>
      <w:r>
        <w:rPr>
          <w:rFonts w:ascii="Times New Roman" w:cs="Times New Roman" w:eastAsia="Times New Roman" w:hAnsi="Times New Roman"/>
          <w:sz w:val="13"/>
          <w:szCs w:val="13"/>
          <w:color w:val="auto"/>
        </w:rPr>
        <w:t xml:space="preserve"> </w:t>
      </w:r>
      <w:r>
        <w:rPr>
          <w:rFonts w:ascii="Times New Roman" w:cs="Times New Roman" w:eastAsia="Times New Roman" w:hAnsi="Times New Roman"/>
          <w:sz w:val="13"/>
          <w:szCs w:val="13"/>
          <w:b w:val="1"/>
          <w:bCs w:val="1"/>
          <w:color w:val="auto"/>
        </w:rPr>
        <w:t>desiring to appoint some other person (who need not be a Shareholder) to represent him, her or it at the Meeting may do so either by inserting such person’s name in the blank space provided in the</w:t>
      </w:r>
    </w:p>
    <w:p>
      <w:pPr>
        <w:jc w:val="both"/>
        <w:spacing w:after="0" w:line="261" w:lineRule="auto"/>
        <w:rPr>
          <w:sz w:val="20"/>
          <w:szCs w:val="20"/>
          <w:color w:val="auto"/>
        </w:rPr>
      </w:pPr>
      <w:r>
        <w:rPr>
          <w:rFonts w:ascii="Times New Roman" w:cs="Times New Roman" w:eastAsia="Times New Roman" w:hAnsi="Times New Roman"/>
          <w:sz w:val="13"/>
          <w:szCs w:val="13"/>
          <w:b w:val="1"/>
          <w:bCs w:val="1"/>
          <w:color w:val="auto"/>
        </w:rPr>
        <w:t xml:space="preserve">applicable form of proxy or by completing another proper form of proxy. </w:t>
      </w:r>
      <w:r>
        <w:rPr>
          <w:rFonts w:ascii="Times New Roman" w:cs="Times New Roman" w:eastAsia="Times New Roman" w:hAnsi="Times New Roman"/>
          <w:sz w:val="13"/>
          <w:szCs w:val="13"/>
          <w:color w:val="auto"/>
        </w:rPr>
        <w:t>In either case, a registered Shareholder can vote by proxy by delivering the completed proxy to the Corporation’s transfer agent and</w:t>
      </w:r>
      <w:r>
        <w:rPr>
          <w:rFonts w:ascii="Times New Roman" w:cs="Times New Roman" w:eastAsia="Times New Roman" w:hAnsi="Times New Roman"/>
          <w:sz w:val="13"/>
          <w:szCs w:val="13"/>
          <w:b w:val="1"/>
          <w:bCs w:val="1"/>
          <w:color w:val="auto"/>
        </w:rPr>
        <w:t xml:space="preserve"> </w:t>
      </w:r>
      <w:r>
        <w:rPr>
          <w:rFonts w:ascii="Times New Roman" w:cs="Times New Roman" w:eastAsia="Times New Roman" w:hAnsi="Times New Roman"/>
          <w:sz w:val="13"/>
          <w:szCs w:val="13"/>
          <w:color w:val="auto"/>
        </w:rPr>
        <w:t xml:space="preserve">registrar, Odyssey Trust Company, (a) by mail to Attn: Proxy Department, 67 Yonge St., Suite 702, Toronto ON M5E 1J8 in the prepaid addressed envelope provided for that purpose, or (b) by voting online at </w:t>
      </w:r>
      <w:r>
        <w:rPr>
          <w:rFonts w:ascii="Times New Roman" w:cs="Times New Roman" w:eastAsia="Times New Roman" w:hAnsi="Times New Roman"/>
          <w:sz w:val="13"/>
          <w:szCs w:val="13"/>
          <w:u w:val="single" w:color="auto"/>
          <w:color w:val="0000FF"/>
        </w:rPr>
        <w:t>https://meetings.lumiconnect.com/400-915-565-382</w:t>
      </w:r>
      <w:r>
        <w:rPr>
          <w:rFonts w:ascii="Times New Roman" w:cs="Times New Roman" w:eastAsia="Times New Roman" w:hAnsi="Times New Roman"/>
          <w:sz w:val="13"/>
          <w:szCs w:val="13"/>
          <w:color w:val="0000FF"/>
        </w:rPr>
        <w:t xml:space="preserve"> </w:t>
      </w:r>
      <w:r>
        <w:rPr>
          <w:rFonts w:ascii="Times New Roman" w:cs="Times New Roman" w:eastAsia="Times New Roman" w:hAnsi="Times New Roman"/>
          <w:sz w:val="13"/>
          <w:szCs w:val="13"/>
          <w:color w:val="000000"/>
        </w:rPr>
        <w:t>clicking on vote and entering their 12 digit control number so as to arrive by no later than 10:00 a.m. (Toronto time) on Thursday, August 14, 2025, or if the</w:t>
      </w:r>
      <w:r>
        <w:rPr>
          <w:rFonts w:ascii="Times New Roman" w:cs="Times New Roman" w:eastAsia="Times New Roman" w:hAnsi="Times New Roman"/>
          <w:sz w:val="13"/>
          <w:szCs w:val="13"/>
          <w:color w:val="0000FF"/>
        </w:rPr>
        <w:t xml:space="preserve"> </w:t>
      </w:r>
      <w:r>
        <w:rPr>
          <w:rFonts w:ascii="Times New Roman" w:cs="Times New Roman" w:eastAsia="Times New Roman" w:hAnsi="Times New Roman"/>
          <w:sz w:val="13"/>
          <w:szCs w:val="13"/>
          <w:color w:val="000000"/>
        </w:rPr>
        <w:t>Meeting is adjourned, not less than 24 hours (excluding Saturdays, Sundays and holidays) before the time set for any reconvened meeting at which the proxy is to be used.</w:t>
      </w:r>
    </w:p>
    <w:p>
      <w:pPr>
        <w:spacing w:after="0" w:line="112"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3"/>
          <w:szCs w:val="13"/>
          <w:b w:val="1"/>
          <w:bCs w:val="1"/>
          <w:color w:val="auto"/>
        </w:rPr>
        <w:t>If you wish that a person other than the management nominees identified on the proxy attend and participate at the Meeting as your proxy and vote your Common Shares, you must submit your proxy appointing such third party proxyholder AND complete the additional step of registering the proxyholder by emailing Odyssey Trust Company at appointee@odysseytrust.com by no later than 10:00 a.m. (Toronto time) on Thursday, August 14, 2025, or if the Meeting is adjourned, not less than 24 hours (excluding Saturdays, Sundays and holidays) before the time set for any reconvened meeting at which the proxy is to be used, and provide Odyssey Trust Company with the required proxyholder contact information, amount of Common Shares appointed, name in which the Common Shares are registered, so that Odyssey Trust Company may provide the proxyholder with a username via email. Failure to register the proxyholder with Odyssey Trust Company will result in the proxyholder not receiving login credentials to participate in the Meeting and not being able to attend, participate or vote at the Meeting.</w:t>
      </w:r>
    </w:p>
    <w:p>
      <w:pPr>
        <w:spacing w:after="0" w:line="121"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3"/>
          <w:szCs w:val="13"/>
          <w:color w:val="auto"/>
        </w:rPr>
        <w:t>A Shareholder has the right to revoke a proxy that has been submitted. To revoke a proxy, the Shareholder may deliver a written notice to the registered office of the Corporation at any time up to and including the last business day before the Meeting or any adjournment of the Meeting. The proxy may also be revoked on the day of the Meeting or any adjournment of the Meeting by delivering written notice to the chair of the Meeting. In addition, the proxy may be revoked by any other method permitted by law. The written notice of revocation may be executed by the Shareholder or by an attorney who has the Shareholder’s written authorization. If the Shareholder is a corporation, the written notice must be executed by its duly authorized officer or attorney.</w:t>
      </w:r>
    </w:p>
    <w:p>
      <w:pPr>
        <w:spacing w:after="0" w:line="1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EXERCISE OF DISCRETION BY PROXIES</w:t>
      </w:r>
    </w:p>
    <w:p>
      <w:pPr>
        <w:spacing w:after="0" w:line="157"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3"/>
          <w:szCs w:val="13"/>
          <w:color w:val="auto"/>
        </w:rPr>
        <w:t xml:space="preserve">The persons named in the accompanying form of proxy will vote the Common Shares in respect of which they are appointed in accordance with the direction of the Shareholders appointing them. </w:t>
      </w:r>
      <w:r>
        <w:rPr>
          <w:rFonts w:ascii="Times New Roman" w:cs="Times New Roman" w:eastAsia="Times New Roman" w:hAnsi="Times New Roman"/>
          <w:sz w:val="13"/>
          <w:szCs w:val="13"/>
          <w:b w:val="1"/>
          <w:bCs w:val="1"/>
          <w:color w:val="auto"/>
        </w:rPr>
        <w:t>In the absence of</w:t>
      </w:r>
      <w:r>
        <w:rPr>
          <w:rFonts w:ascii="Times New Roman" w:cs="Times New Roman" w:eastAsia="Times New Roman" w:hAnsi="Times New Roman"/>
          <w:sz w:val="13"/>
          <w:szCs w:val="13"/>
          <w:color w:val="auto"/>
        </w:rPr>
        <w:t xml:space="preserve"> </w:t>
      </w:r>
      <w:r>
        <w:rPr>
          <w:rFonts w:ascii="Times New Roman" w:cs="Times New Roman" w:eastAsia="Times New Roman" w:hAnsi="Times New Roman"/>
          <w:sz w:val="13"/>
          <w:szCs w:val="13"/>
          <w:b w:val="1"/>
          <w:bCs w:val="1"/>
          <w:color w:val="auto"/>
        </w:rPr>
        <w:t>such direction, such Common Shares will be voted in favour of the passing of the matters set out in the Notice. The form of proxy confers discretionary authority upon the persons named therein with respect to amendments or variations to matters identified in the Notice and with respect to other matters which may properly come before the Meeting or any adjournment thereof</w:t>
      </w:r>
      <w:r>
        <w:rPr>
          <w:rFonts w:ascii="Times New Roman" w:cs="Times New Roman" w:eastAsia="Times New Roman" w:hAnsi="Times New Roman"/>
          <w:sz w:val="13"/>
          <w:szCs w:val="13"/>
          <w:color w:val="auto"/>
        </w:rPr>
        <w:t>. At the time of the</w:t>
      </w:r>
      <w:r>
        <w:rPr>
          <w:rFonts w:ascii="Times New Roman" w:cs="Times New Roman" w:eastAsia="Times New Roman" w:hAnsi="Times New Roman"/>
          <w:sz w:val="13"/>
          <w:szCs w:val="13"/>
          <w:b w:val="1"/>
          <w:bCs w:val="1"/>
          <w:color w:val="auto"/>
        </w:rPr>
        <w:t xml:space="preserve"> </w:t>
      </w:r>
      <w:r>
        <w:rPr>
          <w:rFonts w:ascii="Times New Roman" w:cs="Times New Roman" w:eastAsia="Times New Roman" w:hAnsi="Times New Roman"/>
          <w:sz w:val="13"/>
          <w:szCs w:val="13"/>
          <w:color w:val="auto"/>
        </w:rPr>
        <w:t xml:space="preserve">printing of this Circular, the management of the Corporation knows of no such amendments, variations or other matters to come before the Meeting other than the matters referred to in the Notice. </w:t>
      </w:r>
      <w:r>
        <w:rPr>
          <w:rFonts w:ascii="Times New Roman" w:cs="Times New Roman" w:eastAsia="Times New Roman" w:hAnsi="Times New Roman"/>
          <w:sz w:val="13"/>
          <w:szCs w:val="13"/>
          <w:b w:val="1"/>
          <w:bCs w:val="1"/>
          <w:color w:val="auto"/>
        </w:rPr>
        <w:t>However, if any</w:t>
      </w:r>
      <w:r>
        <w:rPr>
          <w:rFonts w:ascii="Times New Roman" w:cs="Times New Roman" w:eastAsia="Times New Roman" w:hAnsi="Times New Roman"/>
          <w:sz w:val="13"/>
          <w:szCs w:val="13"/>
          <w:color w:val="auto"/>
        </w:rPr>
        <w:t xml:space="preserve"> </w:t>
      </w:r>
      <w:r>
        <w:rPr>
          <w:rFonts w:ascii="Times New Roman" w:cs="Times New Roman" w:eastAsia="Times New Roman" w:hAnsi="Times New Roman"/>
          <w:sz w:val="13"/>
          <w:szCs w:val="13"/>
          <w:b w:val="1"/>
          <w:bCs w:val="1"/>
          <w:color w:val="auto"/>
        </w:rPr>
        <w:t>other matters which at present are not known to the management of the</w:t>
      </w:r>
    </w:p>
    <w:p>
      <w:pPr>
        <w:sectPr>
          <w:pgSz w:w="11900" w:h="16838" w:orient="portrait"/>
          <w:cols w:equalWidth="0" w:num="1">
            <w:col w:w="11300"/>
          </w:cols>
          <w:pgMar w:left="300" w:top="125" w:right="299" w:bottom="1440" w:gutter="0" w:footer="0" w:header="0"/>
        </w:sectPr>
      </w:pPr>
    </w:p>
    <w:bookmarkStart w:id="9" w:name="page10"/>
    <w:bookmarkEnd w:id="9"/>
    <w:p>
      <w:pPr>
        <w:jc w:val="center"/>
        <w:spacing w:after="0"/>
        <w:rPr>
          <w:sz w:val="20"/>
          <w:szCs w:val="20"/>
          <w:color w:val="auto"/>
        </w:rPr>
      </w:pPr>
      <w:r>
        <w:rPr>
          <w:rFonts w:ascii="Times New Roman" w:cs="Times New Roman" w:eastAsia="Times New Roman" w:hAnsi="Times New Roman"/>
          <w:sz w:val="13"/>
          <w:szCs w:val="13"/>
          <w:color w:val="auto"/>
        </w:rPr>
        <w:t>- 6 -</w:t>
      </w:r>
    </w:p>
    <w:p>
      <w:pPr>
        <w:spacing w:after="0" w:line="200" w:lineRule="exact"/>
        <w:rPr>
          <w:sz w:val="20"/>
          <w:szCs w:val="20"/>
          <w:color w:val="auto"/>
        </w:rPr>
      </w:pPr>
    </w:p>
    <w:p>
      <w:pPr>
        <w:spacing w:after="0" w:line="200" w:lineRule="exact"/>
        <w:rPr>
          <w:sz w:val="20"/>
          <w:szCs w:val="20"/>
          <w:color w:val="auto"/>
        </w:rPr>
      </w:pPr>
    </w:p>
    <w:p>
      <w:pPr>
        <w:spacing w:after="0" w:line="312"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color w:val="auto"/>
        </w:rPr>
        <w:t>Corporation should properly come before the Meeting, the proxy will be voted on such matters in accordance with the best judgment of the named proxies</w:t>
      </w:r>
      <w:r>
        <w:rPr>
          <w:rFonts w:ascii="Times New Roman" w:cs="Times New Roman" w:eastAsia="Times New Roman" w:hAnsi="Times New Roman"/>
          <w:sz w:val="13"/>
          <w:szCs w:val="13"/>
          <w:color w:val="auto"/>
        </w:rPr>
        <w:t>.</w:t>
      </w:r>
    </w:p>
    <w:p>
      <w:pPr>
        <w:spacing w:after="0" w:line="157"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color w:val="auto"/>
        </w:rPr>
        <w:t>Legal Proxy – US Beneficial Shareholders</w:t>
      </w:r>
    </w:p>
    <w:p>
      <w:pPr>
        <w:spacing w:after="0" w:line="150"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3"/>
          <w:szCs w:val="13"/>
          <w:color w:val="auto"/>
        </w:rPr>
        <w:t xml:space="preserve">If you are a beneficial shareholder located in the United States and wish to attend, participate or vote at the Meeting or, if permitted, appoint a third party as your proxyholder, in addition to the steps described above and below under “How do I attend and participate at the Meeting?”, you must obtain a valid legal proxy from your intermediary. Follow the instructions from your intermediary included with the legal proxy form and the voting information form sent to you, or contact your intermediary to request a legal proxy form or a legal proxy if you have not received one. After obtaining a valid legal proxy from your intermediary, you must then submit such legal proxy to Odyssey Trust Company. Requests for registration from Beneficial Shareholders located in the United States that wish to attend, participate or vote at the Meeting or, if permitted, appoint a third party as their proxyholder must be sent by e-mail to </w:t>
      </w:r>
      <w:r>
        <w:rPr>
          <w:rFonts w:ascii="Times New Roman" w:cs="Times New Roman" w:eastAsia="Times New Roman" w:hAnsi="Times New Roman"/>
          <w:sz w:val="13"/>
          <w:szCs w:val="13"/>
          <w:u w:val="single" w:color="auto"/>
          <w:color w:val="0000FF"/>
        </w:rPr>
        <w:t>appointee@odysseytrust.com</w:t>
      </w:r>
      <w:r>
        <w:rPr>
          <w:rFonts w:ascii="Times New Roman" w:cs="Times New Roman" w:eastAsia="Times New Roman" w:hAnsi="Times New Roman"/>
          <w:sz w:val="13"/>
          <w:szCs w:val="13"/>
          <w:color w:val="auto"/>
        </w:rPr>
        <w:t xml:space="preserve"> and received by 10:00 a.m. (Eastern Time) on Thursday, August 14, 2025.</w:t>
      </w:r>
    </w:p>
    <w:p>
      <w:pPr>
        <w:spacing w:after="0" w:line="10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HOW DO I ATTEND AND PARTICIPATE AT THE MEETING?</w:t>
      </w:r>
    </w:p>
    <w:p>
      <w:pPr>
        <w:spacing w:after="0" w:line="159" w:lineRule="exact"/>
        <w:rPr>
          <w:sz w:val="20"/>
          <w:szCs w:val="20"/>
          <w:color w:val="auto"/>
        </w:rPr>
      </w:pPr>
    </w:p>
    <w:p>
      <w:pPr>
        <w:jc w:val="both"/>
        <w:spacing w:after="0" w:line="281" w:lineRule="auto"/>
        <w:rPr>
          <w:sz w:val="20"/>
          <w:szCs w:val="20"/>
          <w:color w:val="auto"/>
        </w:rPr>
      </w:pPr>
      <w:r>
        <w:rPr>
          <w:rFonts w:ascii="Times New Roman" w:cs="Times New Roman" w:eastAsia="Times New Roman" w:hAnsi="Times New Roman"/>
          <w:sz w:val="13"/>
          <w:szCs w:val="13"/>
          <w:color w:val="auto"/>
        </w:rPr>
        <w:t>The Corporation is holding the Meeting as a completely virtual meeting, which will be conducted via live webcast. Shareholders will not be able to attend the Meeting in person. In order to attend, participate or vote at the Meeting (including for voting and asking questions at the Meeting), Shareholders must have a valid username.</w:t>
      </w:r>
    </w:p>
    <w:p>
      <w:pPr>
        <w:spacing w:after="0" w:line="127"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 xml:space="preserve">Registered Shareholders and duly appointed proxyholders will be able to attend, participate and vote at the Meeting online at </w:t>
      </w:r>
      <w:r>
        <w:rPr>
          <w:rFonts w:ascii="Times New Roman" w:cs="Times New Roman" w:eastAsia="Times New Roman" w:hAnsi="Times New Roman"/>
          <w:sz w:val="13"/>
          <w:szCs w:val="13"/>
          <w:u w:val="single" w:color="auto"/>
          <w:color w:val="0000FF"/>
        </w:rPr>
        <w:t>https://meetings.lumiconnect.com/400-915-565-382</w:t>
      </w:r>
      <w:r>
        <w:rPr>
          <w:rFonts w:ascii="Times New Roman" w:cs="Times New Roman" w:eastAsia="Times New Roman" w:hAnsi="Times New Roman"/>
          <w:sz w:val="13"/>
          <w:szCs w:val="13"/>
          <w:color w:val="auto"/>
        </w:rPr>
        <w:t>. Such persons may then enter the</w:t>
      </w:r>
    </w:p>
    <w:p>
      <w:pPr>
        <w:spacing w:after="0" w:line="22"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Meeting by clicking “I have a login” and entering a username and password before the start of the Meeting:</w:t>
      </w:r>
    </w:p>
    <w:p>
      <w:pPr>
        <w:spacing w:after="0" w:line="156" w:lineRule="exact"/>
        <w:rPr>
          <w:sz w:val="20"/>
          <w:szCs w:val="20"/>
          <w:color w:val="auto"/>
        </w:rPr>
      </w:pPr>
    </w:p>
    <w:p>
      <w:pPr>
        <w:jc w:val="both"/>
        <w:ind w:left="420" w:hanging="212"/>
        <w:spacing w:after="0" w:line="270" w:lineRule="auto"/>
        <w:tabs>
          <w:tab w:leader="none" w:pos="412" w:val="left"/>
        </w:tabs>
        <w:numPr>
          <w:ilvl w:val="0"/>
          <w:numId w:val="2"/>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u w:val="single" w:color="auto"/>
          <w:color w:val="auto"/>
        </w:rPr>
        <w:t>Registered Shareholders:</w:t>
      </w:r>
      <w:r>
        <w:rPr>
          <w:rFonts w:ascii="Times New Roman" w:cs="Times New Roman" w:eastAsia="Times New Roman" w:hAnsi="Times New Roman"/>
          <w:sz w:val="13"/>
          <w:szCs w:val="13"/>
          <w:color w:val="auto"/>
        </w:rPr>
        <w:t xml:space="preserve"> The control number located on the form of proxy (or in the email notification you received) is the username. The password to the Meeting is “cybin2025” (case sensitive). If you are using your control number to login to the Meeting and you have previously voted, you do not need to vote again when the polls open. By voting at the Meeting, you will revoke your previous voting instructions received prior to voting cut-off.</w:t>
      </w:r>
    </w:p>
    <w:p>
      <w:pPr>
        <w:spacing w:after="0" w:line="132" w:lineRule="exact"/>
        <w:rPr>
          <w:rFonts w:ascii="Times New Roman" w:cs="Times New Roman" w:eastAsia="Times New Roman" w:hAnsi="Times New Roman"/>
          <w:sz w:val="13"/>
          <w:szCs w:val="13"/>
          <w:color w:val="auto"/>
        </w:rPr>
      </w:pPr>
    </w:p>
    <w:p>
      <w:pPr>
        <w:jc w:val="both"/>
        <w:ind w:left="420" w:hanging="212"/>
        <w:spacing w:after="0" w:line="262" w:lineRule="auto"/>
        <w:tabs>
          <w:tab w:leader="none" w:pos="412" w:val="left"/>
        </w:tabs>
        <w:numPr>
          <w:ilvl w:val="0"/>
          <w:numId w:val="2"/>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u w:val="single" w:color="auto"/>
          <w:color w:val="auto"/>
        </w:rPr>
        <w:t>Duly appointed proxyholders</w:t>
      </w:r>
      <w:r>
        <w:rPr>
          <w:rFonts w:ascii="Times New Roman" w:cs="Times New Roman" w:eastAsia="Times New Roman" w:hAnsi="Times New Roman"/>
          <w:sz w:val="13"/>
          <w:szCs w:val="13"/>
          <w:color w:val="auto"/>
        </w:rPr>
        <w:t>: Odyssey Trust Company will provide the proxyholder with a username by e-mail after the voting deadline has passed. The password to the Meeting is “cybin2025</w:t>
      </w:r>
      <w:r>
        <w:rPr>
          <w:rFonts w:ascii="Times New Roman" w:cs="Times New Roman" w:eastAsia="Times New Roman" w:hAnsi="Times New Roman"/>
          <w:sz w:val="13"/>
          <w:szCs w:val="13"/>
          <w:b w:val="1"/>
          <w:bCs w:val="1"/>
          <w:color w:val="auto"/>
        </w:rPr>
        <w:t>”</w:t>
      </w:r>
      <w:r>
        <w:rPr>
          <w:rFonts w:ascii="Times New Roman" w:cs="Times New Roman" w:eastAsia="Times New Roman" w:hAnsi="Times New Roman"/>
          <w:sz w:val="13"/>
          <w:szCs w:val="13"/>
          <w:color w:val="auto"/>
        </w:rPr>
        <w:t xml:space="preserve"> (case sensitive). Only registered Shareholders and duly appointed proxyholders will be entitled to attend, participate and vote at the Meeting. Beneficial shareholders who have not duly appointed themselves as proxyholder will be able to attend the meeting as a guest but not be able to participate or vote at the Meeting. Shareholders who wish to appoint a third party proxyholder to represent them at the Meeting (including beneficial shareholders who wish to appoint themselves as proxyholder to attend, participate or vote at the Meeting) MUST submit their duly completed proxy AND register the proxyholder. See “Appointment and Revocation of Proxies”.</w:t>
      </w:r>
    </w:p>
    <w:p>
      <w:pPr>
        <w:spacing w:after="0" w:line="1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ADVICE TO BENEFICIAL SHAREHOLDERS</w:t>
      </w:r>
    </w:p>
    <w:p>
      <w:pPr>
        <w:spacing w:after="0" w:line="148"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color w:val="auto"/>
        </w:rPr>
        <w:t>Shareholders should note that only proxies deposited by Shareholders whose names appear on the records of the Corporation as the registered holders of Common Shares, or non-objecting beneficial</w:t>
      </w:r>
    </w:p>
    <w:p>
      <w:pPr>
        <w:sectPr>
          <w:pgSz w:w="11900" w:h="16838" w:orient="portrait"/>
          <w:cols w:equalWidth="0" w:num="1">
            <w:col w:w="11300"/>
          </w:cols>
          <w:pgMar w:left="300" w:top="125" w:right="299" w:bottom="1440" w:gutter="0" w:footer="0" w:header="0"/>
        </w:sectPr>
      </w:pPr>
    </w:p>
    <w:bookmarkStart w:id="10" w:name="page11"/>
    <w:bookmarkEnd w:id="10"/>
    <w:p>
      <w:pPr>
        <w:jc w:val="center"/>
        <w:spacing w:after="0"/>
        <w:rPr>
          <w:sz w:val="20"/>
          <w:szCs w:val="20"/>
          <w:color w:val="auto"/>
        </w:rPr>
      </w:pPr>
      <w:r>
        <w:rPr>
          <w:rFonts w:ascii="Times New Roman" w:cs="Times New Roman" w:eastAsia="Times New Roman" w:hAnsi="Times New Roman"/>
          <w:sz w:val="13"/>
          <w:szCs w:val="13"/>
          <w:color w:val="auto"/>
        </w:rPr>
        <w:t>- 7 -</w:t>
      </w:r>
    </w:p>
    <w:p>
      <w:pPr>
        <w:spacing w:after="0" w:line="200" w:lineRule="exact"/>
        <w:rPr>
          <w:sz w:val="20"/>
          <w:szCs w:val="20"/>
          <w:color w:val="auto"/>
        </w:rPr>
      </w:pPr>
    </w:p>
    <w:p>
      <w:pPr>
        <w:spacing w:after="0" w:line="200" w:lineRule="exact"/>
        <w:rPr>
          <w:sz w:val="20"/>
          <w:szCs w:val="20"/>
          <w:color w:val="auto"/>
        </w:rPr>
      </w:pPr>
    </w:p>
    <w:p>
      <w:pPr>
        <w:spacing w:after="0" w:line="312"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3"/>
          <w:szCs w:val="13"/>
          <w:b w:val="1"/>
          <w:bCs w:val="1"/>
          <w:color w:val="auto"/>
        </w:rPr>
        <w:t>owners whose names has been provided to the Corporation’s registrar and transfer agent, can be recognized and acted upon at the Meeting</w:t>
      </w:r>
      <w:r>
        <w:rPr>
          <w:rFonts w:ascii="Times New Roman" w:cs="Times New Roman" w:eastAsia="Times New Roman" w:hAnsi="Times New Roman"/>
          <w:sz w:val="13"/>
          <w:szCs w:val="13"/>
          <w:color w:val="auto"/>
        </w:rPr>
        <w:t>. The information set forth in this section is therefore of</w:t>
      </w:r>
      <w:r>
        <w:rPr>
          <w:rFonts w:ascii="Times New Roman" w:cs="Times New Roman" w:eastAsia="Times New Roman" w:hAnsi="Times New Roman"/>
          <w:sz w:val="13"/>
          <w:szCs w:val="13"/>
          <w:b w:val="1"/>
          <w:bCs w:val="1"/>
          <w:color w:val="auto"/>
        </w:rPr>
        <w:t xml:space="preserve"> </w:t>
      </w:r>
      <w:r>
        <w:rPr>
          <w:rFonts w:ascii="Times New Roman" w:cs="Times New Roman" w:eastAsia="Times New Roman" w:hAnsi="Times New Roman"/>
          <w:sz w:val="13"/>
          <w:szCs w:val="13"/>
          <w:color w:val="auto"/>
        </w:rPr>
        <w:t>significant importance to a substantial number of Shareholders who do not hold their Common Shares in their own name (the “</w:t>
      </w:r>
      <w:r>
        <w:rPr>
          <w:rFonts w:ascii="Times New Roman" w:cs="Times New Roman" w:eastAsia="Times New Roman" w:hAnsi="Times New Roman"/>
          <w:sz w:val="13"/>
          <w:szCs w:val="13"/>
          <w:b w:val="1"/>
          <w:bCs w:val="1"/>
          <w:color w:val="auto"/>
        </w:rPr>
        <w:t>Beneficial Shareholders</w:t>
      </w:r>
      <w:r>
        <w:rPr>
          <w:rFonts w:ascii="Times New Roman" w:cs="Times New Roman" w:eastAsia="Times New Roman" w:hAnsi="Times New Roman"/>
          <w:sz w:val="13"/>
          <w:szCs w:val="13"/>
          <w:color w:val="auto"/>
        </w:rPr>
        <w:t>”). If Common Shares are listed in an account statement provided to a Shareholder by an Intermediary, then in almost all cases those Common Shares will not be registered in such Shareholder’s name on the records of the Corporation. Such Common Shares will more likely be registered under the name of the Shareholder’s Intermediary or an agent of that Intermediary. In Canada, the vast majority of such Common Shares are registered under the name of CDS &amp; Co., as nominee for CDS Clearing and Depository Services Inc., which acts as a depository for many Canadian Intermediaries. Common Shares held by Intermediaries or their nominees can only be voted for or against resolutions upon the instructions of the Beneficial Shareholder. Without specific instructions, Intermediaries are prohibited from voting Common Shares for their clients.</w:t>
      </w:r>
    </w:p>
    <w:p>
      <w:pPr>
        <w:spacing w:after="0" w:line="12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3"/>
          <w:szCs w:val="13"/>
          <w:color w:val="auto"/>
        </w:rPr>
        <w:t>Applicable regulatory policy requires Intermediaries to seek voting instructions from Beneficial Shareholders in advance of shareholders’ meetings. Every Intermediary has its own mailing procedures and provides its own return instructions, which should be carefully followed by Beneficial Shareholders in order to ensure that their Common Shares are voted at the Meeting. Often the form of proxy supplied to a Beneficial Shareholder by its Intermediary is identical to the form of proxy provided by the Corporation to the Intermediaries. However, its purpose is limited to instructing the Intermediary how to vote on behalf of the Beneficial Shareholder. The majority of Intermediaries now delegate responsibility for obtaining instructions from clients to Broadridge Financial Solutions, Inc. (“</w:t>
      </w:r>
      <w:r>
        <w:rPr>
          <w:rFonts w:ascii="Times New Roman" w:cs="Times New Roman" w:eastAsia="Times New Roman" w:hAnsi="Times New Roman"/>
          <w:sz w:val="13"/>
          <w:szCs w:val="13"/>
          <w:b w:val="1"/>
          <w:bCs w:val="1"/>
          <w:color w:val="auto"/>
        </w:rPr>
        <w:t>Broadridge</w:t>
      </w:r>
      <w:r>
        <w:rPr>
          <w:rFonts w:ascii="Times New Roman" w:cs="Times New Roman" w:eastAsia="Times New Roman" w:hAnsi="Times New Roman"/>
          <w:sz w:val="13"/>
          <w:szCs w:val="13"/>
          <w:color w:val="auto"/>
        </w:rPr>
        <w:t>”). Broadridge typically mails the voting instruction forms or proxy forms to the Beneficial Shareholders and asks the Beneficial Shareholders to return the voting instruction forms or proxy forms to Broadridge. Broadridge then tabulates the results of all instructions received and provides appropriate instructions respecting the voting of Common Shares to be represented at the Meeting. A Beneficial Shareholder receiving a proxy or voting instruction form from Broadridge cannot use that proxy to vote Common Shares directly at the Meeting - the proxy must be returned to Broadridge well in advance of the Meeting in order to have the Common Shares voted.</w:t>
      </w:r>
    </w:p>
    <w:p>
      <w:pPr>
        <w:spacing w:after="0" w:line="12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3"/>
          <w:szCs w:val="13"/>
          <w:color w:val="auto"/>
        </w:rPr>
        <w:t xml:space="preserve">Although Beneficial Shareholders may not be recognized directly at the Meeting for the purposes of voting Common Shares registered in the name of their Intermediary, a Beneficial Shareholder may attend the Meeting as proxyholder for the Intermediary and vote their Common Shares in that capacity. Beneficial Shareholders who wish to attend the Meeting and indirectly vote their own Common Shares as proxyholder for the Intermediary should enter their own names in the blank space on the management form of proxy or voting instruction form provided to them and return the same to their Intermediary (or the agent of such Intermediary) in accordance with the instructions provided by such Intermediary or agent well in advance of the Meeting and register themselves as proxyholder, as described above. </w:t>
      </w:r>
      <w:r>
        <w:rPr>
          <w:rFonts w:ascii="Times New Roman" w:cs="Times New Roman" w:eastAsia="Times New Roman" w:hAnsi="Times New Roman"/>
          <w:sz w:val="13"/>
          <w:szCs w:val="13"/>
          <w:b w:val="1"/>
          <w:bCs w:val="1"/>
          <w:color w:val="auto"/>
        </w:rPr>
        <w:t>Beneficial Shareholders</w:t>
      </w:r>
      <w:r>
        <w:rPr>
          <w:rFonts w:ascii="Times New Roman" w:cs="Times New Roman" w:eastAsia="Times New Roman" w:hAnsi="Times New Roman"/>
          <w:sz w:val="13"/>
          <w:szCs w:val="13"/>
          <w:color w:val="auto"/>
        </w:rPr>
        <w:t xml:space="preserve"> </w:t>
      </w:r>
      <w:r>
        <w:rPr>
          <w:rFonts w:ascii="Times New Roman" w:cs="Times New Roman" w:eastAsia="Times New Roman" w:hAnsi="Times New Roman"/>
          <w:sz w:val="13"/>
          <w:szCs w:val="13"/>
          <w:b w:val="1"/>
          <w:bCs w:val="1"/>
          <w:color w:val="auto"/>
        </w:rPr>
        <w:t>should carefully follow the instructions of their Intermediaries and their service companies</w:t>
      </w:r>
      <w:r>
        <w:rPr>
          <w:rFonts w:ascii="Times New Roman" w:cs="Times New Roman" w:eastAsia="Times New Roman" w:hAnsi="Times New Roman"/>
          <w:sz w:val="13"/>
          <w:szCs w:val="13"/>
          <w:color w:val="auto"/>
        </w:rPr>
        <w:t>.</w:t>
      </w:r>
    </w:p>
    <w:p>
      <w:pPr>
        <w:spacing w:after="0" w:line="123"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All references to shareholders in this Circular and the accompanying form of proxy and Notice are to Shareholders of record unless specifically stated otherwise.</w:t>
      </w:r>
    </w:p>
    <w:p>
      <w:pPr>
        <w:spacing w:after="0" w:line="1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NOTE TO NON-OBJECTING BENEFICIAL OWNERS</w:t>
      </w:r>
    </w:p>
    <w:p>
      <w:pPr>
        <w:spacing w:after="0" w:line="159" w:lineRule="exact"/>
        <w:rPr>
          <w:sz w:val="20"/>
          <w:szCs w:val="20"/>
          <w:color w:val="auto"/>
        </w:rPr>
      </w:pPr>
    </w:p>
    <w:p>
      <w:pPr>
        <w:jc w:val="both"/>
        <w:spacing w:after="0" w:line="281" w:lineRule="auto"/>
        <w:rPr>
          <w:sz w:val="20"/>
          <w:szCs w:val="20"/>
          <w:color w:val="auto"/>
        </w:rPr>
      </w:pPr>
      <w:r>
        <w:rPr>
          <w:rFonts w:ascii="Times New Roman" w:cs="Times New Roman" w:eastAsia="Times New Roman" w:hAnsi="Times New Roman"/>
          <w:sz w:val="13"/>
          <w:szCs w:val="13"/>
          <w:color w:val="auto"/>
        </w:rPr>
        <w:t>The Meeting Materials are being sent to both registered and Beneficial Shareholders. If you are a Beneficial Shareholder, and the Corporation or its transfer agent and registrar, Odyssey Trust Company, has sent the Meeting Materials directly to you, your name and address and information about your holdings of Common Shares, have been obtained in accordance with applicable securities regulatory</w:t>
      </w:r>
    </w:p>
    <w:p>
      <w:pPr>
        <w:sectPr>
          <w:pgSz w:w="11900" w:h="16838" w:orient="portrait"/>
          <w:cols w:equalWidth="0" w:num="1">
            <w:col w:w="11300"/>
          </w:cols>
          <w:pgMar w:left="300" w:top="126" w:right="299" w:bottom="1440" w:gutter="0" w:footer="0" w:header="0"/>
        </w:sectPr>
      </w:pPr>
    </w:p>
    <w:bookmarkStart w:id="11" w:name="page12"/>
    <w:bookmarkEnd w:id="11"/>
    <w:p>
      <w:pPr>
        <w:jc w:val="center"/>
        <w:spacing w:after="0"/>
        <w:rPr>
          <w:sz w:val="20"/>
          <w:szCs w:val="20"/>
          <w:color w:val="auto"/>
        </w:rPr>
      </w:pPr>
      <w:r>
        <w:rPr>
          <w:rFonts w:ascii="Times New Roman" w:cs="Times New Roman" w:eastAsia="Times New Roman" w:hAnsi="Times New Roman"/>
          <w:sz w:val="13"/>
          <w:szCs w:val="13"/>
          <w:color w:val="auto"/>
        </w:rPr>
        <w:t>- 8 -</w:t>
      </w: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jc w:val="both"/>
        <w:ind w:right="20"/>
        <w:spacing w:after="0" w:line="295" w:lineRule="auto"/>
        <w:rPr>
          <w:sz w:val="20"/>
          <w:szCs w:val="20"/>
          <w:color w:val="auto"/>
        </w:rPr>
      </w:pPr>
      <w:r>
        <w:rPr>
          <w:rFonts w:ascii="Times New Roman" w:cs="Times New Roman" w:eastAsia="Times New Roman" w:hAnsi="Times New Roman"/>
          <w:sz w:val="13"/>
          <w:szCs w:val="13"/>
          <w:color w:val="auto"/>
        </w:rPr>
        <w:t>requirements from the Intermediary holding on your behalf. By choosing to send the Meeting Materials to you directly, the Corporation (and not the Intermediary holding on your behalf) has assumed responsibility for (i) delivering the Meeting Materials to you, and (ii) executing your proper voting instructions. Please return your voting instructions as specified in the request for voting instructions.</w:t>
      </w:r>
    </w:p>
    <w:p>
      <w:pPr>
        <w:spacing w:after="0" w:line="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VOTING SECURITIES AND PRINCIPAL HOLDERS THEREOF</w:t>
      </w:r>
    </w:p>
    <w:p>
      <w:pPr>
        <w:spacing w:after="0" w:line="157" w:lineRule="exact"/>
        <w:rPr>
          <w:sz w:val="20"/>
          <w:szCs w:val="20"/>
          <w:color w:val="auto"/>
        </w:rPr>
      </w:pPr>
    </w:p>
    <w:p>
      <w:pPr>
        <w:jc w:val="both"/>
        <w:ind w:right="20"/>
        <w:spacing w:after="0" w:line="284" w:lineRule="auto"/>
        <w:rPr>
          <w:sz w:val="20"/>
          <w:szCs w:val="20"/>
          <w:color w:val="auto"/>
        </w:rPr>
      </w:pPr>
      <w:r>
        <w:rPr>
          <w:rFonts w:ascii="Times New Roman" w:cs="Times New Roman" w:eastAsia="Times New Roman" w:hAnsi="Times New Roman"/>
          <w:sz w:val="13"/>
          <w:szCs w:val="13"/>
          <w:color w:val="auto"/>
        </w:rPr>
        <w:t>The Corporation has fixed the close of business on July 8, 2025 as the record date (the “</w:t>
      </w:r>
      <w:r>
        <w:rPr>
          <w:rFonts w:ascii="Times New Roman" w:cs="Times New Roman" w:eastAsia="Times New Roman" w:hAnsi="Times New Roman"/>
          <w:sz w:val="13"/>
          <w:szCs w:val="13"/>
          <w:b w:val="1"/>
          <w:bCs w:val="1"/>
          <w:color w:val="auto"/>
        </w:rPr>
        <w:t>Record Date</w:t>
      </w:r>
      <w:r>
        <w:rPr>
          <w:rFonts w:ascii="Times New Roman" w:cs="Times New Roman" w:eastAsia="Times New Roman" w:hAnsi="Times New Roman"/>
          <w:sz w:val="13"/>
          <w:szCs w:val="13"/>
          <w:color w:val="auto"/>
        </w:rPr>
        <w:t>”) for the purposes of determining Shareholders entitled to receive the Notice and vote at the Meeting. As at the Record Date, 23,023,631 Common Shares carrying the right to one vote per share at the Meeting were issued and outstanding.</w:t>
      </w:r>
    </w:p>
    <w:p>
      <w:pPr>
        <w:spacing w:after="0" w:line="105" w:lineRule="exact"/>
        <w:rPr>
          <w:sz w:val="20"/>
          <w:szCs w:val="20"/>
          <w:color w:val="auto"/>
        </w:rPr>
      </w:pPr>
    </w:p>
    <w:p>
      <w:pPr>
        <w:jc w:val="both"/>
        <w:spacing w:after="0" w:line="298" w:lineRule="auto"/>
        <w:rPr>
          <w:sz w:val="20"/>
          <w:szCs w:val="20"/>
          <w:color w:val="auto"/>
        </w:rPr>
      </w:pPr>
      <w:r>
        <w:rPr>
          <w:rFonts w:ascii="Times New Roman" w:cs="Times New Roman" w:eastAsia="Times New Roman" w:hAnsi="Times New Roman"/>
          <w:sz w:val="13"/>
          <w:szCs w:val="13"/>
          <w:color w:val="auto"/>
        </w:rPr>
        <w:t xml:space="preserve">In accordance with the provisions of the </w:t>
      </w:r>
      <w:r>
        <w:rPr>
          <w:rFonts w:ascii="Times New Roman" w:cs="Times New Roman" w:eastAsia="Times New Roman" w:hAnsi="Times New Roman"/>
          <w:sz w:val="13"/>
          <w:szCs w:val="13"/>
          <w:i w:val="1"/>
          <w:iCs w:val="1"/>
          <w:color w:val="auto"/>
        </w:rPr>
        <w:t>Business Corporation Act</w:t>
      </w:r>
      <w:r>
        <w:rPr>
          <w:rFonts w:ascii="Times New Roman" w:cs="Times New Roman" w:eastAsia="Times New Roman" w:hAnsi="Times New Roman"/>
          <w:sz w:val="13"/>
          <w:szCs w:val="13"/>
          <w:color w:val="auto"/>
        </w:rPr>
        <w:t xml:space="preserve"> (Ontario), the Corporation will prepare a list of the holders of Common Shares on the Record Date. Each holder of Common Shares named on the list will be entitled to vote the Common Shares shown opposite his, her or its name on the list at the Meeting.</w:t>
      </w:r>
    </w:p>
    <w:p>
      <w:pPr>
        <w:spacing w:after="0" w:line="90" w:lineRule="exact"/>
        <w:rPr>
          <w:sz w:val="20"/>
          <w:szCs w:val="20"/>
          <w:color w:val="auto"/>
        </w:rPr>
      </w:pPr>
    </w:p>
    <w:p>
      <w:pPr>
        <w:jc w:val="both"/>
        <w:spacing w:after="0" w:line="295" w:lineRule="auto"/>
        <w:rPr>
          <w:sz w:val="20"/>
          <w:szCs w:val="20"/>
          <w:color w:val="auto"/>
        </w:rPr>
      </w:pPr>
      <w:r>
        <w:rPr>
          <w:rFonts w:ascii="Times New Roman" w:cs="Times New Roman" w:eastAsia="Times New Roman" w:hAnsi="Times New Roman"/>
          <w:sz w:val="13"/>
          <w:szCs w:val="13"/>
          <w:color w:val="auto"/>
        </w:rPr>
        <w:t>To the knowledge of the directors and executive officers of the Corporation, as at the date of this Circular, no persons beneficially own, or control or direct, directly or indirectly, voting securities of the Corporation carrying 10% or more of the voting rights attached to the Common Shares.</w:t>
      </w:r>
    </w:p>
    <w:p>
      <w:pPr>
        <w:spacing w:after="0" w:line="92"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All amounts in this Circular are expressed in Canadian dollars unless otherwise noted.</w:t>
      </w:r>
    </w:p>
    <w:p>
      <w:pPr>
        <w:spacing w:after="0" w:line="15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CORPORATE OVERVIEW</w:t>
      </w:r>
    </w:p>
    <w:p>
      <w:pPr>
        <w:spacing w:after="0" w:line="157"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3"/>
          <w:szCs w:val="13"/>
          <w:color w:val="auto"/>
        </w:rPr>
        <w:t xml:space="preserve">The Corporation was incorporated under the </w:t>
      </w:r>
      <w:r>
        <w:rPr>
          <w:rFonts w:ascii="Times New Roman" w:cs="Times New Roman" w:eastAsia="Times New Roman" w:hAnsi="Times New Roman"/>
          <w:sz w:val="13"/>
          <w:szCs w:val="13"/>
          <w:i w:val="1"/>
          <w:iCs w:val="1"/>
          <w:color w:val="auto"/>
        </w:rPr>
        <w:t>Business Corporations Act</w:t>
      </w:r>
      <w:r>
        <w:rPr>
          <w:rFonts w:ascii="Times New Roman" w:cs="Times New Roman" w:eastAsia="Times New Roman" w:hAnsi="Times New Roman"/>
          <w:sz w:val="13"/>
          <w:szCs w:val="13"/>
          <w:color w:val="auto"/>
        </w:rPr>
        <w:t xml:space="preserve"> (British Columbia) (the “</w:t>
      </w:r>
      <w:r>
        <w:rPr>
          <w:rFonts w:ascii="Times New Roman" w:cs="Times New Roman" w:eastAsia="Times New Roman" w:hAnsi="Times New Roman"/>
          <w:sz w:val="13"/>
          <w:szCs w:val="13"/>
          <w:b w:val="1"/>
          <w:bCs w:val="1"/>
          <w:color w:val="auto"/>
        </w:rPr>
        <w:t>BCBCA</w:t>
      </w:r>
      <w:r>
        <w:rPr>
          <w:rFonts w:ascii="Times New Roman" w:cs="Times New Roman" w:eastAsia="Times New Roman" w:hAnsi="Times New Roman"/>
          <w:sz w:val="13"/>
          <w:szCs w:val="13"/>
          <w:color w:val="auto"/>
        </w:rPr>
        <w:t>”) on October 13, 2016 as “Clarmin Explorations Inc.” On November 5, 2020, Cybin Corp. (“</w:t>
      </w:r>
      <w:r>
        <w:rPr>
          <w:rFonts w:ascii="Times New Roman" w:cs="Times New Roman" w:eastAsia="Times New Roman" w:hAnsi="Times New Roman"/>
          <w:sz w:val="13"/>
          <w:szCs w:val="13"/>
          <w:b w:val="1"/>
          <w:bCs w:val="1"/>
          <w:color w:val="auto"/>
        </w:rPr>
        <w:t>Privateco</w:t>
      </w:r>
      <w:r>
        <w:rPr>
          <w:rFonts w:ascii="Times New Roman" w:cs="Times New Roman" w:eastAsia="Times New Roman" w:hAnsi="Times New Roman"/>
          <w:sz w:val="13"/>
          <w:szCs w:val="13"/>
          <w:color w:val="auto"/>
        </w:rPr>
        <w:t>”) amalgamated with 2762898 Ontario Inc. and the Corporation acquired all of the issued and outstanding common shares in the capital of Privateco (“</w:t>
      </w:r>
      <w:r>
        <w:rPr>
          <w:rFonts w:ascii="Times New Roman" w:cs="Times New Roman" w:eastAsia="Times New Roman" w:hAnsi="Times New Roman"/>
          <w:sz w:val="13"/>
          <w:szCs w:val="13"/>
          <w:b w:val="1"/>
          <w:bCs w:val="1"/>
          <w:color w:val="auto"/>
        </w:rPr>
        <w:t>Privateco Shares</w:t>
      </w:r>
      <w:r>
        <w:rPr>
          <w:rFonts w:ascii="Times New Roman" w:cs="Times New Roman" w:eastAsia="Times New Roman" w:hAnsi="Times New Roman"/>
          <w:sz w:val="13"/>
          <w:szCs w:val="13"/>
          <w:color w:val="auto"/>
        </w:rPr>
        <w:t>”) in exchange for Common Shares on the basis of one Common Share for every one Privateco Share then issued and outstanding. The amalgamation resulted in the reverse take-over of the Corporation by Privateco (the “</w:t>
      </w:r>
      <w:r>
        <w:rPr>
          <w:rFonts w:ascii="Times New Roman" w:cs="Times New Roman" w:eastAsia="Times New Roman" w:hAnsi="Times New Roman"/>
          <w:sz w:val="13"/>
          <w:szCs w:val="13"/>
          <w:b w:val="1"/>
          <w:bCs w:val="1"/>
          <w:color w:val="auto"/>
        </w:rPr>
        <w:t>Transaction</w:t>
      </w:r>
      <w:r>
        <w:rPr>
          <w:rFonts w:ascii="Times New Roman" w:cs="Times New Roman" w:eastAsia="Times New Roman" w:hAnsi="Times New Roman"/>
          <w:sz w:val="13"/>
          <w:szCs w:val="13"/>
          <w:color w:val="auto"/>
        </w:rPr>
        <w:t xml:space="preserve">”). In connection with and immediately prior to the Transaction, the Corporation filed articles of continuance to: (i) continue from the BCBCA to the </w:t>
      </w:r>
      <w:r>
        <w:rPr>
          <w:rFonts w:ascii="Times New Roman" w:cs="Times New Roman" w:eastAsia="Times New Roman" w:hAnsi="Times New Roman"/>
          <w:sz w:val="13"/>
          <w:szCs w:val="13"/>
          <w:i w:val="1"/>
          <w:iCs w:val="1"/>
          <w:color w:val="auto"/>
        </w:rPr>
        <w:t>Business Corporations Act</w:t>
      </w:r>
      <w:r>
        <w:rPr>
          <w:rFonts w:ascii="Times New Roman" w:cs="Times New Roman" w:eastAsia="Times New Roman" w:hAnsi="Times New Roman"/>
          <w:sz w:val="13"/>
          <w:szCs w:val="13"/>
          <w:color w:val="auto"/>
        </w:rPr>
        <w:t xml:space="preserve"> (Ontario) (the “</w:t>
      </w:r>
      <w:r>
        <w:rPr>
          <w:rFonts w:ascii="Times New Roman" w:cs="Times New Roman" w:eastAsia="Times New Roman" w:hAnsi="Times New Roman"/>
          <w:sz w:val="13"/>
          <w:szCs w:val="13"/>
          <w:b w:val="1"/>
          <w:bCs w:val="1"/>
          <w:color w:val="auto"/>
        </w:rPr>
        <w:t>OBCA</w:t>
      </w:r>
      <w:r>
        <w:rPr>
          <w:rFonts w:ascii="Times New Roman" w:cs="Times New Roman" w:eastAsia="Times New Roman" w:hAnsi="Times New Roman"/>
          <w:sz w:val="13"/>
          <w:szCs w:val="13"/>
          <w:color w:val="auto"/>
        </w:rPr>
        <w:t>”); and (ii) change its name from “Clarmin Explorations Inc.” to “Cybin Inc.” On November 10, 2020, the Common Shares began trading on Cboe Canada Inc. (the “</w:t>
      </w:r>
      <w:r>
        <w:rPr>
          <w:rFonts w:ascii="Times New Roman" w:cs="Times New Roman" w:eastAsia="Times New Roman" w:hAnsi="Times New Roman"/>
          <w:sz w:val="13"/>
          <w:szCs w:val="13"/>
          <w:b w:val="1"/>
          <w:bCs w:val="1"/>
          <w:color w:val="auto"/>
        </w:rPr>
        <w:t>Exchange</w:t>
      </w:r>
      <w:r>
        <w:rPr>
          <w:rFonts w:ascii="Times New Roman" w:cs="Times New Roman" w:eastAsia="Times New Roman" w:hAnsi="Times New Roman"/>
          <w:sz w:val="13"/>
          <w:szCs w:val="13"/>
          <w:color w:val="auto"/>
        </w:rPr>
        <w:t>”). On August 5, 2021, the Common Shares began trading on the NYSE American LLC stock exchange. On September 19, 2024, the outstanding Common Shares were consolidated on the basis of one new Common Share for every 38 existing Common Shares (the “Consolidation”). As a result, all figures related to shares, warrants, and options presented in this Circular have been restated retroactively for all periods to reflect the Consolidation unless otherwise indicated.</w:t>
      </w:r>
    </w:p>
    <w:p>
      <w:pPr>
        <w:spacing w:after="0" w:line="1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EXECUTIVE COMPENSATION</w:t>
      </w:r>
    </w:p>
    <w:p>
      <w:pPr>
        <w:spacing w:after="0" w:line="1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Compensation Discussion and Analysis</w:t>
      </w:r>
    </w:p>
    <w:p>
      <w:pPr>
        <w:spacing w:after="0" w:line="157"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color w:val="auto"/>
        </w:rPr>
        <w:t>Overview</w:t>
      </w:r>
    </w:p>
    <w:p>
      <w:pPr>
        <w:spacing w:after="0" w:line="150"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The general objectives of the Corporation’s compensation strategy are to: (a) compensate management in a manner that encourages and rewards a high level of performance and outstanding results with a view to</w:t>
      </w:r>
    </w:p>
    <w:p>
      <w:pPr>
        <w:sectPr>
          <w:pgSz w:w="11900" w:h="16838" w:orient="portrait"/>
          <w:cols w:equalWidth="0" w:num="1">
            <w:col w:w="11300"/>
          </w:cols>
          <w:pgMar w:left="300" w:top="126" w:right="299" w:bottom="1440" w:gutter="0" w:footer="0" w:header="0"/>
        </w:sectPr>
      </w:pPr>
    </w:p>
    <w:bookmarkStart w:id="12" w:name="page13"/>
    <w:bookmarkEnd w:id="12"/>
    <w:p>
      <w:pPr>
        <w:jc w:val="center"/>
        <w:spacing w:after="0"/>
        <w:rPr>
          <w:sz w:val="20"/>
          <w:szCs w:val="20"/>
          <w:color w:val="auto"/>
        </w:rPr>
      </w:pPr>
      <w:r>
        <w:rPr>
          <w:rFonts w:ascii="Times New Roman" w:cs="Times New Roman" w:eastAsia="Times New Roman" w:hAnsi="Times New Roman"/>
          <w:sz w:val="13"/>
          <w:szCs w:val="13"/>
          <w:color w:val="auto"/>
        </w:rPr>
        <w:t>- 9 -</w:t>
      </w: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increasing long-term shareholder value; (b) align management’s interests with the long-term interests of shareholders; and (c) attract and retain highly qualified executive officers.</w:t>
      </w:r>
    </w:p>
    <w:p>
      <w:pPr>
        <w:spacing w:after="0" w:line="153"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i w:val="1"/>
          <w:iCs w:val="1"/>
          <w:color w:val="auto"/>
        </w:rPr>
        <w:t>Management Contracts</w:t>
      </w:r>
    </w:p>
    <w:p>
      <w:pPr>
        <w:spacing w:after="0" w:line="152"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The following is a description of the management contracts for the Named Executive Officers (as defined below):</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i w:val="1"/>
          <w:iCs w:val="1"/>
          <w:color w:val="auto"/>
        </w:rPr>
        <w:t>Douglas Drysdale</w:t>
      </w:r>
    </w:p>
    <w:p>
      <w:pPr>
        <w:spacing w:after="0" w:line="148"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3"/>
          <w:szCs w:val="13"/>
          <w:color w:val="auto"/>
        </w:rPr>
        <w:t>Douglas Drysdale currently receives a base salary of US$682,500 per annum for his services as Chief Executive Officer of the Corporation. He has entered into an employment agreement (the “</w:t>
      </w:r>
      <w:r>
        <w:rPr>
          <w:rFonts w:ascii="Times New Roman" w:cs="Times New Roman" w:eastAsia="Times New Roman" w:hAnsi="Times New Roman"/>
          <w:sz w:val="13"/>
          <w:szCs w:val="13"/>
          <w:b w:val="1"/>
          <w:bCs w:val="1"/>
          <w:color w:val="auto"/>
        </w:rPr>
        <w:t>CEO Employment</w:t>
      </w:r>
      <w:r>
        <w:rPr>
          <w:rFonts w:ascii="Times New Roman" w:cs="Times New Roman" w:eastAsia="Times New Roman" w:hAnsi="Times New Roman"/>
          <w:sz w:val="13"/>
          <w:szCs w:val="13"/>
          <w:color w:val="auto"/>
        </w:rPr>
        <w:t xml:space="preserve"> </w:t>
      </w:r>
      <w:r>
        <w:rPr>
          <w:rFonts w:ascii="Times New Roman" w:cs="Times New Roman" w:eastAsia="Times New Roman" w:hAnsi="Times New Roman"/>
          <w:sz w:val="13"/>
          <w:szCs w:val="13"/>
          <w:b w:val="1"/>
          <w:bCs w:val="1"/>
          <w:color w:val="auto"/>
        </w:rPr>
        <w:t>Agreement</w:t>
      </w:r>
      <w:r>
        <w:rPr>
          <w:rFonts w:ascii="Times New Roman" w:cs="Times New Roman" w:eastAsia="Times New Roman" w:hAnsi="Times New Roman"/>
          <w:sz w:val="13"/>
          <w:szCs w:val="13"/>
          <w:color w:val="auto"/>
        </w:rPr>
        <w:t>”) with the Corporation which is for an indefinite term and includes provisions relating to, among other things, base salary, eligibility for benefits, an annual performance bonus and equity awards. As</w:t>
      </w:r>
      <w:r>
        <w:rPr>
          <w:rFonts w:ascii="Times New Roman" w:cs="Times New Roman" w:eastAsia="Times New Roman" w:hAnsi="Times New Roman"/>
          <w:sz w:val="13"/>
          <w:szCs w:val="13"/>
          <w:b w:val="1"/>
          <w:bCs w:val="1"/>
          <w:color w:val="auto"/>
        </w:rPr>
        <w:t xml:space="preserve"> </w:t>
      </w:r>
      <w:r>
        <w:rPr>
          <w:rFonts w:ascii="Times New Roman" w:cs="Times New Roman" w:eastAsia="Times New Roman" w:hAnsi="Times New Roman"/>
          <w:sz w:val="13"/>
          <w:szCs w:val="13"/>
          <w:color w:val="auto"/>
        </w:rPr>
        <w:t>per the CEO Employment Agreement, Mr. Drysdale is eligible to be considered for an annual performance bonus, currently for up to 65% of Mr. Drysdale’s base salary and shall be based on criteria established by the board of directors of the Corporation (the “</w:t>
      </w:r>
      <w:r>
        <w:rPr>
          <w:rFonts w:ascii="Times New Roman" w:cs="Times New Roman" w:eastAsia="Times New Roman" w:hAnsi="Times New Roman"/>
          <w:sz w:val="13"/>
          <w:szCs w:val="13"/>
          <w:b w:val="1"/>
          <w:bCs w:val="1"/>
          <w:color w:val="auto"/>
        </w:rPr>
        <w:t>Board</w:t>
      </w:r>
      <w:r>
        <w:rPr>
          <w:rFonts w:ascii="Times New Roman" w:cs="Times New Roman" w:eastAsia="Times New Roman" w:hAnsi="Times New Roman"/>
          <w:sz w:val="13"/>
          <w:szCs w:val="13"/>
          <w:color w:val="auto"/>
        </w:rPr>
        <w:t>”) and the compensation committee of the Board (the “</w:t>
      </w:r>
      <w:r>
        <w:rPr>
          <w:rFonts w:ascii="Times New Roman" w:cs="Times New Roman" w:eastAsia="Times New Roman" w:hAnsi="Times New Roman"/>
          <w:sz w:val="13"/>
          <w:szCs w:val="13"/>
          <w:b w:val="1"/>
          <w:bCs w:val="1"/>
          <w:color w:val="auto"/>
        </w:rPr>
        <w:t>Compensation Committee</w:t>
      </w:r>
      <w:r>
        <w:rPr>
          <w:rFonts w:ascii="Times New Roman" w:cs="Times New Roman" w:eastAsia="Times New Roman" w:hAnsi="Times New Roman"/>
          <w:sz w:val="13"/>
          <w:szCs w:val="13"/>
          <w:color w:val="auto"/>
        </w:rPr>
        <w:t>”).</w:t>
      </w:r>
    </w:p>
    <w:p>
      <w:pPr>
        <w:spacing w:after="0" w:line="117" w:lineRule="exact"/>
        <w:rPr>
          <w:sz w:val="20"/>
          <w:szCs w:val="20"/>
          <w:color w:val="auto"/>
        </w:rPr>
      </w:pPr>
    </w:p>
    <w:p>
      <w:pPr>
        <w:jc w:val="both"/>
        <w:spacing w:after="0" w:line="281" w:lineRule="auto"/>
        <w:rPr>
          <w:sz w:val="20"/>
          <w:szCs w:val="20"/>
          <w:color w:val="auto"/>
        </w:rPr>
      </w:pPr>
      <w:r>
        <w:rPr>
          <w:rFonts w:ascii="Times New Roman" w:cs="Times New Roman" w:eastAsia="Times New Roman" w:hAnsi="Times New Roman"/>
          <w:sz w:val="13"/>
          <w:szCs w:val="13"/>
          <w:color w:val="auto"/>
        </w:rPr>
        <w:t>In the event that the CEO Employment Agreement is terminated without cause, the Corporation will pay to Mr. Drysdale a cash severance payment equal to 12 months base salary. Mr. Drysdale may terminate the CEO Employment Agreement by providing 30 days’ written notice to the Corporation.</w:t>
      </w:r>
    </w:p>
    <w:p>
      <w:pPr>
        <w:spacing w:after="0" w:line="107"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i w:val="1"/>
          <w:iCs w:val="1"/>
          <w:color w:val="auto"/>
        </w:rPr>
        <w:t>Greg Cavers, Eric So, and Paul Glavine</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The following Named Executive Officers (as defined herein), serving in the following capacities, currently receive the following annual salaries:</w:t>
      </w:r>
    </w:p>
    <w:p>
      <w:pPr>
        <w:spacing w:after="0" w:line="148" w:lineRule="exact"/>
        <w:rPr>
          <w:sz w:val="20"/>
          <w:szCs w:val="20"/>
          <w:color w:val="auto"/>
        </w:rPr>
      </w:pPr>
    </w:p>
    <w:p>
      <w:pPr>
        <w:ind w:left="420" w:hanging="212"/>
        <w:spacing w:after="0"/>
        <w:tabs>
          <w:tab w:leader="none" w:pos="420" w:val="left"/>
        </w:tabs>
        <w:numPr>
          <w:ilvl w:val="0"/>
          <w:numId w:val="3"/>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Greg Cavers currently receives US$350,000 per annum for his services as Chief Financial Officer of the Corporation;</w:t>
      </w:r>
    </w:p>
    <w:p>
      <w:pPr>
        <w:spacing w:after="0" w:line="156" w:lineRule="exact"/>
        <w:rPr>
          <w:rFonts w:ascii="Times New Roman" w:cs="Times New Roman" w:eastAsia="Times New Roman" w:hAnsi="Times New Roman"/>
          <w:sz w:val="13"/>
          <w:szCs w:val="13"/>
          <w:color w:val="auto"/>
        </w:rPr>
      </w:pPr>
    </w:p>
    <w:p>
      <w:pPr>
        <w:ind w:left="420" w:hanging="212"/>
        <w:spacing w:after="0"/>
        <w:tabs>
          <w:tab w:leader="none" w:pos="420" w:val="left"/>
        </w:tabs>
        <w:numPr>
          <w:ilvl w:val="0"/>
          <w:numId w:val="3"/>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Eric So currently receives US$504,000 per annum for his services as President of the Corporation;</w:t>
      </w:r>
    </w:p>
    <w:p>
      <w:pPr>
        <w:spacing w:after="0" w:line="147" w:lineRule="exact"/>
        <w:rPr>
          <w:rFonts w:ascii="Times New Roman" w:cs="Times New Roman" w:eastAsia="Times New Roman" w:hAnsi="Times New Roman"/>
          <w:sz w:val="13"/>
          <w:szCs w:val="13"/>
          <w:color w:val="auto"/>
        </w:rPr>
      </w:pPr>
    </w:p>
    <w:p>
      <w:pPr>
        <w:ind w:left="420" w:hanging="212"/>
        <w:spacing w:after="0"/>
        <w:tabs>
          <w:tab w:leader="none" w:pos="420" w:val="left"/>
        </w:tabs>
        <w:numPr>
          <w:ilvl w:val="0"/>
          <w:numId w:val="3"/>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Paul Glavine currently receives US$504,000 per annum for his services as Chief Growth Officer of the Corporation; and</w:t>
      </w:r>
    </w:p>
    <w:p>
      <w:pPr>
        <w:spacing w:after="0" w:line="156" w:lineRule="exact"/>
        <w:rPr>
          <w:rFonts w:ascii="Times New Roman" w:cs="Times New Roman" w:eastAsia="Times New Roman" w:hAnsi="Times New Roman"/>
          <w:sz w:val="13"/>
          <w:szCs w:val="13"/>
          <w:color w:val="auto"/>
        </w:rPr>
      </w:pPr>
    </w:p>
    <w:p>
      <w:pPr>
        <w:ind w:left="420" w:hanging="212"/>
        <w:spacing w:after="0"/>
        <w:tabs>
          <w:tab w:leader="none" w:pos="420" w:val="left"/>
        </w:tabs>
        <w:numPr>
          <w:ilvl w:val="0"/>
          <w:numId w:val="3"/>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Gabriel Fahel currently receives US$367,500 per annum for his services as Chief Legal Officer of the Corporation.</w:t>
      </w:r>
    </w:p>
    <w:p>
      <w:pPr>
        <w:spacing w:after="0" w:line="157" w:lineRule="exact"/>
        <w:rPr>
          <w:sz w:val="20"/>
          <w:szCs w:val="20"/>
          <w:color w:val="auto"/>
        </w:rPr>
      </w:pPr>
    </w:p>
    <w:p>
      <w:pPr>
        <w:ind w:right="20"/>
        <w:spacing w:after="0" w:line="281" w:lineRule="auto"/>
        <w:rPr>
          <w:sz w:val="20"/>
          <w:szCs w:val="20"/>
          <w:color w:val="auto"/>
        </w:rPr>
      </w:pPr>
      <w:r>
        <w:rPr>
          <w:rFonts w:ascii="Times New Roman" w:cs="Times New Roman" w:eastAsia="Times New Roman" w:hAnsi="Times New Roman"/>
          <w:sz w:val="13"/>
          <w:szCs w:val="13"/>
          <w:color w:val="auto"/>
        </w:rPr>
        <w:t>Each of such Named Executive Officers has entered into an agreement with the Corporation which is for an indefinite term and includes standard provisions relating to, among other things, base salary, eligibility for employee benefits, equity awards and confidentiality and intellectual property rights.</w:t>
      </w:r>
    </w:p>
    <w:p>
      <w:pPr>
        <w:spacing w:after="0" w:line="109" w:lineRule="exact"/>
        <w:rPr>
          <w:sz w:val="20"/>
          <w:szCs w:val="20"/>
          <w:color w:val="auto"/>
        </w:rPr>
      </w:pPr>
    </w:p>
    <w:p>
      <w:pPr>
        <w:spacing w:after="0" w:line="281" w:lineRule="auto"/>
        <w:rPr>
          <w:sz w:val="20"/>
          <w:szCs w:val="20"/>
          <w:color w:val="auto"/>
        </w:rPr>
      </w:pPr>
      <w:r>
        <w:rPr>
          <w:rFonts w:ascii="Times New Roman" w:cs="Times New Roman" w:eastAsia="Times New Roman" w:hAnsi="Times New Roman"/>
          <w:sz w:val="13"/>
          <w:szCs w:val="13"/>
          <w:color w:val="auto"/>
        </w:rPr>
        <w:t>Mr. Cavers employment agreement provides that the Corporation may terminate his employment without cause provided, however, that if the Corporation terminates his employment without cause, the Corporation will provide Mr. Cavers with six months’ notice of termination (or pay in lieu), plus an additional one months’ notice (or pay in lieu) for each year of completed service with the Corporation.</w:t>
      </w:r>
    </w:p>
    <w:p>
      <w:pPr>
        <w:sectPr>
          <w:pgSz w:w="11900" w:h="16838" w:orient="portrait"/>
          <w:cols w:equalWidth="0" w:num="1">
            <w:col w:w="11300"/>
          </w:cols>
          <w:pgMar w:left="300" w:top="126" w:right="299" w:bottom="1440" w:gutter="0" w:footer="0" w:header="0"/>
        </w:sectPr>
      </w:pPr>
    </w:p>
    <w:bookmarkStart w:id="13" w:name="page14"/>
    <w:bookmarkEnd w:id="13"/>
    <w:p>
      <w:pPr>
        <w:jc w:val="center"/>
        <w:ind w:right="-7"/>
        <w:spacing w:after="0"/>
        <w:rPr>
          <w:sz w:val="20"/>
          <w:szCs w:val="20"/>
          <w:color w:val="auto"/>
        </w:rPr>
      </w:pPr>
      <w:r>
        <w:rPr>
          <w:rFonts w:ascii="Times New Roman" w:cs="Times New Roman" w:eastAsia="Times New Roman" w:hAnsi="Times New Roman"/>
          <w:sz w:val="13"/>
          <w:szCs w:val="13"/>
          <w:color w:val="auto"/>
        </w:rPr>
        <w:t>- 10 -</w:t>
      </w: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ind w:left="8"/>
        <w:spacing w:after="0" w:line="295" w:lineRule="auto"/>
        <w:rPr>
          <w:sz w:val="20"/>
          <w:szCs w:val="20"/>
          <w:color w:val="auto"/>
        </w:rPr>
      </w:pPr>
      <w:r>
        <w:rPr>
          <w:rFonts w:ascii="Times New Roman" w:cs="Times New Roman" w:eastAsia="Times New Roman" w:hAnsi="Times New Roman"/>
          <w:sz w:val="13"/>
          <w:szCs w:val="13"/>
          <w:color w:val="auto"/>
        </w:rPr>
        <w:t>Mr. So, and Mr. Glavine’s consulting agreements provide that their respective agreements may be terminated on 48 months’ notice and upon payment of all accrued fees and other fees that would be due during such 48 month period. The agreements do not contain change of control provisions.</w:t>
      </w:r>
    </w:p>
    <w:p>
      <w:pPr>
        <w:spacing w:after="0" w:line="92" w:lineRule="exact"/>
        <w:rPr>
          <w:sz w:val="20"/>
          <w:szCs w:val="20"/>
          <w:color w:val="auto"/>
        </w:rPr>
      </w:pPr>
    </w:p>
    <w:p>
      <w:pPr>
        <w:ind w:left="8" w:right="20"/>
        <w:spacing w:after="0" w:line="295" w:lineRule="auto"/>
        <w:rPr>
          <w:sz w:val="20"/>
          <w:szCs w:val="20"/>
          <w:color w:val="auto"/>
        </w:rPr>
      </w:pPr>
      <w:r>
        <w:rPr>
          <w:rFonts w:ascii="Times New Roman" w:cs="Times New Roman" w:eastAsia="Times New Roman" w:hAnsi="Times New Roman"/>
          <w:sz w:val="13"/>
          <w:szCs w:val="13"/>
          <w:color w:val="auto"/>
        </w:rPr>
        <w:t>Mr. Fahel’s agreement provides that the Corporation may terminate his employment without cause provided, however, that if the Corporation terminates his employment without cause, the Corporation will provide Mr. Fahel with twelve months’ notice of termination (or pay in lieu).</w:t>
      </w:r>
    </w:p>
    <w:p>
      <w:pPr>
        <w:spacing w:after="0" w:line="88" w:lineRule="exact"/>
        <w:rPr>
          <w:sz w:val="20"/>
          <w:szCs w:val="20"/>
          <w:color w:val="auto"/>
        </w:rPr>
      </w:pPr>
    </w:p>
    <w:p>
      <w:pPr>
        <w:ind w:left="8"/>
        <w:spacing w:after="0"/>
        <w:rPr>
          <w:sz w:val="20"/>
          <w:szCs w:val="20"/>
          <w:color w:val="auto"/>
        </w:rPr>
      </w:pPr>
      <w:r>
        <w:rPr>
          <w:rFonts w:ascii="Times New Roman" w:cs="Times New Roman" w:eastAsia="Times New Roman" w:hAnsi="Times New Roman"/>
          <w:sz w:val="13"/>
          <w:szCs w:val="13"/>
          <w:b w:val="1"/>
          <w:bCs w:val="1"/>
          <w:i w:val="1"/>
          <w:iCs w:val="1"/>
          <w:color w:val="auto"/>
        </w:rPr>
        <w:t>Elements of Compensation</w:t>
      </w:r>
    </w:p>
    <w:p>
      <w:pPr>
        <w:spacing w:after="0" w:line="161" w:lineRule="exact"/>
        <w:rPr>
          <w:sz w:val="20"/>
          <w:szCs w:val="20"/>
          <w:color w:val="auto"/>
        </w:rPr>
      </w:pPr>
    </w:p>
    <w:p>
      <w:pPr>
        <w:ind w:left="8" w:right="20"/>
        <w:spacing w:after="0" w:line="295" w:lineRule="auto"/>
        <w:rPr>
          <w:sz w:val="20"/>
          <w:szCs w:val="20"/>
          <w:color w:val="auto"/>
        </w:rPr>
      </w:pPr>
      <w:r>
        <w:rPr>
          <w:rFonts w:ascii="Times New Roman" w:cs="Times New Roman" w:eastAsia="Times New Roman" w:hAnsi="Times New Roman"/>
          <w:sz w:val="13"/>
          <w:szCs w:val="13"/>
          <w:color w:val="auto"/>
        </w:rPr>
        <w:t>The compensation of Named Executive Officers (as such term is defined below) is comprised of the following elements: (a) base salary; and (b) long-term equity incentives, consisting of Awards (as such term is defined below) granted under the Corporation’s equity incentive plan (the “</w:t>
      </w:r>
      <w:r>
        <w:rPr>
          <w:rFonts w:ascii="Times New Roman" w:cs="Times New Roman" w:eastAsia="Times New Roman" w:hAnsi="Times New Roman"/>
          <w:sz w:val="13"/>
          <w:szCs w:val="13"/>
          <w:b w:val="1"/>
          <w:bCs w:val="1"/>
          <w:color w:val="auto"/>
        </w:rPr>
        <w:t>Equity Incentive Plan</w:t>
      </w:r>
      <w:r>
        <w:rPr>
          <w:rFonts w:ascii="Times New Roman" w:cs="Times New Roman" w:eastAsia="Times New Roman" w:hAnsi="Times New Roman"/>
          <w:sz w:val="13"/>
          <w:szCs w:val="13"/>
          <w:color w:val="auto"/>
        </w:rPr>
        <w:t>”). These principal elements of compensation are described in further detail below.</w:t>
      </w:r>
    </w:p>
    <w:p>
      <w:pPr>
        <w:spacing w:after="0" w:line="92" w:lineRule="exact"/>
        <w:rPr>
          <w:sz w:val="20"/>
          <w:szCs w:val="20"/>
          <w:color w:val="auto"/>
        </w:rPr>
      </w:pPr>
    </w:p>
    <w:p>
      <w:pPr>
        <w:ind w:left="428" w:hanging="428"/>
        <w:spacing w:after="0"/>
        <w:tabs>
          <w:tab w:leader="none" w:pos="428" w:val="left"/>
        </w:tabs>
        <w:numPr>
          <w:ilvl w:val="0"/>
          <w:numId w:val="4"/>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u w:val="single" w:color="auto"/>
          <w:color w:val="auto"/>
        </w:rPr>
        <w:t>Base Salary</w:t>
      </w:r>
    </w:p>
    <w:p>
      <w:pPr>
        <w:spacing w:after="0" w:line="157" w:lineRule="exact"/>
        <w:rPr>
          <w:sz w:val="20"/>
          <w:szCs w:val="20"/>
          <w:color w:val="auto"/>
        </w:rPr>
      </w:pPr>
    </w:p>
    <w:p>
      <w:pPr>
        <w:jc w:val="both"/>
        <w:ind w:left="8"/>
        <w:spacing w:after="0" w:line="261" w:lineRule="auto"/>
        <w:rPr>
          <w:sz w:val="20"/>
          <w:szCs w:val="20"/>
          <w:color w:val="auto"/>
        </w:rPr>
      </w:pPr>
      <w:r>
        <w:rPr>
          <w:rFonts w:ascii="Times New Roman" w:cs="Times New Roman" w:eastAsia="Times New Roman" w:hAnsi="Times New Roman"/>
          <w:sz w:val="13"/>
          <w:szCs w:val="13"/>
          <w:color w:val="auto"/>
        </w:rPr>
        <w:t>Each Named Executive Officer (as such term is defined below) receives a base salary, which constitutes a significant portion of the Named Executive Officer’s compensation package. Base salary is provided in recognition for discharging day-to-day duties and responsibilities and reflects the Named Executive Officer’s performance over time, as well as that individual’s particular experience and qualifications. A Named Executive Officer’s base salary is reviewed by the Board and the Compensation Committee on an annual basis and may be adjusted to take into account performance contributions for the year and to reflect sustained performance contributions over a number of years. At the discretion of the Board, upon recommendations from the Compensation Committee, each of the Named Executive Officers is eligible to receive performance bonuses, which are contingent on the Named Executive Officer achieving certain performance objectives set annually by the Compensation Committee.</w:t>
      </w:r>
    </w:p>
    <w:p>
      <w:pPr>
        <w:spacing w:after="0" w:line="123" w:lineRule="exact"/>
        <w:rPr>
          <w:sz w:val="20"/>
          <w:szCs w:val="20"/>
          <w:color w:val="auto"/>
        </w:rPr>
      </w:pPr>
    </w:p>
    <w:p>
      <w:pPr>
        <w:ind w:left="428" w:hanging="428"/>
        <w:spacing w:after="0"/>
        <w:tabs>
          <w:tab w:leader="none" w:pos="428" w:val="left"/>
        </w:tabs>
        <w:numPr>
          <w:ilvl w:val="0"/>
          <w:numId w:val="5"/>
        </w:numPr>
        <w:rPr>
          <w:rFonts w:ascii="Times New Roman" w:cs="Times New Roman" w:eastAsia="Times New Roman" w:hAnsi="Times New Roman"/>
          <w:sz w:val="12"/>
          <w:szCs w:val="12"/>
          <w:b w:val="1"/>
          <w:bCs w:val="1"/>
          <w:color w:val="auto"/>
        </w:rPr>
      </w:pPr>
      <w:r>
        <w:rPr>
          <w:rFonts w:ascii="Times New Roman" w:cs="Times New Roman" w:eastAsia="Times New Roman" w:hAnsi="Times New Roman"/>
          <w:sz w:val="13"/>
          <w:szCs w:val="13"/>
          <w:u w:val="single" w:color="auto"/>
          <w:color w:val="auto"/>
        </w:rPr>
        <w:t>Equity Incentive Plan</w:t>
      </w:r>
    </w:p>
    <w:p>
      <w:pPr>
        <w:spacing w:after="0" w:line="148" w:lineRule="exact"/>
        <w:rPr>
          <w:sz w:val="20"/>
          <w:szCs w:val="20"/>
          <w:color w:val="auto"/>
        </w:rPr>
      </w:pPr>
    </w:p>
    <w:p>
      <w:pPr>
        <w:jc w:val="both"/>
        <w:ind w:left="8"/>
        <w:spacing w:after="0" w:line="265" w:lineRule="auto"/>
        <w:rPr>
          <w:sz w:val="20"/>
          <w:szCs w:val="20"/>
          <w:color w:val="auto"/>
        </w:rPr>
      </w:pPr>
      <w:r>
        <w:rPr>
          <w:rFonts w:ascii="Times New Roman" w:cs="Times New Roman" w:eastAsia="Times New Roman" w:hAnsi="Times New Roman"/>
          <w:sz w:val="13"/>
          <w:szCs w:val="13"/>
          <w:color w:val="auto"/>
        </w:rPr>
        <w:t>On August 13, 2020, the Corporation received Shareholder approval of the Equity Incentive Plan and on November 5, 2020, it was adopted by the Board. On August 16, 2021 and August 27, 2024 certain amendments to the Equity Incentive Plan were approved to better align the Equity Incentive Plan with policies of the Exchange. The Equity Incentive Plan permits the granting of (i) stock options (“</w:t>
      </w:r>
      <w:r>
        <w:rPr>
          <w:rFonts w:ascii="Times New Roman" w:cs="Times New Roman" w:eastAsia="Times New Roman" w:hAnsi="Times New Roman"/>
          <w:sz w:val="13"/>
          <w:szCs w:val="13"/>
          <w:b w:val="1"/>
          <w:bCs w:val="1"/>
          <w:color w:val="auto"/>
        </w:rPr>
        <w:t>Non-Qualified</w:t>
      </w:r>
      <w:r>
        <w:rPr>
          <w:rFonts w:ascii="Times New Roman" w:cs="Times New Roman" w:eastAsia="Times New Roman" w:hAnsi="Times New Roman"/>
          <w:sz w:val="13"/>
          <w:szCs w:val="13"/>
          <w:color w:val="auto"/>
        </w:rPr>
        <w:t xml:space="preserve"> </w:t>
      </w:r>
      <w:r>
        <w:rPr>
          <w:rFonts w:ascii="Times New Roman" w:cs="Times New Roman" w:eastAsia="Times New Roman" w:hAnsi="Times New Roman"/>
          <w:sz w:val="13"/>
          <w:szCs w:val="13"/>
          <w:b w:val="1"/>
          <w:bCs w:val="1"/>
          <w:color w:val="auto"/>
        </w:rPr>
        <w:t>Stock Options</w:t>
      </w:r>
      <w:r>
        <w:rPr>
          <w:rFonts w:ascii="Times New Roman" w:cs="Times New Roman" w:eastAsia="Times New Roman" w:hAnsi="Times New Roman"/>
          <w:sz w:val="13"/>
          <w:szCs w:val="13"/>
          <w:color w:val="auto"/>
        </w:rPr>
        <w:t>”) and incentive stock options (“</w:t>
      </w:r>
      <w:r>
        <w:rPr>
          <w:rFonts w:ascii="Times New Roman" w:cs="Times New Roman" w:eastAsia="Times New Roman" w:hAnsi="Times New Roman"/>
          <w:sz w:val="13"/>
          <w:szCs w:val="13"/>
          <w:b w:val="1"/>
          <w:bCs w:val="1"/>
          <w:color w:val="auto"/>
        </w:rPr>
        <w:t>Incentive Stock Options</w:t>
      </w:r>
      <w:r>
        <w:rPr>
          <w:rFonts w:ascii="Times New Roman" w:cs="Times New Roman" w:eastAsia="Times New Roman" w:hAnsi="Times New Roman"/>
          <w:sz w:val="13"/>
          <w:szCs w:val="13"/>
          <w:color w:val="auto"/>
        </w:rPr>
        <w:t>” and, collectively with the Non-Qualified Stock Options, the “</w:t>
      </w:r>
      <w:r>
        <w:rPr>
          <w:rFonts w:ascii="Times New Roman" w:cs="Times New Roman" w:eastAsia="Times New Roman" w:hAnsi="Times New Roman"/>
          <w:sz w:val="13"/>
          <w:szCs w:val="13"/>
          <w:b w:val="1"/>
          <w:bCs w:val="1"/>
          <w:color w:val="auto"/>
        </w:rPr>
        <w:t>Options</w:t>
      </w:r>
      <w:r>
        <w:rPr>
          <w:rFonts w:ascii="Times New Roman" w:cs="Times New Roman" w:eastAsia="Times New Roman" w:hAnsi="Times New Roman"/>
          <w:sz w:val="13"/>
          <w:szCs w:val="13"/>
          <w:color w:val="auto"/>
        </w:rPr>
        <w:t>”), (ii) stock appreciation rights (“</w:t>
      </w:r>
      <w:r>
        <w:rPr>
          <w:rFonts w:ascii="Times New Roman" w:cs="Times New Roman" w:eastAsia="Times New Roman" w:hAnsi="Times New Roman"/>
          <w:sz w:val="13"/>
          <w:szCs w:val="13"/>
          <w:b w:val="1"/>
          <w:bCs w:val="1"/>
          <w:color w:val="auto"/>
        </w:rPr>
        <w:t>SARs</w:t>
      </w:r>
      <w:r>
        <w:rPr>
          <w:rFonts w:ascii="Times New Roman" w:cs="Times New Roman" w:eastAsia="Times New Roman" w:hAnsi="Times New Roman"/>
          <w:sz w:val="13"/>
          <w:szCs w:val="13"/>
          <w:color w:val="auto"/>
        </w:rPr>
        <w:t>”), (iii) restricted share</w:t>
      </w:r>
      <w:r>
        <w:rPr>
          <w:rFonts w:ascii="Times New Roman" w:cs="Times New Roman" w:eastAsia="Times New Roman" w:hAnsi="Times New Roman"/>
          <w:sz w:val="13"/>
          <w:szCs w:val="13"/>
          <w:b w:val="1"/>
          <w:bCs w:val="1"/>
          <w:color w:val="auto"/>
        </w:rPr>
        <w:t xml:space="preserve"> </w:t>
      </w:r>
      <w:r>
        <w:rPr>
          <w:rFonts w:ascii="Times New Roman" w:cs="Times New Roman" w:eastAsia="Times New Roman" w:hAnsi="Times New Roman"/>
          <w:sz w:val="13"/>
          <w:szCs w:val="13"/>
          <w:color w:val="auto"/>
        </w:rPr>
        <w:t>awards (“</w:t>
      </w:r>
      <w:r>
        <w:rPr>
          <w:rFonts w:ascii="Times New Roman" w:cs="Times New Roman" w:eastAsia="Times New Roman" w:hAnsi="Times New Roman"/>
          <w:sz w:val="13"/>
          <w:szCs w:val="13"/>
          <w:b w:val="1"/>
          <w:bCs w:val="1"/>
          <w:color w:val="auto"/>
        </w:rPr>
        <w:t>Restricted Shares</w:t>
      </w:r>
      <w:r>
        <w:rPr>
          <w:rFonts w:ascii="Times New Roman" w:cs="Times New Roman" w:eastAsia="Times New Roman" w:hAnsi="Times New Roman"/>
          <w:sz w:val="13"/>
          <w:szCs w:val="13"/>
          <w:color w:val="auto"/>
        </w:rPr>
        <w:t>”), (iv) restricted share units (“</w:t>
      </w:r>
      <w:r>
        <w:rPr>
          <w:rFonts w:ascii="Times New Roman" w:cs="Times New Roman" w:eastAsia="Times New Roman" w:hAnsi="Times New Roman"/>
          <w:sz w:val="13"/>
          <w:szCs w:val="13"/>
          <w:b w:val="1"/>
          <w:bCs w:val="1"/>
          <w:color w:val="auto"/>
        </w:rPr>
        <w:t>RSUs</w:t>
      </w:r>
      <w:r>
        <w:rPr>
          <w:rFonts w:ascii="Times New Roman" w:cs="Times New Roman" w:eastAsia="Times New Roman" w:hAnsi="Times New Roman"/>
          <w:sz w:val="13"/>
          <w:szCs w:val="13"/>
          <w:color w:val="auto"/>
        </w:rPr>
        <w:t>”), (v) performance awards (“</w:t>
      </w:r>
      <w:r>
        <w:rPr>
          <w:rFonts w:ascii="Times New Roman" w:cs="Times New Roman" w:eastAsia="Times New Roman" w:hAnsi="Times New Roman"/>
          <w:sz w:val="13"/>
          <w:szCs w:val="13"/>
          <w:b w:val="1"/>
          <w:bCs w:val="1"/>
          <w:color w:val="auto"/>
        </w:rPr>
        <w:t>Performance Awards</w:t>
      </w:r>
      <w:r>
        <w:rPr>
          <w:rFonts w:ascii="Times New Roman" w:cs="Times New Roman" w:eastAsia="Times New Roman" w:hAnsi="Times New Roman"/>
          <w:sz w:val="13"/>
          <w:szCs w:val="13"/>
          <w:color w:val="auto"/>
        </w:rPr>
        <w:t>”), (vi) dividend equivalents (“</w:t>
      </w:r>
      <w:r>
        <w:rPr>
          <w:rFonts w:ascii="Times New Roman" w:cs="Times New Roman" w:eastAsia="Times New Roman" w:hAnsi="Times New Roman"/>
          <w:sz w:val="13"/>
          <w:szCs w:val="13"/>
          <w:b w:val="1"/>
          <w:bCs w:val="1"/>
          <w:color w:val="auto"/>
        </w:rPr>
        <w:t>Dividend Equivalents</w:t>
      </w:r>
      <w:r>
        <w:rPr>
          <w:rFonts w:ascii="Times New Roman" w:cs="Times New Roman" w:eastAsia="Times New Roman" w:hAnsi="Times New Roman"/>
          <w:sz w:val="13"/>
          <w:szCs w:val="13"/>
          <w:color w:val="auto"/>
        </w:rPr>
        <w:t>”) and (vii) other share based awards (“</w:t>
      </w:r>
      <w:r>
        <w:rPr>
          <w:rFonts w:ascii="Times New Roman" w:cs="Times New Roman" w:eastAsia="Times New Roman" w:hAnsi="Times New Roman"/>
          <w:sz w:val="13"/>
          <w:szCs w:val="13"/>
          <w:b w:val="1"/>
          <w:bCs w:val="1"/>
          <w:color w:val="auto"/>
        </w:rPr>
        <w:t>Other-Share Based Awards</w:t>
      </w:r>
      <w:r>
        <w:rPr>
          <w:rFonts w:ascii="Times New Roman" w:cs="Times New Roman" w:eastAsia="Times New Roman" w:hAnsi="Times New Roman"/>
          <w:sz w:val="13"/>
          <w:szCs w:val="13"/>
          <w:color w:val="auto"/>
        </w:rPr>
        <w:t>”) (collectively, the “</w:t>
      </w:r>
      <w:r>
        <w:rPr>
          <w:rFonts w:ascii="Times New Roman" w:cs="Times New Roman" w:eastAsia="Times New Roman" w:hAnsi="Times New Roman"/>
          <w:sz w:val="13"/>
          <w:szCs w:val="13"/>
          <w:b w:val="1"/>
          <w:bCs w:val="1"/>
          <w:color w:val="auto"/>
        </w:rPr>
        <w:t>Awards</w:t>
      </w:r>
      <w:r>
        <w:rPr>
          <w:rFonts w:ascii="Times New Roman" w:cs="Times New Roman" w:eastAsia="Times New Roman" w:hAnsi="Times New Roman"/>
          <w:sz w:val="13"/>
          <w:szCs w:val="13"/>
          <w:color w:val="auto"/>
        </w:rPr>
        <w:t>”). Awards are granted by either the Board or the Compensation Committee.</w:t>
      </w:r>
    </w:p>
    <w:p>
      <w:pPr>
        <w:spacing w:after="0" w:line="111" w:lineRule="exact"/>
        <w:rPr>
          <w:sz w:val="20"/>
          <w:szCs w:val="20"/>
          <w:color w:val="auto"/>
        </w:rPr>
      </w:pPr>
    </w:p>
    <w:p>
      <w:pPr>
        <w:ind w:left="8"/>
        <w:spacing w:after="0"/>
        <w:rPr>
          <w:sz w:val="20"/>
          <w:szCs w:val="20"/>
          <w:color w:val="auto"/>
        </w:rPr>
      </w:pPr>
      <w:r>
        <w:rPr>
          <w:rFonts w:ascii="Times New Roman" w:cs="Times New Roman" w:eastAsia="Times New Roman" w:hAnsi="Times New Roman"/>
          <w:sz w:val="13"/>
          <w:szCs w:val="13"/>
          <w:color w:val="auto"/>
        </w:rPr>
        <w:t>All capitalized terms used but not defined in this section shall have the meanings ascribed to them in the Equity Incentive Plan.</w:t>
      </w:r>
    </w:p>
    <w:p>
      <w:pPr>
        <w:spacing w:after="0" w:line="157" w:lineRule="exact"/>
        <w:rPr>
          <w:sz w:val="20"/>
          <w:szCs w:val="20"/>
          <w:color w:val="auto"/>
        </w:rPr>
      </w:pPr>
    </w:p>
    <w:p>
      <w:pPr>
        <w:jc w:val="both"/>
        <w:ind w:left="8"/>
        <w:spacing w:after="0" w:line="270" w:lineRule="auto"/>
        <w:rPr>
          <w:sz w:val="20"/>
          <w:szCs w:val="20"/>
          <w:color w:val="auto"/>
        </w:rPr>
      </w:pPr>
      <w:r>
        <w:rPr>
          <w:rFonts w:ascii="Times New Roman" w:cs="Times New Roman" w:eastAsia="Times New Roman" w:hAnsi="Times New Roman"/>
          <w:sz w:val="13"/>
          <w:szCs w:val="13"/>
          <w:color w:val="auto"/>
        </w:rPr>
        <w:t>The Equity Incentive Plan is intended to promote the interests of the Corporation and its Shareholders by aiding the Corporation in attracting and retaining employees, officers, consultants, advisors and non-employee directors capable of assuring the future success of the Corporation, to offer such persons incentives to put forth maximum efforts for the success of the Corporation’s business and to compensate such persons through various share and cash-based arrangements and provide them with opportunities for share ownership in the Corporation, thereby aligning the interests of such persons with the Shareholders.</w:t>
      </w:r>
    </w:p>
    <w:p>
      <w:pPr>
        <w:sectPr>
          <w:pgSz w:w="11900" w:h="16838" w:orient="portrait"/>
          <w:cols w:equalWidth="0" w:num="1">
            <w:col w:w="11308"/>
          </w:cols>
          <w:pgMar w:left="292" w:top="126" w:right="299" w:bottom="1440" w:gutter="0" w:footer="0" w:header="0"/>
        </w:sectPr>
      </w:pPr>
    </w:p>
    <w:bookmarkStart w:id="14" w:name="page15"/>
    <w:bookmarkEnd w:id="14"/>
    <w:p>
      <w:pPr>
        <w:jc w:val="center"/>
        <w:spacing w:after="0"/>
        <w:rPr>
          <w:sz w:val="20"/>
          <w:szCs w:val="20"/>
          <w:color w:val="auto"/>
        </w:rPr>
      </w:pPr>
      <w:r>
        <w:rPr>
          <w:rFonts w:ascii="Times New Roman" w:cs="Times New Roman" w:eastAsia="Times New Roman" w:hAnsi="Times New Roman"/>
          <w:sz w:val="13"/>
          <w:szCs w:val="13"/>
          <w:color w:val="auto"/>
        </w:rPr>
        <w:t>- 11 -</w:t>
      </w:r>
    </w:p>
    <w:p>
      <w:pPr>
        <w:spacing w:after="0" w:line="200" w:lineRule="exact"/>
        <w:rPr>
          <w:sz w:val="20"/>
          <w:szCs w:val="20"/>
          <w:color w:val="auto"/>
        </w:rPr>
      </w:pPr>
    </w:p>
    <w:p>
      <w:pPr>
        <w:spacing w:after="0" w:line="200" w:lineRule="exact"/>
        <w:rPr>
          <w:sz w:val="20"/>
          <w:szCs w:val="20"/>
          <w:color w:val="auto"/>
        </w:rPr>
      </w:pPr>
    </w:p>
    <w:p>
      <w:pPr>
        <w:spacing w:after="0" w:line="312"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i w:val="1"/>
          <w:iCs w:val="1"/>
          <w:color w:val="auto"/>
        </w:rPr>
        <w:t>Shares Subject to the Equity Incentive Plan</w:t>
      </w:r>
    </w:p>
    <w:p>
      <w:pPr>
        <w:spacing w:after="0" w:line="159"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3"/>
          <w:szCs w:val="13"/>
          <w:color w:val="auto"/>
        </w:rPr>
        <w:t>The Equity Incentive Plan is a rolling plan which, subject to the adjustment provisions provided for therein (including a subdivision or consolidation of Common Shares), provides that the aggregate maximum number of Common Shares that may be issued under all Awards under the Equity Incentive Plan shall not exceed 20% of the Corporation’s issued and outstanding Common Shares from time to time, such number being 4,604,726 as at the date of this Circular. Notwithstanding the foregoing, the aggregate number of Common Shares that may be issued pursuant to awards of Incentive Stock Options shall not exceed 3,998,382.</w:t>
      </w:r>
    </w:p>
    <w:p>
      <w:pPr>
        <w:spacing w:after="0" w:line="279" w:lineRule="exact"/>
        <w:rPr>
          <w:sz w:val="20"/>
          <w:szCs w:val="20"/>
          <w:color w:val="auto"/>
        </w:rPr>
      </w:pPr>
    </w:p>
    <w:p>
      <w:pPr>
        <w:jc w:val="both"/>
        <w:spacing w:after="0" w:line="295" w:lineRule="auto"/>
        <w:rPr>
          <w:sz w:val="20"/>
          <w:szCs w:val="20"/>
          <w:color w:val="auto"/>
        </w:rPr>
      </w:pPr>
      <w:r>
        <w:rPr>
          <w:rFonts w:ascii="Times New Roman" w:cs="Times New Roman" w:eastAsia="Times New Roman" w:hAnsi="Times New Roman"/>
          <w:sz w:val="13"/>
          <w:szCs w:val="13"/>
          <w:color w:val="auto"/>
        </w:rPr>
        <w:t>The Equity Incentive Plan is considered an “evergreen” plan, since the Common Shares covered by Awards which have been exercised, settled or terminated shall be available for subsequent grants under the Equity Incentive Plan and the number of Awards available to grant increases as the number of issued and outstanding Common Shares increases.</w:t>
      </w:r>
    </w:p>
    <w:p>
      <w:pPr>
        <w:spacing w:after="0" w:line="92"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3"/>
          <w:szCs w:val="13"/>
          <w:color w:val="auto"/>
        </w:rPr>
        <w:t>As at the date of this Circular, a total of 3,945,916 Common Shares are issuable pursuant to Options granted under the Equity Incentive Plan, representing approximately 17.1% of the Corporation’s issued and outstanding Common Shares. An aggregate of 658,810 Common Shares (plus any Awards forfeited or cancelled) are available for issuance under the Equity Incentive Plan, representing approximately 2.9% of the Corporation’s issued and outstanding Common Shares as at the date of this Circular. As of the date of this Circular, a total of 631,043 Common Shares are issuable pursuant to Incentive Stock Options granted under the Equity Incentive Plan.</w:t>
      </w:r>
    </w:p>
    <w:p>
      <w:pPr>
        <w:spacing w:after="0" w:line="116"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i w:val="1"/>
          <w:iCs w:val="1"/>
          <w:color w:val="auto"/>
        </w:rPr>
        <w:t>Eligibility</w:t>
      </w:r>
    </w:p>
    <w:p>
      <w:pPr>
        <w:spacing w:after="0" w:line="150"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3"/>
          <w:szCs w:val="13"/>
          <w:color w:val="auto"/>
        </w:rPr>
        <w:t>Any of the Corporation’s employees, officers, consultants, advisors and non-employee directors or any affiliate or person to whom an offer of employment or engagement with the Corporation is extended, are eligible to participate in the Equity Incentive Plan (the “</w:t>
      </w:r>
      <w:r>
        <w:rPr>
          <w:rFonts w:ascii="Times New Roman" w:cs="Times New Roman" w:eastAsia="Times New Roman" w:hAnsi="Times New Roman"/>
          <w:sz w:val="13"/>
          <w:szCs w:val="13"/>
          <w:b w:val="1"/>
          <w:bCs w:val="1"/>
          <w:color w:val="auto"/>
        </w:rPr>
        <w:t>Participants</w:t>
      </w:r>
      <w:r>
        <w:rPr>
          <w:rFonts w:ascii="Times New Roman" w:cs="Times New Roman" w:eastAsia="Times New Roman" w:hAnsi="Times New Roman"/>
          <w:sz w:val="13"/>
          <w:szCs w:val="13"/>
          <w:color w:val="auto"/>
        </w:rPr>
        <w:t>”). The basis of participation of an individual under the Equity Incentive Plan, and the type and amount of any Award that an individual will be entitled to receive under the Equity Incentive Plan, will be determined by the Compensation Committee based on its judgment as to the best interests of the Corporation and its Shareholders, and therefore cannot be determined in advance.</w:t>
      </w:r>
    </w:p>
    <w:p>
      <w:pPr>
        <w:spacing w:after="0" w:line="11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3"/>
          <w:szCs w:val="13"/>
          <w:color w:val="auto"/>
        </w:rPr>
        <w:t>If a Participant ceases to be an Eligible Person for any reason, whether for cause or otherwise, the Participant may, within 90 days following the date on which it ceased to be an Eligible Person, an investor relations person or holder of Incentive Stock Options, exercise any Option that was exercisable on the date the Participant ceased to be an Eligible Person. The Compensation Committee may extend such 90 day period subject to obtaining any approval required by the Exchange and subject to a maximum extension to the original expiry date of such Options. Any Option that was not exercisable on the date the Participant ceased to be an Eligible Person will be deemed to expire on such date, unless extended pursuant to the Equity Incentive Plan. Any Option that was exercisable on the date the Participant ceased to be an Eligible Person will be deemed to expire immediately following the 90 day period unless extended pursuant to the Equity Incentive Plan.</w:t>
      </w:r>
    </w:p>
    <w:p>
      <w:pPr>
        <w:spacing w:after="0" w:line="112"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i w:val="1"/>
          <w:iCs w:val="1"/>
          <w:color w:val="auto"/>
        </w:rPr>
        <w:t>Administration of the Equity Incentive Plan</w:t>
      </w:r>
    </w:p>
    <w:p>
      <w:pPr>
        <w:spacing w:after="0" w:line="159" w:lineRule="exact"/>
        <w:rPr>
          <w:sz w:val="20"/>
          <w:szCs w:val="20"/>
          <w:color w:val="auto"/>
        </w:rPr>
      </w:pPr>
    </w:p>
    <w:p>
      <w:pPr>
        <w:jc w:val="both"/>
        <w:spacing w:after="0" w:line="295" w:lineRule="auto"/>
        <w:rPr>
          <w:sz w:val="20"/>
          <w:szCs w:val="20"/>
          <w:color w:val="auto"/>
        </w:rPr>
      </w:pPr>
      <w:r>
        <w:rPr>
          <w:rFonts w:ascii="Times New Roman" w:cs="Times New Roman" w:eastAsia="Times New Roman" w:hAnsi="Times New Roman"/>
          <w:sz w:val="13"/>
          <w:szCs w:val="13"/>
          <w:color w:val="auto"/>
        </w:rPr>
        <w:t>The Equity Incentive Plan shall be administered by the Compensation Committee. The Compensation Committee shall have full power and authority to designate Participant, the time or times at which awards may be granted, the conditions under which awards may be granted or forfeited to the Corporation, the number of Common Shares to be covered by any award, the exercise price of any award, whether</w:t>
      </w:r>
    </w:p>
    <w:p>
      <w:pPr>
        <w:sectPr>
          <w:pgSz w:w="11900" w:h="16838" w:orient="portrait"/>
          <w:cols w:equalWidth="0" w:num="1">
            <w:col w:w="11300"/>
          </w:cols>
          <w:pgMar w:left="300" w:top="126" w:right="299" w:bottom="1440" w:gutter="0" w:footer="0" w:header="0"/>
        </w:sectPr>
      </w:pPr>
    </w:p>
    <w:bookmarkStart w:id="15" w:name="page16"/>
    <w:bookmarkEnd w:id="15"/>
    <w:p>
      <w:pPr>
        <w:jc w:val="center"/>
        <w:spacing w:after="0"/>
        <w:rPr>
          <w:sz w:val="20"/>
          <w:szCs w:val="20"/>
          <w:color w:val="auto"/>
        </w:rPr>
      </w:pPr>
      <w:r>
        <w:rPr>
          <w:rFonts w:ascii="Times New Roman" w:cs="Times New Roman" w:eastAsia="Times New Roman" w:hAnsi="Times New Roman"/>
          <w:sz w:val="13"/>
          <w:szCs w:val="13"/>
          <w:color w:val="auto"/>
        </w:rPr>
        <w:t>- 12 -</w:t>
      </w: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jc w:val="both"/>
        <w:spacing w:after="0" w:line="295" w:lineRule="auto"/>
        <w:rPr>
          <w:sz w:val="20"/>
          <w:szCs w:val="20"/>
          <w:color w:val="auto"/>
        </w:rPr>
      </w:pPr>
      <w:r>
        <w:rPr>
          <w:rFonts w:ascii="Times New Roman" w:cs="Times New Roman" w:eastAsia="Times New Roman" w:hAnsi="Times New Roman"/>
          <w:sz w:val="13"/>
          <w:szCs w:val="13"/>
          <w:color w:val="auto"/>
        </w:rPr>
        <w:t>restrictions or limitations are to be imposed on the Common Shares issuable pursuant to grants of any award, and the nature of any such restrictions or limitations, any acceleration of exercisability or vesting, or waiver of termination regarding any award, based on such factors as the Compensation Committee may determine.</w:t>
      </w:r>
    </w:p>
    <w:p>
      <w:pPr>
        <w:spacing w:after="0" w:line="92" w:lineRule="exact"/>
        <w:rPr>
          <w:sz w:val="20"/>
          <w:szCs w:val="20"/>
          <w:color w:val="auto"/>
        </w:rPr>
      </w:pPr>
    </w:p>
    <w:p>
      <w:pPr>
        <w:jc w:val="both"/>
        <w:ind w:right="20"/>
        <w:spacing w:after="0" w:line="295" w:lineRule="auto"/>
        <w:rPr>
          <w:sz w:val="20"/>
          <w:szCs w:val="20"/>
          <w:color w:val="auto"/>
        </w:rPr>
      </w:pPr>
      <w:r>
        <w:rPr>
          <w:rFonts w:ascii="Times New Roman" w:cs="Times New Roman" w:eastAsia="Times New Roman" w:hAnsi="Times New Roman"/>
          <w:sz w:val="13"/>
          <w:szCs w:val="13"/>
          <w:color w:val="auto"/>
        </w:rPr>
        <w:t>In addition, the Compensation Committee interprets the Equity Incentive Plan and may adopt guidelines and other rules and regulations relating to the Equity Incentive Plan, and make all other determinations and take all other actions necessary or advisable for the implementation and administration of the Equity Incentive Plan.</w:t>
      </w:r>
    </w:p>
    <w:p>
      <w:pPr>
        <w:spacing w:after="0" w:line="90"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i w:val="1"/>
          <w:iCs w:val="1"/>
          <w:color w:val="auto"/>
        </w:rPr>
        <w:t>Types of Awards</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u w:val="single" w:color="auto"/>
          <w:color w:val="auto"/>
        </w:rPr>
        <w:t>Options</w:t>
      </w:r>
    </w:p>
    <w:p>
      <w:pPr>
        <w:spacing w:after="0" w:line="15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3"/>
          <w:szCs w:val="13"/>
          <w:color w:val="auto"/>
        </w:rPr>
        <w:t>Under the terms of the Equity Incentive Plan, unless the Compensation Committee determines otherwise in the case of an Option substituted for another Option in connection with a corporate transaction, the exercise price of the Options may not be lower than the greater of the closing market price of the Common Shares on the Exchange on (a) the trading day prior to the date of grant of the Options and (b) the date of grant of the Options. Options granted under the Equity Incentive Plan will be subject to such terms, including the exercise price and the conditions and timing of exercise, as may be determined by the Compensation Committee and specified in the applicable award agreement. The maximum term of an Option granted under the Equity Incentive Plan will be ten years from the date of grant. Payment in respect of the exercise of an Option may not be made, in whole or in part, with a promissory note.</w:t>
      </w:r>
    </w:p>
    <w:p>
      <w:pPr>
        <w:spacing w:after="0" w:line="12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3"/>
          <w:szCs w:val="13"/>
          <w:color w:val="auto"/>
        </w:rPr>
        <w:t>Unless otherwise specified by the Compensation Committee the time of granting an Option and set forth in the particular Award Agreement, an exercise notice must be accompanied by payment of the exercise price. A participant may, in lieu of exercising an Option pursuant to an exercise notice, elect to surrender such Option to the Corporation (a “</w:t>
      </w:r>
      <w:r>
        <w:rPr>
          <w:rFonts w:ascii="Times New Roman" w:cs="Times New Roman" w:eastAsia="Times New Roman" w:hAnsi="Times New Roman"/>
          <w:sz w:val="13"/>
          <w:szCs w:val="13"/>
          <w:b w:val="1"/>
          <w:bCs w:val="1"/>
          <w:color w:val="auto"/>
        </w:rPr>
        <w:t>Cashless Exercise</w:t>
      </w:r>
      <w:r>
        <w:rPr>
          <w:rFonts w:ascii="Times New Roman" w:cs="Times New Roman" w:eastAsia="Times New Roman" w:hAnsi="Times New Roman"/>
          <w:sz w:val="13"/>
          <w:szCs w:val="13"/>
          <w:color w:val="auto"/>
        </w:rPr>
        <w:t>”) in consideration for an amount from the Corporation equal to (i) the Fair Market Value (as defined in the Equity Incentive Plan) of the Common Shares issuable on the exercise of such Option (or portion thereof) as of the date such Option (or portion thereof) is exercised, less (ii) the aggregate exercise price of the Option (or portion thereof) surrendered relating to such Common Shares (the “</w:t>
      </w:r>
      <w:r>
        <w:rPr>
          <w:rFonts w:ascii="Times New Roman" w:cs="Times New Roman" w:eastAsia="Times New Roman" w:hAnsi="Times New Roman"/>
          <w:sz w:val="13"/>
          <w:szCs w:val="13"/>
          <w:b w:val="1"/>
          <w:bCs w:val="1"/>
          <w:color w:val="auto"/>
        </w:rPr>
        <w:t>In-the-Money Amount</w:t>
      </w:r>
      <w:r>
        <w:rPr>
          <w:rFonts w:ascii="Times New Roman" w:cs="Times New Roman" w:eastAsia="Times New Roman" w:hAnsi="Times New Roman"/>
          <w:sz w:val="13"/>
          <w:szCs w:val="13"/>
          <w:color w:val="auto"/>
        </w:rPr>
        <w:t>”) by written notice to the Corporation indicating the number of Options such participant wishes to exercise using the Cashless Exercise, and such other information that the Corporation may require. Subject to the provisions of the Equity Incentive Plan, the Corporation will satisfy payment of the In-the-Money Amount by delivering to the participant such number of Common Shares having a fair market value equal to the In-the-Money Amount.</w:t>
      </w:r>
    </w:p>
    <w:p>
      <w:pPr>
        <w:spacing w:after="0" w:line="114"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u w:val="single" w:color="auto"/>
          <w:color w:val="auto"/>
        </w:rPr>
        <w:t>Restricted Shares and RSUs</w:t>
      </w:r>
    </w:p>
    <w:p>
      <w:pPr>
        <w:spacing w:after="0" w:line="15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3"/>
          <w:szCs w:val="13"/>
          <w:color w:val="auto"/>
        </w:rPr>
        <w:t>Awards of Restricted Shares and RSUs shall be subject to such restrictions as the Compensation Committee may impose (including, without limitation, any limitation on the right to vote or the right to receive any dividend or other right or property with respect thereto), which restrictions may lapse separately or in combination at such time or times, in such installments or otherwise as the Compensation Committee may deem appropriate. Upon a Participant’s termination of employment or service or resignation or removal as a director (in either case, as determined under criteria established by the Compensation and Nominating Committee) during the applicable restriction period, all Restricted Shares and all RSUs held by such Participant at such time shall be forfeited and reacquired by the Corporation for cancellation at no cost to the Corporation; provided, however, that the Compensation Committee may waive in whole or in part any or all remaining restrictions with respect to shares of Restricted Share or</w:t>
      </w:r>
    </w:p>
    <w:p>
      <w:pPr>
        <w:sectPr>
          <w:pgSz w:w="11900" w:h="16838" w:orient="portrait"/>
          <w:cols w:equalWidth="0" w:num="1">
            <w:col w:w="11300"/>
          </w:cols>
          <w:pgMar w:left="300" w:top="126" w:right="299" w:bottom="1440" w:gutter="0" w:footer="0" w:header="0"/>
        </w:sectPr>
      </w:pPr>
    </w:p>
    <w:bookmarkStart w:id="16" w:name="page17"/>
    <w:bookmarkEnd w:id="16"/>
    <w:p>
      <w:pPr>
        <w:jc w:val="center"/>
        <w:spacing w:after="0"/>
        <w:rPr>
          <w:sz w:val="20"/>
          <w:szCs w:val="20"/>
          <w:color w:val="auto"/>
        </w:rPr>
      </w:pPr>
      <w:r>
        <w:rPr>
          <w:rFonts w:ascii="Times New Roman" w:cs="Times New Roman" w:eastAsia="Times New Roman" w:hAnsi="Times New Roman"/>
          <w:sz w:val="13"/>
          <w:szCs w:val="13"/>
          <w:color w:val="auto"/>
        </w:rPr>
        <w:t>- 13 -</w:t>
      </w: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3"/>
          <w:szCs w:val="13"/>
          <w:color w:val="auto"/>
        </w:rPr>
        <w:t>RSUs. Pursuant to the policies of the Exchange, the value ascribed to the Common Shares covered by the Restricted Share or RSU may not be lower than the greater of the closing market price of the Common Shares on (a) the trading day prior to the date of grant of the Restricted Shares or RSUs, and (b) the date of grant of the Restricted Shares or RSUs. Any Restricted Share or RSU granted under the Equity Incentive Plan shall be issued at the time such Awards are granted and may be evidenced in such manner as the Compensation Committee may deem appropriate.</w:t>
      </w:r>
    </w:p>
    <w:p>
      <w:pPr>
        <w:spacing w:after="0" w:line="116"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u w:val="single" w:color="auto"/>
          <w:color w:val="auto"/>
        </w:rPr>
        <w:t>Stock Appreciation Rights</w:t>
      </w:r>
    </w:p>
    <w:p>
      <w:pPr>
        <w:spacing w:after="0" w:line="14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3"/>
          <w:szCs w:val="13"/>
          <w:color w:val="auto"/>
        </w:rPr>
        <w:t>A SAR granted under the Equity Incentive Plan shall confer on the Participant a right to receive upon exercise, the excess of (i) the Fair Market Value of one Common Share on the date of exercise over (ii) the grant price of the SAR as specified by the Compensation Committee (which price shall not be less than 100% of the Fair Market Value of one Common Share on the date of grant of the SAR); provided, however, that, subject to applicable law and stock exchange rules, the Compensation Committee may designate a grant price below Fair Market Value on the date of grant if the SAR is granted in substitution for a stock appreciation right previously granted by an entity that is acquired by or merged with the Corporation or an Affiliate. Notwithstanding the foregoing, pursuant to the rules of the Exchange, Common Shares issued in connection with SARs may not be priced lower than the greater of the closing market prices of the Common Shares on (a) the trading day prior to the date of grant of the SAR, and (b) the date of grant of the SAR. Subject to the terms of the Equity Incentive Plan, the policies of the Exchange and any applicable Award Agreement, the grant price, term, methods of exercise, dates of exercise, methods of settlement, equity compensation and any other terms and conditions of any SAR shall be as determined by the Compensation Committee. The Compensation Committee may impose such conditions or restrictions on the exercise of any SAR as it may deem appropriate. No SAR may be exercised more than ten years from the grant date.</w:t>
      </w:r>
    </w:p>
    <w:p>
      <w:pPr>
        <w:spacing w:after="0" w:line="112"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u w:val="single" w:color="auto"/>
          <w:color w:val="auto"/>
        </w:rPr>
        <w:t>Performance Awards</w:t>
      </w:r>
    </w:p>
    <w:p>
      <w:pPr>
        <w:spacing w:after="0" w:line="15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3"/>
          <w:szCs w:val="13"/>
          <w:color w:val="auto"/>
        </w:rPr>
        <w:t>A Performance Award granted under the Equity Incentive Plan (i) may be denominated or payable in cash, Common Shares (including without limitation, Restricted Share and RSUs), other securities, other Awards or other property and (ii) shall confer on the holder thereof the right to receive payments, in whole or in part, upon the achievement of one or more objective performance goals during such performance periods as the Compensation Committee shall establish. Notwithstanding the foregoing, pursuant to the rules of the Exchange, Performance Awards may not be priced lower than the greater of the closing market prices of the Common Shares on (a) the trading day prior to the date of grant of the Performance Award, and (b) the date of grant of the Performance Award. Subject to the terms of the Equity Incentive Plan and the policies of the Exchange, the performance goals to be achieved during any performance period, the length of any performance period, the amount of any Performance Award granted, the amount of any payment or transfer to be made pursuant to any Performance Award and any other terms and conditions of any Performance Award shall be determined by the Compensation Committee.</w:t>
      </w:r>
    </w:p>
    <w:p>
      <w:pPr>
        <w:spacing w:after="0" w:line="114"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u w:val="single" w:color="auto"/>
          <w:color w:val="auto"/>
        </w:rPr>
        <w:t>Dividend Equivalents</w:t>
      </w:r>
    </w:p>
    <w:p>
      <w:pPr>
        <w:spacing w:after="0" w:line="157"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3"/>
          <w:szCs w:val="13"/>
          <w:color w:val="auto"/>
        </w:rPr>
        <w:t>A Dividend Equivalent granted under the Equity Incentive Plan allows Participants to receive payments (in cash, Common Shares, other securities, other Awards or other property as determined in the discretion of the Compensation Committee) equivalent to the amount of cash dividends paid by the Corporation to holders of Common Shares with respect to a number of Common Shares as determined by the Compensation Committee. Subject to the terms of the Equity Incentive Plan, the policies of the Exchange</w:t>
      </w:r>
    </w:p>
    <w:p>
      <w:pPr>
        <w:sectPr>
          <w:pgSz w:w="11900" w:h="16838" w:orient="portrait"/>
          <w:cols w:equalWidth="0" w:num="1">
            <w:col w:w="11300"/>
          </w:cols>
          <w:pgMar w:left="300" w:top="126" w:right="299" w:bottom="1440" w:gutter="0" w:footer="0" w:header="0"/>
        </w:sectPr>
      </w:pPr>
    </w:p>
    <w:bookmarkStart w:id="17" w:name="page18"/>
    <w:bookmarkEnd w:id="17"/>
    <w:p>
      <w:pPr>
        <w:jc w:val="center"/>
        <w:spacing w:after="0"/>
        <w:rPr>
          <w:sz w:val="20"/>
          <w:szCs w:val="20"/>
          <w:color w:val="auto"/>
        </w:rPr>
      </w:pPr>
      <w:r>
        <w:rPr>
          <w:rFonts w:ascii="Times New Roman" w:cs="Times New Roman" w:eastAsia="Times New Roman" w:hAnsi="Times New Roman"/>
          <w:sz w:val="13"/>
          <w:szCs w:val="13"/>
          <w:color w:val="auto"/>
        </w:rPr>
        <w:t>- 14 -</w:t>
      </w: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3"/>
          <w:szCs w:val="13"/>
          <w:color w:val="auto"/>
        </w:rPr>
        <w:t>and any applicable Award Agreement, such Dividend Equivalents may have such terms and conditions as the Compensation Committee shall determine. Notwithstanding the foregoing, (i) the Compensation Committee may not grant Dividend Equivalents to Eligible Persons in connection with grants of Options, SARs or other Awards the value of which is based solely on an increase in the value of the Common Shares after the date of grant of such Award, and (ii) dividend and Dividend Equivalent amounts may be accrued but shall not be paid unless and until the date on which all conditions or restrictions relating to such Award have been satisfied, waived or lapsed. Subject to the terms of the Equity Incentive Plan, the policies of the Exchange and any applicable award agreement, such Dividend Equivalents may have such terms and conditions as the Compensation Committee shall determine, provided that pursuant to the rules of the Exchange, Dividend Equivalents may not be priced lower than the greater of the closing market prices of the Common Shares on (a) the trading day prior to the date of grant of the Dividend Equivalent, and (b) the date of grant of the Dividend Equivalent.</w:t>
      </w:r>
    </w:p>
    <w:p>
      <w:pPr>
        <w:spacing w:after="0" w:line="123"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u w:val="single" w:color="auto"/>
          <w:color w:val="auto"/>
        </w:rPr>
        <w:t>Other Share-Based Awards</w:t>
      </w:r>
    </w:p>
    <w:p>
      <w:pPr>
        <w:spacing w:after="0" w:line="148"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3"/>
          <w:szCs w:val="13"/>
          <w:color w:val="auto"/>
        </w:rPr>
        <w:t>In addition, Awards may be granted under the Equity Incentive Plan that are denominated or payable in, valued in whole or in part by reference to, or otherwise based on or related to, Common Shares (including, without limitation, securities convertible into Common Shares), as are deemed by the Compensation Committee to be consistent with the purpose of the Equity Incentive Plan in accordance with applicable regulations, provided that pursuant to the rules of the Exchange, such Awards may not be priced lower than the greater of the closing market prices of the Common Shares on (a) the trading day prior to the date of grant of the Award, and (b) the date of grant of the Award.</w:t>
      </w:r>
    </w:p>
    <w:p>
      <w:pPr>
        <w:spacing w:after="0" w:line="116"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i w:val="1"/>
          <w:iCs w:val="1"/>
          <w:color w:val="auto"/>
        </w:rPr>
        <w:t>Term</w:t>
      </w:r>
    </w:p>
    <w:p>
      <w:pPr>
        <w:spacing w:after="0" w:line="150"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3"/>
          <w:szCs w:val="13"/>
          <w:color w:val="auto"/>
        </w:rPr>
        <w:t>While the Equity Incentive Plan does not stipulate a specific term for Awards granted thereunder, awards may not expire beyond 10 years from its date of grant, except where Shareholder approval is received or where an expiry date would have fallen within a blackout period of the Corporation. All awards must vest and settle in accordance with the provisions of the Equity Incentive Plan and any applicable award agreement, which award agreement may include an expiry date for a specific award.</w:t>
      </w:r>
    </w:p>
    <w:p>
      <w:pPr>
        <w:spacing w:after="0" w:line="116" w:lineRule="exact"/>
        <w:rPr>
          <w:sz w:val="20"/>
          <w:szCs w:val="20"/>
          <w:color w:val="auto"/>
        </w:rPr>
      </w:pPr>
    </w:p>
    <w:p>
      <w:pPr>
        <w:jc w:val="both"/>
        <w:spacing w:after="0" w:line="295" w:lineRule="auto"/>
        <w:rPr>
          <w:sz w:val="20"/>
          <w:szCs w:val="20"/>
          <w:color w:val="auto"/>
        </w:rPr>
      </w:pPr>
      <w:r>
        <w:rPr>
          <w:rFonts w:ascii="Times New Roman" w:cs="Times New Roman" w:eastAsia="Times New Roman" w:hAnsi="Times New Roman"/>
          <w:sz w:val="13"/>
          <w:szCs w:val="13"/>
          <w:color w:val="auto"/>
        </w:rPr>
        <w:t>In the event an Award expires, at a time when a scheduled blackout is in place or an undisclosed material change or material fact in the affairs of the Corporation exists, the expiry of such award will be the date that is 10 business days after which such scheduled blackout terminates or there is no longer such undisclosed material change or material fact.</w:t>
      </w:r>
    </w:p>
    <w:p>
      <w:pPr>
        <w:spacing w:after="0" w:line="90"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i w:val="1"/>
          <w:iCs w:val="1"/>
          <w:color w:val="auto"/>
        </w:rPr>
        <w:t>Non-Transferability of Awards</w:t>
      </w:r>
    </w:p>
    <w:p>
      <w:pPr>
        <w:spacing w:after="0" w:line="15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3"/>
          <w:szCs w:val="13"/>
          <w:color w:val="auto"/>
        </w:rPr>
        <w:t>No Award and no right under any such Award shall be transferable by a Participant other than by will or by the laws of descent and distribution, and no Award (other than fully vested and unrestricted Shares issued pursuant to any Award) or right under any such Award may be pledged, alienated, attached or otherwise encumbered, and any purported pledge, alienation, attachment or encumbrance thereof shall be void and unenforceable against the Corporation or any Affiliate. The Compensation Committee may also establish procedures as it deems appropriate for a Participant to designate a person or persons, as beneficiary or beneficiaries, to exercise the rights of the Participant and receive any property distributable with respect to any Award in the event of the Participant’s death. In the event of a Participant’s death, any unexercised, options issued to such Participant shall be exercisable within a period of one year succeeding the year in which the Participant died, unless such exercise period is extended by the Compensation</w:t>
      </w:r>
    </w:p>
    <w:p>
      <w:pPr>
        <w:sectPr>
          <w:pgSz w:w="11900" w:h="16838" w:orient="portrait"/>
          <w:cols w:equalWidth="0" w:num="1">
            <w:col w:w="11300"/>
          </w:cols>
          <w:pgMar w:left="300" w:top="126" w:right="299" w:bottom="1440" w:gutter="0" w:footer="0" w:header="0"/>
        </w:sectPr>
      </w:pPr>
    </w:p>
    <w:bookmarkStart w:id="18" w:name="page19"/>
    <w:bookmarkEnd w:id="18"/>
    <w:p>
      <w:pPr>
        <w:jc w:val="center"/>
        <w:spacing w:after="0"/>
        <w:rPr>
          <w:sz w:val="20"/>
          <w:szCs w:val="20"/>
          <w:color w:val="auto"/>
        </w:rPr>
      </w:pPr>
      <w:r>
        <w:rPr>
          <w:rFonts w:ascii="Times New Roman" w:cs="Times New Roman" w:eastAsia="Times New Roman" w:hAnsi="Times New Roman"/>
          <w:sz w:val="13"/>
          <w:szCs w:val="13"/>
          <w:color w:val="auto"/>
        </w:rPr>
        <w:t>- 15 -</w:t>
      </w: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Committee and approval is obtained from the stock exchange on which the Shares then trade, as applicable.</w:t>
      </w:r>
    </w:p>
    <w:p>
      <w:pPr>
        <w:spacing w:after="0" w:line="153"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i w:val="1"/>
          <w:iCs w:val="1"/>
          <w:color w:val="auto"/>
        </w:rPr>
        <w:t>Compensation of Directors</w:t>
      </w:r>
    </w:p>
    <w:p>
      <w:pPr>
        <w:spacing w:after="0" w:line="152"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3"/>
          <w:szCs w:val="13"/>
          <w:color w:val="auto"/>
        </w:rPr>
        <w:t>Independent members of the Board are paid US$75,000 annually, which amount is paid quarterly. In addition, the independent lead director and the audit committee chair receive an additional annual cash fee of US$15,000. Directors of the Corporation are also compensated for their services through the granting of stock options and other equity incentives, and may also be reimbursed for out-of-pocket expenses incurred in carrying out their duties as directors.</w:t>
      </w:r>
    </w:p>
    <w:p>
      <w:pPr>
        <w:spacing w:after="0" w:line="116"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Officers of the Corporation who also act as directors will not receive any additional compensation for services rendered in such capacity, other than as paid by the Corporation in their capacity as officers.</w:t>
      </w:r>
    </w:p>
    <w:p>
      <w:pPr>
        <w:spacing w:after="0" w:line="153"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i w:val="1"/>
          <w:iCs w:val="1"/>
          <w:color w:val="auto"/>
        </w:rPr>
        <w:t>Compensation Risk</w:t>
      </w:r>
    </w:p>
    <w:p>
      <w:pPr>
        <w:spacing w:after="0" w:line="152"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3"/>
          <w:szCs w:val="13"/>
          <w:color w:val="auto"/>
        </w:rPr>
        <w:t>The Board and, as applicable, the Compensation Committee, considers and assesses the implications of risks associated with the Corporation’s compensation policies and practices and devotes such time and resources as is believed to be necessary in the circumstances. The Corporation’s practice of compensating its officers primarily through a mix of salary, bonus and stock options is designed to mitigate risk by: (i) ensuring that the Corporation retains such officers; and (ii) aligning the interests of its officers with the short-term and long-term objectives of the Corporation and its shareholders. As at the date of this Circular, the Board had not identified risks arising from the Corporation’s compensation policies and practices that are reasonably likely to have a material adverse effect on the Corporation.</w:t>
      </w:r>
    </w:p>
    <w:p>
      <w:pPr>
        <w:spacing w:after="0" w:line="116"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i w:val="1"/>
          <w:iCs w:val="1"/>
          <w:color w:val="auto"/>
        </w:rPr>
        <w:t>Financial Instruments</w:t>
      </w:r>
    </w:p>
    <w:p>
      <w:pPr>
        <w:spacing w:after="0" w:line="150" w:lineRule="exact"/>
        <w:rPr>
          <w:sz w:val="20"/>
          <w:szCs w:val="20"/>
          <w:color w:val="auto"/>
        </w:rPr>
      </w:pPr>
    </w:p>
    <w:p>
      <w:pPr>
        <w:jc w:val="both"/>
        <w:ind w:right="20"/>
        <w:spacing w:after="0" w:line="295" w:lineRule="auto"/>
        <w:rPr>
          <w:sz w:val="20"/>
          <w:szCs w:val="20"/>
          <w:color w:val="auto"/>
        </w:rPr>
      </w:pPr>
      <w:r>
        <w:rPr>
          <w:rFonts w:ascii="Times New Roman" w:cs="Times New Roman" w:eastAsia="Times New Roman" w:hAnsi="Times New Roman"/>
          <w:sz w:val="13"/>
          <w:szCs w:val="13"/>
          <w:color w:val="auto"/>
        </w:rPr>
        <w:t>Pursuant to the terms of the Corporation’s Insider Trading Policy, the Corporation’s officers and directors are prohibited from purchasing financial instruments, such as prepaid variable forward contracts, equity swaps, collars or units of exchange funds, that are designed to hedge or offset a decrease in market value of equity securities granted as compensation or held, directly or indirectly, by an officer or director.</w:t>
      </w:r>
    </w:p>
    <w:p>
      <w:pPr>
        <w:spacing w:after="0" w:line="90"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i w:val="1"/>
          <w:iCs w:val="1"/>
          <w:color w:val="auto"/>
        </w:rPr>
        <w:t>Compensation Governance</w:t>
      </w:r>
    </w:p>
    <w:p>
      <w:pPr>
        <w:spacing w:after="0" w:line="159" w:lineRule="exact"/>
        <w:rPr>
          <w:sz w:val="20"/>
          <w:szCs w:val="20"/>
          <w:color w:val="auto"/>
        </w:rPr>
      </w:pPr>
    </w:p>
    <w:p>
      <w:pPr>
        <w:jc w:val="both"/>
        <w:spacing w:after="0" w:line="295" w:lineRule="auto"/>
        <w:rPr>
          <w:sz w:val="20"/>
          <w:szCs w:val="20"/>
          <w:color w:val="auto"/>
        </w:rPr>
      </w:pPr>
      <w:r>
        <w:rPr>
          <w:rFonts w:ascii="Times New Roman" w:cs="Times New Roman" w:eastAsia="Times New Roman" w:hAnsi="Times New Roman"/>
          <w:sz w:val="13"/>
          <w:szCs w:val="13"/>
          <w:color w:val="auto"/>
        </w:rPr>
        <w:t>In order to assist the Board in fulfilling its oversight responsibilities with respect to compensation matters, the Board has established the Compensation Committee and has reviewed and approved the Compensation Committee’s Charter. The Compensation Committee is composed of Grant Froese, Mark Lawson and Theresa Firestone.</w:t>
      </w:r>
    </w:p>
    <w:p>
      <w:pPr>
        <w:spacing w:after="0" w:line="92"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3"/>
          <w:szCs w:val="13"/>
          <w:color w:val="auto"/>
        </w:rPr>
        <w:t>The Compensation Committee meets on compensation matters as and when required with respect to executive compensation. The primary goal of the Compensation Committee as it relates to compensation matters is to ensure that the compensation provided to the Named Executive Officers and the Corporation’s other executive officers is determined with regard to the Corporation’s business strategies and objectives, such that the financial interest of the executive officers is aligned with the financial interest of shareholders, and to ensure that their compensation is fair and reasonable and sufficient to attract and retain qualified and experienced executives. The Compensation Committee is given the authority to engage and compensate any outside advisor that it determines to be necessary to carry out its duties.</w:t>
      </w:r>
    </w:p>
    <w:p>
      <w:pPr>
        <w:sectPr>
          <w:pgSz w:w="11900" w:h="16838" w:orient="portrait"/>
          <w:cols w:equalWidth="0" w:num="1">
            <w:col w:w="11300"/>
          </w:cols>
          <w:pgMar w:left="300" w:top="126" w:right="299" w:bottom="1440" w:gutter="0" w:footer="0" w:header="0"/>
        </w:sectPr>
      </w:pPr>
    </w:p>
    <w:bookmarkStart w:id="19" w:name="page20"/>
    <w:bookmarkEnd w:id="19"/>
    <w:p>
      <w:pPr>
        <w:jc w:val="center"/>
        <w:spacing w:after="0"/>
        <w:rPr>
          <w:sz w:val="20"/>
          <w:szCs w:val="20"/>
          <w:color w:val="auto"/>
        </w:rPr>
      </w:pPr>
      <w:r>
        <w:rPr>
          <w:rFonts w:ascii="Times New Roman" w:cs="Times New Roman" w:eastAsia="Times New Roman" w:hAnsi="Times New Roman"/>
          <w:sz w:val="13"/>
          <w:szCs w:val="13"/>
          <w:color w:val="auto"/>
        </w:rPr>
        <w:t>- 16 -</w:t>
      </w: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3"/>
          <w:szCs w:val="13"/>
          <w:color w:val="auto"/>
        </w:rPr>
        <w:t>As a whole, the members of the Compensation Committee have direct experience and skills relevant to their responsibilities in executive compensation, including with respect to enabling the Compensation Committee in making informed decisions on the suitability of the Corporation’s compensation policies and practices. All three members have experience on the board of directors and related committees of other public companies, as described under “</w:t>
      </w:r>
      <w:r>
        <w:rPr>
          <w:rFonts w:ascii="Times New Roman" w:cs="Times New Roman" w:eastAsia="Times New Roman" w:hAnsi="Times New Roman"/>
          <w:sz w:val="13"/>
          <w:szCs w:val="13"/>
          <w:i w:val="1"/>
          <w:iCs w:val="1"/>
          <w:color w:val="auto"/>
        </w:rPr>
        <w:t>Particulars of Matters to be Acted Upon - Election of Directors</w:t>
      </w:r>
      <w:r>
        <w:rPr>
          <w:rFonts w:ascii="Times New Roman" w:cs="Times New Roman" w:eastAsia="Times New Roman" w:hAnsi="Times New Roman"/>
          <w:sz w:val="13"/>
          <w:szCs w:val="13"/>
          <w:color w:val="auto"/>
        </w:rPr>
        <w:t>” in this Circular.</w:t>
      </w:r>
    </w:p>
    <w:p>
      <w:pPr>
        <w:spacing w:after="0" w:line="1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PERFORMANCE GRAPH</w:t>
      </w:r>
    </w:p>
    <w:p>
      <w:pPr>
        <w:spacing w:after="0" w:line="150"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3"/>
          <w:szCs w:val="13"/>
          <w:color w:val="auto"/>
        </w:rPr>
        <w:t>The following graph compares the percentage change in the cumulative Shareholder return on the Common Shares compared to the cumulative total return of the S&amp;P/TSX Composite Index for the period commencing on April 1, 2020 to March 31, 2025 based on the price of the Common Shares, assuming a $100 investment on April 1, 2020 and reinvestment of dividends. From April 1, 2020 to June 29, 2020 (the date the Common Shares were halted in connection with the announcement of the Transaction), the performance reflected is that of Clarmin, the Corporation’s predecessor business, and is not reflective of the Corporation’s business or performance since the completion of the Transaction on November 5, 2020 and the listing of its Common Shares on the Exchange on November 10, 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198120</wp:posOffset>
            </wp:positionV>
            <wp:extent cx="3566160" cy="13544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9">
                      <a:extLst>
                        <a:ext uri="{28A0092B-C50C-407E-A947-70E740481C1C}"/>
                      </a:extLst>
                    </a:blip>
                    <a:srcRect/>
                    <a:stretch>
                      <a:fillRect/>
                    </a:stretch>
                  </pic:blipFill>
                  <pic:spPr bwMode="auto">
                    <a:xfrm>
                      <a:off x="0" y="0"/>
                      <a:ext cx="3566160" cy="13544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3"/>
          <w:szCs w:val="13"/>
          <w:color w:val="auto"/>
        </w:rPr>
        <w:t>The Corporation’s total shareholder return for the period from the completion of the Transaction to March 31, 2025 was approximately -74%. Between 2022 and 2025, the Corporation completed a series of financings that provided it with a net cash position as at March 31, 2025 of $135 million. The Board has not, as of the date of the Circular, determined any incentive payments based on the Corporation’s results for 2025, including its total shareholders’ return, but it is anticipated that as part of the compensation and governance review, the Board will consider and approve incentive payments that take into account these factors. As the completion of the Transaction marked the beginning of the commencement of the current business of the Corporation, the Corporation considers its share performance since completion of the Transaction to be pertinent to its Shareholders. Therefore, the next graph compares the percentage change in the cumulative Shareholder return on the Common Shares commencing with the listing of the Common Shares on the Exchange on November 10, 2020 to March 31, 2025, compared to the cumulative total return of the S&amp;P/TSX Composite Index for the same period, assuming a $100 investment on November 10, 2020 and reinvestment of dividends.</w:t>
      </w:r>
    </w:p>
    <w:p>
      <w:pPr>
        <w:sectPr>
          <w:pgSz w:w="11900" w:h="16838" w:orient="portrait"/>
          <w:cols w:equalWidth="0" w:num="1">
            <w:col w:w="11300"/>
          </w:cols>
          <w:pgMar w:left="300" w:top="125" w:right="299" w:bottom="1440" w:gutter="0" w:footer="0" w:header="0"/>
        </w:sectPr>
      </w:pPr>
    </w:p>
    <w:bookmarkStart w:id="20" w:name="page21"/>
    <w:bookmarkEnd w:id="20"/>
    <w:p>
      <w:pPr>
        <w:jc w:val="center"/>
        <w:spacing w:after="0"/>
        <w:rPr>
          <w:sz w:val="20"/>
          <w:szCs w:val="20"/>
          <w:color w:val="auto"/>
        </w:rPr>
      </w:pPr>
      <w:r>
        <w:rPr>
          <w:rFonts w:ascii="Times New Roman" w:cs="Times New Roman" w:eastAsia="Times New Roman" w:hAnsi="Times New Roman"/>
          <w:sz w:val="13"/>
          <w:szCs w:val="13"/>
          <w:color w:val="auto"/>
        </w:rPr>
        <w:t>- 17 -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462915</wp:posOffset>
            </wp:positionV>
            <wp:extent cx="3566160" cy="13716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0">
                      <a:extLst>
                        <a:ext uri="{28A0092B-C50C-407E-A947-70E740481C1C}"/>
                      </a:extLst>
                    </a:blip>
                    <a:srcRect/>
                    <a:stretch>
                      <a:fillRect/>
                    </a:stretch>
                  </pic:blipFill>
                  <pic:spPr bwMode="auto">
                    <a:xfrm>
                      <a:off x="0" y="0"/>
                      <a:ext cx="3566160" cy="13716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SUMMARY COMPENSATION TABLE</w:t>
      </w:r>
    </w:p>
    <w:p>
      <w:pPr>
        <w:spacing w:after="0" w:line="146"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i w:val="1"/>
          <w:iCs w:val="1"/>
          <w:color w:val="auto"/>
        </w:rPr>
        <w:t>Named Executive Officers</w:t>
      </w:r>
    </w:p>
    <w:p>
      <w:pPr>
        <w:spacing w:after="0" w:line="161"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3"/>
          <w:szCs w:val="13"/>
          <w:color w:val="auto"/>
        </w:rPr>
        <w:t>In this Circular, a “Named Executive Officer” means: (a) the Chief Executive Officer of the Corporation during the 2025 fiscal year; (b) the Chief Financial Officer of the Corporation during the 2025 fiscal year; (c) the three other most highly compensated executive officers of the Corporation at the end of the financial year ended March 31, 2025 whose total compensation, individually, was greater than $150,000; and (d) each individual who would be a Named Executive Officer but for the fact that the individual was neither an executive officer of the Corporation or its subsidiaries, nor serving in a similar capacity, at the end of the financial year ended March 31, 2025.</w:t>
      </w:r>
    </w:p>
    <w:p>
      <w:pPr>
        <w:spacing w:after="0" w:line="109"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3"/>
          <w:szCs w:val="13"/>
          <w:color w:val="auto"/>
        </w:rPr>
        <w:t>For the financial year ended March 31, 2025, the Corporation had the following Named Executive Officers: (a) Doug Drysdale, Chief Executive Officer; (b) Greg Cavers, Chief Financial Officer; (c) Eric So, President; (d) Paul Glavine, Chief Growth Officer; and (e) Gabriel Fahel, Chief Legal Officer. The following table presents the compensation earned by the Named Executive Officers for the years ended March 31, 2025, 2024 and 2023. All amounts are in Canadian dollars.</w:t>
      </w:r>
    </w:p>
    <w:p>
      <w:pPr>
        <w:sectPr>
          <w:pgSz w:w="11900" w:h="16838" w:orient="portrait"/>
          <w:cols w:equalWidth="0" w:num="1">
            <w:col w:w="11300"/>
          </w:cols>
          <w:pgMar w:left="300" w:top="125" w:right="299" w:bottom="1440" w:gutter="0" w:footer="0" w:header="0"/>
        </w:sectPr>
      </w:pPr>
    </w:p>
    <w:bookmarkStart w:id="21" w:name="page22"/>
    <w:bookmarkEnd w:id="21"/>
    <w:p>
      <w:pPr>
        <w:jc w:val="center"/>
        <w:ind w:right="-7"/>
        <w:spacing w:after="0"/>
        <w:rPr>
          <w:sz w:val="20"/>
          <w:szCs w:val="20"/>
          <w:color w:val="auto"/>
        </w:rPr>
      </w:pPr>
      <w:r>
        <w:rPr>
          <w:rFonts w:ascii="Times New Roman" w:cs="Times New Roman" w:eastAsia="Times New Roman" w:hAnsi="Times New Roman"/>
          <w:sz w:val="13"/>
          <w:szCs w:val="13"/>
          <w:color w:val="auto"/>
        </w:rPr>
        <w:t>- 18 -</w:t>
      </w: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tbl>
      <w:tblPr>
        <w:tblLayout w:type="fixed"/>
        <w:tblInd w:w="18" w:type="dxa"/>
        <w:tblCellMar>
          <w:top w:w="0" w:type="dxa"/>
          <w:left w:w="0" w:type="dxa"/>
          <w:bottom w:w="0" w:type="dxa"/>
          <w:right w:w="0" w:type="dxa"/>
        </w:tblCellMar>
      </w:tblPr>
      <w:tr>
        <w:trPr>
          <w:trHeight w:val="144"/>
        </w:trPr>
        <w:tc>
          <w:tcPr>
            <w:tcW w:w="1980" w:type="dxa"/>
            <w:vAlign w:val="bottom"/>
            <w:tcBorders>
              <w:top w:val="single" w:sz="8" w:color="BFBFBF"/>
              <w:left w:val="single" w:sz="8" w:color="BFBFBF"/>
              <w:right w:val="single" w:sz="8" w:color="BFBFBF"/>
            </w:tcBorders>
            <w:shd w:val="clear" w:color="auto" w:fill="D9D9D9"/>
          </w:tcPr>
          <w:p>
            <w:pPr>
              <w:ind w:left="360"/>
              <w:spacing w:after="0"/>
              <w:rPr>
                <w:sz w:val="20"/>
                <w:szCs w:val="20"/>
                <w:color w:val="auto"/>
              </w:rPr>
            </w:pPr>
            <w:r>
              <w:rPr>
                <w:rFonts w:ascii="Times New Roman" w:cs="Times New Roman" w:eastAsia="Times New Roman" w:hAnsi="Times New Roman"/>
                <w:sz w:val="11"/>
                <w:szCs w:val="11"/>
                <w:b w:val="1"/>
                <w:bCs w:val="1"/>
                <w:color w:val="auto"/>
              </w:rPr>
              <w:t>Name and principal position</w:t>
            </w:r>
          </w:p>
        </w:tc>
        <w:tc>
          <w:tcPr>
            <w:tcW w:w="680" w:type="dxa"/>
            <w:vAlign w:val="bottom"/>
            <w:tcBorders>
              <w:top w:val="single" w:sz="8" w:color="BFBFBF"/>
              <w:right w:val="single" w:sz="8" w:color="BFBFBF"/>
            </w:tcBorders>
            <w:shd w:val="clear" w:color="auto" w:fill="D9D9D9"/>
          </w:tcPr>
          <w:p>
            <w:pPr>
              <w:ind w:left="220"/>
              <w:spacing w:after="0"/>
              <w:rPr>
                <w:sz w:val="20"/>
                <w:szCs w:val="20"/>
                <w:color w:val="auto"/>
              </w:rPr>
            </w:pPr>
            <w:r>
              <w:rPr>
                <w:rFonts w:ascii="Times New Roman" w:cs="Times New Roman" w:eastAsia="Times New Roman" w:hAnsi="Times New Roman"/>
                <w:sz w:val="11"/>
                <w:szCs w:val="11"/>
                <w:b w:val="1"/>
                <w:bCs w:val="1"/>
                <w:color w:val="auto"/>
              </w:rPr>
              <w:t>Year</w:t>
            </w:r>
          </w:p>
        </w:tc>
        <w:tc>
          <w:tcPr>
            <w:tcW w:w="1240" w:type="dxa"/>
            <w:vAlign w:val="bottom"/>
            <w:tcBorders>
              <w:top w:val="single" w:sz="8" w:color="BFBFBF"/>
              <w:right w:val="single" w:sz="8" w:color="BFBFBF"/>
            </w:tcBorders>
            <w:shd w:val="clear" w:color="auto" w:fill="D9D9D9"/>
          </w:tcPr>
          <w:p>
            <w:pPr>
              <w:ind w:left="340"/>
              <w:spacing w:after="0"/>
              <w:rPr>
                <w:sz w:val="20"/>
                <w:szCs w:val="20"/>
                <w:color w:val="auto"/>
              </w:rPr>
            </w:pPr>
            <w:r>
              <w:rPr>
                <w:rFonts w:ascii="Times New Roman" w:cs="Times New Roman" w:eastAsia="Times New Roman" w:hAnsi="Times New Roman"/>
                <w:sz w:val="11"/>
                <w:szCs w:val="11"/>
                <w:b w:val="1"/>
                <w:bCs w:val="1"/>
                <w:color w:val="auto"/>
              </w:rPr>
              <w:t>Salary/Fee</w:t>
            </w:r>
          </w:p>
        </w:tc>
        <w:tc>
          <w:tcPr>
            <w:tcW w:w="900" w:type="dxa"/>
            <w:vAlign w:val="bottom"/>
            <w:tcBorders>
              <w:top w:val="single" w:sz="8" w:color="BFBFBF"/>
              <w:right w:val="single" w:sz="8" w:color="BFBFBF"/>
            </w:tcBorders>
            <w:shd w:val="clear" w:color="auto" w:fill="D9D9D9"/>
          </w:tcPr>
          <w:p>
            <w:pPr>
              <w:jc w:val="center"/>
              <w:spacing w:after="0"/>
              <w:rPr>
                <w:sz w:val="20"/>
                <w:szCs w:val="20"/>
                <w:color w:val="auto"/>
              </w:rPr>
            </w:pPr>
            <w:r>
              <w:rPr>
                <w:rFonts w:ascii="Times New Roman" w:cs="Times New Roman" w:eastAsia="Times New Roman" w:hAnsi="Times New Roman"/>
                <w:sz w:val="11"/>
                <w:szCs w:val="11"/>
                <w:b w:val="1"/>
                <w:bCs w:val="1"/>
                <w:color w:val="auto"/>
                <w:w w:val="96"/>
              </w:rPr>
              <w:t>Share-based</w:t>
            </w:r>
          </w:p>
        </w:tc>
        <w:tc>
          <w:tcPr>
            <w:tcW w:w="1140" w:type="dxa"/>
            <w:vAlign w:val="bottom"/>
            <w:tcBorders>
              <w:top w:val="single" w:sz="8" w:color="BFBFBF"/>
              <w:right w:val="single" w:sz="8" w:color="BFBFBF"/>
            </w:tcBorders>
            <w:shd w:val="clear" w:color="auto" w:fill="D9D9D9"/>
          </w:tcPr>
          <w:p>
            <w:pPr>
              <w:jc w:val="right"/>
              <w:ind w:right="46"/>
              <w:spacing w:after="0"/>
              <w:rPr>
                <w:sz w:val="20"/>
                <w:szCs w:val="20"/>
                <w:color w:val="auto"/>
              </w:rPr>
            </w:pPr>
            <w:r>
              <w:rPr>
                <w:rFonts w:ascii="Times New Roman" w:cs="Times New Roman" w:eastAsia="Times New Roman" w:hAnsi="Times New Roman"/>
                <w:sz w:val="11"/>
                <w:szCs w:val="11"/>
                <w:b w:val="1"/>
                <w:bCs w:val="1"/>
                <w:color w:val="auto"/>
              </w:rPr>
              <w:t>Option-based awards</w:t>
            </w:r>
          </w:p>
        </w:tc>
        <w:tc>
          <w:tcPr>
            <w:tcW w:w="2180" w:type="dxa"/>
            <w:vAlign w:val="bottom"/>
            <w:tcBorders>
              <w:top w:val="single" w:sz="8" w:color="BFBFBF"/>
              <w:right w:val="single" w:sz="8" w:color="BFBFBF"/>
            </w:tcBorders>
            <w:gridSpan w:val="2"/>
            <w:shd w:val="clear" w:color="auto" w:fill="D9D9D9"/>
          </w:tcPr>
          <w:p>
            <w:pPr>
              <w:jc w:val="center"/>
              <w:spacing w:after="0"/>
              <w:rPr>
                <w:sz w:val="20"/>
                <w:szCs w:val="20"/>
                <w:color w:val="auto"/>
              </w:rPr>
            </w:pPr>
            <w:r>
              <w:rPr>
                <w:rFonts w:ascii="Times New Roman" w:cs="Times New Roman" w:eastAsia="Times New Roman" w:hAnsi="Times New Roman"/>
                <w:sz w:val="11"/>
                <w:szCs w:val="11"/>
                <w:b w:val="1"/>
                <w:bCs w:val="1"/>
                <w:color w:val="auto"/>
                <w:w w:val="98"/>
              </w:rPr>
              <w:t>Non-equity incentive plan compensation</w:t>
            </w:r>
          </w:p>
        </w:tc>
        <w:tc>
          <w:tcPr>
            <w:tcW w:w="820" w:type="dxa"/>
            <w:vAlign w:val="bottom"/>
            <w:tcBorders>
              <w:top w:val="single" w:sz="8" w:color="BFBFBF"/>
              <w:right w:val="single" w:sz="8" w:color="BFBFBF"/>
            </w:tcBorders>
            <w:shd w:val="clear" w:color="auto" w:fill="D9D9D9"/>
          </w:tcPr>
          <w:p>
            <w:pPr>
              <w:ind w:left="80"/>
              <w:spacing w:after="0"/>
              <w:rPr>
                <w:sz w:val="20"/>
                <w:szCs w:val="20"/>
                <w:color w:val="auto"/>
              </w:rPr>
            </w:pPr>
            <w:r>
              <w:rPr>
                <w:rFonts w:ascii="Times New Roman" w:cs="Times New Roman" w:eastAsia="Times New Roman" w:hAnsi="Times New Roman"/>
                <w:sz w:val="11"/>
                <w:szCs w:val="11"/>
                <w:b w:val="1"/>
                <w:bCs w:val="1"/>
                <w:color w:val="auto"/>
              </w:rPr>
              <w:t>Pension value</w:t>
            </w:r>
          </w:p>
        </w:tc>
        <w:tc>
          <w:tcPr>
            <w:tcW w:w="1140" w:type="dxa"/>
            <w:vAlign w:val="bottom"/>
            <w:tcBorders>
              <w:top w:val="single" w:sz="8" w:color="BFBFBF"/>
              <w:right w:val="single" w:sz="8" w:color="BFBFBF"/>
            </w:tcBorders>
            <w:shd w:val="clear" w:color="auto" w:fill="D9D9D9"/>
          </w:tcPr>
          <w:p>
            <w:pPr>
              <w:jc w:val="center"/>
              <w:spacing w:after="0"/>
              <w:rPr>
                <w:sz w:val="20"/>
                <w:szCs w:val="20"/>
                <w:color w:val="auto"/>
              </w:rPr>
            </w:pPr>
            <w:r>
              <w:rPr>
                <w:rFonts w:ascii="Times New Roman" w:cs="Times New Roman" w:eastAsia="Times New Roman" w:hAnsi="Times New Roman"/>
                <w:sz w:val="11"/>
                <w:szCs w:val="11"/>
                <w:b w:val="1"/>
                <w:bCs w:val="1"/>
                <w:color w:val="auto"/>
                <w:w w:val="99"/>
              </w:rPr>
              <w:t>All other compensa-</w:t>
            </w:r>
          </w:p>
        </w:tc>
        <w:tc>
          <w:tcPr>
            <w:tcW w:w="1240" w:type="dxa"/>
            <w:vAlign w:val="bottom"/>
            <w:tcBorders>
              <w:top w:val="single" w:sz="8" w:color="BFBFBF"/>
              <w:right w:val="single" w:sz="8" w:color="BFBFBF"/>
            </w:tcBorders>
            <w:shd w:val="clear" w:color="auto" w:fill="D9D9D9"/>
          </w:tcPr>
          <w:p>
            <w:pPr>
              <w:ind w:left="140"/>
              <w:spacing w:after="0"/>
              <w:rPr>
                <w:sz w:val="20"/>
                <w:szCs w:val="20"/>
                <w:color w:val="auto"/>
              </w:rPr>
            </w:pPr>
            <w:r>
              <w:rPr>
                <w:rFonts w:ascii="Times New Roman" w:cs="Times New Roman" w:eastAsia="Times New Roman" w:hAnsi="Times New Roman"/>
                <w:sz w:val="11"/>
                <w:szCs w:val="11"/>
                <w:b w:val="1"/>
                <w:bCs w:val="1"/>
                <w:color w:val="auto"/>
              </w:rPr>
              <w:t>Total compensa-tion</w:t>
            </w:r>
          </w:p>
        </w:tc>
      </w:tr>
      <w:tr>
        <w:trPr>
          <w:trHeight w:val="108"/>
        </w:trPr>
        <w:tc>
          <w:tcPr>
            <w:tcW w:w="1980" w:type="dxa"/>
            <w:vAlign w:val="bottom"/>
            <w:tcBorders>
              <w:left w:val="single" w:sz="8" w:color="BFBFBF"/>
              <w:right w:val="single" w:sz="8" w:color="BFBFBF"/>
            </w:tcBorders>
            <w:shd w:val="clear" w:color="auto" w:fill="D9D9D9"/>
          </w:tcPr>
          <w:p>
            <w:pPr>
              <w:spacing w:after="0"/>
              <w:rPr>
                <w:sz w:val="9"/>
                <w:szCs w:val="9"/>
                <w:color w:val="auto"/>
              </w:rPr>
            </w:pPr>
          </w:p>
        </w:tc>
        <w:tc>
          <w:tcPr>
            <w:tcW w:w="680" w:type="dxa"/>
            <w:vAlign w:val="bottom"/>
            <w:tcBorders>
              <w:right w:val="single" w:sz="8" w:color="BFBFBF"/>
            </w:tcBorders>
            <w:shd w:val="clear" w:color="auto" w:fill="D9D9D9"/>
          </w:tcPr>
          <w:p>
            <w:pPr>
              <w:spacing w:after="0"/>
              <w:rPr>
                <w:sz w:val="9"/>
                <w:szCs w:val="9"/>
                <w:color w:val="auto"/>
              </w:rPr>
            </w:pPr>
          </w:p>
        </w:tc>
        <w:tc>
          <w:tcPr>
            <w:tcW w:w="1240" w:type="dxa"/>
            <w:vAlign w:val="bottom"/>
            <w:tcBorders>
              <w:right w:val="single" w:sz="8" w:color="BFBFBF"/>
            </w:tcBorders>
            <w:shd w:val="clear" w:color="auto" w:fill="D9D9D9"/>
          </w:tcPr>
          <w:p>
            <w:pPr>
              <w:jc w:val="center"/>
              <w:spacing w:after="0" w:line="108" w:lineRule="exact"/>
              <w:rPr>
                <w:sz w:val="20"/>
                <w:szCs w:val="20"/>
                <w:color w:val="auto"/>
              </w:rPr>
            </w:pPr>
            <w:r>
              <w:rPr>
                <w:rFonts w:ascii="Times New Roman" w:cs="Times New Roman" w:eastAsia="Times New Roman" w:hAnsi="Times New Roman"/>
                <w:sz w:val="11"/>
                <w:szCs w:val="11"/>
                <w:b w:val="1"/>
                <w:bCs w:val="1"/>
                <w:color w:val="auto"/>
                <w:w w:val="93"/>
              </w:rPr>
              <w:t>($)</w:t>
            </w:r>
          </w:p>
        </w:tc>
        <w:tc>
          <w:tcPr>
            <w:tcW w:w="900" w:type="dxa"/>
            <w:vAlign w:val="bottom"/>
            <w:tcBorders>
              <w:right w:val="single" w:sz="8" w:color="BFBFBF"/>
            </w:tcBorders>
            <w:shd w:val="clear" w:color="auto" w:fill="D9D9D9"/>
          </w:tcPr>
          <w:p>
            <w:pPr>
              <w:jc w:val="center"/>
              <w:spacing w:after="0" w:line="108" w:lineRule="exact"/>
              <w:rPr>
                <w:sz w:val="20"/>
                <w:szCs w:val="20"/>
                <w:color w:val="auto"/>
              </w:rPr>
            </w:pPr>
            <w:r>
              <w:rPr>
                <w:rFonts w:ascii="Times New Roman" w:cs="Times New Roman" w:eastAsia="Times New Roman" w:hAnsi="Times New Roman"/>
                <w:sz w:val="11"/>
                <w:szCs w:val="11"/>
                <w:b w:val="1"/>
                <w:bCs w:val="1"/>
                <w:color w:val="auto"/>
                <w:w w:val="99"/>
              </w:rPr>
              <w:t>awards</w:t>
            </w:r>
          </w:p>
        </w:tc>
        <w:tc>
          <w:tcPr>
            <w:tcW w:w="1140" w:type="dxa"/>
            <w:vAlign w:val="bottom"/>
            <w:tcBorders>
              <w:right w:val="single" w:sz="8" w:color="BFBFBF"/>
            </w:tcBorders>
            <w:shd w:val="clear" w:color="auto" w:fill="D9D9D9"/>
          </w:tcPr>
          <w:p>
            <w:pPr>
              <w:jc w:val="center"/>
              <w:spacing w:after="0" w:line="108" w:lineRule="exact"/>
              <w:rPr>
                <w:sz w:val="20"/>
                <w:szCs w:val="20"/>
                <w:color w:val="auto"/>
              </w:rPr>
            </w:pPr>
            <w:r>
              <w:rPr>
                <w:rFonts w:ascii="Times New Roman" w:cs="Times New Roman" w:eastAsia="Times New Roman" w:hAnsi="Times New Roman"/>
                <w:sz w:val="9"/>
                <w:szCs w:val="9"/>
                <w:b w:val="1"/>
                <w:bCs w:val="1"/>
                <w:color w:val="auto"/>
              </w:rPr>
              <w:t>($)</w:t>
            </w:r>
            <w:r>
              <w:rPr>
                <w:rFonts w:ascii="Times New Roman" w:cs="Times New Roman" w:eastAsia="Times New Roman" w:hAnsi="Times New Roman"/>
                <w:sz w:val="12"/>
                <w:szCs w:val="12"/>
                <w:b w:val="1"/>
                <w:bCs w:val="1"/>
                <w:color w:val="auto"/>
                <w:vertAlign w:val="superscript"/>
              </w:rPr>
              <w:t>(1)</w:t>
            </w:r>
          </w:p>
        </w:tc>
        <w:tc>
          <w:tcPr>
            <w:tcW w:w="1200" w:type="dxa"/>
            <w:vAlign w:val="bottom"/>
            <w:tcBorders>
              <w:right w:val="single" w:sz="8" w:color="D9D9D9"/>
            </w:tcBorders>
            <w:shd w:val="clear" w:color="auto" w:fill="D9D9D9"/>
          </w:tcPr>
          <w:p>
            <w:pPr>
              <w:jc w:val="right"/>
              <w:ind w:right="6"/>
              <w:spacing w:after="0" w:line="108" w:lineRule="exact"/>
              <w:rPr>
                <w:sz w:val="20"/>
                <w:szCs w:val="20"/>
                <w:color w:val="auto"/>
              </w:rPr>
            </w:pPr>
            <w:r>
              <w:rPr>
                <w:rFonts w:ascii="Times New Roman" w:cs="Times New Roman" w:eastAsia="Times New Roman" w:hAnsi="Times New Roman"/>
                <w:sz w:val="11"/>
                <w:szCs w:val="11"/>
                <w:b w:val="1"/>
                <w:bCs w:val="1"/>
                <w:color w:val="auto"/>
              </w:rPr>
              <w:t>($)</w:t>
            </w:r>
          </w:p>
        </w:tc>
        <w:tc>
          <w:tcPr>
            <w:tcW w:w="980" w:type="dxa"/>
            <w:vAlign w:val="bottom"/>
            <w:tcBorders>
              <w:right w:val="single" w:sz="8" w:color="BFBFBF"/>
            </w:tcBorders>
            <w:shd w:val="clear" w:color="auto" w:fill="D9D9D9"/>
          </w:tcPr>
          <w:p>
            <w:pPr>
              <w:spacing w:after="0"/>
              <w:rPr>
                <w:sz w:val="9"/>
                <w:szCs w:val="9"/>
                <w:color w:val="auto"/>
              </w:rPr>
            </w:pPr>
          </w:p>
        </w:tc>
        <w:tc>
          <w:tcPr>
            <w:tcW w:w="820" w:type="dxa"/>
            <w:vAlign w:val="bottom"/>
            <w:tcBorders>
              <w:right w:val="single" w:sz="8" w:color="BFBFBF"/>
            </w:tcBorders>
            <w:shd w:val="clear" w:color="auto" w:fill="D9D9D9"/>
          </w:tcPr>
          <w:p>
            <w:pPr>
              <w:jc w:val="center"/>
              <w:spacing w:after="0" w:line="108" w:lineRule="exact"/>
              <w:rPr>
                <w:sz w:val="20"/>
                <w:szCs w:val="20"/>
                <w:color w:val="auto"/>
              </w:rPr>
            </w:pPr>
            <w:r>
              <w:rPr>
                <w:rFonts w:ascii="Times New Roman" w:cs="Times New Roman" w:eastAsia="Times New Roman" w:hAnsi="Times New Roman"/>
                <w:sz w:val="11"/>
                <w:szCs w:val="11"/>
                <w:b w:val="1"/>
                <w:bCs w:val="1"/>
                <w:color w:val="auto"/>
                <w:w w:val="93"/>
              </w:rPr>
              <w:t>($)</w:t>
            </w:r>
          </w:p>
        </w:tc>
        <w:tc>
          <w:tcPr>
            <w:tcW w:w="1140" w:type="dxa"/>
            <w:vAlign w:val="bottom"/>
            <w:tcBorders>
              <w:right w:val="single" w:sz="8" w:color="BFBFBF"/>
            </w:tcBorders>
            <w:shd w:val="clear" w:color="auto" w:fill="D9D9D9"/>
          </w:tcPr>
          <w:p>
            <w:pPr>
              <w:jc w:val="center"/>
              <w:spacing w:after="0" w:line="108" w:lineRule="exact"/>
              <w:rPr>
                <w:sz w:val="20"/>
                <w:szCs w:val="20"/>
                <w:color w:val="auto"/>
              </w:rPr>
            </w:pPr>
            <w:r>
              <w:rPr>
                <w:rFonts w:ascii="Times New Roman" w:cs="Times New Roman" w:eastAsia="Times New Roman" w:hAnsi="Times New Roman"/>
                <w:sz w:val="11"/>
                <w:szCs w:val="11"/>
                <w:b w:val="1"/>
                <w:bCs w:val="1"/>
                <w:color w:val="auto"/>
                <w:w w:val="97"/>
              </w:rPr>
              <w:t>tion</w:t>
            </w:r>
          </w:p>
        </w:tc>
        <w:tc>
          <w:tcPr>
            <w:tcW w:w="1240" w:type="dxa"/>
            <w:vAlign w:val="bottom"/>
            <w:tcBorders>
              <w:right w:val="single" w:sz="8" w:color="BFBFBF"/>
            </w:tcBorders>
            <w:shd w:val="clear" w:color="auto" w:fill="D9D9D9"/>
          </w:tcPr>
          <w:p>
            <w:pPr>
              <w:jc w:val="center"/>
              <w:spacing w:after="0" w:line="108" w:lineRule="exact"/>
              <w:rPr>
                <w:sz w:val="20"/>
                <w:szCs w:val="20"/>
                <w:color w:val="auto"/>
              </w:rPr>
            </w:pPr>
            <w:r>
              <w:rPr>
                <w:rFonts w:ascii="Times New Roman" w:cs="Times New Roman" w:eastAsia="Times New Roman" w:hAnsi="Times New Roman"/>
                <w:sz w:val="11"/>
                <w:szCs w:val="11"/>
                <w:b w:val="1"/>
                <w:bCs w:val="1"/>
                <w:color w:val="auto"/>
                <w:w w:val="93"/>
              </w:rPr>
              <w:t>($)</w:t>
            </w:r>
          </w:p>
        </w:tc>
      </w:tr>
      <w:tr>
        <w:trPr>
          <w:trHeight w:val="174"/>
        </w:trPr>
        <w:tc>
          <w:tcPr>
            <w:tcW w:w="1980" w:type="dxa"/>
            <w:vAlign w:val="bottom"/>
            <w:tcBorders>
              <w:left w:val="single" w:sz="8" w:color="BFBFBF"/>
              <w:bottom w:val="single" w:sz="8" w:color="D9D9D9"/>
              <w:right w:val="single" w:sz="8" w:color="BFBFBF"/>
            </w:tcBorders>
            <w:shd w:val="clear" w:color="auto" w:fill="D9D9D9"/>
          </w:tcPr>
          <w:p>
            <w:pPr>
              <w:spacing w:after="0"/>
              <w:rPr>
                <w:sz w:val="14"/>
                <w:szCs w:val="14"/>
                <w:color w:val="auto"/>
              </w:rPr>
            </w:pPr>
          </w:p>
        </w:tc>
        <w:tc>
          <w:tcPr>
            <w:tcW w:w="680" w:type="dxa"/>
            <w:vAlign w:val="bottom"/>
            <w:tcBorders>
              <w:bottom w:val="single" w:sz="8" w:color="D9D9D9"/>
              <w:right w:val="single" w:sz="8" w:color="BFBFBF"/>
            </w:tcBorders>
            <w:shd w:val="clear" w:color="auto" w:fill="D9D9D9"/>
          </w:tcPr>
          <w:p>
            <w:pPr>
              <w:spacing w:after="0"/>
              <w:rPr>
                <w:sz w:val="14"/>
                <w:szCs w:val="14"/>
                <w:color w:val="auto"/>
              </w:rPr>
            </w:pPr>
          </w:p>
        </w:tc>
        <w:tc>
          <w:tcPr>
            <w:tcW w:w="1240" w:type="dxa"/>
            <w:vAlign w:val="bottom"/>
            <w:tcBorders>
              <w:bottom w:val="single" w:sz="8" w:color="D9D9D9"/>
              <w:right w:val="single" w:sz="8" w:color="BFBFBF"/>
            </w:tcBorders>
            <w:shd w:val="clear" w:color="auto" w:fill="D9D9D9"/>
          </w:tcPr>
          <w:p>
            <w:pPr>
              <w:spacing w:after="0"/>
              <w:rPr>
                <w:sz w:val="14"/>
                <w:szCs w:val="14"/>
                <w:color w:val="auto"/>
              </w:rPr>
            </w:pPr>
          </w:p>
        </w:tc>
        <w:tc>
          <w:tcPr>
            <w:tcW w:w="900" w:type="dxa"/>
            <w:vAlign w:val="bottom"/>
            <w:tcBorders>
              <w:bottom w:val="single" w:sz="8" w:color="D9D9D9"/>
              <w:right w:val="single" w:sz="8" w:color="BFBFBF"/>
            </w:tcBorders>
            <w:shd w:val="clear" w:color="auto" w:fill="D9D9D9"/>
          </w:tcPr>
          <w:p>
            <w:pPr>
              <w:jc w:val="center"/>
              <w:spacing w:after="0"/>
              <w:rPr>
                <w:sz w:val="20"/>
                <w:szCs w:val="20"/>
                <w:color w:val="auto"/>
              </w:rPr>
            </w:pPr>
            <w:r>
              <w:rPr>
                <w:rFonts w:ascii="Times New Roman" w:cs="Times New Roman" w:eastAsia="Times New Roman" w:hAnsi="Times New Roman"/>
                <w:sz w:val="11"/>
                <w:szCs w:val="11"/>
                <w:b w:val="1"/>
                <w:bCs w:val="1"/>
                <w:color w:val="auto"/>
                <w:w w:val="93"/>
              </w:rPr>
              <w:t>($)</w:t>
            </w:r>
          </w:p>
        </w:tc>
        <w:tc>
          <w:tcPr>
            <w:tcW w:w="1140" w:type="dxa"/>
            <w:vAlign w:val="bottom"/>
            <w:tcBorders>
              <w:bottom w:val="single" w:sz="8" w:color="D9D9D9"/>
              <w:right w:val="single" w:sz="8" w:color="BFBFBF"/>
            </w:tcBorders>
            <w:shd w:val="clear" w:color="auto" w:fill="D9D9D9"/>
          </w:tcPr>
          <w:p>
            <w:pPr>
              <w:spacing w:after="0"/>
              <w:rPr>
                <w:sz w:val="14"/>
                <w:szCs w:val="14"/>
                <w:color w:val="auto"/>
              </w:rPr>
            </w:pPr>
          </w:p>
        </w:tc>
        <w:tc>
          <w:tcPr>
            <w:tcW w:w="1200" w:type="dxa"/>
            <w:vAlign w:val="bottom"/>
            <w:tcBorders>
              <w:bottom w:val="single" w:sz="8" w:color="D9D9D9"/>
              <w:right w:val="single" w:sz="8" w:color="D9D9D9"/>
            </w:tcBorders>
            <w:shd w:val="clear" w:color="auto" w:fill="D9D9D9"/>
          </w:tcPr>
          <w:p>
            <w:pPr>
              <w:spacing w:after="0"/>
              <w:rPr>
                <w:sz w:val="14"/>
                <w:szCs w:val="14"/>
                <w:color w:val="auto"/>
              </w:rPr>
            </w:pPr>
          </w:p>
        </w:tc>
        <w:tc>
          <w:tcPr>
            <w:tcW w:w="980" w:type="dxa"/>
            <w:vAlign w:val="bottom"/>
            <w:tcBorders>
              <w:bottom w:val="single" w:sz="8" w:color="D9D9D9"/>
              <w:right w:val="single" w:sz="8" w:color="BFBFBF"/>
            </w:tcBorders>
            <w:shd w:val="clear" w:color="auto" w:fill="D9D9D9"/>
          </w:tcPr>
          <w:p>
            <w:pPr>
              <w:spacing w:after="0"/>
              <w:rPr>
                <w:sz w:val="14"/>
                <w:szCs w:val="14"/>
                <w:color w:val="auto"/>
              </w:rPr>
            </w:pPr>
          </w:p>
        </w:tc>
        <w:tc>
          <w:tcPr>
            <w:tcW w:w="820" w:type="dxa"/>
            <w:vAlign w:val="bottom"/>
            <w:tcBorders>
              <w:bottom w:val="single" w:sz="8" w:color="D9D9D9"/>
              <w:right w:val="single" w:sz="8" w:color="BFBFBF"/>
            </w:tcBorders>
            <w:shd w:val="clear" w:color="auto" w:fill="D9D9D9"/>
          </w:tcPr>
          <w:p>
            <w:pPr>
              <w:spacing w:after="0"/>
              <w:rPr>
                <w:sz w:val="14"/>
                <w:szCs w:val="14"/>
                <w:color w:val="auto"/>
              </w:rPr>
            </w:pPr>
          </w:p>
        </w:tc>
        <w:tc>
          <w:tcPr>
            <w:tcW w:w="1140" w:type="dxa"/>
            <w:vAlign w:val="bottom"/>
            <w:tcBorders>
              <w:bottom w:val="single" w:sz="8" w:color="D9D9D9"/>
              <w:right w:val="single" w:sz="8" w:color="BFBFBF"/>
            </w:tcBorders>
            <w:shd w:val="clear" w:color="auto" w:fill="D9D9D9"/>
          </w:tcPr>
          <w:p>
            <w:pPr>
              <w:jc w:val="center"/>
              <w:spacing w:after="0"/>
              <w:rPr>
                <w:sz w:val="20"/>
                <w:szCs w:val="20"/>
                <w:color w:val="auto"/>
              </w:rPr>
            </w:pPr>
            <w:r>
              <w:rPr>
                <w:rFonts w:ascii="Times New Roman" w:cs="Times New Roman" w:eastAsia="Times New Roman" w:hAnsi="Times New Roman"/>
                <w:sz w:val="11"/>
                <w:szCs w:val="11"/>
                <w:b w:val="1"/>
                <w:bCs w:val="1"/>
                <w:color w:val="auto"/>
              </w:rPr>
              <w:t>($)</w:t>
            </w:r>
          </w:p>
        </w:tc>
        <w:tc>
          <w:tcPr>
            <w:tcW w:w="1240" w:type="dxa"/>
            <w:vAlign w:val="bottom"/>
            <w:tcBorders>
              <w:bottom w:val="single" w:sz="8" w:color="D9D9D9"/>
              <w:right w:val="single" w:sz="8" w:color="BFBFBF"/>
            </w:tcBorders>
            <w:shd w:val="clear" w:color="auto" w:fill="D9D9D9"/>
          </w:tcPr>
          <w:p>
            <w:pPr>
              <w:spacing w:after="0"/>
              <w:rPr>
                <w:sz w:val="14"/>
                <w:szCs w:val="14"/>
                <w:color w:val="auto"/>
              </w:rPr>
            </w:pPr>
          </w:p>
        </w:tc>
      </w:tr>
      <w:tr>
        <w:trPr>
          <w:trHeight w:val="99"/>
        </w:trPr>
        <w:tc>
          <w:tcPr>
            <w:tcW w:w="1980" w:type="dxa"/>
            <w:vAlign w:val="bottom"/>
            <w:tcBorders>
              <w:top w:val="single" w:sz="8" w:color="D9D9D9"/>
              <w:left w:val="single" w:sz="8" w:color="BFBFBF"/>
              <w:right w:val="single" w:sz="8" w:color="BFBFBF"/>
            </w:tcBorders>
            <w:shd w:val="clear" w:color="auto" w:fill="D9D9D9"/>
          </w:tcPr>
          <w:p>
            <w:pPr>
              <w:spacing w:after="0"/>
              <w:rPr>
                <w:sz w:val="8"/>
                <w:szCs w:val="8"/>
                <w:color w:val="auto"/>
              </w:rPr>
            </w:pPr>
          </w:p>
        </w:tc>
        <w:tc>
          <w:tcPr>
            <w:tcW w:w="680" w:type="dxa"/>
            <w:vAlign w:val="bottom"/>
            <w:tcBorders>
              <w:top w:val="single" w:sz="8" w:color="D9D9D9"/>
              <w:right w:val="single" w:sz="8" w:color="BFBFBF"/>
            </w:tcBorders>
            <w:shd w:val="clear" w:color="auto" w:fill="D9D9D9"/>
          </w:tcPr>
          <w:p>
            <w:pPr>
              <w:spacing w:after="0"/>
              <w:rPr>
                <w:sz w:val="8"/>
                <w:szCs w:val="8"/>
                <w:color w:val="auto"/>
              </w:rPr>
            </w:pPr>
          </w:p>
        </w:tc>
        <w:tc>
          <w:tcPr>
            <w:tcW w:w="1240" w:type="dxa"/>
            <w:vAlign w:val="bottom"/>
            <w:tcBorders>
              <w:top w:val="single" w:sz="8" w:color="D9D9D9"/>
              <w:right w:val="single" w:sz="8" w:color="BFBFBF"/>
            </w:tcBorders>
            <w:shd w:val="clear" w:color="auto" w:fill="D9D9D9"/>
          </w:tcPr>
          <w:p>
            <w:pPr>
              <w:spacing w:after="0"/>
              <w:rPr>
                <w:sz w:val="8"/>
                <w:szCs w:val="8"/>
                <w:color w:val="auto"/>
              </w:rPr>
            </w:pPr>
          </w:p>
        </w:tc>
        <w:tc>
          <w:tcPr>
            <w:tcW w:w="900" w:type="dxa"/>
            <w:vAlign w:val="bottom"/>
            <w:tcBorders>
              <w:top w:val="single" w:sz="8" w:color="D9D9D9"/>
              <w:right w:val="single" w:sz="8" w:color="BFBFBF"/>
            </w:tcBorders>
            <w:shd w:val="clear" w:color="auto" w:fill="D9D9D9"/>
          </w:tcPr>
          <w:p>
            <w:pPr>
              <w:spacing w:after="0"/>
              <w:rPr>
                <w:sz w:val="8"/>
                <w:szCs w:val="8"/>
                <w:color w:val="auto"/>
              </w:rPr>
            </w:pPr>
          </w:p>
        </w:tc>
        <w:tc>
          <w:tcPr>
            <w:tcW w:w="1140" w:type="dxa"/>
            <w:vAlign w:val="bottom"/>
            <w:tcBorders>
              <w:top w:val="single" w:sz="8" w:color="D9D9D9"/>
              <w:right w:val="single" w:sz="8" w:color="BFBFBF"/>
            </w:tcBorders>
            <w:shd w:val="clear" w:color="auto" w:fill="D9D9D9"/>
          </w:tcPr>
          <w:p>
            <w:pPr>
              <w:spacing w:after="0"/>
              <w:rPr>
                <w:sz w:val="8"/>
                <w:szCs w:val="8"/>
                <w:color w:val="auto"/>
              </w:rPr>
            </w:pPr>
          </w:p>
        </w:tc>
        <w:tc>
          <w:tcPr>
            <w:tcW w:w="1200" w:type="dxa"/>
            <w:vAlign w:val="bottom"/>
            <w:tcBorders>
              <w:top w:val="single" w:sz="8" w:color="BFBFBF"/>
              <w:right w:val="single" w:sz="8" w:color="BFBFBF"/>
            </w:tcBorders>
            <w:shd w:val="clear" w:color="auto" w:fill="D9D9D9"/>
          </w:tcPr>
          <w:p>
            <w:pPr>
              <w:ind w:left="60"/>
              <w:spacing w:after="0" w:line="99" w:lineRule="exact"/>
              <w:rPr>
                <w:sz w:val="20"/>
                <w:szCs w:val="20"/>
                <w:color w:val="auto"/>
              </w:rPr>
            </w:pPr>
            <w:r>
              <w:rPr>
                <w:rFonts w:ascii="Times New Roman" w:cs="Times New Roman" w:eastAsia="Times New Roman" w:hAnsi="Times New Roman"/>
                <w:sz w:val="11"/>
                <w:szCs w:val="11"/>
                <w:b w:val="1"/>
                <w:bCs w:val="1"/>
                <w:color w:val="auto"/>
              </w:rPr>
              <w:t>Annual incentive plans</w:t>
            </w:r>
          </w:p>
        </w:tc>
        <w:tc>
          <w:tcPr>
            <w:tcW w:w="980" w:type="dxa"/>
            <w:vAlign w:val="bottom"/>
            <w:tcBorders>
              <w:top w:val="single" w:sz="8" w:color="BFBFBF"/>
              <w:right w:val="single" w:sz="8" w:color="BFBFBF"/>
            </w:tcBorders>
            <w:shd w:val="clear" w:color="auto" w:fill="D9D9D9"/>
          </w:tcPr>
          <w:p>
            <w:pPr>
              <w:jc w:val="center"/>
              <w:spacing w:after="0" w:line="99" w:lineRule="exact"/>
              <w:rPr>
                <w:sz w:val="20"/>
                <w:szCs w:val="20"/>
                <w:color w:val="auto"/>
              </w:rPr>
            </w:pPr>
            <w:r>
              <w:rPr>
                <w:rFonts w:ascii="Times New Roman" w:cs="Times New Roman" w:eastAsia="Times New Roman" w:hAnsi="Times New Roman"/>
                <w:sz w:val="11"/>
                <w:szCs w:val="11"/>
                <w:b w:val="1"/>
                <w:bCs w:val="1"/>
                <w:color w:val="auto"/>
                <w:w w:val="94"/>
              </w:rPr>
              <w:t>Long-term</w:t>
            </w:r>
          </w:p>
        </w:tc>
        <w:tc>
          <w:tcPr>
            <w:tcW w:w="820" w:type="dxa"/>
            <w:vAlign w:val="bottom"/>
            <w:tcBorders>
              <w:top w:val="single" w:sz="8" w:color="D9D9D9"/>
              <w:right w:val="single" w:sz="8" w:color="BFBFBF"/>
            </w:tcBorders>
            <w:shd w:val="clear" w:color="auto" w:fill="D9D9D9"/>
          </w:tcPr>
          <w:p>
            <w:pPr>
              <w:spacing w:after="0"/>
              <w:rPr>
                <w:sz w:val="8"/>
                <w:szCs w:val="8"/>
                <w:color w:val="auto"/>
              </w:rPr>
            </w:pPr>
          </w:p>
        </w:tc>
        <w:tc>
          <w:tcPr>
            <w:tcW w:w="1140" w:type="dxa"/>
            <w:vAlign w:val="bottom"/>
            <w:tcBorders>
              <w:top w:val="single" w:sz="8" w:color="D9D9D9"/>
              <w:right w:val="single" w:sz="8" w:color="BFBFBF"/>
            </w:tcBorders>
            <w:shd w:val="clear" w:color="auto" w:fill="D9D9D9"/>
          </w:tcPr>
          <w:p>
            <w:pPr>
              <w:spacing w:after="0"/>
              <w:rPr>
                <w:sz w:val="8"/>
                <w:szCs w:val="8"/>
                <w:color w:val="auto"/>
              </w:rPr>
            </w:pPr>
          </w:p>
        </w:tc>
        <w:tc>
          <w:tcPr>
            <w:tcW w:w="1240" w:type="dxa"/>
            <w:vAlign w:val="bottom"/>
            <w:tcBorders>
              <w:top w:val="single" w:sz="8" w:color="D9D9D9"/>
              <w:right w:val="single" w:sz="8" w:color="BFBFBF"/>
            </w:tcBorders>
            <w:shd w:val="clear" w:color="auto" w:fill="D9D9D9"/>
          </w:tcPr>
          <w:p>
            <w:pPr>
              <w:spacing w:after="0"/>
              <w:rPr>
                <w:sz w:val="8"/>
                <w:szCs w:val="8"/>
                <w:color w:val="auto"/>
              </w:rPr>
            </w:pPr>
          </w:p>
        </w:tc>
      </w:tr>
      <w:tr>
        <w:trPr>
          <w:trHeight w:val="142"/>
        </w:trPr>
        <w:tc>
          <w:tcPr>
            <w:tcW w:w="1980" w:type="dxa"/>
            <w:vAlign w:val="bottom"/>
            <w:tcBorders>
              <w:left w:val="single" w:sz="8" w:color="BFBFBF"/>
              <w:right w:val="single" w:sz="8" w:color="BFBFBF"/>
            </w:tcBorders>
            <w:shd w:val="clear" w:color="auto" w:fill="D9D9D9"/>
          </w:tcPr>
          <w:p>
            <w:pPr>
              <w:spacing w:after="0"/>
              <w:rPr>
                <w:sz w:val="12"/>
                <w:szCs w:val="12"/>
                <w:color w:val="auto"/>
              </w:rPr>
            </w:pPr>
          </w:p>
        </w:tc>
        <w:tc>
          <w:tcPr>
            <w:tcW w:w="680" w:type="dxa"/>
            <w:vAlign w:val="bottom"/>
            <w:tcBorders>
              <w:right w:val="single" w:sz="8" w:color="BFBFBF"/>
            </w:tcBorders>
            <w:shd w:val="clear" w:color="auto" w:fill="D9D9D9"/>
          </w:tcPr>
          <w:p>
            <w:pPr>
              <w:spacing w:after="0"/>
              <w:rPr>
                <w:sz w:val="12"/>
                <w:szCs w:val="12"/>
                <w:color w:val="auto"/>
              </w:rPr>
            </w:pPr>
          </w:p>
        </w:tc>
        <w:tc>
          <w:tcPr>
            <w:tcW w:w="1240" w:type="dxa"/>
            <w:vAlign w:val="bottom"/>
            <w:tcBorders>
              <w:right w:val="single" w:sz="8" w:color="BFBFBF"/>
            </w:tcBorders>
            <w:shd w:val="clear" w:color="auto" w:fill="D9D9D9"/>
          </w:tcPr>
          <w:p>
            <w:pPr>
              <w:spacing w:after="0"/>
              <w:rPr>
                <w:sz w:val="12"/>
                <w:szCs w:val="12"/>
                <w:color w:val="auto"/>
              </w:rPr>
            </w:pPr>
          </w:p>
        </w:tc>
        <w:tc>
          <w:tcPr>
            <w:tcW w:w="900" w:type="dxa"/>
            <w:vAlign w:val="bottom"/>
            <w:tcBorders>
              <w:right w:val="single" w:sz="8" w:color="BFBFBF"/>
            </w:tcBorders>
            <w:shd w:val="clear" w:color="auto" w:fill="D9D9D9"/>
          </w:tcPr>
          <w:p>
            <w:pPr>
              <w:spacing w:after="0"/>
              <w:rPr>
                <w:sz w:val="12"/>
                <w:szCs w:val="12"/>
                <w:color w:val="auto"/>
              </w:rPr>
            </w:pPr>
          </w:p>
        </w:tc>
        <w:tc>
          <w:tcPr>
            <w:tcW w:w="1140" w:type="dxa"/>
            <w:vAlign w:val="bottom"/>
            <w:tcBorders>
              <w:right w:val="single" w:sz="8" w:color="BFBFBF"/>
            </w:tcBorders>
            <w:shd w:val="clear" w:color="auto" w:fill="D9D9D9"/>
          </w:tcPr>
          <w:p>
            <w:pPr>
              <w:spacing w:after="0"/>
              <w:rPr>
                <w:sz w:val="12"/>
                <w:szCs w:val="12"/>
                <w:color w:val="auto"/>
              </w:rPr>
            </w:pPr>
          </w:p>
        </w:tc>
        <w:tc>
          <w:tcPr>
            <w:tcW w:w="1200" w:type="dxa"/>
            <w:vAlign w:val="bottom"/>
            <w:tcBorders>
              <w:right w:val="single" w:sz="8" w:color="BFBFBF"/>
            </w:tcBorders>
            <w:shd w:val="clear" w:color="auto" w:fill="D9D9D9"/>
          </w:tcPr>
          <w:p>
            <w:pPr>
              <w:spacing w:after="0"/>
              <w:rPr>
                <w:sz w:val="12"/>
                <w:szCs w:val="12"/>
                <w:color w:val="auto"/>
              </w:rPr>
            </w:pPr>
          </w:p>
        </w:tc>
        <w:tc>
          <w:tcPr>
            <w:tcW w:w="980" w:type="dxa"/>
            <w:vAlign w:val="bottom"/>
            <w:tcBorders>
              <w:right w:val="single" w:sz="8" w:color="BFBFBF"/>
            </w:tcBorders>
            <w:shd w:val="clear" w:color="auto" w:fill="D9D9D9"/>
          </w:tcPr>
          <w:p>
            <w:pPr>
              <w:jc w:val="center"/>
              <w:spacing w:after="0"/>
              <w:rPr>
                <w:sz w:val="20"/>
                <w:szCs w:val="20"/>
                <w:color w:val="auto"/>
              </w:rPr>
            </w:pPr>
            <w:r>
              <w:rPr>
                <w:rFonts w:ascii="Times New Roman" w:cs="Times New Roman" w:eastAsia="Times New Roman" w:hAnsi="Times New Roman"/>
                <w:sz w:val="11"/>
                <w:szCs w:val="11"/>
                <w:b w:val="1"/>
                <w:bCs w:val="1"/>
                <w:color w:val="auto"/>
                <w:w w:val="97"/>
              </w:rPr>
              <w:t>incentive plans</w:t>
            </w:r>
          </w:p>
        </w:tc>
        <w:tc>
          <w:tcPr>
            <w:tcW w:w="820" w:type="dxa"/>
            <w:vAlign w:val="bottom"/>
            <w:tcBorders>
              <w:right w:val="single" w:sz="8" w:color="BFBFBF"/>
            </w:tcBorders>
            <w:shd w:val="clear" w:color="auto" w:fill="D9D9D9"/>
          </w:tcPr>
          <w:p>
            <w:pPr>
              <w:spacing w:after="0"/>
              <w:rPr>
                <w:sz w:val="12"/>
                <w:szCs w:val="12"/>
                <w:color w:val="auto"/>
              </w:rPr>
            </w:pPr>
          </w:p>
        </w:tc>
        <w:tc>
          <w:tcPr>
            <w:tcW w:w="1140" w:type="dxa"/>
            <w:vAlign w:val="bottom"/>
            <w:tcBorders>
              <w:right w:val="single" w:sz="8" w:color="BFBFBF"/>
            </w:tcBorders>
            <w:shd w:val="clear" w:color="auto" w:fill="D9D9D9"/>
          </w:tcPr>
          <w:p>
            <w:pPr>
              <w:spacing w:after="0"/>
              <w:rPr>
                <w:sz w:val="12"/>
                <w:szCs w:val="12"/>
                <w:color w:val="auto"/>
              </w:rPr>
            </w:pPr>
          </w:p>
        </w:tc>
        <w:tc>
          <w:tcPr>
            <w:tcW w:w="1240" w:type="dxa"/>
            <w:vAlign w:val="bottom"/>
            <w:tcBorders>
              <w:right w:val="single" w:sz="8" w:color="BFBFBF"/>
            </w:tcBorders>
            <w:shd w:val="clear" w:color="auto" w:fill="D9D9D9"/>
          </w:tcPr>
          <w:p>
            <w:pPr>
              <w:spacing w:after="0"/>
              <w:rPr>
                <w:sz w:val="12"/>
                <w:szCs w:val="12"/>
                <w:color w:val="auto"/>
              </w:rPr>
            </w:pPr>
          </w:p>
        </w:tc>
      </w:tr>
      <w:tr>
        <w:trPr>
          <w:trHeight w:val="272"/>
        </w:trPr>
        <w:tc>
          <w:tcPr>
            <w:tcW w:w="1980" w:type="dxa"/>
            <w:vAlign w:val="bottom"/>
            <w:tcBorders>
              <w:left w:val="single" w:sz="8" w:color="BFBFBF"/>
              <w:bottom w:val="single" w:sz="8" w:color="BFBFBF"/>
              <w:right w:val="single" w:sz="8" w:color="BFBFBF"/>
            </w:tcBorders>
            <w:shd w:val="clear" w:color="auto" w:fill="D9D9D9"/>
          </w:tcPr>
          <w:p>
            <w:pPr>
              <w:spacing w:after="0"/>
              <w:rPr>
                <w:sz w:val="23"/>
                <w:szCs w:val="23"/>
                <w:color w:val="auto"/>
              </w:rPr>
            </w:pPr>
          </w:p>
        </w:tc>
        <w:tc>
          <w:tcPr>
            <w:tcW w:w="680" w:type="dxa"/>
            <w:vAlign w:val="bottom"/>
            <w:tcBorders>
              <w:bottom w:val="single" w:sz="8" w:color="BFBFBF"/>
              <w:right w:val="single" w:sz="8" w:color="BFBFBF"/>
            </w:tcBorders>
            <w:shd w:val="clear" w:color="auto" w:fill="D9D9D9"/>
          </w:tcPr>
          <w:p>
            <w:pPr>
              <w:spacing w:after="0"/>
              <w:rPr>
                <w:sz w:val="23"/>
                <w:szCs w:val="23"/>
                <w:color w:val="auto"/>
              </w:rPr>
            </w:pPr>
          </w:p>
        </w:tc>
        <w:tc>
          <w:tcPr>
            <w:tcW w:w="1240" w:type="dxa"/>
            <w:vAlign w:val="bottom"/>
            <w:tcBorders>
              <w:bottom w:val="single" w:sz="8" w:color="BFBFBF"/>
              <w:right w:val="single" w:sz="8" w:color="BFBFBF"/>
            </w:tcBorders>
            <w:shd w:val="clear" w:color="auto" w:fill="D9D9D9"/>
          </w:tcPr>
          <w:p>
            <w:pPr>
              <w:spacing w:after="0"/>
              <w:rPr>
                <w:sz w:val="23"/>
                <w:szCs w:val="23"/>
                <w:color w:val="auto"/>
              </w:rPr>
            </w:pPr>
          </w:p>
        </w:tc>
        <w:tc>
          <w:tcPr>
            <w:tcW w:w="900" w:type="dxa"/>
            <w:vAlign w:val="bottom"/>
            <w:tcBorders>
              <w:bottom w:val="single" w:sz="8" w:color="BFBFBF"/>
              <w:right w:val="single" w:sz="8" w:color="BFBFBF"/>
            </w:tcBorders>
            <w:shd w:val="clear" w:color="auto" w:fill="D9D9D9"/>
          </w:tcPr>
          <w:p>
            <w:pPr>
              <w:spacing w:after="0"/>
              <w:rPr>
                <w:sz w:val="23"/>
                <w:szCs w:val="23"/>
                <w:color w:val="auto"/>
              </w:rPr>
            </w:pPr>
          </w:p>
        </w:tc>
        <w:tc>
          <w:tcPr>
            <w:tcW w:w="1140" w:type="dxa"/>
            <w:vAlign w:val="bottom"/>
            <w:tcBorders>
              <w:bottom w:val="single" w:sz="8" w:color="BFBFBF"/>
              <w:right w:val="single" w:sz="8" w:color="BFBFBF"/>
            </w:tcBorders>
            <w:shd w:val="clear" w:color="auto" w:fill="D9D9D9"/>
          </w:tcPr>
          <w:p>
            <w:pPr>
              <w:spacing w:after="0"/>
              <w:rPr>
                <w:sz w:val="23"/>
                <w:szCs w:val="23"/>
                <w:color w:val="auto"/>
              </w:rPr>
            </w:pPr>
          </w:p>
        </w:tc>
        <w:tc>
          <w:tcPr>
            <w:tcW w:w="1200" w:type="dxa"/>
            <w:vAlign w:val="bottom"/>
            <w:tcBorders>
              <w:bottom w:val="single" w:sz="8" w:color="BFBFBF"/>
              <w:right w:val="single" w:sz="8" w:color="BFBFBF"/>
            </w:tcBorders>
            <w:shd w:val="clear" w:color="auto" w:fill="D9D9D9"/>
          </w:tcPr>
          <w:p>
            <w:pPr>
              <w:spacing w:after="0"/>
              <w:rPr>
                <w:sz w:val="23"/>
                <w:szCs w:val="23"/>
                <w:color w:val="auto"/>
              </w:rPr>
            </w:pPr>
          </w:p>
        </w:tc>
        <w:tc>
          <w:tcPr>
            <w:tcW w:w="980" w:type="dxa"/>
            <w:vAlign w:val="bottom"/>
            <w:tcBorders>
              <w:bottom w:val="single" w:sz="8" w:color="BFBFBF"/>
              <w:right w:val="single" w:sz="8" w:color="BFBFBF"/>
            </w:tcBorders>
            <w:shd w:val="clear" w:color="auto" w:fill="D9D9D9"/>
          </w:tcPr>
          <w:p>
            <w:pPr>
              <w:spacing w:after="0"/>
              <w:rPr>
                <w:sz w:val="23"/>
                <w:szCs w:val="23"/>
                <w:color w:val="auto"/>
              </w:rPr>
            </w:pPr>
          </w:p>
        </w:tc>
        <w:tc>
          <w:tcPr>
            <w:tcW w:w="820" w:type="dxa"/>
            <w:vAlign w:val="bottom"/>
            <w:tcBorders>
              <w:bottom w:val="single" w:sz="8" w:color="BFBFBF"/>
              <w:right w:val="single" w:sz="8" w:color="BFBFBF"/>
            </w:tcBorders>
            <w:shd w:val="clear" w:color="auto" w:fill="D9D9D9"/>
          </w:tcPr>
          <w:p>
            <w:pPr>
              <w:spacing w:after="0"/>
              <w:rPr>
                <w:sz w:val="23"/>
                <w:szCs w:val="23"/>
                <w:color w:val="auto"/>
              </w:rPr>
            </w:pPr>
          </w:p>
        </w:tc>
        <w:tc>
          <w:tcPr>
            <w:tcW w:w="1140" w:type="dxa"/>
            <w:vAlign w:val="bottom"/>
            <w:tcBorders>
              <w:bottom w:val="single" w:sz="8" w:color="BFBFBF"/>
              <w:right w:val="single" w:sz="8" w:color="BFBFBF"/>
            </w:tcBorders>
            <w:shd w:val="clear" w:color="auto" w:fill="D9D9D9"/>
          </w:tcPr>
          <w:p>
            <w:pPr>
              <w:spacing w:after="0"/>
              <w:rPr>
                <w:sz w:val="23"/>
                <w:szCs w:val="23"/>
                <w:color w:val="auto"/>
              </w:rPr>
            </w:pPr>
          </w:p>
        </w:tc>
        <w:tc>
          <w:tcPr>
            <w:tcW w:w="1240" w:type="dxa"/>
            <w:vAlign w:val="bottom"/>
            <w:tcBorders>
              <w:bottom w:val="single" w:sz="8" w:color="BFBFBF"/>
              <w:right w:val="single" w:sz="8" w:color="BFBFBF"/>
            </w:tcBorders>
            <w:shd w:val="clear" w:color="auto" w:fill="D9D9D9"/>
          </w:tcPr>
          <w:p>
            <w:pPr>
              <w:spacing w:after="0"/>
              <w:rPr>
                <w:sz w:val="23"/>
                <w:szCs w:val="23"/>
                <w:color w:val="auto"/>
              </w:rPr>
            </w:pPr>
          </w:p>
        </w:tc>
      </w:tr>
      <w:tr>
        <w:trPr>
          <w:trHeight w:val="124"/>
        </w:trPr>
        <w:tc>
          <w:tcPr>
            <w:tcW w:w="1980" w:type="dxa"/>
            <w:vAlign w:val="bottom"/>
            <w:tcBorders>
              <w:left w:val="single" w:sz="8" w:color="BFBFBF"/>
              <w:right w:val="single" w:sz="8" w:color="BFBFBF"/>
            </w:tcBorders>
          </w:tcPr>
          <w:p>
            <w:pPr>
              <w:ind w:left="40"/>
              <w:spacing w:after="0" w:line="124" w:lineRule="exact"/>
              <w:rPr>
                <w:sz w:val="20"/>
                <w:szCs w:val="20"/>
                <w:color w:val="auto"/>
              </w:rPr>
            </w:pPr>
            <w:r>
              <w:rPr>
                <w:rFonts w:ascii="Times New Roman" w:cs="Times New Roman" w:eastAsia="Times New Roman" w:hAnsi="Times New Roman"/>
                <w:sz w:val="11"/>
                <w:szCs w:val="11"/>
                <w:color w:val="auto"/>
              </w:rPr>
              <w:t>Douglas Drysdale,</w:t>
            </w:r>
            <w:r>
              <w:rPr>
                <w:rFonts w:ascii="Times New Roman" w:cs="Times New Roman" w:eastAsia="Times New Roman" w:hAnsi="Times New Roman"/>
                <w:sz w:val="14"/>
                <w:szCs w:val="14"/>
                <w:color w:val="auto"/>
                <w:vertAlign w:val="superscript"/>
              </w:rPr>
              <w:t>(2)</w:t>
            </w:r>
          </w:p>
        </w:tc>
        <w:tc>
          <w:tcPr>
            <w:tcW w:w="680" w:type="dxa"/>
            <w:vAlign w:val="bottom"/>
            <w:tcBorders>
              <w:right w:val="single" w:sz="8" w:color="BFBFBF"/>
            </w:tcBorders>
          </w:tcPr>
          <w:p>
            <w:pPr>
              <w:ind w:left="220"/>
              <w:spacing w:after="0" w:line="124" w:lineRule="exact"/>
              <w:rPr>
                <w:sz w:val="20"/>
                <w:szCs w:val="20"/>
                <w:color w:val="auto"/>
              </w:rPr>
            </w:pPr>
            <w:r>
              <w:rPr>
                <w:rFonts w:ascii="Times New Roman" w:cs="Times New Roman" w:eastAsia="Times New Roman" w:hAnsi="Times New Roman"/>
                <w:sz w:val="11"/>
                <w:szCs w:val="11"/>
                <w:color w:val="auto"/>
              </w:rPr>
              <w:t>2025</w:t>
            </w:r>
          </w:p>
        </w:tc>
        <w:tc>
          <w:tcPr>
            <w:tcW w:w="1240" w:type="dxa"/>
            <w:vAlign w:val="bottom"/>
            <w:tcBorders>
              <w:right w:val="single" w:sz="8" w:color="BFBFBF"/>
            </w:tcBorders>
          </w:tcPr>
          <w:p>
            <w:pPr>
              <w:jc w:val="center"/>
              <w:spacing w:after="0" w:line="124" w:lineRule="exact"/>
              <w:rPr>
                <w:sz w:val="20"/>
                <w:szCs w:val="20"/>
                <w:color w:val="auto"/>
              </w:rPr>
            </w:pPr>
            <w:r>
              <w:rPr>
                <w:rFonts w:ascii="Times New Roman" w:cs="Times New Roman" w:eastAsia="Times New Roman" w:hAnsi="Times New Roman"/>
                <w:sz w:val="11"/>
                <w:szCs w:val="11"/>
                <w:color w:val="auto"/>
              </w:rPr>
              <w:t>981,162</w:t>
            </w:r>
          </w:p>
        </w:tc>
        <w:tc>
          <w:tcPr>
            <w:tcW w:w="900" w:type="dxa"/>
            <w:vAlign w:val="bottom"/>
            <w:tcBorders>
              <w:right w:val="single" w:sz="8" w:color="BFBFBF"/>
            </w:tcBorders>
          </w:tcPr>
          <w:p>
            <w:pPr>
              <w:jc w:val="center"/>
              <w:spacing w:after="0" w:line="124" w:lineRule="exact"/>
              <w:rPr>
                <w:sz w:val="20"/>
                <w:szCs w:val="20"/>
                <w:color w:val="auto"/>
              </w:rPr>
            </w:pPr>
            <w:r>
              <w:rPr>
                <w:rFonts w:ascii="Times New Roman" w:cs="Times New Roman" w:eastAsia="Times New Roman" w:hAnsi="Times New Roman"/>
                <w:sz w:val="11"/>
                <w:szCs w:val="11"/>
                <w:color w:val="auto"/>
              </w:rPr>
              <w:t>-</w:t>
            </w:r>
          </w:p>
        </w:tc>
        <w:tc>
          <w:tcPr>
            <w:tcW w:w="1140" w:type="dxa"/>
            <w:vAlign w:val="bottom"/>
            <w:tcBorders>
              <w:right w:val="single" w:sz="8" w:color="BFBFBF"/>
            </w:tcBorders>
          </w:tcPr>
          <w:p>
            <w:pPr>
              <w:jc w:val="right"/>
              <w:ind w:right="606"/>
              <w:spacing w:after="0" w:line="124" w:lineRule="exact"/>
              <w:rPr>
                <w:sz w:val="20"/>
                <w:szCs w:val="20"/>
                <w:color w:val="auto"/>
              </w:rPr>
            </w:pPr>
            <w:r>
              <w:rPr>
                <w:rFonts w:ascii="Times New Roman" w:cs="Times New Roman" w:eastAsia="Times New Roman" w:hAnsi="Times New Roman"/>
                <w:sz w:val="11"/>
                <w:szCs w:val="11"/>
                <w:color w:val="auto"/>
              </w:rPr>
              <w:t>2,531,054</w:t>
            </w:r>
          </w:p>
        </w:tc>
        <w:tc>
          <w:tcPr>
            <w:tcW w:w="1200" w:type="dxa"/>
            <w:vAlign w:val="bottom"/>
            <w:tcBorders>
              <w:right w:val="single" w:sz="8" w:color="BFBFBF"/>
            </w:tcBorders>
          </w:tcPr>
          <w:p>
            <w:pPr>
              <w:jc w:val="center"/>
              <w:spacing w:after="0" w:line="124" w:lineRule="exact"/>
              <w:rPr>
                <w:sz w:val="20"/>
                <w:szCs w:val="20"/>
                <w:color w:val="auto"/>
              </w:rPr>
            </w:pPr>
            <w:r>
              <w:rPr>
                <w:rFonts w:ascii="Times New Roman" w:cs="Times New Roman" w:eastAsia="Times New Roman" w:hAnsi="Times New Roman"/>
                <w:sz w:val="11"/>
                <w:szCs w:val="11"/>
                <w:color w:val="auto"/>
                <w:w w:val="94"/>
              </w:rPr>
              <w:t>359,625</w:t>
            </w:r>
          </w:p>
        </w:tc>
        <w:tc>
          <w:tcPr>
            <w:tcW w:w="980" w:type="dxa"/>
            <w:vAlign w:val="bottom"/>
            <w:tcBorders>
              <w:right w:val="single" w:sz="8" w:color="BFBFBF"/>
            </w:tcBorders>
          </w:tcPr>
          <w:p>
            <w:pPr>
              <w:jc w:val="center"/>
              <w:spacing w:after="0" w:line="124" w:lineRule="exact"/>
              <w:rPr>
                <w:sz w:val="20"/>
                <w:szCs w:val="20"/>
                <w:color w:val="auto"/>
              </w:rPr>
            </w:pPr>
            <w:r>
              <w:rPr>
                <w:rFonts w:ascii="Times New Roman" w:cs="Times New Roman" w:eastAsia="Times New Roman" w:hAnsi="Times New Roman"/>
                <w:sz w:val="11"/>
                <w:szCs w:val="11"/>
                <w:color w:val="auto"/>
              </w:rPr>
              <w:t>-</w:t>
            </w:r>
          </w:p>
        </w:tc>
        <w:tc>
          <w:tcPr>
            <w:tcW w:w="820" w:type="dxa"/>
            <w:vAlign w:val="bottom"/>
            <w:tcBorders>
              <w:right w:val="single" w:sz="8" w:color="BFBFBF"/>
            </w:tcBorders>
          </w:tcPr>
          <w:p>
            <w:pPr>
              <w:jc w:val="center"/>
              <w:spacing w:after="0" w:line="124" w:lineRule="exact"/>
              <w:rPr>
                <w:sz w:val="20"/>
                <w:szCs w:val="20"/>
                <w:color w:val="auto"/>
              </w:rPr>
            </w:pPr>
            <w:r>
              <w:rPr>
                <w:rFonts w:ascii="Times New Roman" w:cs="Times New Roman" w:eastAsia="Times New Roman" w:hAnsi="Times New Roman"/>
                <w:sz w:val="11"/>
                <w:szCs w:val="11"/>
                <w:color w:val="auto"/>
              </w:rPr>
              <w:t>-</w:t>
            </w:r>
          </w:p>
        </w:tc>
        <w:tc>
          <w:tcPr>
            <w:tcW w:w="1140" w:type="dxa"/>
            <w:vAlign w:val="bottom"/>
            <w:tcBorders>
              <w:right w:val="single" w:sz="8" w:color="BFBFBF"/>
            </w:tcBorders>
          </w:tcPr>
          <w:p>
            <w:pPr>
              <w:jc w:val="center"/>
              <w:spacing w:after="0"/>
              <w:rPr>
                <w:sz w:val="20"/>
                <w:szCs w:val="20"/>
                <w:color w:val="auto"/>
              </w:rPr>
            </w:pPr>
            <w:r>
              <w:rPr>
                <w:rFonts w:ascii="Times New Roman" w:cs="Times New Roman" w:eastAsia="Times New Roman" w:hAnsi="Times New Roman"/>
                <w:sz w:val="8"/>
                <w:szCs w:val="8"/>
                <w:color w:val="auto"/>
                <w:w w:val="73"/>
              </w:rPr>
              <w:t>-</w:t>
            </w:r>
          </w:p>
        </w:tc>
        <w:tc>
          <w:tcPr>
            <w:tcW w:w="1240" w:type="dxa"/>
            <w:vAlign w:val="bottom"/>
            <w:tcBorders>
              <w:right w:val="single" w:sz="8" w:color="BFBFBF"/>
            </w:tcBorders>
          </w:tcPr>
          <w:p>
            <w:pPr>
              <w:jc w:val="center"/>
              <w:spacing w:after="0" w:line="124" w:lineRule="exact"/>
              <w:rPr>
                <w:sz w:val="20"/>
                <w:szCs w:val="20"/>
                <w:color w:val="auto"/>
              </w:rPr>
            </w:pPr>
            <w:r>
              <w:rPr>
                <w:rFonts w:ascii="Times New Roman" w:cs="Times New Roman" w:eastAsia="Times New Roman" w:hAnsi="Times New Roman"/>
                <w:sz w:val="11"/>
                <w:szCs w:val="11"/>
                <w:color w:val="auto"/>
                <w:w w:val="99"/>
              </w:rPr>
              <w:t>3,871,841</w:t>
            </w:r>
          </w:p>
        </w:tc>
      </w:tr>
      <w:tr>
        <w:trPr>
          <w:trHeight w:val="135"/>
        </w:trPr>
        <w:tc>
          <w:tcPr>
            <w:tcW w:w="1980" w:type="dxa"/>
            <w:vAlign w:val="bottom"/>
            <w:tcBorders>
              <w:left w:val="single" w:sz="8" w:color="BFBFBF"/>
              <w:right w:val="single" w:sz="8" w:color="BFBFBF"/>
            </w:tcBorders>
          </w:tcPr>
          <w:p>
            <w:pPr>
              <w:ind w:left="40"/>
              <w:spacing w:after="0"/>
              <w:rPr>
                <w:sz w:val="20"/>
                <w:szCs w:val="20"/>
                <w:color w:val="auto"/>
              </w:rPr>
            </w:pPr>
            <w:r>
              <w:rPr>
                <w:rFonts w:ascii="Times New Roman" w:cs="Times New Roman" w:eastAsia="Times New Roman" w:hAnsi="Times New Roman"/>
                <w:sz w:val="11"/>
                <w:szCs w:val="11"/>
                <w:color w:val="auto"/>
              </w:rPr>
              <w:t>Chief Executive Officer</w:t>
            </w:r>
          </w:p>
        </w:tc>
        <w:tc>
          <w:tcPr>
            <w:tcW w:w="680" w:type="dxa"/>
            <w:vAlign w:val="bottom"/>
            <w:tcBorders>
              <w:right w:val="single" w:sz="8" w:color="BFBFBF"/>
            </w:tcBorders>
          </w:tcPr>
          <w:p>
            <w:pPr>
              <w:ind w:left="220"/>
              <w:spacing w:after="0"/>
              <w:rPr>
                <w:sz w:val="20"/>
                <w:szCs w:val="20"/>
                <w:color w:val="auto"/>
              </w:rPr>
            </w:pPr>
            <w:r>
              <w:rPr>
                <w:rFonts w:ascii="Times New Roman" w:cs="Times New Roman" w:eastAsia="Times New Roman" w:hAnsi="Times New Roman"/>
                <w:sz w:val="11"/>
                <w:szCs w:val="11"/>
                <w:color w:val="auto"/>
              </w:rPr>
              <w:t>2024</w:t>
            </w:r>
          </w:p>
        </w:tc>
        <w:tc>
          <w:tcPr>
            <w:tcW w:w="1240" w:type="dxa"/>
            <w:vAlign w:val="bottom"/>
            <w:tcBorders>
              <w:right w:val="single" w:sz="8" w:color="BFBFBF"/>
            </w:tcBorders>
          </w:tcPr>
          <w:p>
            <w:pPr>
              <w:jc w:val="center"/>
              <w:spacing w:after="0"/>
              <w:rPr>
                <w:sz w:val="20"/>
                <w:szCs w:val="20"/>
                <w:color w:val="auto"/>
              </w:rPr>
            </w:pPr>
            <w:r>
              <w:rPr>
                <w:rFonts w:ascii="Times New Roman" w:cs="Times New Roman" w:eastAsia="Times New Roman" w:hAnsi="Times New Roman"/>
                <w:sz w:val="11"/>
                <w:szCs w:val="11"/>
                <w:color w:val="auto"/>
              </w:rPr>
              <w:t>681,158</w:t>
            </w:r>
          </w:p>
        </w:tc>
        <w:tc>
          <w:tcPr>
            <w:tcW w:w="900" w:type="dxa"/>
            <w:vAlign w:val="bottom"/>
            <w:tcBorders>
              <w:right w:val="single" w:sz="8" w:color="BFBFBF"/>
            </w:tcBorders>
          </w:tcPr>
          <w:p>
            <w:pPr>
              <w:jc w:val="center"/>
              <w:spacing w:after="0"/>
              <w:rPr>
                <w:sz w:val="20"/>
                <w:szCs w:val="20"/>
                <w:color w:val="auto"/>
              </w:rPr>
            </w:pPr>
            <w:r>
              <w:rPr>
                <w:rFonts w:ascii="Times New Roman" w:cs="Times New Roman" w:eastAsia="Times New Roman" w:hAnsi="Times New Roman"/>
                <w:sz w:val="11"/>
                <w:szCs w:val="11"/>
                <w:color w:val="auto"/>
              </w:rPr>
              <w:t>-</w:t>
            </w:r>
          </w:p>
        </w:tc>
        <w:tc>
          <w:tcPr>
            <w:tcW w:w="1140" w:type="dxa"/>
            <w:vAlign w:val="bottom"/>
            <w:tcBorders>
              <w:right w:val="single" w:sz="8" w:color="BFBFBF"/>
            </w:tcBorders>
          </w:tcPr>
          <w:p>
            <w:pPr>
              <w:jc w:val="center"/>
              <w:spacing w:after="0"/>
              <w:rPr>
                <w:sz w:val="20"/>
                <w:szCs w:val="20"/>
                <w:color w:val="auto"/>
              </w:rPr>
            </w:pPr>
            <w:r>
              <w:rPr>
                <w:rFonts w:ascii="Times New Roman" w:cs="Times New Roman" w:eastAsia="Times New Roman" w:hAnsi="Times New Roman"/>
                <w:sz w:val="11"/>
                <w:szCs w:val="11"/>
                <w:color w:val="auto"/>
                <w:w w:val="99"/>
              </w:rPr>
              <w:t>1,055,737</w:t>
            </w:r>
          </w:p>
        </w:tc>
        <w:tc>
          <w:tcPr>
            <w:tcW w:w="1200" w:type="dxa"/>
            <w:vAlign w:val="bottom"/>
            <w:tcBorders>
              <w:right w:val="single" w:sz="8" w:color="BFBFBF"/>
            </w:tcBorders>
          </w:tcPr>
          <w:p>
            <w:pPr>
              <w:jc w:val="center"/>
              <w:spacing w:after="0"/>
              <w:rPr>
                <w:sz w:val="20"/>
                <w:szCs w:val="20"/>
                <w:color w:val="auto"/>
              </w:rPr>
            </w:pPr>
            <w:r>
              <w:rPr>
                <w:rFonts w:ascii="Times New Roman" w:cs="Times New Roman" w:eastAsia="Times New Roman" w:hAnsi="Times New Roman"/>
                <w:sz w:val="11"/>
                <w:szCs w:val="11"/>
                <w:color w:val="auto"/>
                <w:w w:val="94"/>
              </w:rPr>
              <w:t>355,688</w:t>
            </w:r>
          </w:p>
        </w:tc>
        <w:tc>
          <w:tcPr>
            <w:tcW w:w="980" w:type="dxa"/>
            <w:vAlign w:val="bottom"/>
            <w:tcBorders>
              <w:right w:val="single" w:sz="8" w:color="BFBFBF"/>
            </w:tcBorders>
          </w:tcPr>
          <w:p>
            <w:pPr>
              <w:jc w:val="center"/>
              <w:spacing w:after="0"/>
              <w:rPr>
                <w:sz w:val="20"/>
                <w:szCs w:val="20"/>
                <w:color w:val="auto"/>
              </w:rPr>
            </w:pPr>
            <w:r>
              <w:rPr>
                <w:rFonts w:ascii="Times New Roman" w:cs="Times New Roman" w:eastAsia="Times New Roman" w:hAnsi="Times New Roman"/>
                <w:sz w:val="11"/>
                <w:szCs w:val="11"/>
                <w:color w:val="auto"/>
              </w:rPr>
              <w:t>-</w:t>
            </w:r>
          </w:p>
        </w:tc>
        <w:tc>
          <w:tcPr>
            <w:tcW w:w="820" w:type="dxa"/>
            <w:vAlign w:val="bottom"/>
            <w:tcBorders>
              <w:right w:val="single" w:sz="8" w:color="BFBFBF"/>
            </w:tcBorders>
          </w:tcPr>
          <w:p>
            <w:pPr>
              <w:jc w:val="center"/>
              <w:spacing w:after="0"/>
              <w:rPr>
                <w:sz w:val="20"/>
                <w:szCs w:val="20"/>
                <w:color w:val="auto"/>
              </w:rPr>
            </w:pPr>
            <w:r>
              <w:rPr>
                <w:rFonts w:ascii="Times New Roman" w:cs="Times New Roman" w:eastAsia="Times New Roman" w:hAnsi="Times New Roman"/>
                <w:sz w:val="11"/>
                <w:szCs w:val="11"/>
                <w:color w:val="auto"/>
              </w:rPr>
              <w:t>-</w:t>
            </w:r>
          </w:p>
        </w:tc>
        <w:tc>
          <w:tcPr>
            <w:tcW w:w="1140" w:type="dxa"/>
            <w:vAlign w:val="bottom"/>
            <w:tcBorders>
              <w:right w:val="single" w:sz="8" w:color="BFBFBF"/>
            </w:tcBorders>
          </w:tcPr>
          <w:p>
            <w:pPr>
              <w:jc w:val="center"/>
              <w:spacing w:after="0"/>
              <w:rPr>
                <w:sz w:val="20"/>
                <w:szCs w:val="20"/>
                <w:color w:val="auto"/>
              </w:rPr>
            </w:pPr>
            <w:r>
              <w:rPr>
                <w:rFonts w:ascii="Times New Roman" w:cs="Times New Roman" w:eastAsia="Times New Roman" w:hAnsi="Times New Roman"/>
                <w:sz w:val="8"/>
                <w:szCs w:val="8"/>
                <w:color w:val="auto"/>
                <w:w w:val="73"/>
              </w:rPr>
              <w:t>-</w:t>
            </w:r>
          </w:p>
        </w:tc>
        <w:tc>
          <w:tcPr>
            <w:tcW w:w="1240" w:type="dxa"/>
            <w:vAlign w:val="bottom"/>
            <w:tcBorders>
              <w:right w:val="single" w:sz="8" w:color="BFBFBF"/>
            </w:tcBorders>
          </w:tcPr>
          <w:p>
            <w:pPr>
              <w:jc w:val="center"/>
              <w:spacing w:after="0"/>
              <w:rPr>
                <w:sz w:val="20"/>
                <w:szCs w:val="20"/>
                <w:color w:val="auto"/>
              </w:rPr>
            </w:pPr>
            <w:r>
              <w:rPr>
                <w:rFonts w:ascii="Times New Roman" w:cs="Times New Roman" w:eastAsia="Times New Roman" w:hAnsi="Times New Roman"/>
                <w:sz w:val="11"/>
                <w:szCs w:val="11"/>
                <w:color w:val="auto"/>
                <w:w w:val="99"/>
              </w:rPr>
              <w:t>2,092,583</w:t>
            </w:r>
          </w:p>
        </w:tc>
      </w:tr>
      <w:tr>
        <w:trPr>
          <w:trHeight w:val="147"/>
        </w:trPr>
        <w:tc>
          <w:tcPr>
            <w:tcW w:w="1980" w:type="dxa"/>
            <w:vAlign w:val="bottom"/>
            <w:tcBorders>
              <w:left w:val="single" w:sz="8" w:color="BFBFBF"/>
              <w:bottom w:val="single" w:sz="8" w:color="BFBFBF"/>
              <w:right w:val="single" w:sz="8" w:color="BFBFBF"/>
            </w:tcBorders>
          </w:tcPr>
          <w:p>
            <w:pPr>
              <w:spacing w:after="0"/>
              <w:rPr>
                <w:sz w:val="12"/>
                <w:szCs w:val="12"/>
                <w:color w:val="auto"/>
              </w:rPr>
            </w:pPr>
          </w:p>
        </w:tc>
        <w:tc>
          <w:tcPr>
            <w:tcW w:w="680" w:type="dxa"/>
            <w:vAlign w:val="bottom"/>
            <w:tcBorders>
              <w:bottom w:val="single" w:sz="8" w:color="BFBFBF"/>
              <w:right w:val="single" w:sz="8" w:color="BFBFBF"/>
            </w:tcBorders>
          </w:tcPr>
          <w:p>
            <w:pPr>
              <w:ind w:left="220"/>
              <w:spacing w:after="0"/>
              <w:rPr>
                <w:sz w:val="20"/>
                <w:szCs w:val="20"/>
                <w:color w:val="auto"/>
              </w:rPr>
            </w:pPr>
            <w:r>
              <w:rPr>
                <w:rFonts w:ascii="Times New Roman" w:cs="Times New Roman" w:eastAsia="Times New Roman" w:hAnsi="Times New Roman"/>
                <w:sz w:val="11"/>
                <w:szCs w:val="11"/>
                <w:color w:val="auto"/>
              </w:rPr>
              <w:t>2023</w:t>
            </w:r>
          </w:p>
        </w:tc>
        <w:tc>
          <w:tcPr>
            <w:tcW w:w="1240" w:type="dxa"/>
            <w:vAlign w:val="bottom"/>
            <w:tcBorders>
              <w:bottom w:val="single" w:sz="8" w:color="BFBFBF"/>
              <w:right w:val="single" w:sz="8" w:color="BFBFBF"/>
            </w:tcBorders>
          </w:tcPr>
          <w:p>
            <w:pPr>
              <w:jc w:val="center"/>
              <w:spacing w:after="0"/>
              <w:rPr>
                <w:sz w:val="20"/>
                <w:szCs w:val="20"/>
                <w:color w:val="auto"/>
              </w:rPr>
            </w:pPr>
            <w:r>
              <w:rPr>
                <w:rFonts w:ascii="Times New Roman" w:cs="Times New Roman" w:eastAsia="Times New Roman" w:hAnsi="Times New Roman"/>
                <w:sz w:val="11"/>
                <w:szCs w:val="11"/>
                <w:color w:val="auto"/>
              </w:rPr>
              <w:t>680,304</w:t>
            </w:r>
          </w:p>
        </w:tc>
        <w:tc>
          <w:tcPr>
            <w:tcW w:w="900" w:type="dxa"/>
            <w:vAlign w:val="bottom"/>
            <w:tcBorders>
              <w:bottom w:val="single" w:sz="8" w:color="BFBFBF"/>
              <w:right w:val="single" w:sz="8" w:color="BFBFBF"/>
            </w:tcBorders>
          </w:tcPr>
          <w:p>
            <w:pPr>
              <w:jc w:val="center"/>
              <w:spacing w:after="0"/>
              <w:rPr>
                <w:sz w:val="20"/>
                <w:szCs w:val="20"/>
                <w:color w:val="auto"/>
              </w:rPr>
            </w:pPr>
            <w:r>
              <w:rPr>
                <w:rFonts w:ascii="Times New Roman" w:cs="Times New Roman" w:eastAsia="Times New Roman" w:hAnsi="Times New Roman"/>
                <w:sz w:val="11"/>
                <w:szCs w:val="11"/>
                <w:color w:val="auto"/>
              </w:rPr>
              <w:t>-</w:t>
            </w:r>
          </w:p>
        </w:tc>
        <w:tc>
          <w:tcPr>
            <w:tcW w:w="1140" w:type="dxa"/>
            <w:vAlign w:val="bottom"/>
            <w:tcBorders>
              <w:bottom w:val="single" w:sz="8" w:color="BFBFBF"/>
              <w:right w:val="single" w:sz="8" w:color="BFBFBF"/>
            </w:tcBorders>
          </w:tcPr>
          <w:p>
            <w:pPr>
              <w:jc w:val="center"/>
              <w:spacing w:after="0"/>
              <w:rPr>
                <w:sz w:val="20"/>
                <w:szCs w:val="20"/>
                <w:color w:val="auto"/>
              </w:rPr>
            </w:pPr>
            <w:r>
              <w:rPr>
                <w:rFonts w:ascii="Times New Roman" w:cs="Times New Roman" w:eastAsia="Times New Roman" w:hAnsi="Times New Roman"/>
                <w:sz w:val="11"/>
                <w:szCs w:val="11"/>
                <w:color w:val="auto"/>
              </w:rPr>
              <w:t>-</w:t>
            </w:r>
          </w:p>
        </w:tc>
        <w:tc>
          <w:tcPr>
            <w:tcW w:w="1200" w:type="dxa"/>
            <w:vAlign w:val="bottom"/>
            <w:tcBorders>
              <w:bottom w:val="single" w:sz="8" w:color="BFBFBF"/>
              <w:right w:val="single" w:sz="8" w:color="BFBFBF"/>
            </w:tcBorders>
          </w:tcPr>
          <w:p>
            <w:pPr>
              <w:jc w:val="center"/>
              <w:spacing w:after="0"/>
              <w:rPr>
                <w:sz w:val="20"/>
                <w:szCs w:val="20"/>
                <w:color w:val="auto"/>
              </w:rPr>
            </w:pPr>
            <w:r>
              <w:rPr>
                <w:rFonts w:ascii="Times New Roman" w:cs="Times New Roman" w:eastAsia="Times New Roman" w:hAnsi="Times New Roman"/>
                <w:sz w:val="11"/>
                <w:szCs w:val="11"/>
                <w:color w:val="auto"/>
                <w:w w:val="94"/>
              </w:rPr>
              <w:t>123,741</w:t>
            </w:r>
          </w:p>
        </w:tc>
        <w:tc>
          <w:tcPr>
            <w:tcW w:w="980" w:type="dxa"/>
            <w:vAlign w:val="bottom"/>
            <w:tcBorders>
              <w:bottom w:val="single" w:sz="8" w:color="BFBFBF"/>
              <w:right w:val="single" w:sz="8" w:color="BFBFBF"/>
            </w:tcBorders>
          </w:tcPr>
          <w:p>
            <w:pPr>
              <w:jc w:val="center"/>
              <w:spacing w:after="0"/>
              <w:rPr>
                <w:sz w:val="20"/>
                <w:szCs w:val="20"/>
                <w:color w:val="auto"/>
              </w:rPr>
            </w:pPr>
            <w:r>
              <w:rPr>
                <w:rFonts w:ascii="Times New Roman" w:cs="Times New Roman" w:eastAsia="Times New Roman" w:hAnsi="Times New Roman"/>
                <w:sz w:val="11"/>
                <w:szCs w:val="11"/>
                <w:color w:val="auto"/>
              </w:rPr>
              <w:t>-</w:t>
            </w:r>
          </w:p>
        </w:tc>
        <w:tc>
          <w:tcPr>
            <w:tcW w:w="820" w:type="dxa"/>
            <w:vAlign w:val="bottom"/>
            <w:tcBorders>
              <w:bottom w:val="single" w:sz="8" w:color="BFBFBF"/>
              <w:right w:val="single" w:sz="8" w:color="BFBFBF"/>
            </w:tcBorders>
          </w:tcPr>
          <w:p>
            <w:pPr>
              <w:jc w:val="center"/>
              <w:spacing w:after="0"/>
              <w:rPr>
                <w:sz w:val="20"/>
                <w:szCs w:val="20"/>
                <w:color w:val="auto"/>
              </w:rPr>
            </w:pPr>
            <w:r>
              <w:rPr>
                <w:rFonts w:ascii="Times New Roman" w:cs="Times New Roman" w:eastAsia="Times New Roman" w:hAnsi="Times New Roman"/>
                <w:sz w:val="11"/>
                <w:szCs w:val="11"/>
                <w:color w:val="auto"/>
              </w:rPr>
              <w:t>-</w:t>
            </w:r>
          </w:p>
        </w:tc>
        <w:tc>
          <w:tcPr>
            <w:tcW w:w="1140" w:type="dxa"/>
            <w:vAlign w:val="bottom"/>
            <w:tcBorders>
              <w:bottom w:val="single" w:sz="8" w:color="BFBFBF"/>
              <w:right w:val="single" w:sz="8" w:color="BFBFBF"/>
            </w:tcBorders>
          </w:tcPr>
          <w:p>
            <w:pPr>
              <w:jc w:val="center"/>
              <w:spacing w:after="0"/>
              <w:rPr>
                <w:sz w:val="20"/>
                <w:szCs w:val="20"/>
                <w:color w:val="auto"/>
              </w:rPr>
            </w:pPr>
            <w:r>
              <w:rPr>
                <w:rFonts w:ascii="Times New Roman" w:cs="Times New Roman" w:eastAsia="Times New Roman" w:hAnsi="Times New Roman"/>
                <w:sz w:val="8"/>
                <w:szCs w:val="8"/>
                <w:color w:val="auto"/>
                <w:w w:val="73"/>
              </w:rPr>
              <w:t>-</w:t>
            </w:r>
          </w:p>
        </w:tc>
        <w:tc>
          <w:tcPr>
            <w:tcW w:w="1240" w:type="dxa"/>
            <w:vAlign w:val="bottom"/>
            <w:tcBorders>
              <w:bottom w:val="single" w:sz="8" w:color="BFBFBF"/>
              <w:right w:val="single" w:sz="8" w:color="BFBFBF"/>
            </w:tcBorders>
          </w:tcPr>
          <w:p>
            <w:pPr>
              <w:jc w:val="center"/>
              <w:spacing w:after="0"/>
              <w:rPr>
                <w:sz w:val="20"/>
                <w:szCs w:val="20"/>
                <w:color w:val="auto"/>
              </w:rPr>
            </w:pPr>
            <w:r>
              <w:rPr>
                <w:rFonts w:ascii="Times New Roman" w:cs="Times New Roman" w:eastAsia="Times New Roman" w:hAnsi="Times New Roman"/>
                <w:sz w:val="11"/>
                <w:szCs w:val="11"/>
                <w:color w:val="auto"/>
              </w:rPr>
              <w:t>732,045</w:t>
            </w:r>
          </w:p>
        </w:tc>
      </w:tr>
      <w:tr>
        <w:trPr>
          <w:trHeight w:val="130"/>
        </w:trPr>
        <w:tc>
          <w:tcPr>
            <w:tcW w:w="1980" w:type="dxa"/>
            <w:vAlign w:val="bottom"/>
            <w:tcBorders>
              <w:left w:val="single" w:sz="8" w:color="BFBFBF"/>
              <w:right w:val="single" w:sz="8" w:color="BFBFBF"/>
            </w:tcBorders>
          </w:tcPr>
          <w:p>
            <w:pPr>
              <w:ind w:left="40"/>
              <w:spacing w:after="0" w:line="131" w:lineRule="exact"/>
              <w:rPr>
                <w:sz w:val="20"/>
                <w:szCs w:val="20"/>
                <w:color w:val="auto"/>
              </w:rPr>
            </w:pPr>
            <w:r>
              <w:rPr>
                <w:rFonts w:ascii="Times New Roman" w:cs="Times New Roman" w:eastAsia="Times New Roman" w:hAnsi="Times New Roman"/>
                <w:sz w:val="11"/>
                <w:szCs w:val="11"/>
                <w:color w:val="auto"/>
              </w:rPr>
              <w:t>Greg Cavers,</w:t>
            </w:r>
            <w:r>
              <w:rPr>
                <w:rFonts w:ascii="Times New Roman" w:cs="Times New Roman" w:eastAsia="Times New Roman" w:hAnsi="Times New Roman"/>
                <w:sz w:val="14"/>
                <w:szCs w:val="14"/>
                <w:color w:val="auto"/>
                <w:vertAlign w:val="superscript"/>
              </w:rPr>
              <w:t>(3)</w:t>
            </w:r>
          </w:p>
        </w:tc>
        <w:tc>
          <w:tcPr>
            <w:tcW w:w="680" w:type="dxa"/>
            <w:vAlign w:val="bottom"/>
            <w:tcBorders>
              <w:right w:val="single" w:sz="8" w:color="BFBFBF"/>
            </w:tcBorders>
          </w:tcPr>
          <w:p>
            <w:pPr>
              <w:ind w:left="220"/>
              <w:spacing w:after="0"/>
              <w:rPr>
                <w:sz w:val="20"/>
                <w:szCs w:val="20"/>
                <w:color w:val="auto"/>
              </w:rPr>
            </w:pPr>
            <w:r>
              <w:rPr>
                <w:rFonts w:ascii="Times New Roman" w:cs="Times New Roman" w:eastAsia="Times New Roman" w:hAnsi="Times New Roman"/>
                <w:sz w:val="11"/>
                <w:szCs w:val="11"/>
                <w:color w:val="auto"/>
              </w:rPr>
              <w:t>2025</w:t>
            </w:r>
          </w:p>
        </w:tc>
        <w:tc>
          <w:tcPr>
            <w:tcW w:w="1240" w:type="dxa"/>
            <w:vAlign w:val="bottom"/>
            <w:tcBorders>
              <w:right w:val="single" w:sz="8" w:color="BFBFBF"/>
            </w:tcBorders>
          </w:tcPr>
          <w:p>
            <w:pPr>
              <w:jc w:val="center"/>
              <w:spacing w:after="0"/>
              <w:rPr>
                <w:sz w:val="20"/>
                <w:szCs w:val="20"/>
                <w:color w:val="auto"/>
              </w:rPr>
            </w:pPr>
            <w:r>
              <w:rPr>
                <w:rFonts w:ascii="Times New Roman" w:cs="Times New Roman" w:eastAsia="Times New Roman" w:hAnsi="Times New Roman"/>
                <w:sz w:val="11"/>
                <w:szCs w:val="11"/>
                <w:color w:val="auto"/>
              </w:rPr>
              <w:t>503,160</w:t>
            </w:r>
          </w:p>
        </w:tc>
        <w:tc>
          <w:tcPr>
            <w:tcW w:w="900" w:type="dxa"/>
            <w:vAlign w:val="bottom"/>
            <w:tcBorders>
              <w:right w:val="single" w:sz="8" w:color="BFBFBF"/>
            </w:tcBorders>
          </w:tcPr>
          <w:p>
            <w:pPr>
              <w:jc w:val="center"/>
              <w:spacing w:after="0"/>
              <w:rPr>
                <w:sz w:val="20"/>
                <w:szCs w:val="20"/>
                <w:color w:val="auto"/>
              </w:rPr>
            </w:pPr>
            <w:r>
              <w:rPr>
                <w:rFonts w:ascii="Times New Roman" w:cs="Times New Roman" w:eastAsia="Times New Roman" w:hAnsi="Times New Roman"/>
                <w:sz w:val="11"/>
                <w:szCs w:val="11"/>
                <w:color w:val="auto"/>
              </w:rPr>
              <w:t>-</w:t>
            </w:r>
          </w:p>
        </w:tc>
        <w:tc>
          <w:tcPr>
            <w:tcW w:w="1140" w:type="dxa"/>
            <w:vAlign w:val="bottom"/>
            <w:tcBorders>
              <w:right w:val="single" w:sz="8" w:color="BFBFBF"/>
            </w:tcBorders>
          </w:tcPr>
          <w:p>
            <w:pPr>
              <w:jc w:val="center"/>
              <w:spacing w:after="0"/>
              <w:rPr>
                <w:sz w:val="20"/>
                <w:szCs w:val="20"/>
                <w:color w:val="auto"/>
              </w:rPr>
            </w:pPr>
            <w:r>
              <w:rPr>
                <w:rFonts w:ascii="Times New Roman" w:cs="Times New Roman" w:eastAsia="Times New Roman" w:hAnsi="Times New Roman"/>
                <w:sz w:val="11"/>
                <w:szCs w:val="11"/>
                <w:color w:val="auto"/>
              </w:rPr>
              <w:t>761,168</w:t>
            </w:r>
          </w:p>
        </w:tc>
        <w:tc>
          <w:tcPr>
            <w:tcW w:w="1200" w:type="dxa"/>
            <w:vAlign w:val="bottom"/>
            <w:tcBorders>
              <w:right w:val="single" w:sz="8" w:color="BFBFBF"/>
            </w:tcBorders>
          </w:tcPr>
          <w:p>
            <w:pPr>
              <w:jc w:val="center"/>
              <w:spacing w:after="0"/>
              <w:rPr>
                <w:sz w:val="20"/>
                <w:szCs w:val="20"/>
                <w:color w:val="auto"/>
              </w:rPr>
            </w:pPr>
            <w:r>
              <w:rPr>
                <w:rFonts w:ascii="Times New Roman" w:cs="Times New Roman" w:eastAsia="Times New Roman" w:hAnsi="Times New Roman"/>
                <w:sz w:val="11"/>
                <w:szCs w:val="11"/>
                <w:color w:val="auto"/>
                <w:w w:val="94"/>
              </w:rPr>
              <w:t>175,000</w:t>
            </w:r>
          </w:p>
        </w:tc>
        <w:tc>
          <w:tcPr>
            <w:tcW w:w="980" w:type="dxa"/>
            <w:vAlign w:val="bottom"/>
            <w:tcBorders>
              <w:right w:val="single" w:sz="8" w:color="BFBFBF"/>
            </w:tcBorders>
          </w:tcPr>
          <w:p>
            <w:pPr>
              <w:jc w:val="center"/>
              <w:spacing w:after="0"/>
              <w:rPr>
                <w:sz w:val="20"/>
                <w:szCs w:val="20"/>
                <w:color w:val="auto"/>
              </w:rPr>
            </w:pPr>
            <w:r>
              <w:rPr>
                <w:rFonts w:ascii="Times New Roman" w:cs="Times New Roman" w:eastAsia="Times New Roman" w:hAnsi="Times New Roman"/>
                <w:sz w:val="11"/>
                <w:szCs w:val="11"/>
                <w:color w:val="auto"/>
              </w:rPr>
              <w:t>-</w:t>
            </w:r>
          </w:p>
        </w:tc>
        <w:tc>
          <w:tcPr>
            <w:tcW w:w="820" w:type="dxa"/>
            <w:vAlign w:val="bottom"/>
            <w:tcBorders>
              <w:right w:val="single" w:sz="8" w:color="BFBFBF"/>
            </w:tcBorders>
          </w:tcPr>
          <w:p>
            <w:pPr>
              <w:jc w:val="center"/>
              <w:spacing w:after="0"/>
              <w:rPr>
                <w:sz w:val="20"/>
                <w:szCs w:val="20"/>
                <w:color w:val="auto"/>
              </w:rPr>
            </w:pPr>
            <w:r>
              <w:rPr>
                <w:rFonts w:ascii="Times New Roman" w:cs="Times New Roman" w:eastAsia="Times New Roman" w:hAnsi="Times New Roman"/>
                <w:sz w:val="11"/>
                <w:szCs w:val="11"/>
                <w:color w:val="auto"/>
              </w:rPr>
              <w:t>-</w:t>
            </w:r>
          </w:p>
        </w:tc>
        <w:tc>
          <w:tcPr>
            <w:tcW w:w="1140" w:type="dxa"/>
            <w:vAlign w:val="bottom"/>
            <w:tcBorders>
              <w:right w:val="single" w:sz="8" w:color="BFBFBF"/>
            </w:tcBorders>
          </w:tcPr>
          <w:p>
            <w:pPr>
              <w:jc w:val="center"/>
              <w:spacing w:after="0"/>
              <w:rPr>
                <w:sz w:val="20"/>
                <w:szCs w:val="20"/>
                <w:color w:val="auto"/>
              </w:rPr>
            </w:pPr>
            <w:r>
              <w:rPr>
                <w:rFonts w:ascii="Times New Roman" w:cs="Times New Roman" w:eastAsia="Times New Roman" w:hAnsi="Times New Roman"/>
                <w:sz w:val="8"/>
                <w:szCs w:val="8"/>
                <w:color w:val="auto"/>
                <w:w w:val="73"/>
              </w:rPr>
              <w:t>-</w:t>
            </w:r>
          </w:p>
        </w:tc>
        <w:tc>
          <w:tcPr>
            <w:tcW w:w="1240" w:type="dxa"/>
            <w:vAlign w:val="bottom"/>
            <w:tcBorders>
              <w:right w:val="single" w:sz="8" w:color="BFBFBF"/>
            </w:tcBorders>
          </w:tcPr>
          <w:p>
            <w:pPr>
              <w:jc w:val="center"/>
              <w:spacing w:after="0"/>
              <w:rPr>
                <w:sz w:val="20"/>
                <w:szCs w:val="20"/>
                <w:color w:val="auto"/>
              </w:rPr>
            </w:pPr>
            <w:r>
              <w:rPr>
                <w:rFonts w:ascii="Times New Roman" w:cs="Times New Roman" w:eastAsia="Times New Roman" w:hAnsi="Times New Roman"/>
                <w:sz w:val="11"/>
                <w:szCs w:val="11"/>
                <w:color w:val="auto"/>
                <w:w w:val="99"/>
              </w:rPr>
              <w:t>1,439,328</w:t>
            </w:r>
          </w:p>
        </w:tc>
      </w:tr>
      <w:tr>
        <w:trPr>
          <w:trHeight w:val="135"/>
        </w:trPr>
        <w:tc>
          <w:tcPr>
            <w:tcW w:w="1980" w:type="dxa"/>
            <w:vAlign w:val="bottom"/>
            <w:tcBorders>
              <w:left w:val="single" w:sz="8" w:color="BFBFBF"/>
              <w:right w:val="single" w:sz="8" w:color="BFBFBF"/>
            </w:tcBorders>
          </w:tcPr>
          <w:p>
            <w:pPr>
              <w:ind w:left="40"/>
              <w:spacing w:after="0"/>
              <w:rPr>
                <w:sz w:val="20"/>
                <w:szCs w:val="20"/>
                <w:color w:val="auto"/>
              </w:rPr>
            </w:pPr>
            <w:r>
              <w:rPr>
                <w:rFonts w:ascii="Times New Roman" w:cs="Times New Roman" w:eastAsia="Times New Roman" w:hAnsi="Times New Roman"/>
                <w:sz w:val="11"/>
                <w:szCs w:val="11"/>
                <w:color w:val="auto"/>
              </w:rPr>
              <w:t>Chief Financial Officer</w:t>
            </w:r>
          </w:p>
        </w:tc>
        <w:tc>
          <w:tcPr>
            <w:tcW w:w="680" w:type="dxa"/>
            <w:vAlign w:val="bottom"/>
            <w:tcBorders>
              <w:right w:val="single" w:sz="8" w:color="BFBFBF"/>
            </w:tcBorders>
          </w:tcPr>
          <w:p>
            <w:pPr>
              <w:ind w:left="220"/>
              <w:spacing w:after="0"/>
              <w:rPr>
                <w:sz w:val="20"/>
                <w:szCs w:val="20"/>
                <w:color w:val="auto"/>
              </w:rPr>
            </w:pPr>
            <w:r>
              <w:rPr>
                <w:rFonts w:ascii="Times New Roman" w:cs="Times New Roman" w:eastAsia="Times New Roman" w:hAnsi="Times New Roman"/>
                <w:sz w:val="11"/>
                <w:szCs w:val="11"/>
                <w:color w:val="auto"/>
              </w:rPr>
              <w:t>2024</w:t>
            </w:r>
          </w:p>
        </w:tc>
        <w:tc>
          <w:tcPr>
            <w:tcW w:w="1240" w:type="dxa"/>
            <w:vAlign w:val="bottom"/>
            <w:tcBorders>
              <w:right w:val="single" w:sz="8" w:color="BFBFBF"/>
            </w:tcBorders>
          </w:tcPr>
          <w:p>
            <w:pPr>
              <w:jc w:val="center"/>
              <w:spacing w:after="0"/>
              <w:rPr>
                <w:sz w:val="20"/>
                <w:szCs w:val="20"/>
                <w:color w:val="auto"/>
              </w:rPr>
            </w:pPr>
            <w:r>
              <w:rPr>
                <w:rFonts w:ascii="Times New Roman" w:cs="Times New Roman" w:eastAsia="Times New Roman" w:hAnsi="Times New Roman"/>
                <w:sz w:val="11"/>
                <w:szCs w:val="11"/>
                <w:color w:val="auto"/>
              </w:rPr>
              <w:t>275,000</w:t>
            </w:r>
          </w:p>
        </w:tc>
        <w:tc>
          <w:tcPr>
            <w:tcW w:w="900" w:type="dxa"/>
            <w:vAlign w:val="bottom"/>
            <w:tcBorders>
              <w:right w:val="single" w:sz="8" w:color="BFBFBF"/>
            </w:tcBorders>
          </w:tcPr>
          <w:p>
            <w:pPr>
              <w:jc w:val="center"/>
              <w:spacing w:after="0"/>
              <w:rPr>
                <w:sz w:val="20"/>
                <w:szCs w:val="20"/>
                <w:color w:val="auto"/>
              </w:rPr>
            </w:pPr>
            <w:r>
              <w:rPr>
                <w:rFonts w:ascii="Times New Roman" w:cs="Times New Roman" w:eastAsia="Times New Roman" w:hAnsi="Times New Roman"/>
                <w:sz w:val="11"/>
                <w:szCs w:val="11"/>
                <w:color w:val="auto"/>
              </w:rPr>
              <w:t>-</w:t>
            </w:r>
          </w:p>
        </w:tc>
        <w:tc>
          <w:tcPr>
            <w:tcW w:w="1140" w:type="dxa"/>
            <w:vAlign w:val="bottom"/>
            <w:tcBorders>
              <w:right w:val="single" w:sz="8" w:color="BFBFBF"/>
            </w:tcBorders>
          </w:tcPr>
          <w:p>
            <w:pPr>
              <w:jc w:val="center"/>
              <w:spacing w:after="0"/>
              <w:rPr>
                <w:sz w:val="20"/>
                <w:szCs w:val="20"/>
                <w:color w:val="auto"/>
              </w:rPr>
            </w:pPr>
            <w:r>
              <w:rPr>
                <w:rFonts w:ascii="Times New Roman" w:cs="Times New Roman" w:eastAsia="Times New Roman" w:hAnsi="Times New Roman"/>
                <w:sz w:val="11"/>
                <w:szCs w:val="11"/>
                <w:color w:val="auto"/>
              </w:rPr>
              <w:t>430,424</w:t>
            </w:r>
          </w:p>
        </w:tc>
        <w:tc>
          <w:tcPr>
            <w:tcW w:w="1200" w:type="dxa"/>
            <w:vAlign w:val="bottom"/>
            <w:tcBorders>
              <w:right w:val="single" w:sz="8" w:color="BFBFBF"/>
            </w:tcBorders>
          </w:tcPr>
          <w:p>
            <w:pPr>
              <w:jc w:val="center"/>
              <w:spacing w:after="0"/>
              <w:rPr>
                <w:sz w:val="20"/>
                <w:szCs w:val="20"/>
                <w:color w:val="auto"/>
              </w:rPr>
            </w:pPr>
            <w:r>
              <w:rPr>
                <w:rFonts w:ascii="Times New Roman" w:cs="Times New Roman" w:eastAsia="Times New Roman" w:hAnsi="Times New Roman"/>
                <w:sz w:val="11"/>
                <w:szCs w:val="11"/>
                <w:color w:val="auto"/>
                <w:w w:val="94"/>
              </w:rPr>
              <w:t>175,000</w:t>
            </w:r>
          </w:p>
        </w:tc>
        <w:tc>
          <w:tcPr>
            <w:tcW w:w="980" w:type="dxa"/>
            <w:vAlign w:val="bottom"/>
            <w:tcBorders>
              <w:right w:val="single" w:sz="8" w:color="BFBFBF"/>
            </w:tcBorders>
          </w:tcPr>
          <w:p>
            <w:pPr>
              <w:jc w:val="center"/>
              <w:spacing w:after="0"/>
              <w:rPr>
                <w:sz w:val="20"/>
                <w:szCs w:val="20"/>
                <w:color w:val="auto"/>
              </w:rPr>
            </w:pPr>
            <w:r>
              <w:rPr>
                <w:rFonts w:ascii="Times New Roman" w:cs="Times New Roman" w:eastAsia="Times New Roman" w:hAnsi="Times New Roman"/>
                <w:sz w:val="11"/>
                <w:szCs w:val="11"/>
                <w:color w:val="auto"/>
              </w:rPr>
              <w:t>-</w:t>
            </w:r>
          </w:p>
        </w:tc>
        <w:tc>
          <w:tcPr>
            <w:tcW w:w="820" w:type="dxa"/>
            <w:vAlign w:val="bottom"/>
            <w:tcBorders>
              <w:right w:val="single" w:sz="8" w:color="BFBFBF"/>
            </w:tcBorders>
          </w:tcPr>
          <w:p>
            <w:pPr>
              <w:jc w:val="center"/>
              <w:spacing w:after="0"/>
              <w:rPr>
                <w:sz w:val="20"/>
                <w:szCs w:val="20"/>
                <w:color w:val="auto"/>
              </w:rPr>
            </w:pPr>
            <w:r>
              <w:rPr>
                <w:rFonts w:ascii="Times New Roman" w:cs="Times New Roman" w:eastAsia="Times New Roman" w:hAnsi="Times New Roman"/>
                <w:sz w:val="11"/>
                <w:szCs w:val="11"/>
                <w:color w:val="auto"/>
              </w:rPr>
              <w:t>-</w:t>
            </w:r>
          </w:p>
        </w:tc>
        <w:tc>
          <w:tcPr>
            <w:tcW w:w="1140" w:type="dxa"/>
            <w:vAlign w:val="bottom"/>
            <w:tcBorders>
              <w:right w:val="single" w:sz="8" w:color="BFBFBF"/>
            </w:tcBorders>
          </w:tcPr>
          <w:p>
            <w:pPr>
              <w:jc w:val="center"/>
              <w:spacing w:after="0"/>
              <w:rPr>
                <w:sz w:val="20"/>
                <w:szCs w:val="20"/>
                <w:color w:val="auto"/>
              </w:rPr>
            </w:pPr>
            <w:r>
              <w:rPr>
                <w:rFonts w:ascii="Times New Roman" w:cs="Times New Roman" w:eastAsia="Times New Roman" w:hAnsi="Times New Roman"/>
                <w:sz w:val="8"/>
                <w:szCs w:val="8"/>
                <w:color w:val="auto"/>
                <w:w w:val="73"/>
              </w:rPr>
              <w:t>-</w:t>
            </w:r>
          </w:p>
        </w:tc>
        <w:tc>
          <w:tcPr>
            <w:tcW w:w="1240" w:type="dxa"/>
            <w:vAlign w:val="bottom"/>
            <w:tcBorders>
              <w:right w:val="single" w:sz="8" w:color="BFBFBF"/>
            </w:tcBorders>
          </w:tcPr>
          <w:p>
            <w:pPr>
              <w:jc w:val="center"/>
              <w:spacing w:after="0"/>
              <w:rPr>
                <w:sz w:val="20"/>
                <w:szCs w:val="20"/>
                <w:color w:val="auto"/>
              </w:rPr>
            </w:pPr>
            <w:r>
              <w:rPr>
                <w:rFonts w:ascii="Times New Roman" w:cs="Times New Roman" w:eastAsia="Times New Roman" w:hAnsi="Times New Roman"/>
                <w:sz w:val="11"/>
                <w:szCs w:val="11"/>
                <w:color w:val="auto"/>
              </w:rPr>
              <w:t>880,424</w:t>
            </w:r>
          </w:p>
        </w:tc>
      </w:tr>
      <w:tr>
        <w:trPr>
          <w:trHeight w:val="147"/>
        </w:trPr>
        <w:tc>
          <w:tcPr>
            <w:tcW w:w="1980" w:type="dxa"/>
            <w:vAlign w:val="bottom"/>
            <w:tcBorders>
              <w:left w:val="single" w:sz="8" w:color="BFBFBF"/>
              <w:bottom w:val="single" w:sz="8" w:color="BFBFBF"/>
              <w:right w:val="single" w:sz="8" w:color="BFBFBF"/>
            </w:tcBorders>
          </w:tcPr>
          <w:p>
            <w:pPr>
              <w:spacing w:after="0"/>
              <w:rPr>
                <w:sz w:val="12"/>
                <w:szCs w:val="12"/>
                <w:color w:val="auto"/>
              </w:rPr>
            </w:pPr>
          </w:p>
        </w:tc>
        <w:tc>
          <w:tcPr>
            <w:tcW w:w="680" w:type="dxa"/>
            <w:vAlign w:val="bottom"/>
            <w:tcBorders>
              <w:bottom w:val="single" w:sz="8" w:color="BFBFBF"/>
              <w:right w:val="single" w:sz="8" w:color="BFBFBF"/>
            </w:tcBorders>
          </w:tcPr>
          <w:p>
            <w:pPr>
              <w:ind w:left="220"/>
              <w:spacing w:after="0"/>
              <w:rPr>
                <w:sz w:val="20"/>
                <w:szCs w:val="20"/>
                <w:color w:val="auto"/>
              </w:rPr>
            </w:pPr>
            <w:r>
              <w:rPr>
                <w:rFonts w:ascii="Times New Roman" w:cs="Times New Roman" w:eastAsia="Times New Roman" w:hAnsi="Times New Roman"/>
                <w:sz w:val="11"/>
                <w:szCs w:val="11"/>
                <w:color w:val="auto"/>
              </w:rPr>
              <w:t>2023</w:t>
            </w:r>
          </w:p>
        </w:tc>
        <w:tc>
          <w:tcPr>
            <w:tcW w:w="1240" w:type="dxa"/>
            <w:vAlign w:val="bottom"/>
            <w:tcBorders>
              <w:bottom w:val="single" w:sz="8" w:color="BFBFBF"/>
              <w:right w:val="single" w:sz="8" w:color="BFBFBF"/>
            </w:tcBorders>
          </w:tcPr>
          <w:p>
            <w:pPr>
              <w:jc w:val="center"/>
              <w:spacing w:after="0"/>
              <w:rPr>
                <w:sz w:val="20"/>
                <w:szCs w:val="20"/>
                <w:color w:val="auto"/>
              </w:rPr>
            </w:pPr>
            <w:r>
              <w:rPr>
                <w:rFonts w:ascii="Times New Roman" w:cs="Times New Roman" w:eastAsia="Times New Roman" w:hAnsi="Times New Roman"/>
                <w:sz w:val="11"/>
                <w:szCs w:val="11"/>
                <w:color w:val="auto"/>
              </w:rPr>
              <w:t>250,000</w:t>
            </w:r>
          </w:p>
        </w:tc>
        <w:tc>
          <w:tcPr>
            <w:tcW w:w="900" w:type="dxa"/>
            <w:vAlign w:val="bottom"/>
            <w:tcBorders>
              <w:bottom w:val="single" w:sz="8" w:color="BFBFBF"/>
              <w:right w:val="single" w:sz="8" w:color="BFBFBF"/>
            </w:tcBorders>
          </w:tcPr>
          <w:p>
            <w:pPr>
              <w:jc w:val="center"/>
              <w:spacing w:after="0"/>
              <w:rPr>
                <w:sz w:val="20"/>
                <w:szCs w:val="20"/>
                <w:color w:val="auto"/>
              </w:rPr>
            </w:pPr>
            <w:r>
              <w:rPr>
                <w:rFonts w:ascii="Times New Roman" w:cs="Times New Roman" w:eastAsia="Times New Roman" w:hAnsi="Times New Roman"/>
                <w:sz w:val="11"/>
                <w:szCs w:val="11"/>
                <w:color w:val="auto"/>
              </w:rPr>
              <w:t>-</w:t>
            </w:r>
          </w:p>
        </w:tc>
        <w:tc>
          <w:tcPr>
            <w:tcW w:w="1140" w:type="dxa"/>
            <w:vAlign w:val="bottom"/>
            <w:tcBorders>
              <w:bottom w:val="single" w:sz="8" w:color="BFBFBF"/>
              <w:right w:val="single" w:sz="8" w:color="BFBFBF"/>
            </w:tcBorders>
          </w:tcPr>
          <w:p>
            <w:pPr>
              <w:jc w:val="center"/>
              <w:spacing w:after="0"/>
              <w:rPr>
                <w:sz w:val="20"/>
                <w:szCs w:val="20"/>
                <w:color w:val="auto"/>
              </w:rPr>
            </w:pPr>
            <w:r>
              <w:rPr>
                <w:rFonts w:ascii="Times New Roman" w:cs="Times New Roman" w:eastAsia="Times New Roman" w:hAnsi="Times New Roman"/>
                <w:sz w:val="11"/>
                <w:szCs w:val="11"/>
                <w:color w:val="auto"/>
              </w:rPr>
              <w:t>-</w:t>
            </w:r>
          </w:p>
        </w:tc>
        <w:tc>
          <w:tcPr>
            <w:tcW w:w="1200" w:type="dxa"/>
            <w:vAlign w:val="bottom"/>
            <w:tcBorders>
              <w:bottom w:val="single" w:sz="8" w:color="BFBFBF"/>
              <w:right w:val="single" w:sz="8" w:color="BFBFBF"/>
            </w:tcBorders>
          </w:tcPr>
          <w:p>
            <w:pPr>
              <w:jc w:val="center"/>
              <w:spacing w:after="0"/>
              <w:rPr>
                <w:sz w:val="20"/>
                <w:szCs w:val="20"/>
                <w:color w:val="auto"/>
              </w:rPr>
            </w:pPr>
            <w:r>
              <w:rPr>
                <w:rFonts w:ascii="Times New Roman" w:cs="Times New Roman" w:eastAsia="Times New Roman" w:hAnsi="Times New Roman"/>
                <w:sz w:val="11"/>
                <w:szCs w:val="11"/>
                <w:color w:val="auto"/>
                <w:w w:val="99"/>
              </w:rPr>
              <w:t>75,000</w:t>
            </w:r>
          </w:p>
        </w:tc>
        <w:tc>
          <w:tcPr>
            <w:tcW w:w="980" w:type="dxa"/>
            <w:vAlign w:val="bottom"/>
            <w:tcBorders>
              <w:bottom w:val="single" w:sz="8" w:color="BFBFBF"/>
              <w:right w:val="single" w:sz="8" w:color="BFBFBF"/>
            </w:tcBorders>
          </w:tcPr>
          <w:p>
            <w:pPr>
              <w:jc w:val="center"/>
              <w:spacing w:after="0"/>
              <w:rPr>
                <w:sz w:val="20"/>
                <w:szCs w:val="20"/>
                <w:color w:val="auto"/>
              </w:rPr>
            </w:pPr>
            <w:r>
              <w:rPr>
                <w:rFonts w:ascii="Times New Roman" w:cs="Times New Roman" w:eastAsia="Times New Roman" w:hAnsi="Times New Roman"/>
                <w:sz w:val="11"/>
                <w:szCs w:val="11"/>
                <w:color w:val="auto"/>
              </w:rPr>
              <w:t>-</w:t>
            </w:r>
          </w:p>
        </w:tc>
        <w:tc>
          <w:tcPr>
            <w:tcW w:w="820" w:type="dxa"/>
            <w:vAlign w:val="bottom"/>
            <w:tcBorders>
              <w:bottom w:val="single" w:sz="8" w:color="BFBFBF"/>
              <w:right w:val="single" w:sz="8" w:color="BFBFBF"/>
            </w:tcBorders>
          </w:tcPr>
          <w:p>
            <w:pPr>
              <w:jc w:val="center"/>
              <w:spacing w:after="0"/>
              <w:rPr>
                <w:sz w:val="20"/>
                <w:szCs w:val="20"/>
                <w:color w:val="auto"/>
              </w:rPr>
            </w:pPr>
            <w:r>
              <w:rPr>
                <w:rFonts w:ascii="Times New Roman" w:cs="Times New Roman" w:eastAsia="Times New Roman" w:hAnsi="Times New Roman"/>
                <w:sz w:val="11"/>
                <w:szCs w:val="11"/>
                <w:color w:val="auto"/>
              </w:rPr>
              <w:t>-</w:t>
            </w:r>
          </w:p>
        </w:tc>
        <w:tc>
          <w:tcPr>
            <w:tcW w:w="1140" w:type="dxa"/>
            <w:vAlign w:val="bottom"/>
            <w:tcBorders>
              <w:bottom w:val="single" w:sz="8" w:color="BFBFBF"/>
              <w:right w:val="single" w:sz="8" w:color="BFBFBF"/>
            </w:tcBorders>
          </w:tcPr>
          <w:p>
            <w:pPr>
              <w:jc w:val="center"/>
              <w:spacing w:after="0"/>
              <w:rPr>
                <w:sz w:val="20"/>
                <w:szCs w:val="20"/>
                <w:color w:val="auto"/>
              </w:rPr>
            </w:pPr>
            <w:r>
              <w:rPr>
                <w:rFonts w:ascii="Times New Roman" w:cs="Times New Roman" w:eastAsia="Times New Roman" w:hAnsi="Times New Roman"/>
                <w:sz w:val="8"/>
                <w:szCs w:val="8"/>
                <w:color w:val="auto"/>
                <w:w w:val="73"/>
              </w:rPr>
              <w:t>-</w:t>
            </w:r>
          </w:p>
        </w:tc>
        <w:tc>
          <w:tcPr>
            <w:tcW w:w="1240" w:type="dxa"/>
            <w:vAlign w:val="bottom"/>
            <w:tcBorders>
              <w:bottom w:val="single" w:sz="8" w:color="BFBFBF"/>
              <w:right w:val="single" w:sz="8" w:color="BFBFBF"/>
            </w:tcBorders>
          </w:tcPr>
          <w:p>
            <w:pPr>
              <w:jc w:val="center"/>
              <w:spacing w:after="0"/>
              <w:rPr>
                <w:sz w:val="20"/>
                <w:szCs w:val="20"/>
                <w:color w:val="auto"/>
              </w:rPr>
            </w:pPr>
            <w:r>
              <w:rPr>
                <w:rFonts w:ascii="Times New Roman" w:cs="Times New Roman" w:eastAsia="Times New Roman" w:hAnsi="Times New Roman"/>
                <w:sz w:val="11"/>
                <w:szCs w:val="11"/>
                <w:color w:val="auto"/>
              </w:rPr>
              <w:t>325,000</w:t>
            </w:r>
          </w:p>
        </w:tc>
      </w:tr>
      <w:tr>
        <w:trPr>
          <w:trHeight w:val="130"/>
        </w:trPr>
        <w:tc>
          <w:tcPr>
            <w:tcW w:w="1980" w:type="dxa"/>
            <w:vAlign w:val="bottom"/>
            <w:tcBorders>
              <w:left w:val="single" w:sz="8" w:color="BFBFBF"/>
              <w:right w:val="single" w:sz="8" w:color="BFBFBF"/>
            </w:tcBorders>
          </w:tcPr>
          <w:p>
            <w:pPr>
              <w:ind w:left="40"/>
              <w:spacing w:after="0" w:line="131" w:lineRule="exact"/>
              <w:rPr>
                <w:sz w:val="20"/>
                <w:szCs w:val="20"/>
                <w:color w:val="auto"/>
              </w:rPr>
            </w:pPr>
            <w:r>
              <w:rPr>
                <w:rFonts w:ascii="Times New Roman" w:cs="Times New Roman" w:eastAsia="Times New Roman" w:hAnsi="Times New Roman"/>
                <w:sz w:val="11"/>
                <w:szCs w:val="11"/>
                <w:color w:val="auto"/>
              </w:rPr>
              <w:t xml:space="preserve">Eric So, </w:t>
            </w:r>
            <w:r>
              <w:rPr>
                <w:rFonts w:ascii="Times New Roman" w:cs="Times New Roman" w:eastAsia="Times New Roman" w:hAnsi="Times New Roman"/>
                <w:sz w:val="14"/>
                <w:szCs w:val="14"/>
                <w:color w:val="auto"/>
                <w:vertAlign w:val="superscript"/>
              </w:rPr>
              <w:t>(3)</w:t>
            </w:r>
          </w:p>
        </w:tc>
        <w:tc>
          <w:tcPr>
            <w:tcW w:w="680" w:type="dxa"/>
            <w:vAlign w:val="bottom"/>
            <w:tcBorders>
              <w:right w:val="single" w:sz="8" w:color="BFBFBF"/>
            </w:tcBorders>
          </w:tcPr>
          <w:p>
            <w:pPr>
              <w:ind w:left="220"/>
              <w:spacing w:after="0"/>
              <w:rPr>
                <w:sz w:val="20"/>
                <w:szCs w:val="20"/>
                <w:color w:val="auto"/>
              </w:rPr>
            </w:pPr>
            <w:r>
              <w:rPr>
                <w:rFonts w:ascii="Times New Roman" w:cs="Times New Roman" w:eastAsia="Times New Roman" w:hAnsi="Times New Roman"/>
                <w:sz w:val="11"/>
                <w:szCs w:val="11"/>
                <w:color w:val="auto"/>
              </w:rPr>
              <w:t>2025</w:t>
            </w:r>
          </w:p>
        </w:tc>
        <w:tc>
          <w:tcPr>
            <w:tcW w:w="1240" w:type="dxa"/>
            <w:vAlign w:val="bottom"/>
            <w:tcBorders>
              <w:right w:val="single" w:sz="8" w:color="BFBFBF"/>
            </w:tcBorders>
          </w:tcPr>
          <w:p>
            <w:pPr>
              <w:jc w:val="center"/>
              <w:spacing w:after="0"/>
              <w:rPr>
                <w:sz w:val="20"/>
                <w:szCs w:val="20"/>
                <w:color w:val="auto"/>
              </w:rPr>
            </w:pPr>
            <w:r>
              <w:rPr>
                <w:rFonts w:ascii="Times New Roman" w:cs="Times New Roman" w:eastAsia="Times New Roman" w:hAnsi="Times New Roman"/>
                <w:sz w:val="11"/>
                <w:szCs w:val="11"/>
                <w:color w:val="auto"/>
              </w:rPr>
              <w:t>724,550</w:t>
            </w:r>
          </w:p>
        </w:tc>
        <w:tc>
          <w:tcPr>
            <w:tcW w:w="900" w:type="dxa"/>
            <w:vAlign w:val="bottom"/>
            <w:tcBorders>
              <w:right w:val="single" w:sz="8" w:color="BFBFBF"/>
            </w:tcBorders>
          </w:tcPr>
          <w:p>
            <w:pPr>
              <w:jc w:val="center"/>
              <w:spacing w:after="0"/>
              <w:rPr>
                <w:sz w:val="20"/>
                <w:szCs w:val="20"/>
                <w:color w:val="auto"/>
              </w:rPr>
            </w:pPr>
            <w:r>
              <w:rPr>
                <w:rFonts w:ascii="Times New Roman" w:cs="Times New Roman" w:eastAsia="Times New Roman" w:hAnsi="Times New Roman"/>
                <w:sz w:val="11"/>
                <w:szCs w:val="11"/>
                <w:color w:val="auto"/>
              </w:rPr>
              <w:t>-</w:t>
            </w:r>
          </w:p>
        </w:tc>
        <w:tc>
          <w:tcPr>
            <w:tcW w:w="1140" w:type="dxa"/>
            <w:vAlign w:val="bottom"/>
            <w:tcBorders>
              <w:right w:val="single" w:sz="8" w:color="BFBFBF"/>
            </w:tcBorders>
          </w:tcPr>
          <w:p>
            <w:pPr>
              <w:jc w:val="center"/>
              <w:spacing w:after="0"/>
              <w:rPr>
                <w:sz w:val="20"/>
                <w:szCs w:val="20"/>
                <w:color w:val="auto"/>
              </w:rPr>
            </w:pPr>
            <w:r>
              <w:rPr>
                <w:rFonts w:ascii="Times New Roman" w:cs="Times New Roman" w:eastAsia="Times New Roman" w:hAnsi="Times New Roman"/>
                <w:sz w:val="11"/>
                <w:szCs w:val="11"/>
                <w:color w:val="auto"/>
                <w:w w:val="99"/>
              </w:rPr>
              <w:t>8,860,764</w:t>
            </w:r>
          </w:p>
        </w:tc>
        <w:tc>
          <w:tcPr>
            <w:tcW w:w="1200" w:type="dxa"/>
            <w:vAlign w:val="bottom"/>
            <w:tcBorders>
              <w:right w:val="single" w:sz="8" w:color="BFBFBF"/>
            </w:tcBorders>
          </w:tcPr>
          <w:p>
            <w:pPr>
              <w:jc w:val="center"/>
              <w:spacing w:after="0"/>
              <w:rPr>
                <w:sz w:val="20"/>
                <w:szCs w:val="20"/>
                <w:color w:val="auto"/>
              </w:rPr>
            </w:pPr>
            <w:r>
              <w:rPr>
                <w:rFonts w:ascii="Times New Roman" w:cs="Times New Roman" w:eastAsia="Times New Roman" w:hAnsi="Times New Roman"/>
                <w:sz w:val="11"/>
                <w:szCs w:val="11"/>
                <w:color w:val="auto"/>
                <w:w w:val="94"/>
              </w:rPr>
              <w:t>252,000</w:t>
            </w:r>
          </w:p>
        </w:tc>
        <w:tc>
          <w:tcPr>
            <w:tcW w:w="980" w:type="dxa"/>
            <w:vAlign w:val="bottom"/>
            <w:tcBorders>
              <w:right w:val="single" w:sz="8" w:color="BFBFBF"/>
            </w:tcBorders>
          </w:tcPr>
          <w:p>
            <w:pPr>
              <w:jc w:val="center"/>
              <w:spacing w:after="0"/>
              <w:rPr>
                <w:sz w:val="20"/>
                <w:szCs w:val="20"/>
                <w:color w:val="auto"/>
              </w:rPr>
            </w:pPr>
            <w:r>
              <w:rPr>
                <w:rFonts w:ascii="Times New Roman" w:cs="Times New Roman" w:eastAsia="Times New Roman" w:hAnsi="Times New Roman"/>
                <w:sz w:val="11"/>
                <w:szCs w:val="11"/>
                <w:color w:val="auto"/>
              </w:rPr>
              <w:t>-</w:t>
            </w:r>
          </w:p>
        </w:tc>
        <w:tc>
          <w:tcPr>
            <w:tcW w:w="820" w:type="dxa"/>
            <w:vAlign w:val="bottom"/>
            <w:tcBorders>
              <w:right w:val="single" w:sz="8" w:color="BFBFBF"/>
            </w:tcBorders>
          </w:tcPr>
          <w:p>
            <w:pPr>
              <w:jc w:val="center"/>
              <w:spacing w:after="0"/>
              <w:rPr>
                <w:sz w:val="20"/>
                <w:szCs w:val="20"/>
                <w:color w:val="auto"/>
              </w:rPr>
            </w:pPr>
            <w:r>
              <w:rPr>
                <w:rFonts w:ascii="Times New Roman" w:cs="Times New Roman" w:eastAsia="Times New Roman" w:hAnsi="Times New Roman"/>
                <w:sz w:val="11"/>
                <w:szCs w:val="11"/>
                <w:color w:val="auto"/>
              </w:rPr>
              <w:t>-</w:t>
            </w:r>
          </w:p>
        </w:tc>
        <w:tc>
          <w:tcPr>
            <w:tcW w:w="1140" w:type="dxa"/>
            <w:vAlign w:val="bottom"/>
            <w:tcBorders>
              <w:right w:val="single" w:sz="8" w:color="BFBFBF"/>
            </w:tcBorders>
          </w:tcPr>
          <w:p>
            <w:pPr>
              <w:jc w:val="center"/>
              <w:spacing w:after="0"/>
              <w:rPr>
                <w:sz w:val="20"/>
                <w:szCs w:val="20"/>
                <w:color w:val="auto"/>
              </w:rPr>
            </w:pPr>
            <w:r>
              <w:rPr>
                <w:rFonts w:ascii="Times New Roman" w:cs="Times New Roman" w:eastAsia="Times New Roman" w:hAnsi="Times New Roman"/>
                <w:sz w:val="8"/>
                <w:szCs w:val="8"/>
                <w:color w:val="auto"/>
                <w:w w:val="73"/>
              </w:rPr>
              <w:t>-</w:t>
            </w:r>
          </w:p>
        </w:tc>
        <w:tc>
          <w:tcPr>
            <w:tcW w:w="1240" w:type="dxa"/>
            <w:vAlign w:val="bottom"/>
            <w:tcBorders>
              <w:right w:val="single" w:sz="8" w:color="BFBFBF"/>
            </w:tcBorders>
          </w:tcPr>
          <w:p>
            <w:pPr>
              <w:jc w:val="center"/>
              <w:spacing w:after="0"/>
              <w:rPr>
                <w:sz w:val="20"/>
                <w:szCs w:val="20"/>
                <w:color w:val="auto"/>
              </w:rPr>
            </w:pPr>
            <w:r>
              <w:rPr>
                <w:rFonts w:ascii="Times New Roman" w:cs="Times New Roman" w:eastAsia="Times New Roman" w:hAnsi="Times New Roman"/>
                <w:sz w:val="11"/>
                <w:szCs w:val="11"/>
                <w:color w:val="auto"/>
                <w:w w:val="99"/>
              </w:rPr>
              <w:t>9,837,314</w:t>
            </w:r>
          </w:p>
        </w:tc>
      </w:tr>
      <w:tr>
        <w:trPr>
          <w:trHeight w:val="135"/>
        </w:trPr>
        <w:tc>
          <w:tcPr>
            <w:tcW w:w="1980" w:type="dxa"/>
            <w:vAlign w:val="bottom"/>
            <w:tcBorders>
              <w:left w:val="single" w:sz="8" w:color="BFBFBF"/>
              <w:right w:val="single" w:sz="8" w:color="BFBFBF"/>
            </w:tcBorders>
          </w:tcPr>
          <w:p>
            <w:pPr>
              <w:ind w:left="40"/>
              <w:spacing w:after="0"/>
              <w:rPr>
                <w:sz w:val="20"/>
                <w:szCs w:val="20"/>
                <w:color w:val="auto"/>
              </w:rPr>
            </w:pPr>
            <w:r>
              <w:rPr>
                <w:rFonts w:ascii="Times New Roman" w:cs="Times New Roman" w:eastAsia="Times New Roman" w:hAnsi="Times New Roman"/>
                <w:sz w:val="11"/>
                <w:szCs w:val="11"/>
                <w:color w:val="auto"/>
              </w:rPr>
              <w:t>President</w:t>
            </w:r>
          </w:p>
        </w:tc>
        <w:tc>
          <w:tcPr>
            <w:tcW w:w="680" w:type="dxa"/>
            <w:vAlign w:val="bottom"/>
            <w:tcBorders>
              <w:right w:val="single" w:sz="8" w:color="BFBFBF"/>
            </w:tcBorders>
          </w:tcPr>
          <w:p>
            <w:pPr>
              <w:ind w:left="220"/>
              <w:spacing w:after="0"/>
              <w:rPr>
                <w:sz w:val="20"/>
                <w:szCs w:val="20"/>
                <w:color w:val="auto"/>
              </w:rPr>
            </w:pPr>
            <w:r>
              <w:rPr>
                <w:rFonts w:ascii="Times New Roman" w:cs="Times New Roman" w:eastAsia="Times New Roman" w:hAnsi="Times New Roman"/>
                <w:sz w:val="11"/>
                <w:szCs w:val="11"/>
                <w:color w:val="auto"/>
              </w:rPr>
              <w:t>2024</w:t>
            </w:r>
          </w:p>
        </w:tc>
        <w:tc>
          <w:tcPr>
            <w:tcW w:w="1240" w:type="dxa"/>
            <w:vAlign w:val="bottom"/>
            <w:tcBorders>
              <w:right w:val="single" w:sz="8" w:color="BFBFBF"/>
            </w:tcBorders>
          </w:tcPr>
          <w:p>
            <w:pPr>
              <w:jc w:val="center"/>
              <w:spacing w:after="0"/>
              <w:rPr>
                <w:sz w:val="20"/>
                <w:szCs w:val="20"/>
                <w:color w:val="auto"/>
              </w:rPr>
            </w:pPr>
            <w:r>
              <w:rPr>
                <w:rFonts w:ascii="Times New Roman" w:cs="Times New Roman" w:eastAsia="Times New Roman" w:hAnsi="Times New Roman"/>
                <w:sz w:val="11"/>
                <w:szCs w:val="11"/>
                <w:color w:val="auto"/>
              </w:rPr>
              <w:t>480,000</w:t>
            </w:r>
          </w:p>
        </w:tc>
        <w:tc>
          <w:tcPr>
            <w:tcW w:w="900" w:type="dxa"/>
            <w:vAlign w:val="bottom"/>
            <w:tcBorders>
              <w:right w:val="single" w:sz="8" w:color="BFBFBF"/>
            </w:tcBorders>
          </w:tcPr>
          <w:p>
            <w:pPr>
              <w:jc w:val="center"/>
              <w:spacing w:after="0"/>
              <w:rPr>
                <w:sz w:val="20"/>
                <w:szCs w:val="20"/>
                <w:color w:val="auto"/>
              </w:rPr>
            </w:pPr>
            <w:r>
              <w:rPr>
                <w:rFonts w:ascii="Times New Roman" w:cs="Times New Roman" w:eastAsia="Times New Roman" w:hAnsi="Times New Roman"/>
                <w:sz w:val="11"/>
                <w:szCs w:val="11"/>
                <w:color w:val="auto"/>
              </w:rPr>
              <w:t>-</w:t>
            </w:r>
          </w:p>
        </w:tc>
        <w:tc>
          <w:tcPr>
            <w:tcW w:w="1140" w:type="dxa"/>
            <w:vAlign w:val="bottom"/>
            <w:tcBorders>
              <w:right w:val="single" w:sz="8" w:color="BFBFBF"/>
            </w:tcBorders>
          </w:tcPr>
          <w:p>
            <w:pPr>
              <w:jc w:val="center"/>
              <w:spacing w:after="0"/>
              <w:rPr>
                <w:sz w:val="20"/>
                <w:szCs w:val="20"/>
                <w:color w:val="auto"/>
              </w:rPr>
            </w:pPr>
            <w:r>
              <w:rPr>
                <w:rFonts w:ascii="Times New Roman" w:cs="Times New Roman" w:eastAsia="Times New Roman" w:hAnsi="Times New Roman"/>
                <w:sz w:val="11"/>
                <w:szCs w:val="11"/>
                <w:color w:val="auto"/>
                <w:w w:val="99"/>
              </w:rPr>
              <w:t>2,631,048</w:t>
            </w:r>
          </w:p>
        </w:tc>
        <w:tc>
          <w:tcPr>
            <w:tcW w:w="1200" w:type="dxa"/>
            <w:vAlign w:val="bottom"/>
            <w:tcBorders>
              <w:right w:val="single" w:sz="8" w:color="BFBFBF"/>
            </w:tcBorders>
          </w:tcPr>
          <w:p>
            <w:pPr>
              <w:jc w:val="center"/>
              <w:spacing w:after="0"/>
              <w:rPr>
                <w:sz w:val="20"/>
                <w:szCs w:val="20"/>
                <w:color w:val="auto"/>
              </w:rPr>
            </w:pPr>
            <w:r>
              <w:rPr>
                <w:rFonts w:ascii="Times New Roman" w:cs="Times New Roman" w:eastAsia="Times New Roman" w:hAnsi="Times New Roman"/>
                <w:sz w:val="11"/>
                <w:szCs w:val="11"/>
                <w:color w:val="auto"/>
                <w:w w:val="94"/>
              </w:rPr>
              <w:t>252,000</w:t>
            </w:r>
          </w:p>
        </w:tc>
        <w:tc>
          <w:tcPr>
            <w:tcW w:w="980" w:type="dxa"/>
            <w:vAlign w:val="bottom"/>
            <w:tcBorders>
              <w:right w:val="single" w:sz="8" w:color="BFBFBF"/>
            </w:tcBorders>
          </w:tcPr>
          <w:p>
            <w:pPr>
              <w:jc w:val="center"/>
              <w:spacing w:after="0"/>
              <w:rPr>
                <w:sz w:val="20"/>
                <w:szCs w:val="20"/>
                <w:color w:val="auto"/>
              </w:rPr>
            </w:pPr>
            <w:r>
              <w:rPr>
                <w:rFonts w:ascii="Times New Roman" w:cs="Times New Roman" w:eastAsia="Times New Roman" w:hAnsi="Times New Roman"/>
                <w:sz w:val="11"/>
                <w:szCs w:val="11"/>
                <w:color w:val="auto"/>
              </w:rPr>
              <w:t>-</w:t>
            </w:r>
          </w:p>
        </w:tc>
        <w:tc>
          <w:tcPr>
            <w:tcW w:w="820" w:type="dxa"/>
            <w:vAlign w:val="bottom"/>
            <w:tcBorders>
              <w:right w:val="single" w:sz="8" w:color="BFBFBF"/>
            </w:tcBorders>
          </w:tcPr>
          <w:p>
            <w:pPr>
              <w:jc w:val="center"/>
              <w:spacing w:after="0"/>
              <w:rPr>
                <w:sz w:val="20"/>
                <w:szCs w:val="20"/>
                <w:color w:val="auto"/>
              </w:rPr>
            </w:pPr>
            <w:r>
              <w:rPr>
                <w:rFonts w:ascii="Times New Roman" w:cs="Times New Roman" w:eastAsia="Times New Roman" w:hAnsi="Times New Roman"/>
                <w:sz w:val="11"/>
                <w:szCs w:val="11"/>
                <w:color w:val="auto"/>
              </w:rPr>
              <w:t>-</w:t>
            </w:r>
          </w:p>
        </w:tc>
        <w:tc>
          <w:tcPr>
            <w:tcW w:w="1140" w:type="dxa"/>
            <w:vAlign w:val="bottom"/>
            <w:tcBorders>
              <w:right w:val="single" w:sz="8" w:color="BFBFBF"/>
            </w:tcBorders>
          </w:tcPr>
          <w:p>
            <w:pPr>
              <w:jc w:val="center"/>
              <w:spacing w:after="0"/>
              <w:rPr>
                <w:sz w:val="20"/>
                <w:szCs w:val="20"/>
                <w:color w:val="auto"/>
              </w:rPr>
            </w:pPr>
            <w:r>
              <w:rPr>
                <w:rFonts w:ascii="Times New Roman" w:cs="Times New Roman" w:eastAsia="Times New Roman" w:hAnsi="Times New Roman"/>
                <w:sz w:val="8"/>
                <w:szCs w:val="8"/>
                <w:color w:val="auto"/>
                <w:w w:val="73"/>
              </w:rPr>
              <w:t>-</w:t>
            </w:r>
          </w:p>
        </w:tc>
        <w:tc>
          <w:tcPr>
            <w:tcW w:w="1240" w:type="dxa"/>
            <w:vAlign w:val="bottom"/>
            <w:tcBorders>
              <w:right w:val="single" w:sz="8" w:color="BFBFBF"/>
            </w:tcBorders>
          </w:tcPr>
          <w:p>
            <w:pPr>
              <w:jc w:val="center"/>
              <w:spacing w:after="0"/>
              <w:rPr>
                <w:sz w:val="20"/>
                <w:szCs w:val="20"/>
                <w:color w:val="auto"/>
              </w:rPr>
            </w:pPr>
            <w:r>
              <w:rPr>
                <w:rFonts w:ascii="Times New Roman" w:cs="Times New Roman" w:eastAsia="Times New Roman" w:hAnsi="Times New Roman"/>
                <w:sz w:val="11"/>
                <w:szCs w:val="11"/>
                <w:color w:val="auto"/>
                <w:w w:val="99"/>
              </w:rPr>
              <w:t>3,363,048</w:t>
            </w:r>
          </w:p>
        </w:tc>
      </w:tr>
      <w:tr>
        <w:trPr>
          <w:trHeight w:val="147"/>
        </w:trPr>
        <w:tc>
          <w:tcPr>
            <w:tcW w:w="1980" w:type="dxa"/>
            <w:vAlign w:val="bottom"/>
            <w:tcBorders>
              <w:left w:val="single" w:sz="8" w:color="BFBFBF"/>
              <w:bottom w:val="single" w:sz="8" w:color="BFBFBF"/>
              <w:right w:val="single" w:sz="8" w:color="BFBFBF"/>
            </w:tcBorders>
          </w:tcPr>
          <w:p>
            <w:pPr>
              <w:spacing w:after="0"/>
              <w:rPr>
                <w:sz w:val="12"/>
                <w:szCs w:val="12"/>
                <w:color w:val="auto"/>
              </w:rPr>
            </w:pPr>
          </w:p>
        </w:tc>
        <w:tc>
          <w:tcPr>
            <w:tcW w:w="680" w:type="dxa"/>
            <w:vAlign w:val="bottom"/>
            <w:tcBorders>
              <w:bottom w:val="single" w:sz="8" w:color="BFBFBF"/>
              <w:right w:val="single" w:sz="8" w:color="BFBFBF"/>
            </w:tcBorders>
          </w:tcPr>
          <w:p>
            <w:pPr>
              <w:ind w:left="220"/>
              <w:spacing w:after="0"/>
              <w:rPr>
                <w:sz w:val="20"/>
                <w:szCs w:val="20"/>
                <w:color w:val="auto"/>
              </w:rPr>
            </w:pPr>
            <w:r>
              <w:rPr>
                <w:rFonts w:ascii="Times New Roman" w:cs="Times New Roman" w:eastAsia="Times New Roman" w:hAnsi="Times New Roman"/>
                <w:sz w:val="11"/>
                <w:szCs w:val="11"/>
                <w:color w:val="auto"/>
              </w:rPr>
              <w:t>2023</w:t>
            </w:r>
          </w:p>
        </w:tc>
        <w:tc>
          <w:tcPr>
            <w:tcW w:w="1240" w:type="dxa"/>
            <w:vAlign w:val="bottom"/>
            <w:tcBorders>
              <w:bottom w:val="single" w:sz="8" w:color="BFBFBF"/>
              <w:right w:val="single" w:sz="8" w:color="BFBFBF"/>
            </w:tcBorders>
          </w:tcPr>
          <w:p>
            <w:pPr>
              <w:jc w:val="center"/>
              <w:spacing w:after="0"/>
              <w:rPr>
                <w:sz w:val="20"/>
                <w:szCs w:val="20"/>
                <w:color w:val="auto"/>
              </w:rPr>
            </w:pPr>
            <w:r>
              <w:rPr>
                <w:rFonts w:ascii="Times New Roman" w:cs="Times New Roman" w:eastAsia="Times New Roman" w:hAnsi="Times New Roman"/>
                <w:sz w:val="11"/>
                <w:szCs w:val="11"/>
                <w:color w:val="auto"/>
              </w:rPr>
              <w:t>480,000</w:t>
            </w:r>
          </w:p>
        </w:tc>
        <w:tc>
          <w:tcPr>
            <w:tcW w:w="900" w:type="dxa"/>
            <w:vAlign w:val="bottom"/>
            <w:tcBorders>
              <w:bottom w:val="single" w:sz="8" w:color="BFBFBF"/>
              <w:right w:val="single" w:sz="8" w:color="BFBFBF"/>
            </w:tcBorders>
          </w:tcPr>
          <w:p>
            <w:pPr>
              <w:jc w:val="center"/>
              <w:spacing w:after="0"/>
              <w:rPr>
                <w:sz w:val="20"/>
                <w:szCs w:val="20"/>
                <w:color w:val="auto"/>
              </w:rPr>
            </w:pPr>
            <w:r>
              <w:rPr>
                <w:rFonts w:ascii="Times New Roman" w:cs="Times New Roman" w:eastAsia="Times New Roman" w:hAnsi="Times New Roman"/>
                <w:sz w:val="11"/>
                <w:szCs w:val="11"/>
                <w:color w:val="auto"/>
              </w:rPr>
              <w:t>-</w:t>
            </w:r>
          </w:p>
        </w:tc>
        <w:tc>
          <w:tcPr>
            <w:tcW w:w="1140" w:type="dxa"/>
            <w:vAlign w:val="bottom"/>
            <w:tcBorders>
              <w:bottom w:val="single" w:sz="8" w:color="BFBFBF"/>
              <w:right w:val="single" w:sz="8" w:color="BFBFBF"/>
            </w:tcBorders>
          </w:tcPr>
          <w:p>
            <w:pPr>
              <w:jc w:val="center"/>
              <w:spacing w:after="0"/>
              <w:rPr>
                <w:sz w:val="20"/>
                <w:szCs w:val="20"/>
                <w:color w:val="auto"/>
              </w:rPr>
            </w:pPr>
            <w:r>
              <w:rPr>
                <w:rFonts w:ascii="Times New Roman" w:cs="Times New Roman" w:eastAsia="Times New Roman" w:hAnsi="Times New Roman"/>
                <w:sz w:val="11"/>
                <w:szCs w:val="11"/>
                <w:color w:val="auto"/>
              </w:rPr>
              <w:t>-</w:t>
            </w:r>
          </w:p>
        </w:tc>
        <w:tc>
          <w:tcPr>
            <w:tcW w:w="1200" w:type="dxa"/>
            <w:vAlign w:val="bottom"/>
            <w:tcBorders>
              <w:bottom w:val="single" w:sz="8" w:color="BFBFBF"/>
              <w:right w:val="single" w:sz="8" w:color="BFBFBF"/>
            </w:tcBorders>
          </w:tcPr>
          <w:p>
            <w:pPr>
              <w:jc w:val="center"/>
              <w:spacing w:after="0"/>
              <w:rPr>
                <w:sz w:val="20"/>
                <w:szCs w:val="20"/>
                <w:color w:val="auto"/>
              </w:rPr>
            </w:pPr>
            <w:r>
              <w:rPr>
                <w:rFonts w:ascii="Times New Roman" w:cs="Times New Roman" w:eastAsia="Times New Roman" w:hAnsi="Times New Roman"/>
                <w:sz w:val="11"/>
                <w:szCs w:val="11"/>
                <w:color w:val="auto"/>
                <w:w w:val="94"/>
              </w:rPr>
              <w:t>144,000</w:t>
            </w:r>
          </w:p>
        </w:tc>
        <w:tc>
          <w:tcPr>
            <w:tcW w:w="980" w:type="dxa"/>
            <w:vAlign w:val="bottom"/>
            <w:tcBorders>
              <w:bottom w:val="single" w:sz="8" w:color="BFBFBF"/>
              <w:right w:val="single" w:sz="8" w:color="BFBFBF"/>
            </w:tcBorders>
          </w:tcPr>
          <w:p>
            <w:pPr>
              <w:jc w:val="center"/>
              <w:spacing w:after="0"/>
              <w:rPr>
                <w:sz w:val="20"/>
                <w:szCs w:val="20"/>
                <w:color w:val="auto"/>
              </w:rPr>
            </w:pPr>
            <w:r>
              <w:rPr>
                <w:rFonts w:ascii="Times New Roman" w:cs="Times New Roman" w:eastAsia="Times New Roman" w:hAnsi="Times New Roman"/>
                <w:sz w:val="11"/>
                <w:szCs w:val="11"/>
                <w:color w:val="auto"/>
              </w:rPr>
              <w:t>-</w:t>
            </w:r>
          </w:p>
        </w:tc>
        <w:tc>
          <w:tcPr>
            <w:tcW w:w="820" w:type="dxa"/>
            <w:vAlign w:val="bottom"/>
            <w:tcBorders>
              <w:bottom w:val="single" w:sz="8" w:color="BFBFBF"/>
              <w:right w:val="single" w:sz="8" w:color="BFBFBF"/>
            </w:tcBorders>
          </w:tcPr>
          <w:p>
            <w:pPr>
              <w:jc w:val="center"/>
              <w:spacing w:after="0"/>
              <w:rPr>
                <w:sz w:val="20"/>
                <w:szCs w:val="20"/>
                <w:color w:val="auto"/>
              </w:rPr>
            </w:pPr>
            <w:r>
              <w:rPr>
                <w:rFonts w:ascii="Times New Roman" w:cs="Times New Roman" w:eastAsia="Times New Roman" w:hAnsi="Times New Roman"/>
                <w:sz w:val="11"/>
                <w:szCs w:val="11"/>
                <w:color w:val="auto"/>
              </w:rPr>
              <w:t>-</w:t>
            </w:r>
          </w:p>
        </w:tc>
        <w:tc>
          <w:tcPr>
            <w:tcW w:w="1140" w:type="dxa"/>
            <w:vAlign w:val="bottom"/>
            <w:tcBorders>
              <w:bottom w:val="single" w:sz="8" w:color="BFBFBF"/>
              <w:right w:val="single" w:sz="8" w:color="BFBFBF"/>
            </w:tcBorders>
          </w:tcPr>
          <w:p>
            <w:pPr>
              <w:jc w:val="center"/>
              <w:spacing w:after="0"/>
              <w:rPr>
                <w:sz w:val="20"/>
                <w:szCs w:val="20"/>
                <w:color w:val="auto"/>
              </w:rPr>
            </w:pPr>
            <w:r>
              <w:rPr>
                <w:rFonts w:ascii="Times New Roman" w:cs="Times New Roman" w:eastAsia="Times New Roman" w:hAnsi="Times New Roman"/>
                <w:sz w:val="8"/>
                <w:szCs w:val="8"/>
                <w:color w:val="auto"/>
                <w:w w:val="73"/>
              </w:rPr>
              <w:t>-</w:t>
            </w:r>
          </w:p>
        </w:tc>
        <w:tc>
          <w:tcPr>
            <w:tcW w:w="1240" w:type="dxa"/>
            <w:vAlign w:val="bottom"/>
            <w:tcBorders>
              <w:bottom w:val="single" w:sz="8" w:color="BFBFBF"/>
              <w:right w:val="single" w:sz="8" w:color="BFBFBF"/>
            </w:tcBorders>
          </w:tcPr>
          <w:p>
            <w:pPr>
              <w:jc w:val="center"/>
              <w:spacing w:after="0"/>
              <w:rPr>
                <w:sz w:val="20"/>
                <w:szCs w:val="20"/>
                <w:color w:val="auto"/>
              </w:rPr>
            </w:pPr>
            <w:r>
              <w:rPr>
                <w:rFonts w:ascii="Times New Roman" w:cs="Times New Roman" w:eastAsia="Times New Roman" w:hAnsi="Times New Roman"/>
                <w:sz w:val="11"/>
                <w:szCs w:val="11"/>
                <w:color w:val="auto"/>
              </w:rPr>
              <w:t>624,000</w:t>
            </w:r>
          </w:p>
        </w:tc>
      </w:tr>
      <w:tr>
        <w:trPr>
          <w:trHeight w:val="130"/>
        </w:trPr>
        <w:tc>
          <w:tcPr>
            <w:tcW w:w="1980" w:type="dxa"/>
            <w:vAlign w:val="bottom"/>
            <w:tcBorders>
              <w:left w:val="single" w:sz="8" w:color="BFBFBF"/>
              <w:right w:val="single" w:sz="8" w:color="BFBFBF"/>
            </w:tcBorders>
          </w:tcPr>
          <w:p>
            <w:pPr>
              <w:ind w:left="40"/>
              <w:spacing w:after="0" w:line="131" w:lineRule="exact"/>
              <w:rPr>
                <w:sz w:val="20"/>
                <w:szCs w:val="20"/>
                <w:color w:val="auto"/>
              </w:rPr>
            </w:pPr>
            <w:r>
              <w:rPr>
                <w:rFonts w:ascii="Times New Roman" w:cs="Times New Roman" w:eastAsia="Times New Roman" w:hAnsi="Times New Roman"/>
                <w:sz w:val="11"/>
                <w:szCs w:val="11"/>
                <w:color w:val="auto"/>
              </w:rPr>
              <w:t xml:space="preserve">Paul Glavine, </w:t>
            </w:r>
            <w:r>
              <w:rPr>
                <w:rFonts w:ascii="Times New Roman" w:cs="Times New Roman" w:eastAsia="Times New Roman" w:hAnsi="Times New Roman"/>
                <w:sz w:val="14"/>
                <w:szCs w:val="14"/>
                <w:color w:val="auto"/>
                <w:vertAlign w:val="superscript"/>
              </w:rPr>
              <w:t>(3)</w:t>
            </w:r>
          </w:p>
        </w:tc>
        <w:tc>
          <w:tcPr>
            <w:tcW w:w="680" w:type="dxa"/>
            <w:vAlign w:val="bottom"/>
            <w:tcBorders>
              <w:right w:val="single" w:sz="8" w:color="BFBFBF"/>
            </w:tcBorders>
          </w:tcPr>
          <w:p>
            <w:pPr>
              <w:ind w:left="220"/>
              <w:spacing w:after="0"/>
              <w:rPr>
                <w:sz w:val="20"/>
                <w:szCs w:val="20"/>
                <w:color w:val="auto"/>
              </w:rPr>
            </w:pPr>
            <w:r>
              <w:rPr>
                <w:rFonts w:ascii="Times New Roman" w:cs="Times New Roman" w:eastAsia="Times New Roman" w:hAnsi="Times New Roman"/>
                <w:sz w:val="11"/>
                <w:szCs w:val="11"/>
                <w:color w:val="auto"/>
              </w:rPr>
              <w:t>2025</w:t>
            </w:r>
          </w:p>
        </w:tc>
        <w:tc>
          <w:tcPr>
            <w:tcW w:w="1240" w:type="dxa"/>
            <w:vAlign w:val="bottom"/>
            <w:tcBorders>
              <w:right w:val="single" w:sz="8" w:color="BFBFBF"/>
            </w:tcBorders>
          </w:tcPr>
          <w:p>
            <w:pPr>
              <w:jc w:val="center"/>
              <w:spacing w:after="0"/>
              <w:rPr>
                <w:sz w:val="20"/>
                <w:szCs w:val="20"/>
                <w:color w:val="auto"/>
              </w:rPr>
            </w:pPr>
            <w:r>
              <w:rPr>
                <w:rFonts w:ascii="Times New Roman" w:cs="Times New Roman" w:eastAsia="Times New Roman" w:hAnsi="Times New Roman"/>
                <w:sz w:val="11"/>
                <w:szCs w:val="11"/>
                <w:color w:val="auto"/>
              </w:rPr>
              <w:t>724,550</w:t>
            </w:r>
          </w:p>
        </w:tc>
        <w:tc>
          <w:tcPr>
            <w:tcW w:w="900" w:type="dxa"/>
            <w:vAlign w:val="bottom"/>
            <w:tcBorders>
              <w:right w:val="single" w:sz="8" w:color="BFBFBF"/>
            </w:tcBorders>
          </w:tcPr>
          <w:p>
            <w:pPr>
              <w:jc w:val="center"/>
              <w:spacing w:after="0"/>
              <w:rPr>
                <w:sz w:val="20"/>
                <w:szCs w:val="20"/>
                <w:color w:val="auto"/>
              </w:rPr>
            </w:pPr>
            <w:r>
              <w:rPr>
                <w:rFonts w:ascii="Times New Roman" w:cs="Times New Roman" w:eastAsia="Times New Roman" w:hAnsi="Times New Roman"/>
                <w:sz w:val="11"/>
                <w:szCs w:val="11"/>
                <w:color w:val="auto"/>
              </w:rPr>
              <w:t>-</w:t>
            </w:r>
          </w:p>
        </w:tc>
        <w:tc>
          <w:tcPr>
            <w:tcW w:w="1140" w:type="dxa"/>
            <w:vAlign w:val="bottom"/>
            <w:tcBorders>
              <w:right w:val="single" w:sz="8" w:color="BFBFBF"/>
            </w:tcBorders>
          </w:tcPr>
          <w:p>
            <w:pPr>
              <w:jc w:val="center"/>
              <w:spacing w:after="0"/>
              <w:rPr>
                <w:sz w:val="20"/>
                <w:szCs w:val="20"/>
                <w:color w:val="auto"/>
              </w:rPr>
            </w:pPr>
            <w:r>
              <w:rPr>
                <w:rFonts w:ascii="Times New Roman" w:cs="Times New Roman" w:eastAsia="Times New Roman" w:hAnsi="Times New Roman"/>
                <w:sz w:val="11"/>
                <w:szCs w:val="11"/>
                <w:color w:val="auto"/>
                <w:w w:val="99"/>
              </w:rPr>
              <w:t>8,860,764</w:t>
            </w:r>
          </w:p>
        </w:tc>
        <w:tc>
          <w:tcPr>
            <w:tcW w:w="1200" w:type="dxa"/>
            <w:vAlign w:val="bottom"/>
            <w:tcBorders>
              <w:right w:val="single" w:sz="8" w:color="BFBFBF"/>
            </w:tcBorders>
          </w:tcPr>
          <w:p>
            <w:pPr>
              <w:jc w:val="center"/>
              <w:spacing w:after="0"/>
              <w:rPr>
                <w:sz w:val="20"/>
                <w:szCs w:val="20"/>
                <w:color w:val="auto"/>
              </w:rPr>
            </w:pPr>
            <w:r>
              <w:rPr>
                <w:rFonts w:ascii="Times New Roman" w:cs="Times New Roman" w:eastAsia="Times New Roman" w:hAnsi="Times New Roman"/>
                <w:sz w:val="11"/>
                <w:szCs w:val="11"/>
                <w:color w:val="auto"/>
                <w:w w:val="94"/>
              </w:rPr>
              <w:t>252,000</w:t>
            </w:r>
          </w:p>
        </w:tc>
        <w:tc>
          <w:tcPr>
            <w:tcW w:w="980" w:type="dxa"/>
            <w:vAlign w:val="bottom"/>
            <w:tcBorders>
              <w:right w:val="single" w:sz="8" w:color="BFBFBF"/>
            </w:tcBorders>
          </w:tcPr>
          <w:p>
            <w:pPr>
              <w:jc w:val="center"/>
              <w:spacing w:after="0"/>
              <w:rPr>
                <w:sz w:val="20"/>
                <w:szCs w:val="20"/>
                <w:color w:val="auto"/>
              </w:rPr>
            </w:pPr>
            <w:r>
              <w:rPr>
                <w:rFonts w:ascii="Times New Roman" w:cs="Times New Roman" w:eastAsia="Times New Roman" w:hAnsi="Times New Roman"/>
                <w:sz w:val="11"/>
                <w:szCs w:val="11"/>
                <w:color w:val="auto"/>
              </w:rPr>
              <w:t>-</w:t>
            </w:r>
          </w:p>
        </w:tc>
        <w:tc>
          <w:tcPr>
            <w:tcW w:w="820" w:type="dxa"/>
            <w:vAlign w:val="bottom"/>
            <w:tcBorders>
              <w:right w:val="single" w:sz="8" w:color="BFBFBF"/>
            </w:tcBorders>
          </w:tcPr>
          <w:p>
            <w:pPr>
              <w:jc w:val="center"/>
              <w:spacing w:after="0"/>
              <w:rPr>
                <w:sz w:val="20"/>
                <w:szCs w:val="20"/>
                <w:color w:val="auto"/>
              </w:rPr>
            </w:pPr>
            <w:r>
              <w:rPr>
                <w:rFonts w:ascii="Times New Roman" w:cs="Times New Roman" w:eastAsia="Times New Roman" w:hAnsi="Times New Roman"/>
                <w:sz w:val="11"/>
                <w:szCs w:val="11"/>
                <w:color w:val="auto"/>
              </w:rPr>
              <w:t>-</w:t>
            </w:r>
          </w:p>
        </w:tc>
        <w:tc>
          <w:tcPr>
            <w:tcW w:w="1140" w:type="dxa"/>
            <w:vAlign w:val="bottom"/>
            <w:tcBorders>
              <w:right w:val="single" w:sz="8" w:color="BFBFBF"/>
            </w:tcBorders>
          </w:tcPr>
          <w:p>
            <w:pPr>
              <w:jc w:val="center"/>
              <w:spacing w:after="0"/>
              <w:rPr>
                <w:sz w:val="20"/>
                <w:szCs w:val="20"/>
                <w:color w:val="auto"/>
              </w:rPr>
            </w:pPr>
            <w:r>
              <w:rPr>
                <w:rFonts w:ascii="Times New Roman" w:cs="Times New Roman" w:eastAsia="Times New Roman" w:hAnsi="Times New Roman"/>
                <w:sz w:val="8"/>
                <w:szCs w:val="8"/>
                <w:color w:val="auto"/>
                <w:w w:val="73"/>
              </w:rPr>
              <w:t>-</w:t>
            </w:r>
          </w:p>
        </w:tc>
        <w:tc>
          <w:tcPr>
            <w:tcW w:w="1240" w:type="dxa"/>
            <w:vAlign w:val="bottom"/>
            <w:tcBorders>
              <w:right w:val="single" w:sz="8" w:color="BFBFBF"/>
            </w:tcBorders>
          </w:tcPr>
          <w:p>
            <w:pPr>
              <w:jc w:val="center"/>
              <w:spacing w:after="0"/>
              <w:rPr>
                <w:sz w:val="20"/>
                <w:szCs w:val="20"/>
                <w:color w:val="auto"/>
              </w:rPr>
            </w:pPr>
            <w:r>
              <w:rPr>
                <w:rFonts w:ascii="Times New Roman" w:cs="Times New Roman" w:eastAsia="Times New Roman" w:hAnsi="Times New Roman"/>
                <w:sz w:val="11"/>
                <w:szCs w:val="11"/>
                <w:color w:val="auto"/>
                <w:w w:val="99"/>
              </w:rPr>
              <w:t>9,837,314</w:t>
            </w:r>
          </w:p>
        </w:tc>
      </w:tr>
      <w:tr>
        <w:trPr>
          <w:trHeight w:val="135"/>
        </w:trPr>
        <w:tc>
          <w:tcPr>
            <w:tcW w:w="1980" w:type="dxa"/>
            <w:vAlign w:val="bottom"/>
            <w:tcBorders>
              <w:left w:val="single" w:sz="8" w:color="BFBFBF"/>
              <w:right w:val="single" w:sz="8" w:color="BFBFBF"/>
            </w:tcBorders>
          </w:tcPr>
          <w:p>
            <w:pPr>
              <w:ind w:left="40"/>
              <w:spacing w:after="0"/>
              <w:rPr>
                <w:sz w:val="20"/>
                <w:szCs w:val="20"/>
                <w:color w:val="auto"/>
              </w:rPr>
            </w:pPr>
            <w:r>
              <w:rPr>
                <w:rFonts w:ascii="Times New Roman" w:cs="Times New Roman" w:eastAsia="Times New Roman" w:hAnsi="Times New Roman"/>
                <w:sz w:val="11"/>
                <w:szCs w:val="11"/>
                <w:color w:val="auto"/>
              </w:rPr>
              <w:t>Chief Growth Officer</w:t>
            </w:r>
          </w:p>
        </w:tc>
        <w:tc>
          <w:tcPr>
            <w:tcW w:w="680" w:type="dxa"/>
            <w:vAlign w:val="bottom"/>
            <w:tcBorders>
              <w:right w:val="single" w:sz="8" w:color="BFBFBF"/>
            </w:tcBorders>
          </w:tcPr>
          <w:p>
            <w:pPr>
              <w:ind w:left="220"/>
              <w:spacing w:after="0"/>
              <w:rPr>
                <w:sz w:val="20"/>
                <w:szCs w:val="20"/>
                <w:color w:val="auto"/>
              </w:rPr>
            </w:pPr>
            <w:r>
              <w:rPr>
                <w:rFonts w:ascii="Times New Roman" w:cs="Times New Roman" w:eastAsia="Times New Roman" w:hAnsi="Times New Roman"/>
                <w:sz w:val="11"/>
                <w:szCs w:val="11"/>
                <w:color w:val="auto"/>
              </w:rPr>
              <w:t>2024</w:t>
            </w:r>
          </w:p>
        </w:tc>
        <w:tc>
          <w:tcPr>
            <w:tcW w:w="1240" w:type="dxa"/>
            <w:vAlign w:val="bottom"/>
            <w:tcBorders>
              <w:right w:val="single" w:sz="8" w:color="BFBFBF"/>
            </w:tcBorders>
          </w:tcPr>
          <w:p>
            <w:pPr>
              <w:jc w:val="center"/>
              <w:spacing w:after="0"/>
              <w:rPr>
                <w:sz w:val="20"/>
                <w:szCs w:val="20"/>
                <w:color w:val="auto"/>
              </w:rPr>
            </w:pPr>
            <w:r>
              <w:rPr>
                <w:rFonts w:ascii="Times New Roman" w:cs="Times New Roman" w:eastAsia="Times New Roman" w:hAnsi="Times New Roman"/>
                <w:sz w:val="11"/>
                <w:szCs w:val="11"/>
                <w:color w:val="auto"/>
              </w:rPr>
              <w:t>480,000</w:t>
            </w:r>
          </w:p>
        </w:tc>
        <w:tc>
          <w:tcPr>
            <w:tcW w:w="900" w:type="dxa"/>
            <w:vAlign w:val="bottom"/>
            <w:tcBorders>
              <w:right w:val="single" w:sz="8" w:color="BFBFBF"/>
            </w:tcBorders>
          </w:tcPr>
          <w:p>
            <w:pPr>
              <w:jc w:val="center"/>
              <w:spacing w:after="0"/>
              <w:rPr>
                <w:sz w:val="20"/>
                <w:szCs w:val="20"/>
                <w:color w:val="auto"/>
              </w:rPr>
            </w:pPr>
            <w:r>
              <w:rPr>
                <w:rFonts w:ascii="Times New Roman" w:cs="Times New Roman" w:eastAsia="Times New Roman" w:hAnsi="Times New Roman"/>
                <w:sz w:val="11"/>
                <w:szCs w:val="11"/>
                <w:color w:val="auto"/>
              </w:rPr>
              <w:t>-</w:t>
            </w:r>
          </w:p>
        </w:tc>
        <w:tc>
          <w:tcPr>
            <w:tcW w:w="1140" w:type="dxa"/>
            <w:vAlign w:val="bottom"/>
            <w:tcBorders>
              <w:right w:val="single" w:sz="8" w:color="BFBFBF"/>
            </w:tcBorders>
          </w:tcPr>
          <w:p>
            <w:pPr>
              <w:jc w:val="center"/>
              <w:spacing w:after="0"/>
              <w:rPr>
                <w:sz w:val="20"/>
                <w:szCs w:val="20"/>
                <w:color w:val="auto"/>
              </w:rPr>
            </w:pPr>
            <w:r>
              <w:rPr>
                <w:rFonts w:ascii="Times New Roman" w:cs="Times New Roman" w:eastAsia="Times New Roman" w:hAnsi="Times New Roman"/>
                <w:sz w:val="11"/>
                <w:szCs w:val="11"/>
                <w:color w:val="auto"/>
                <w:w w:val="99"/>
              </w:rPr>
              <w:t>2,631,048</w:t>
            </w:r>
          </w:p>
        </w:tc>
        <w:tc>
          <w:tcPr>
            <w:tcW w:w="1200" w:type="dxa"/>
            <w:vAlign w:val="bottom"/>
            <w:tcBorders>
              <w:right w:val="single" w:sz="8" w:color="BFBFBF"/>
            </w:tcBorders>
          </w:tcPr>
          <w:p>
            <w:pPr>
              <w:jc w:val="center"/>
              <w:spacing w:after="0"/>
              <w:rPr>
                <w:sz w:val="20"/>
                <w:szCs w:val="20"/>
                <w:color w:val="auto"/>
              </w:rPr>
            </w:pPr>
            <w:r>
              <w:rPr>
                <w:rFonts w:ascii="Times New Roman" w:cs="Times New Roman" w:eastAsia="Times New Roman" w:hAnsi="Times New Roman"/>
                <w:sz w:val="11"/>
                <w:szCs w:val="11"/>
                <w:color w:val="auto"/>
                <w:w w:val="94"/>
              </w:rPr>
              <w:t>252,000</w:t>
            </w:r>
          </w:p>
        </w:tc>
        <w:tc>
          <w:tcPr>
            <w:tcW w:w="980" w:type="dxa"/>
            <w:vAlign w:val="bottom"/>
            <w:tcBorders>
              <w:right w:val="single" w:sz="8" w:color="BFBFBF"/>
            </w:tcBorders>
          </w:tcPr>
          <w:p>
            <w:pPr>
              <w:jc w:val="center"/>
              <w:spacing w:after="0"/>
              <w:rPr>
                <w:sz w:val="20"/>
                <w:szCs w:val="20"/>
                <w:color w:val="auto"/>
              </w:rPr>
            </w:pPr>
            <w:r>
              <w:rPr>
                <w:rFonts w:ascii="Times New Roman" w:cs="Times New Roman" w:eastAsia="Times New Roman" w:hAnsi="Times New Roman"/>
                <w:sz w:val="11"/>
                <w:szCs w:val="11"/>
                <w:color w:val="auto"/>
              </w:rPr>
              <w:t>-</w:t>
            </w:r>
          </w:p>
        </w:tc>
        <w:tc>
          <w:tcPr>
            <w:tcW w:w="820" w:type="dxa"/>
            <w:vAlign w:val="bottom"/>
            <w:tcBorders>
              <w:right w:val="single" w:sz="8" w:color="BFBFBF"/>
            </w:tcBorders>
          </w:tcPr>
          <w:p>
            <w:pPr>
              <w:jc w:val="center"/>
              <w:spacing w:after="0"/>
              <w:rPr>
                <w:sz w:val="20"/>
                <w:szCs w:val="20"/>
                <w:color w:val="auto"/>
              </w:rPr>
            </w:pPr>
            <w:r>
              <w:rPr>
                <w:rFonts w:ascii="Times New Roman" w:cs="Times New Roman" w:eastAsia="Times New Roman" w:hAnsi="Times New Roman"/>
                <w:sz w:val="11"/>
                <w:szCs w:val="11"/>
                <w:color w:val="auto"/>
              </w:rPr>
              <w:t>-</w:t>
            </w:r>
          </w:p>
        </w:tc>
        <w:tc>
          <w:tcPr>
            <w:tcW w:w="1140" w:type="dxa"/>
            <w:vAlign w:val="bottom"/>
            <w:tcBorders>
              <w:right w:val="single" w:sz="8" w:color="BFBFBF"/>
            </w:tcBorders>
          </w:tcPr>
          <w:p>
            <w:pPr>
              <w:jc w:val="center"/>
              <w:spacing w:after="0"/>
              <w:rPr>
                <w:sz w:val="20"/>
                <w:szCs w:val="20"/>
                <w:color w:val="auto"/>
              </w:rPr>
            </w:pPr>
            <w:r>
              <w:rPr>
                <w:rFonts w:ascii="Times New Roman" w:cs="Times New Roman" w:eastAsia="Times New Roman" w:hAnsi="Times New Roman"/>
                <w:sz w:val="8"/>
                <w:szCs w:val="8"/>
                <w:color w:val="auto"/>
                <w:w w:val="73"/>
              </w:rPr>
              <w:t>-</w:t>
            </w:r>
          </w:p>
        </w:tc>
        <w:tc>
          <w:tcPr>
            <w:tcW w:w="1240" w:type="dxa"/>
            <w:vAlign w:val="bottom"/>
            <w:tcBorders>
              <w:right w:val="single" w:sz="8" w:color="BFBFBF"/>
            </w:tcBorders>
          </w:tcPr>
          <w:p>
            <w:pPr>
              <w:jc w:val="center"/>
              <w:spacing w:after="0"/>
              <w:rPr>
                <w:sz w:val="20"/>
                <w:szCs w:val="20"/>
                <w:color w:val="auto"/>
              </w:rPr>
            </w:pPr>
            <w:r>
              <w:rPr>
                <w:rFonts w:ascii="Times New Roman" w:cs="Times New Roman" w:eastAsia="Times New Roman" w:hAnsi="Times New Roman"/>
                <w:sz w:val="11"/>
                <w:szCs w:val="11"/>
                <w:color w:val="auto"/>
                <w:w w:val="99"/>
              </w:rPr>
              <w:t>3,363,048</w:t>
            </w:r>
          </w:p>
        </w:tc>
      </w:tr>
      <w:tr>
        <w:trPr>
          <w:trHeight w:val="147"/>
        </w:trPr>
        <w:tc>
          <w:tcPr>
            <w:tcW w:w="1980" w:type="dxa"/>
            <w:vAlign w:val="bottom"/>
            <w:tcBorders>
              <w:left w:val="single" w:sz="8" w:color="BFBFBF"/>
              <w:bottom w:val="single" w:sz="8" w:color="BFBFBF"/>
              <w:right w:val="single" w:sz="8" w:color="BFBFBF"/>
            </w:tcBorders>
          </w:tcPr>
          <w:p>
            <w:pPr>
              <w:spacing w:after="0"/>
              <w:rPr>
                <w:sz w:val="12"/>
                <w:szCs w:val="12"/>
                <w:color w:val="auto"/>
              </w:rPr>
            </w:pPr>
          </w:p>
        </w:tc>
        <w:tc>
          <w:tcPr>
            <w:tcW w:w="680" w:type="dxa"/>
            <w:vAlign w:val="bottom"/>
            <w:tcBorders>
              <w:bottom w:val="single" w:sz="8" w:color="BFBFBF"/>
              <w:right w:val="single" w:sz="8" w:color="BFBFBF"/>
            </w:tcBorders>
          </w:tcPr>
          <w:p>
            <w:pPr>
              <w:ind w:left="220"/>
              <w:spacing w:after="0"/>
              <w:rPr>
                <w:sz w:val="20"/>
                <w:szCs w:val="20"/>
                <w:color w:val="auto"/>
              </w:rPr>
            </w:pPr>
            <w:r>
              <w:rPr>
                <w:rFonts w:ascii="Times New Roman" w:cs="Times New Roman" w:eastAsia="Times New Roman" w:hAnsi="Times New Roman"/>
                <w:sz w:val="11"/>
                <w:szCs w:val="11"/>
                <w:color w:val="auto"/>
              </w:rPr>
              <w:t>2023</w:t>
            </w:r>
          </w:p>
        </w:tc>
        <w:tc>
          <w:tcPr>
            <w:tcW w:w="1240" w:type="dxa"/>
            <w:vAlign w:val="bottom"/>
            <w:tcBorders>
              <w:bottom w:val="single" w:sz="8" w:color="BFBFBF"/>
              <w:right w:val="single" w:sz="8" w:color="BFBFBF"/>
            </w:tcBorders>
          </w:tcPr>
          <w:p>
            <w:pPr>
              <w:jc w:val="center"/>
              <w:spacing w:after="0"/>
              <w:rPr>
                <w:sz w:val="20"/>
                <w:szCs w:val="20"/>
                <w:color w:val="auto"/>
              </w:rPr>
            </w:pPr>
            <w:r>
              <w:rPr>
                <w:rFonts w:ascii="Times New Roman" w:cs="Times New Roman" w:eastAsia="Times New Roman" w:hAnsi="Times New Roman"/>
                <w:sz w:val="11"/>
                <w:szCs w:val="11"/>
                <w:color w:val="auto"/>
              </w:rPr>
              <w:t>480,000</w:t>
            </w:r>
          </w:p>
        </w:tc>
        <w:tc>
          <w:tcPr>
            <w:tcW w:w="900" w:type="dxa"/>
            <w:vAlign w:val="bottom"/>
            <w:tcBorders>
              <w:bottom w:val="single" w:sz="8" w:color="BFBFBF"/>
              <w:right w:val="single" w:sz="8" w:color="BFBFBF"/>
            </w:tcBorders>
          </w:tcPr>
          <w:p>
            <w:pPr>
              <w:jc w:val="center"/>
              <w:spacing w:after="0"/>
              <w:rPr>
                <w:sz w:val="20"/>
                <w:szCs w:val="20"/>
                <w:color w:val="auto"/>
              </w:rPr>
            </w:pPr>
            <w:r>
              <w:rPr>
                <w:rFonts w:ascii="Times New Roman" w:cs="Times New Roman" w:eastAsia="Times New Roman" w:hAnsi="Times New Roman"/>
                <w:sz w:val="11"/>
                <w:szCs w:val="11"/>
                <w:color w:val="auto"/>
              </w:rPr>
              <w:t>-</w:t>
            </w:r>
          </w:p>
        </w:tc>
        <w:tc>
          <w:tcPr>
            <w:tcW w:w="1140" w:type="dxa"/>
            <w:vAlign w:val="bottom"/>
            <w:tcBorders>
              <w:bottom w:val="single" w:sz="8" w:color="BFBFBF"/>
              <w:right w:val="single" w:sz="8" w:color="BFBFBF"/>
            </w:tcBorders>
          </w:tcPr>
          <w:p>
            <w:pPr>
              <w:jc w:val="center"/>
              <w:spacing w:after="0"/>
              <w:rPr>
                <w:sz w:val="20"/>
                <w:szCs w:val="20"/>
                <w:color w:val="auto"/>
              </w:rPr>
            </w:pPr>
            <w:r>
              <w:rPr>
                <w:rFonts w:ascii="Times New Roman" w:cs="Times New Roman" w:eastAsia="Times New Roman" w:hAnsi="Times New Roman"/>
                <w:sz w:val="11"/>
                <w:szCs w:val="11"/>
                <w:color w:val="auto"/>
              </w:rPr>
              <w:t>-</w:t>
            </w:r>
          </w:p>
        </w:tc>
        <w:tc>
          <w:tcPr>
            <w:tcW w:w="1200" w:type="dxa"/>
            <w:vAlign w:val="bottom"/>
            <w:tcBorders>
              <w:bottom w:val="single" w:sz="8" w:color="BFBFBF"/>
              <w:right w:val="single" w:sz="8" w:color="BFBFBF"/>
            </w:tcBorders>
          </w:tcPr>
          <w:p>
            <w:pPr>
              <w:jc w:val="center"/>
              <w:spacing w:after="0"/>
              <w:rPr>
                <w:sz w:val="20"/>
                <w:szCs w:val="20"/>
                <w:color w:val="auto"/>
              </w:rPr>
            </w:pPr>
            <w:r>
              <w:rPr>
                <w:rFonts w:ascii="Times New Roman" w:cs="Times New Roman" w:eastAsia="Times New Roman" w:hAnsi="Times New Roman"/>
                <w:sz w:val="11"/>
                <w:szCs w:val="11"/>
                <w:color w:val="auto"/>
                <w:w w:val="94"/>
              </w:rPr>
              <w:t>144,000</w:t>
            </w:r>
          </w:p>
        </w:tc>
        <w:tc>
          <w:tcPr>
            <w:tcW w:w="980" w:type="dxa"/>
            <w:vAlign w:val="bottom"/>
            <w:tcBorders>
              <w:bottom w:val="single" w:sz="8" w:color="BFBFBF"/>
              <w:right w:val="single" w:sz="8" w:color="BFBFBF"/>
            </w:tcBorders>
          </w:tcPr>
          <w:p>
            <w:pPr>
              <w:jc w:val="center"/>
              <w:spacing w:after="0"/>
              <w:rPr>
                <w:sz w:val="20"/>
                <w:szCs w:val="20"/>
                <w:color w:val="auto"/>
              </w:rPr>
            </w:pPr>
            <w:r>
              <w:rPr>
                <w:rFonts w:ascii="Times New Roman" w:cs="Times New Roman" w:eastAsia="Times New Roman" w:hAnsi="Times New Roman"/>
                <w:sz w:val="11"/>
                <w:szCs w:val="11"/>
                <w:color w:val="auto"/>
              </w:rPr>
              <w:t>-</w:t>
            </w:r>
          </w:p>
        </w:tc>
        <w:tc>
          <w:tcPr>
            <w:tcW w:w="820" w:type="dxa"/>
            <w:vAlign w:val="bottom"/>
            <w:tcBorders>
              <w:bottom w:val="single" w:sz="8" w:color="BFBFBF"/>
              <w:right w:val="single" w:sz="8" w:color="BFBFBF"/>
            </w:tcBorders>
          </w:tcPr>
          <w:p>
            <w:pPr>
              <w:jc w:val="center"/>
              <w:spacing w:after="0"/>
              <w:rPr>
                <w:sz w:val="20"/>
                <w:szCs w:val="20"/>
                <w:color w:val="auto"/>
              </w:rPr>
            </w:pPr>
            <w:r>
              <w:rPr>
                <w:rFonts w:ascii="Times New Roman" w:cs="Times New Roman" w:eastAsia="Times New Roman" w:hAnsi="Times New Roman"/>
                <w:sz w:val="11"/>
                <w:szCs w:val="11"/>
                <w:color w:val="auto"/>
              </w:rPr>
              <w:t>-</w:t>
            </w:r>
          </w:p>
        </w:tc>
        <w:tc>
          <w:tcPr>
            <w:tcW w:w="1140" w:type="dxa"/>
            <w:vAlign w:val="bottom"/>
            <w:tcBorders>
              <w:bottom w:val="single" w:sz="8" w:color="BFBFBF"/>
              <w:right w:val="single" w:sz="8" w:color="BFBFBF"/>
            </w:tcBorders>
          </w:tcPr>
          <w:p>
            <w:pPr>
              <w:jc w:val="center"/>
              <w:spacing w:after="0"/>
              <w:rPr>
                <w:sz w:val="20"/>
                <w:szCs w:val="20"/>
                <w:color w:val="auto"/>
              </w:rPr>
            </w:pPr>
            <w:r>
              <w:rPr>
                <w:rFonts w:ascii="Times New Roman" w:cs="Times New Roman" w:eastAsia="Times New Roman" w:hAnsi="Times New Roman"/>
                <w:sz w:val="8"/>
                <w:szCs w:val="8"/>
                <w:color w:val="auto"/>
                <w:w w:val="73"/>
              </w:rPr>
              <w:t>-</w:t>
            </w:r>
          </w:p>
        </w:tc>
        <w:tc>
          <w:tcPr>
            <w:tcW w:w="1240" w:type="dxa"/>
            <w:vAlign w:val="bottom"/>
            <w:tcBorders>
              <w:bottom w:val="single" w:sz="8" w:color="BFBFBF"/>
              <w:right w:val="single" w:sz="8" w:color="BFBFBF"/>
            </w:tcBorders>
          </w:tcPr>
          <w:p>
            <w:pPr>
              <w:jc w:val="center"/>
              <w:spacing w:after="0"/>
              <w:rPr>
                <w:sz w:val="20"/>
                <w:szCs w:val="20"/>
                <w:color w:val="auto"/>
              </w:rPr>
            </w:pPr>
            <w:r>
              <w:rPr>
                <w:rFonts w:ascii="Times New Roman" w:cs="Times New Roman" w:eastAsia="Times New Roman" w:hAnsi="Times New Roman"/>
                <w:sz w:val="11"/>
                <w:szCs w:val="11"/>
                <w:color w:val="auto"/>
              </w:rPr>
              <w:t>624,000</w:t>
            </w:r>
          </w:p>
        </w:tc>
      </w:tr>
      <w:tr>
        <w:trPr>
          <w:trHeight w:val="130"/>
        </w:trPr>
        <w:tc>
          <w:tcPr>
            <w:tcW w:w="1980" w:type="dxa"/>
            <w:vAlign w:val="bottom"/>
            <w:tcBorders>
              <w:left w:val="single" w:sz="8" w:color="BFBFBF"/>
              <w:right w:val="single" w:sz="8" w:color="BFBFBF"/>
            </w:tcBorders>
          </w:tcPr>
          <w:p>
            <w:pPr>
              <w:ind w:left="40"/>
              <w:spacing w:after="0" w:line="131" w:lineRule="exact"/>
              <w:rPr>
                <w:sz w:val="20"/>
                <w:szCs w:val="20"/>
                <w:color w:val="auto"/>
              </w:rPr>
            </w:pPr>
            <w:r>
              <w:rPr>
                <w:rFonts w:ascii="Times New Roman" w:cs="Times New Roman" w:eastAsia="Times New Roman" w:hAnsi="Times New Roman"/>
                <w:sz w:val="11"/>
                <w:szCs w:val="11"/>
                <w:color w:val="auto"/>
              </w:rPr>
              <w:t xml:space="preserve">Gabriel Fahel, </w:t>
            </w:r>
            <w:r>
              <w:rPr>
                <w:rFonts w:ascii="Times New Roman" w:cs="Times New Roman" w:eastAsia="Times New Roman" w:hAnsi="Times New Roman"/>
                <w:sz w:val="14"/>
                <w:szCs w:val="14"/>
                <w:color w:val="auto"/>
                <w:vertAlign w:val="superscript"/>
              </w:rPr>
              <w:t>(3)</w:t>
            </w:r>
          </w:p>
        </w:tc>
        <w:tc>
          <w:tcPr>
            <w:tcW w:w="680" w:type="dxa"/>
            <w:vAlign w:val="bottom"/>
            <w:tcBorders>
              <w:right w:val="single" w:sz="8" w:color="BFBFBF"/>
            </w:tcBorders>
          </w:tcPr>
          <w:p>
            <w:pPr>
              <w:ind w:left="220"/>
              <w:spacing w:after="0"/>
              <w:rPr>
                <w:sz w:val="20"/>
                <w:szCs w:val="20"/>
                <w:color w:val="auto"/>
              </w:rPr>
            </w:pPr>
            <w:r>
              <w:rPr>
                <w:rFonts w:ascii="Times New Roman" w:cs="Times New Roman" w:eastAsia="Times New Roman" w:hAnsi="Times New Roman"/>
                <w:sz w:val="11"/>
                <w:szCs w:val="11"/>
                <w:color w:val="auto"/>
              </w:rPr>
              <w:t>2025</w:t>
            </w:r>
          </w:p>
        </w:tc>
        <w:tc>
          <w:tcPr>
            <w:tcW w:w="1240" w:type="dxa"/>
            <w:vAlign w:val="bottom"/>
            <w:tcBorders>
              <w:right w:val="single" w:sz="8" w:color="BFBFBF"/>
            </w:tcBorders>
          </w:tcPr>
          <w:p>
            <w:pPr>
              <w:jc w:val="center"/>
              <w:spacing w:after="0"/>
              <w:rPr>
                <w:sz w:val="20"/>
                <w:szCs w:val="20"/>
                <w:color w:val="auto"/>
              </w:rPr>
            </w:pPr>
            <w:r>
              <w:rPr>
                <w:rFonts w:ascii="Times New Roman" w:cs="Times New Roman" w:eastAsia="Times New Roman" w:hAnsi="Times New Roman"/>
                <w:sz w:val="11"/>
                <w:szCs w:val="11"/>
                <w:color w:val="auto"/>
              </w:rPr>
              <w:t>528,318</w:t>
            </w:r>
          </w:p>
        </w:tc>
        <w:tc>
          <w:tcPr>
            <w:tcW w:w="900" w:type="dxa"/>
            <w:vAlign w:val="bottom"/>
            <w:tcBorders>
              <w:right w:val="single" w:sz="8" w:color="BFBFBF"/>
            </w:tcBorders>
          </w:tcPr>
          <w:p>
            <w:pPr>
              <w:jc w:val="center"/>
              <w:spacing w:after="0"/>
              <w:rPr>
                <w:sz w:val="20"/>
                <w:szCs w:val="20"/>
                <w:color w:val="auto"/>
              </w:rPr>
            </w:pPr>
            <w:r>
              <w:rPr>
                <w:rFonts w:ascii="Times New Roman" w:cs="Times New Roman" w:eastAsia="Times New Roman" w:hAnsi="Times New Roman"/>
                <w:sz w:val="11"/>
                <w:szCs w:val="11"/>
                <w:color w:val="auto"/>
              </w:rPr>
              <w:t>-</w:t>
            </w:r>
          </w:p>
        </w:tc>
        <w:tc>
          <w:tcPr>
            <w:tcW w:w="1140" w:type="dxa"/>
            <w:vAlign w:val="bottom"/>
            <w:tcBorders>
              <w:right w:val="single" w:sz="8" w:color="BFBFBF"/>
            </w:tcBorders>
          </w:tcPr>
          <w:p>
            <w:pPr>
              <w:jc w:val="center"/>
              <w:spacing w:after="0"/>
              <w:rPr>
                <w:sz w:val="20"/>
                <w:szCs w:val="20"/>
                <w:color w:val="auto"/>
              </w:rPr>
            </w:pPr>
            <w:r>
              <w:rPr>
                <w:rFonts w:ascii="Times New Roman" w:cs="Times New Roman" w:eastAsia="Times New Roman" w:hAnsi="Times New Roman"/>
                <w:sz w:val="11"/>
                <w:szCs w:val="11"/>
                <w:color w:val="auto"/>
              </w:rPr>
              <w:t>904,879</w:t>
            </w:r>
          </w:p>
        </w:tc>
        <w:tc>
          <w:tcPr>
            <w:tcW w:w="1200" w:type="dxa"/>
            <w:vAlign w:val="bottom"/>
            <w:tcBorders>
              <w:right w:val="single" w:sz="8" w:color="BFBFBF"/>
            </w:tcBorders>
          </w:tcPr>
          <w:p>
            <w:pPr>
              <w:jc w:val="center"/>
              <w:spacing w:after="0"/>
              <w:rPr>
                <w:sz w:val="20"/>
                <w:szCs w:val="20"/>
                <w:color w:val="auto"/>
              </w:rPr>
            </w:pPr>
            <w:r>
              <w:rPr>
                <w:rFonts w:ascii="Times New Roman" w:cs="Times New Roman" w:eastAsia="Times New Roman" w:hAnsi="Times New Roman"/>
                <w:sz w:val="11"/>
                <w:szCs w:val="11"/>
                <w:color w:val="auto"/>
                <w:w w:val="94"/>
              </w:rPr>
              <w:t>183,750</w:t>
            </w:r>
          </w:p>
        </w:tc>
        <w:tc>
          <w:tcPr>
            <w:tcW w:w="980" w:type="dxa"/>
            <w:vAlign w:val="bottom"/>
            <w:tcBorders>
              <w:right w:val="single" w:sz="8" w:color="BFBFBF"/>
            </w:tcBorders>
          </w:tcPr>
          <w:p>
            <w:pPr>
              <w:jc w:val="center"/>
              <w:spacing w:after="0"/>
              <w:rPr>
                <w:sz w:val="20"/>
                <w:szCs w:val="20"/>
                <w:color w:val="auto"/>
              </w:rPr>
            </w:pPr>
            <w:r>
              <w:rPr>
                <w:rFonts w:ascii="Times New Roman" w:cs="Times New Roman" w:eastAsia="Times New Roman" w:hAnsi="Times New Roman"/>
                <w:sz w:val="11"/>
                <w:szCs w:val="11"/>
                <w:color w:val="auto"/>
              </w:rPr>
              <w:t>-</w:t>
            </w:r>
          </w:p>
        </w:tc>
        <w:tc>
          <w:tcPr>
            <w:tcW w:w="820" w:type="dxa"/>
            <w:vAlign w:val="bottom"/>
            <w:tcBorders>
              <w:right w:val="single" w:sz="8" w:color="BFBFBF"/>
            </w:tcBorders>
          </w:tcPr>
          <w:p>
            <w:pPr>
              <w:jc w:val="center"/>
              <w:spacing w:after="0"/>
              <w:rPr>
                <w:sz w:val="20"/>
                <w:szCs w:val="20"/>
                <w:color w:val="auto"/>
              </w:rPr>
            </w:pPr>
            <w:r>
              <w:rPr>
                <w:rFonts w:ascii="Times New Roman" w:cs="Times New Roman" w:eastAsia="Times New Roman" w:hAnsi="Times New Roman"/>
                <w:sz w:val="11"/>
                <w:szCs w:val="11"/>
                <w:color w:val="auto"/>
              </w:rPr>
              <w:t>-</w:t>
            </w:r>
          </w:p>
        </w:tc>
        <w:tc>
          <w:tcPr>
            <w:tcW w:w="1140" w:type="dxa"/>
            <w:vAlign w:val="bottom"/>
            <w:tcBorders>
              <w:right w:val="single" w:sz="8" w:color="BFBFBF"/>
            </w:tcBorders>
          </w:tcPr>
          <w:p>
            <w:pPr>
              <w:jc w:val="center"/>
              <w:spacing w:after="0"/>
              <w:rPr>
                <w:sz w:val="20"/>
                <w:szCs w:val="20"/>
                <w:color w:val="auto"/>
              </w:rPr>
            </w:pPr>
            <w:r>
              <w:rPr>
                <w:rFonts w:ascii="Times New Roman" w:cs="Times New Roman" w:eastAsia="Times New Roman" w:hAnsi="Times New Roman"/>
                <w:sz w:val="8"/>
                <w:szCs w:val="8"/>
                <w:color w:val="auto"/>
                <w:w w:val="73"/>
              </w:rPr>
              <w:t>-</w:t>
            </w:r>
          </w:p>
        </w:tc>
        <w:tc>
          <w:tcPr>
            <w:tcW w:w="1240" w:type="dxa"/>
            <w:vAlign w:val="bottom"/>
            <w:tcBorders>
              <w:right w:val="single" w:sz="8" w:color="BFBFBF"/>
            </w:tcBorders>
          </w:tcPr>
          <w:p>
            <w:pPr>
              <w:jc w:val="center"/>
              <w:spacing w:after="0"/>
              <w:rPr>
                <w:sz w:val="20"/>
                <w:szCs w:val="20"/>
                <w:color w:val="auto"/>
              </w:rPr>
            </w:pPr>
            <w:r>
              <w:rPr>
                <w:rFonts w:ascii="Times New Roman" w:cs="Times New Roman" w:eastAsia="Times New Roman" w:hAnsi="Times New Roman"/>
                <w:sz w:val="11"/>
                <w:szCs w:val="11"/>
                <w:color w:val="auto"/>
                <w:w w:val="99"/>
              </w:rPr>
              <w:t>1,616,947</w:t>
            </w:r>
          </w:p>
        </w:tc>
      </w:tr>
      <w:tr>
        <w:trPr>
          <w:trHeight w:val="135"/>
        </w:trPr>
        <w:tc>
          <w:tcPr>
            <w:tcW w:w="1980" w:type="dxa"/>
            <w:vAlign w:val="bottom"/>
            <w:tcBorders>
              <w:left w:val="single" w:sz="8" w:color="BFBFBF"/>
              <w:right w:val="single" w:sz="8" w:color="BFBFBF"/>
            </w:tcBorders>
          </w:tcPr>
          <w:p>
            <w:pPr>
              <w:ind w:left="40"/>
              <w:spacing w:after="0"/>
              <w:rPr>
                <w:sz w:val="20"/>
                <w:szCs w:val="20"/>
                <w:color w:val="auto"/>
              </w:rPr>
            </w:pPr>
            <w:r>
              <w:rPr>
                <w:rFonts w:ascii="Times New Roman" w:cs="Times New Roman" w:eastAsia="Times New Roman" w:hAnsi="Times New Roman"/>
                <w:sz w:val="11"/>
                <w:szCs w:val="11"/>
                <w:color w:val="auto"/>
              </w:rPr>
              <w:t>Chief Legal Officer</w:t>
            </w:r>
          </w:p>
        </w:tc>
        <w:tc>
          <w:tcPr>
            <w:tcW w:w="680" w:type="dxa"/>
            <w:vAlign w:val="bottom"/>
            <w:tcBorders>
              <w:right w:val="single" w:sz="8" w:color="BFBFBF"/>
            </w:tcBorders>
          </w:tcPr>
          <w:p>
            <w:pPr>
              <w:ind w:left="220"/>
              <w:spacing w:after="0"/>
              <w:rPr>
                <w:sz w:val="20"/>
                <w:szCs w:val="20"/>
                <w:color w:val="auto"/>
              </w:rPr>
            </w:pPr>
            <w:r>
              <w:rPr>
                <w:rFonts w:ascii="Times New Roman" w:cs="Times New Roman" w:eastAsia="Times New Roman" w:hAnsi="Times New Roman"/>
                <w:sz w:val="11"/>
                <w:szCs w:val="11"/>
                <w:color w:val="auto"/>
              </w:rPr>
              <w:t>2024</w:t>
            </w:r>
          </w:p>
        </w:tc>
        <w:tc>
          <w:tcPr>
            <w:tcW w:w="1240" w:type="dxa"/>
            <w:vAlign w:val="bottom"/>
            <w:tcBorders>
              <w:right w:val="single" w:sz="8" w:color="BFBFBF"/>
            </w:tcBorders>
          </w:tcPr>
          <w:p>
            <w:pPr>
              <w:jc w:val="center"/>
              <w:spacing w:after="0"/>
              <w:rPr>
                <w:sz w:val="20"/>
                <w:szCs w:val="20"/>
                <w:color w:val="auto"/>
              </w:rPr>
            </w:pPr>
            <w:r>
              <w:rPr>
                <w:rFonts w:ascii="Times New Roman" w:cs="Times New Roman" w:eastAsia="Times New Roman" w:hAnsi="Times New Roman"/>
                <w:sz w:val="11"/>
                <w:szCs w:val="11"/>
                <w:color w:val="auto"/>
              </w:rPr>
              <w:t>350,000</w:t>
            </w:r>
          </w:p>
        </w:tc>
        <w:tc>
          <w:tcPr>
            <w:tcW w:w="900" w:type="dxa"/>
            <w:vAlign w:val="bottom"/>
            <w:tcBorders>
              <w:right w:val="single" w:sz="8" w:color="BFBFBF"/>
            </w:tcBorders>
          </w:tcPr>
          <w:p>
            <w:pPr>
              <w:jc w:val="center"/>
              <w:spacing w:after="0"/>
              <w:rPr>
                <w:sz w:val="20"/>
                <w:szCs w:val="20"/>
                <w:color w:val="auto"/>
              </w:rPr>
            </w:pPr>
            <w:r>
              <w:rPr>
                <w:rFonts w:ascii="Times New Roman" w:cs="Times New Roman" w:eastAsia="Times New Roman" w:hAnsi="Times New Roman"/>
                <w:sz w:val="11"/>
                <w:szCs w:val="11"/>
                <w:color w:val="auto"/>
              </w:rPr>
              <w:t>-</w:t>
            </w:r>
          </w:p>
        </w:tc>
        <w:tc>
          <w:tcPr>
            <w:tcW w:w="1140" w:type="dxa"/>
            <w:vAlign w:val="bottom"/>
            <w:tcBorders>
              <w:right w:val="single" w:sz="8" w:color="BFBFBF"/>
            </w:tcBorders>
          </w:tcPr>
          <w:p>
            <w:pPr>
              <w:jc w:val="center"/>
              <w:spacing w:after="0"/>
              <w:rPr>
                <w:sz w:val="20"/>
                <w:szCs w:val="20"/>
                <w:color w:val="auto"/>
              </w:rPr>
            </w:pPr>
            <w:r>
              <w:rPr>
                <w:rFonts w:ascii="Times New Roman" w:cs="Times New Roman" w:eastAsia="Times New Roman" w:hAnsi="Times New Roman"/>
                <w:sz w:val="11"/>
                <w:szCs w:val="11"/>
                <w:color w:val="auto"/>
              </w:rPr>
              <w:t>465,666</w:t>
            </w:r>
          </w:p>
        </w:tc>
        <w:tc>
          <w:tcPr>
            <w:tcW w:w="1200" w:type="dxa"/>
            <w:vAlign w:val="bottom"/>
            <w:tcBorders>
              <w:right w:val="single" w:sz="8" w:color="BFBFBF"/>
            </w:tcBorders>
          </w:tcPr>
          <w:p>
            <w:pPr>
              <w:jc w:val="center"/>
              <w:spacing w:after="0"/>
              <w:rPr>
                <w:sz w:val="20"/>
                <w:szCs w:val="20"/>
                <w:color w:val="auto"/>
              </w:rPr>
            </w:pPr>
            <w:r>
              <w:rPr>
                <w:rFonts w:ascii="Times New Roman" w:cs="Times New Roman" w:eastAsia="Times New Roman" w:hAnsi="Times New Roman"/>
                <w:sz w:val="11"/>
                <w:szCs w:val="11"/>
                <w:color w:val="auto"/>
                <w:w w:val="94"/>
              </w:rPr>
              <w:t>183,750</w:t>
            </w:r>
          </w:p>
        </w:tc>
        <w:tc>
          <w:tcPr>
            <w:tcW w:w="980" w:type="dxa"/>
            <w:vAlign w:val="bottom"/>
            <w:tcBorders>
              <w:right w:val="single" w:sz="8" w:color="BFBFBF"/>
            </w:tcBorders>
          </w:tcPr>
          <w:p>
            <w:pPr>
              <w:jc w:val="center"/>
              <w:spacing w:after="0"/>
              <w:rPr>
                <w:sz w:val="20"/>
                <w:szCs w:val="20"/>
                <w:color w:val="auto"/>
              </w:rPr>
            </w:pPr>
            <w:r>
              <w:rPr>
                <w:rFonts w:ascii="Times New Roman" w:cs="Times New Roman" w:eastAsia="Times New Roman" w:hAnsi="Times New Roman"/>
                <w:sz w:val="11"/>
                <w:szCs w:val="11"/>
                <w:color w:val="auto"/>
              </w:rPr>
              <w:t>-</w:t>
            </w:r>
          </w:p>
        </w:tc>
        <w:tc>
          <w:tcPr>
            <w:tcW w:w="820" w:type="dxa"/>
            <w:vAlign w:val="bottom"/>
            <w:tcBorders>
              <w:right w:val="single" w:sz="8" w:color="BFBFBF"/>
            </w:tcBorders>
          </w:tcPr>
          <w:p>
            <w:pPr>
              <w:jc w:val="center"/>
              <w:spacing w:after="0"/>
              <w:rPr>
                <w:sz w:val="20"/>
                <w:szCs w:val="20"/>
                <w:color w:val="auto"/>
              </w:rPr>
            </w:pPr>
            <w:r>
              <w:rPr>
                <w:rFonts w:ascii="Times New Roman" w:cs="Times New Roman" w:eastAsia="Times New Roman" w:hAnsi="Times New Roman"/>
                <w:sz w:val="11"/>
                <w:szCs w:val="11"/>
                <w:color w:val="auto"/>
              </w:rPr>
              <w:t>-</w:t>
            </w:r>
          </w:p>
        </w:tc>
        <w:tc>
          <w:tcPr>
            <w:tcW w:w="1140" w:type="dxa"/>
            <w:vAlign w:val="bottom"/>
            <w:tcBorders>
              <w:right w:val="single" w:sz="8" w:color="BFBFBF"/>
            </w:tcBorders>
          </w:tcPr>
          <w:p>
            <w:pPr>
              <w:jc w:val="center"/>
              <w:spacing w:after="0"/>
              <w:rPr>
                <w:sz w:val="20"/>
                <w:szCs w:val="20"/>
                <w:color w:val="auto"/>
              </w:rPr>
            </w:pPr>
            <w:r>
              <w:rPr>
                <w:rFonts w:ascii="Times New Roman" w:cs="Times New Roman" w:eastAsia="Times New Roman" w:hAnsi="Times New Roman"/>
                <w:sz w:val="8"/>
                <w:szCs w:val="8"/>
                <w:color w:val="auto"/>
                <w:w w:val="73"/>
              </w:rPr>
              <w:t>-</w:t>
            </w:r>
          </w:p>
        </w:tc>
        <w:tc>
          <w:tcPr>
            <w:tcW w:w="1240" w:type="dxa"/>
            <w:vAlign w:val="bottom"/>
            <w:tcBorders>
              <w:right w:val="single" w:sz="8" w:color="BFBFBF"/>
            </w:tcBorders>
          </w:tcPr>
          <w:p>
            <w:pPr>
              <w:jc w:val="center"/>
              <w:spacing w:after="0"/>
              <w:rPr>
                <w:sz w:val="20"/>
                <w:szCs w:val="20"/>
                <w:color w:val="auto"/>
              </w:rPr>
            </w:pPr>
            <w:r>
              <w:rPr>
                <w:rFonts w:ascii="Times New Roman" w:cs="Times New Roman" w:eastAsia="Times New Roman" w:hAnsi="Times New Roman"/>
                <w:sz w:val="11"/>
                <w:szCs w:val="11"/>
                <w:color w:val="auto"/>
              </w:rPr>
              <w:t>999,416</w:t>
            </w:r>
          </w:p>
        </w:tc>
      </w:tr>
      <w:tr>
        <w:trPr>
          <w:trHeight w:val="147"/>
        </w:trPr>
        <w:tc>
          <w:tcPr>
            <w:tcW w:w="1980" w:type="dxa"/>
            <w:vAlign w:val="bottom"/>
            <w:tcBorders>
              <w:left w:val="single" w:sz="8" w:color="BFBFBF"/>
              <w:bottom w:val="single" w:sz="8" w:color="BFBFBF"/>
              <w:right w:val="single" w:sz="8" w:color="BFBFBF"/>
            </w:tcBorders>
          </w:tcPr>
          <w:p>
            <w:pPr>
              <w:spacing w:after="0"/>
              <w:rPr>
                <w:sz w:val="12"/>
                <w:szCs w:val="12"/>
                <w:color w:val="auto"/>
              </w:rPr>
            </w:pPr>
          </w:p>
        </w:tc>
        <w:tc>
          <w:tcPr>
            <w:tcW w:w="680" w:type="dxa"/>
            <w:vAlign w:val="bottom"/>
            <w:tcBorders>
              <w:bottom w:val="single" w:sz="8" w:color="BFBFBF"/>
              <w:right w:val="single" w:sz="8" w:color="BFBFBF"/>
            </w:tcBorders>
          </w:tcPr>
          <w:p>
            <w:pPr>
              <w:ind w:left="220"/>
              <w:spacing w:after="0"/>
              <w:rPr>
                <w:sz w:val="20"/>
                <w:szCs w:val="20"/>
                <w:color w:val="auto"/>
              </w:rPr>
            </w:pPr>
            <w:r>
              <w:rPr>
                <w:rFonts w:ascii="Times New Roman" w:cs="Times New Roman" w:eastAsia="Times New Roman" w:hAnsi="Times New Roman"/>
                <w:sz w:val="11"/>
                <w:szCs w:val="11"/>
                <w:color w:val="auto"/>
              </w:rPr>
              <w:t>2023</w:t>
            </w:r>
          </w:p>
        </w:tc>
        <w:tc>
          <w:tcPr>
            <w:tcW w:w="1240" w:type="dxa"/>
            <w:vAlign w:val="bottom"/>
            <w:tcBorders>
              <w:bottom w:val="single" w:sz="8" w:color="BFBFBF"/>
              <w:right w:val="single" w:sz="8" w:color="BFBFBF"/>
            </w:tcBorders>
          </w:tcPr>
          <w:p>
            <w:pPr>
              <w:jc w:val="center"/>
              <w:spacing w:after="0"/>
              <w:rPr>
                <w:sz w:val="20"/>
                <w:szCs w:val="20"/>
                <w:color w:val="auto"/>
              </w:rPr>
            </w:pPr>
            <w:r>
              <w:rPr>
                <w:rFonts w:ascii="Times New Roman" w:cs="Times New Roman" w:eastAsia="Times New Roman" w:hAnsi="Times New Roman"/>
                <w:sz w:val="11"/>
                <w:szCs w:val="11"/>
                <w:color w:val="auto"/>
              </w:rPr>
              <w:t>350,000</w:t>
            </w:r>
          </w:p>
        </w:tc>
        <w:tc>
          <w:tcPr>
            <w:tcW w:w="900" w:type="dxa"/>
            <w:vAlign w:val="bottom"/>
            <w:tcBorders>
              <w:bottom w:val="single" w:sz="8" w:color="BFBFBF"/>
              <w:right w:val="single" w:sz="8" w:color="BFBFBF"/>
            </w:tcBorders>
          </w:tcPr>
          <w:p>
            <w:pPr>
              <w:jc w:val="center"/>
              <w:spacing w:after="0"/>
              <w:rPr>
                <w:sz w:val="20"/>
                <w:szCs w:val="20"/>
                <w:color w:val="auto"/>
              </w:rPr>
            </w:pPr>
            <w:r>
              <w:rPr>
                <w:rFonts w:ascii="Times New Roman" w:cs="Times New Roman" w:eastAsia="Times New Roman" w:hAnsi="Times New Roman"/>
                <w:sz w:val="11"/>
                <w:szCs w:val="11"/>
                <w:color w:val="auto"/>
              </w:rPr>
              <w:t>-</w:t>
            </w:r>
          </w:p>
        </w:tc>
        <w:tc>
          <w:tcPr>
            <w:tcW w:w="1140" w:type="dxa"/>
            <w:vAlign w:val="bottom"/>
            <w:tcBorders>
              <w:bottom w:val="single" w:sz="8" w:color="BFBFBF"/>
              <w:right w:val="single" w:sz="8" w:color="BFBFBF"/>
            </w:tcBorders>
          </w:tcPr>
          <w:p>
            <w:pPr>
              <w:jc w:val="center"/>
              <w:spacing w:after="0"/>
              <w:rPr>
                <w:sz w:val="20"/>
                <w:szCs w:val="20"/>
                <w:color w:val="auto"/>
              </w:rPr>
            </w:pPr>
            <w:r>
              <w:rPr>
                <w:rFonts w:ascii="Times New Roman" w:cs="Times New Roman" w:eastAsia="Times New Roman" w:hAnsi="Times New Roman"/>
                <w:sz w:val="11"/>
                <w:szCs w:val="11"/>
                <w:color w:val="auto"/>
              </w:rPr>
              <w:t>-</w:t>
            </w:r>
          </w:p>
        </w:tc>
        <w:tc>
          <w:tcPr>
            <w:tcW w:w="1200" w:type="dxa"/>
            <w:vAlign w:val="bottom"/>
            <w:tcBorders>
              <w:bottom w:val="single" w:sz="8" w:color="BFBFBF"/>
              <w:right w:val="single" w:sz="8" w:color="BFBFBF"/>
            </w:tcBorders>
          </w:tcPr>
          <w:p>
            <w:pPr>
              <w:jc w:val="center"/>
              <w:spacing w:after="0"/>
              <w:rPr>
                <w:sz w:val="20"/>
                <w:szCs w:val="20"/>
                <w:color w:val="auto"/>
              </w:rPr>
            </w:pPr>
            <w:r>
              <w:rPr>
                <w:rFonts w:ascii="Times New Roman" w:cs="Times New Roman" w:eastAsia="Times New Roman" w:hAnsi="Times New Roman"/>
                <w:sz w:val="11"/>
                <w:szCs w:val="11"/>
                <w:color w:val="auto"/>
                <w:w w:val="94"/>
              </w:rPr>
              <w:t>105,000</w:t>
            </w:r>
          </w:p>
        </w:tc>
        <w:tc>
          <w:tcPr>
            <w:tcW w:w="980" w:type="dxa"/>
            <w:vAlign w:val="bottom"/>
            <w:tcBorders>
              <w:bottom w:val="single" w:sz="8" w:color="BFBFBF"/>
              <w:right w:val="single" w:sz="8" w:color="BFBFBF"/>
            </w:tcBorders>
          </w:tcPr>
          <w:p>
            <w:pPr>
              <w:jc w:val="center"/>
              <w:spacing w:after="0"/>
              <w:rPr>
                <w:sz w:val="20"/>
                <w:szCs w:val="20"/>
                <w:color w:val="auto"/>
              </w:rPr>
            </w:pPr>
            <w:r>
              <w:rPr>
                <w:rFonts w:ascii="Times New Roman" w:cs="Times New Roman" w:eastAsia="Times New Roman" w:hAnsi="Times New Roman"/>
                <w:sz w:val="11"/>
                <w:szCs w:val="11"/>
                <w:color w:val="auto"/>
              </w:rPr>
              <w:t>-</w:t>
            </w:r>
          </w:p>
        </w:tc>
        <w:tc>
          <w:tcPr>
            <w:tcW w:w="820" w:type="dxa"/>
            <w:vAlign w:val="bottom"/>
            <w:tcBorders>
              <w:bottom w:val="single" w:sz="8" w:color="BFBFBF"/>
              <w:right w:val="single" w:sz="8" w:color="BFBFBF"/>
            </w:tcBorders>
          </w:tcPr>
          <w:p>
            <w:pPr>
              <w:jc w:val="center"/>
              <w:spacing w:after="0"/>
              <w:rPr>
                <w:sz w:val="20"/>
                <w:szCs w:val="20"/>
                <w:color w:val="auto"/>
              </w:rPr>
            </w:pPr>
            <w:r>
              <w:rPr>
                <w:rFonts w:ascii="Times New Roman" w:cs="Times New Roman" w:eastAsia="Times New Roman" w:hAnsi="Times New Roman"/>
                <w:sz w:val="11"/>
                <w:szCs w:val="11"/>
                <w:color w:val="auto"/>
              </w:rPr>
              <w:t>-</w:t>
            </w:r>
          </w:p>
        </w:tc>
        <w:tc>
          <w:tcPr>
            <w:tcW w:w="1140" w:type="dxa"/>
            <w:vAlign w:val="bottom"/>
            <w:tcBorders>
              <w:bottom w:val="single" w:sz="8" w:color="BFBFBF"/>
              <w:right w:val="single" w:sz="8" w:color="BFBFBF"/>
            </w:tcBorders>
          </w:tcPr>
          <w:p>
            <w:pPr>
              <w:jc w:val="center"/>
              <w:spacing w:after="0"/>
              <w:rPr>
                <w:sz w:val="20"/>
                <w:szCs w:val="20"/>
                <w:color w:val="auto"/>
              </w:rPr>
            </w:pPr>
            <w:r>
              <w:rPr>
                <w:rFonts w:ascii="Times New Roman" w:cs="Times New Roman" w:eastAsia="Times New Roman" w:hAnsi="Times New Roman"/>
                <w:sz w:val="8"/>
                <w:szCs w:val="8"/>
                <w:color w:val="auto"/>
                <w:w w:val="73"/>
              </w:rPr>
              <w:t>-</w:t>
            </w:r>
          </w:p>
        </w:tc>
        <w:tc>
          <w:tcPr>
            <w:tcW w:w="1240" w:type="dxa"/>
            <w:vAlign w:val="bottom"/>
            <w:tcBorders>
              <w:bottom w:val="single" w:sz="8" w:color="BFBFBF"/>
              <w:right w:val="single" w:sz="8" w:color="BFBFBF"/>
            </w:tcBorders>
          </w:tcPr>
          <w:p>
            <w:pPr>
              <w:jc w:val="center"/>
              <w:spacing w:after="0"/>
              <w:rPr>
                <w:sz w:val="20"/>
                <w:szCs w:val="20"/>
                <w:color w:val="auto"/>
              </w:rPr>
            </w:pPr>
            <w:r>
              <w:rPr>
                <w:rFonts w:ascii="Times New Roman" w:cs="Times New Roman" w:eastAsia="Times New Roman" w:hAnsi="Times New Roman"/>
                <w:sz w:val="11"/>
                <w:szCs w:val="11"/>
                <w:color w:val="auto"/>
              </w:rPr>
              <w:t>455,000</w:t>
            </w:r>
          </w:p>
        </w:tc>
      </w:tr>
    </w:tbl>
    <w:p>
      <w:pPr>
        <w:spacing w:after="0" w:line="196" w:lineRule="exact"/>
        <w:rPr>
          <w:sz w:val="20"/>
          <w:szCs w:val="20"/>
          <w:color w:val="auto"/>
        </w:rPr>
      </w:pPr>
    </w:p>
    <w:p>
      <w:pPr>
        <w:ind w:left="8"/>
        <w:spacing w:after="0"/>
        <w:rPr>
          <w:sz w:val="20"/>
          <w:szCs w:val="20"/>
          <w:color w:val="auto"/>
        </w:rPr>
      </w:pPr>
      <w:r>
        <w:rPr>
          <w:rFonts w:ascii="Times New Roman" w:cs="Times New Roman" w:eastAsia="Times New Roman" w:hAnsi="Times New Roman"/>
          <w:sz w:val="11"/>
          <w:szCs w:val="11"/>
          <w:b w:val="1"/>
          <w:bCs w:val="1"/>
          <w:color w:val="auto"/>
        </w:rPr>
        <w:t>Notes:</w:t>
      </w:r>
    </w:p>
    <w:p>
      <w:pPr>
        <w:spacing w:after="0" w:line="92" w:lineRule="exact"/>
        <w:rPr>
          <w:sz w:val="20"/>
          <w:szCs w:val="20"/>
          <w:color w:val="auto"/>
        </w:rPr>
      </w:pPr>
    </w:p>
    <w:p>
      <w:pPr>
        <w:ind w:left="428" w:right="20" w:hanging="428"/>
        <w:spacing w:after="0" w:line="299" w:lineRule="auto"/>
        <w:tabs>
          <w:tab w:leader="none" w:pos="272" w:val="left"/>
        </w:tabs>
        <w:numPr>
          <w:ilvl w:val="0"/>
          <w:numId w:val="6"/>
        </w:numPr>
        <w:rPr>
          <w:rFonts w:ascii="Times New Roman" w:cs="Times New Roman" w:eastAsia="Times New Roman" w:hAnsi="Times New Roman"/>
          <w:sz w:val="11"/>
          <w:szCs w:val="11"/>
          <w:color w:val="auto"/>
        </w:rPr>
      </w:pPr>
      <w:r>
        <w:rPr>
          <w:rFonts w:ascii="Times New Roman" w:cs="Times New Roman" w:eastAsia="Times New Roman" w:hAnsi="Times New Roman"/>
          <w:sz w:val="11"/>
          <w:szCs w:val="11"/>
          <w:color w:val="auto"/>
        </w:rPr>
        <w:t>Calculated based on the Black-Scholes model for option valuation. The fair value of the stock options granted during the 2025 fiscal year have been calculated based on the following weighted average assumptions (the grant date fair value equals the accounting fair value for stock options):</w:t>
      </w:r>
    </w:p>
    <w:p>
      <w:pPr>
        <w:spacing w:after="0" w:line="124" w:lineRule="exact"/>
        <w:rPr>
          <w:sz w:val="20"/>
          <w:szCs w:val="20"/>
          <w:color w:val="auto"/>
        </w:rPr>
      </w:pPr>
    </w:p>
    <w:tbl>
      <w:tblPr>
        <w:tblLayout w:type="fixed"/>
        <w:tblInd w:w="438" w:type="dxa"/>
        <w:tblCellMar>
          <w:top w:w="0" w:type="dxa"/>
          <w:left w:w="0" w:type="dxa"/>
          <w:bottom w:w="0" w:type="dxa"/>
          <w:right w:w="0" w:type="dxa"/>
        </w:tblCellMar>
      </w:tblPr>
      <w:tr>
        <w:trPr>
          <w:trHeight w:val="152"/>
        </w:trPr>
        <w:tc>
          <w:tcPr>
            <w:tcW w:w="2520" w:type="dxa"/>
            <w:vAlign w:val="bottom"/>
            <w:tcBorders>
              <w:top w:val="single" w:sz="8" w:color="auto"/>
              <w:left w:val="single" w:sz="8" w:color="auto"/>
              <w:bottom w:val="single" w:sz="8" w:color="auto"/>
              <w:right w:val="single" w:sz="8" w:color="auto"/>
            </w:tcBorders>
            <w:shd w:val="clear" w:color="auto" w:fill="D9D9D9"/>
          </w:tcPr>
          <w:p>
            <w:pPr>
              <w:ind w:left="20"/>
              <w:spacing w:after="0"/>
              <w:rPr>
                <w:sz w:val="20"/>
                <w:szCs w:val="20"/>
                <w:color w:val="auto"/>
              </w:rPr>
            </w:pPr>
            <w:r>
              <w:rPr>
                <w:rFonts w:ascii="Times New Roman" w:cs="Times New Roman" w:eastAsia="Times New Roman" w:hAnsi="Times New Roman"/>
                <w:sz w:val="11"/>
                <w:szCs w:val="11"/>
                <w:b w:val="1"/>
                <w:bCs w:val="1"/>
                <w:color w:val="auto"/>
              </w:rPr>
              <w:t>Grant Date:</w:t>
            </w:r>
          </w:p>
        </w:tc>
        <w:tc>
          <w:tcPr>
            <w:tcW w:w="2520" w:type="dxa"/>
            <w:vAlign w:val="bottom"/>
            <w:tcBorders>
              <w:top w:val="single" w:sz="8" w:color="auto"/>
              <w:bottom w:val="single" w:sz="8" w:color="auto"/>
              <w:right w:val="single" w:sz="8" w:color="auto"/>
            </w:tcBorders>
            <w:shd w:val="clear" w:color="auto" w:fill="D9D9D9"/>
          </w:tcPr>
          <w:p>
            <w:pPr>
              <w:ind w:left="940"/>
              <w:spacing w:after="0"/>
              <w:rPr>
                <w:sz w:val="20"/>
                <w:szCs w:val="20"/>
                <w:color w:val="auto"/>
              </w:rPr>
            </w:pPr>
            <w:r>
              <w:rPr>
                <w:rFonts w:ascii="Times New Roman" w:cs="Times New Roman" w:eastAsia="Times New Roman" w:hAnsi="Times New Roman"/>
                <w:sz w:val="11"/>
                <w:szCs w:val="11"/>
                <w:b w:val="1"/>
                <w:bCs w:val="1"/>
                <w:color w:val="auto"/>
              </w:rPr>
              <w:t>April 5, 2024</w:t>
            </w:r>
          </w:p>
        </w:tc>
        <w:tc>
          <w:tcPr>
            <w:tcW w:w="2500" w:type="dxa"/>
            <w:vAlign w:val="bottom"/>
            <w:tcBorders>
              <w:top w:val="single" w:sz="8" w:color="auto"/>
              <w:bottom w:val="single" w:sz="8" w:color="auto"/>
              <w:right w:val="single" w:sz="8" w:color="auto"/>
            </w:tcBorders>
            <w:shd w:val="clear" w:color="auto" w:fill="D9D9D9"/>
          </w:tcPr>
          <w:p>
            <w:pPr>
              <w:ind w:left="860"/>
              <w:spacing w:after="0"/>
              <w:rPr>
                <w:sz w:val="20"/>
                <w:szCs w:val="20"/>
                <w:color w:val="auto"/>
              </w:rPr>
            </w:pPr>
            <w:r>
              <w:rPr>
                <w:rFonts w:ascii="Times New Roman" w:cs="Times New Roman" w:eastAsia="Times New Roman" w:hAnsi="Times New Roman"/>
                <w:sz w:val="11"/>
                <w:szCs w:val="11"/>
                <w:b w:val="1"/>
                <w:bCs w:val="1"/>
                <w:color w:val="auto"/>
              </w:rPr>
              <w:t>August 14, 2024</w:t>
            </w:r>
          </w:p>
        </w:tc>
      </w:tr>
      <w:tr>
        <w:trPr>
          <w:trHeight w:val="132"/>
        </w:trPr>
        <w:tc>
          <w:tcPr>
            <w:tcW w:w="2520" w:type="dxa"/>
            <w:vAlign w:val="bottom"/>
            <w:tcBorders>
              <w:left w:val="single" w:sz="8" w:color="auto"/>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1"/>
                <w:szCs w:val="11"/>
                <w:color w:val="auto"/>
              </w:rPr>
              <w:t>Risk free interest rate</w:t>
            </w:r>
          </w:p>
        </w:tc>
        <w:tc>
          <w:tcPr>
            <w:tcW w:w="25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1"/>
                <w:szCs w:val="11"/>
                <w:color w:val="auto"/>
                <w:w w:val="98"/>
              </w:rPr>
              <w:t>3.62%</w:t>
            </w:r>
          </w:p>
        </w:tc>
        <w:tc>
          <w:tcPr>
            <w:tcW w:w="25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1"/>
                <w:szCs w:val="11"/>
                <w:color w:val="auto"/>
                <w:w w:val="98"/>
              </w:rPr>
              <w:t>3.07%</w:t>
            </w:r>
          </w:p>
        </w:tc>
      </w:tr>
      <w:tr>
        <w:trPr>
          <w:trHeight w:val="133"/>
        </w:trPr>
        <w:tc>
          <w:tcPr>
            <w:tcW w:w="2520" w:type="dxa"/>
            <w:vAlign w:val="bottom"/>
            <w:tcBorders>
              <w:left w:val="single" w:sz="8" w:color="auto"/>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1"/>
                <w:szCs w:val="11"/>
                <w:color w:val="auto"/>
              </w:rPr>
              <w:t>Dividend yield</w:t>
            </w:r>
          </w:p>
        </w:tc>
        <w:tc>
          <w:tcPr>
            <w:tcW w:w="25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1"/>
                <w:szCs w:val="11"/>
                <w:color w:val="auto"/>
                <w:w w:val="95"/>
              </w:rPr>
              <w:t>0%</w:t>
            </w:r>
          </w:p>
        </w:tc>
        <w:tc>
          <w:tcPr>
            <w:tcW w:w="25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1"/>
                <w:szCs w:val="11"/>
                <w:color w:val="auto"/>
                <w:w w:val="95"/>
              </w:rPr>
              <w:t>0%</w:t>
            </w:r>
          </w:p>
        </w:tc>
      </w:tr>
      <w:tr>
        <w:trPr>
          <w:trHeight w:val="133"/>
        </w:trPr>
        <w:tc>
          <w:tcPr>
            <w:tcW w:w="2520" w:type="dxa"/>
            <w:vAlign w:val="bottom"/>
            <w:tcBorders>
              <w:left w:val="single" w:sz="8" w:color="auto"/>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1"/>
                <w:szCs w:val="11"/>
                <w:color w:val="auto"/>
              </w:rPr>
              <w:t>Volatility factor</w:t>
            </w:r>
          </w:p>
        </w:tc>
        <w:tc>
          <w:tcPr>
            <w:tcW w:w="25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1"/>
                <w:szCs w:val="11"/>
                <w:color w:val="auto"/>
              </w:rPr>
              <w:t>88.13%</w:t>
            </w:r>
          </w:p>
        </w:tc>
        <w:tc>
          <w:tcPr>
            <w:tcW w:w="25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1"/>
                <w:szCs w:val="11"/>
                <w:color w:val="auto"/>
                <w:w w:val="94"/>
              </w:rPr>
              <w:t>86.69%</w:t>
            </w:r>
          </w:p>
        </w:tc>
      </w:tr>
      <w:tr>
        <w:trPr>
          <w:trHeight w:val="133"/>
        </w:trPr>
        <w:tc>
          <w:tcPr>
            <w:tcW w:w="2520" w:type="dxa"/>
            <w:vAlign w:val="bottom"/>
            <w:tcBorders>
              <w:left w:val="single" w:sz="8" w:color="auto"/>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1"/>
                <w:szCs w:val="11"/>
                <w:color w:val="auto"/>
              </w:rPr>
              <w:t>Average expected life</w:t>
            </w:r>
          </w:p>
        </w:tc>
        <w:tc>
          <w:tcPr>
            <w:tcW w:w="25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1"/>
                <w:szCs w:val="11"/>
                <w:color w:val="auto"/>
              </w:rPr>
              <w:t>5</w:t>
            </w:r>
          </w:p>
        </w:tc>
        <w:tc>
          <w:tcPr>
            <w:tcW w:w="25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1"/>
                <w:szCs w:val="11"/>
                <w:color w:val="auto"/>
              </w:rPr>
              <w:t>10</w:t>
            </w:r>
          </w:p>
        </w:tc>
      </w:tr>
      <w:tr>
        <w:trPr>
          <w:trHeight w:val="134"/>
        </w:trPr>
        <w:tc>
          <w:tcPr>
            <w:tcW w:w="2520" w:type="dxa"/>
            <w:vAlign w:val="bottom"/>
            <w:tcBorders>
              <w:left w:val="single" w:sz="8" w:color="auto"/>
              <w:bottom w:val="single" w:sz="8" w:color="auto"/>
              <w:right w:val="single" w:sz="8" w:color="auto"/>
            </w:tcBorders>
          </w:tcPr>
          <w:p>
            <w:pPr>
              <w:ind w:left="780"/>
              <w:spacing w:after="0"/>
              <w:rPr>
                <w:sz w:val="20"/>
                <w:szCs w:val="20"/>
                <w:color w:val="auto"/>
              </w:rPr>
            </w:pPr>
            <w:r>
              <w:rPr>
                <w:rFonts w:ascii="Times New Roman" w:cs="Times New Roman" w:eastAsia="Times New Roman" w:hAnsi="Times New Roman"/>
                <w:sz w:val="11"/>
                <w:szCs w:val="11"/>
                <w:b w:val="1"/>
                <w:bCs w:val="1"/>
                <w:color w:val="auto"/>
              </w:rPr>
              <w:t>Fair value (rounded)</w:t>
            </w:r>
          </w:p>
        </w:tc>
        <w:tc>
          <w:tcPr>
            <w:tcW w:w="25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1"/>
                <w:szCs w:val="11"/>
                <w:b w:val="1"/>
                <w:bCs w:val="1"/>
                <w:color w:val="auto"/>
                <w:w w:val="99"/>
              </w:rPr>
              <w:t>$14.98</w:t>
            </w:r>
          </w:p>
        </w:tc>
        <w:tc>
          <w:tcPr>
            <w:tcW w:w="25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1"/>
                <w:szCs w:val="11"/>
                <w:b w:val="1"/>
                <w:bCs w:val="1"/>
                <w:color w:val="auto"/>
                <w:w w:val="92"/>
              </w:rPr>
              <w:t>$11.38</w:t>
            </w:r>
          </w:p>
        </w:tc>
      </w:tr>
    </w:tbl>
    <w:p>
      <w:pPr>
        <w:spacing w:after="0" w:line="180" w:lineRule="exact"/>
        <w:rPr>
          <w:sz w:val="20"/>
          <w:szCs w:val="20"/>
          <w:color w:val="auto"/>
        </w:rPr>
      </w:pPr>
    </w:p>
    <w:p>
      <w:pPr>
        <w:ind w:left="428" w:right="20" w:hanging="428"/>
        <w:spacing w:after="0" w:line="273" w:lineRule="auto"/>
        <w:tabs>
          <w:tab w:leader="none" w:pos="263" w:val="left"/>
        </w:tabs>
        <w:numPr>
          <w:ilvl w:val="0"/>
          <w:numId w:val="7"/>
        </w:numPr>
        <w:rPr>
          <w:rFonts w:ascii="Times New Roman" w:cs="Times New Roman" w:eastAsia="Times New Roman" w:hAnsi="Times New Roman"/>
          <w:sz w:val="11"/>
          <w:szCs w:val="11"/>
          <w:color w:val="auto"/>
        </w:rPr>
      </w:pPr>
      <w:r>
        <w:rPr>
          <w:rFonts w:ascii="Times New Roman" w:cs="Times New Roman" w:eastAsia="Times New Roman" w:hAnsi="Times New Roman"/>
          <w:sz w:val="11"/>
          <w:szCs w:val="11"/>
          <w:color w:val="auto"/>
        </w:rPr>
        <w:t>Mr. Drysdale’s salary and non-equity incentive compensation is paid in U.S. dollars and has been converted to Canadian dollars for the purpose of this Circular using an exchange rate of 1.4376, being the Bank of Canada daily exchange rate as of March 31, 2025.</w:t>
      </w:r>
    </w:p>
    <w:p>
      <w:pPr>
        <w:ind w:left="428" w:right="20" w:hanging="428"/>
        <w:spacing w:after="0" w:line="299" w:lineRule="auto"/>
        <w:tabs>
          <w:tab w:leader="none" w:pos="263" w:val="left"/>
        </w:tabs>
        <w:numPr>
          <w:ilvl w:val="0"/>
          <w:numId w:val="7"/>
        </w:numPr>
        <w:rPr>
          <w:rFonts w:ascii="Times New Roman" w:cs="Times New Roman" w:eastAsia="Times New Roman" w:hAnsi="Times New Roman"/>
          <w:sz w:val="11"/>
          <w:szCs w:val="11"/>
          <w:color w:val="auto"/>
        </w:rPr>
      </w:pPr>
      <w:r>
        <w:rPr>
          <w:rFonts w:ascii="Times New Roman" w:cs="Times New Roman" w:eastAsia="Times New Roman" w:hAnsi="Times New Roman"/>
          <w:sz w:val="11"/>
          <w:szCs w:val="11"/>
          <w:color w:val="auto"/>
        </w:rPr>
        <w:t>Effective April 1, 2024, Mr. Cavers, Mr. So, Mr. Glavine, and Mr. Fahel’s salary was denominated in U.S. dollars. The amounts have been converted to Canadian dollars for the purpose of this Circular using an exchange rate of 1.4376, being the Bank of Canada daily exchange rate as of March 31, 2025.</w:t>
      </w:r>
    </w:p>
    <w:p>
      <w:pPr>
        <w:spacing w:after="0" w:line="91" w:lineRule="exact"/>
        <w:rPr>
          <w:sz w:val="20"/>
          <w:szCs w:val="20"/>
          <w:color w:val="auto"/>
        </w:rPr>
      </w:pPr>
    </w:p>
    <w:p>
      <w:pPr>
        <w:jc w:val="center"/>
        <w:ind w:right="-7"/>
        <w:spacing w:after="0"/>
        <w:rPr>
          <w:sz w:val="20"/>
          <w:szCs w:val="20"/>
          <w:color w:val="auto"/>
        </w:rPr>
      </w:pPr>
      <w:r>
        <w:rPr>
          <w:rFonts w:ascii="Times New Roman" w:cs="Times New Roman" w:eastAsia="Times New Roman" w:hAnsi="Times New Roman"/>
          <w:sz w:val="13"/>
          <w:szCs w:val="13"/>
          <w:b w:val="1"/>
          <w:bCs w:val="1"/>
          <w:color w:val="auto"/>
        </w:rPr>
        <w:t>INCENTIVE PLAN AWARDS</w:t>
      </w:r>
    </w:p>
    <w:p>
      <w:pPr>
        <w:spacing w:after="0" w:line="155" w:lineRule="exact"/>
        <w:rPr>
          <w:sz w:val="20"/>
          <w:szCs w:val="20"/>
          <w:color w:val="auto"/>
        </w:rPr>
      </w:pPr>
    </w:p>
    <w:p>
      <w:pPr>
        <w:ind w:left="8"/>
        <w:spacing w:after="0"/>
        <w:rPr>
          <w:sz w:val="20"/>
          <w:szCs w:val="20"/>
          <w:color w:val="auto"/>
        </w:rPr>
      </w:pPr>
      <w:r>
        <w:rPr>
          <w:rFonts w:ascii="Times New Roman" w:cs="Times New Roman" w:eastAsia="Times New Roman" w:hAnsi="Times New Roman"/>
          <w:sz w:val="13"/>
          <w:szCs w:val="13"/>
          <w:b w:val="1"/>
          <w:bCs w:val="1"/>
          <w:i w:val="1"/>
          <w:iCs w:val="1"/>
          <w:color w:val="auto"/>
        </w:rPr>
        <w:t>Outstanding Share-Based Awards and Option-Based Awards</w:t>
      </w:r>
    </w:p>
    <w:p>
      <w:pPr>
        <w:spacing w:after="0" w:line="161" w:lineRule="exact"/>
        <w:rPr>
          <w:sz w:val="20"/>
          <w:szCs w:val="20"/>
          <w:color w:val="auto"/>
        </w:rPr>
      </w:pPr>
    </w:p>
    <w:p>
      <w:pPr>
        <w:ind w:left="8"/>
        <w:spacing w:after="0"/>
        <w:rPr>
          <w:sz w:val="20"/>
          <w:szCs w:val="20"/>
          <w:color w:val="auto"/>
        </w:rPr>
      </w:pPr>
      <w:r>
        <w:rPr>
          <w:rFonts w:ascii="Times New Roman" w:cs="Times New Roman" w:eastAsia="Times New Roman" w:hAnsi="Times New Roman"/>
          <w:sz w:val="13"/>
          <w:szCs w:val="13"/>
          <w:color w:val="auto"/>
        </w:rPr>
        <w:t>The following table sets forth all share-based and option-based awards outstanding for the Named Executive Officers as of March 31, 2025:</w:t>
      </w:r>
    </w:p>
    <w:p>
      <w:pPr>
        <w:sectPr>
          <w:pgSz w:w="11900" w:h="16838" w:orient="portrait"/>
          <w:cols w:equalWidth="0" w:num="1">
            <w:col w:w="11308"/>
          </w:cols>
          <w:pgMar w:left="292" w:top="125" w:right="299" w:bottom="1440" w:gutter="0" w:footer="0" w:header="0"/>
        </w:sectPr>
      </w:pPr>
    </w:p>
    <w:bookmarkStart w:id="22" w:name="page23"/>
    <w:bookmarkEnd w:id="22"/>
    <w:p>
      <w:pPr>
        <w:jc w:val="center"/>
        <w:ind w:right="-7"/>
        <w:spacing w:after="0"/>
        <w:rPr>
          <w:sz w:val="20"/>
          <w:szCs w:val="20"/>
          <w:color w:val="auto"/>
        </w:rPr>
      </w:pPr>
      <w:r>
        <w:rPr>
          <w:rFonts w:ascii="Times New Roman" w:cs="Times New Roman" w:eastAsia="Times New Roman" w:hAnsi="Times New Roman"/>
          <w:sz w:val="13"/>
          <w:szCs w:val="13"/>
          <w:color w:val="auto"/>
        </w:rPr>
        <w:t>- 19 -</w:t>
      </w: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tbl>
      <w:tblPr>
        <w:tblLayout w:type="fixed"/>
        <w:tblInd w:w="78" w:type="dxa"/>
        <w:tblCellMar>
          <w:top w:w="0" w:type="dxa"/>
          <w:left w:w="0" w:type="dxa"/>
          <w:bottom w:w="0" w:type="dxa"/>
          <w:right w:w="0" w:type="dxa"/>
        </w:tblCellMar>
      </w:tblPr>
      <w:tr>
        <w:trPr>
          <w:trHeight w:val="152"/>
        </w:trPr>
        <w:tc>
          <w:tcPr>
            <w:tcW w:w="1600" w:type="dxa"/>
            <w:vAlign w:val="bottom"/>
            <w:tcBorders>
              <w:top w:val="single" w:sz="8" w:color="auto"/>
              <w:left w:val="single" w:sz="8" w:color="auto"/>
              <w:bottom w:val="single" w:sz="8" w:color="auto"/>
              <w:right w:val="single" w:sz="8" w:color="auto"/>
            </w:tcBorders>
            <w:shd w:val="clear" w:color="auto" w:fill="D9D9D9"/>
          </w:tcPr>
          <w:p>
            <w:pPr>
              <w:spacing w:after="0"/>
              <w:rPr>
                <w:sz w:val="13"/>
                <w:szCs w:val="13"/>
                <w:color w:val="auto"/>
              </w:rPr>
            </w:pPr>
          </w:p>
        </w:tc>
        <w:tc>
          <w:tcPr>
            <w:tcW w:w="1420" w:type="dxa"/>
            <w:vAlign w:val="bottom"/>
            <w:tcBorders>
              <w:top w:val="single" w:sz="8" w:color="auto"/>
              <w:bottom w:val="single" w:sz="8" w:color="auto"/>
              <w:right w:val="single" w:sz="8" w:color="D9D9D9"/>
            </w:tcBorders>
            <w:shd w:val="clear" w:color="auto" w:fill="D9D9D9"/>
          </w:tcPr>
          <w:p>
            <w:pPr>
              <w:spacing w:after="0"/>
              <w:rPr>
                <w:sz w:val="13"/>
                <w:szCs w:val="13"/>
                <w:color w:val="auto"/>
              </w:rPr>
            </w:pPr>
          </w:p>
        </w:tc>
        <w:tc>
          <w:tcPr>
            <w:tcW w:w="1080" w:type="dxa"/>
            <w:vAlign w:val="bottom"/>
            <w:tcBorders>
              <w:top w:val="single" w:sz="8" w:color="auto"/>
              <w:bottom w:val="single" w:sz="8" w:color="auto"/>
              <w:right w:val="single" w:sz="8" w:color="D9D9D9"/>
            </w:tcBorders>
            <w:shd w:val="clear" w:color="auto" w:fill="D9D9D9"/>
          </w:tcPr>
          <w:p>
            <w:pPr>
              <w:spacing w:after="0"/>
              <w:rPr>
                <w:sz w:val="13"/>
                <w:szCs w:val="13"/>
                <w:color w:val="auto"/>
              </w:rPr>
            </w:pPr>
          </w:p>
        </w:tc>
        <w:tc>
          <w:tcPr>
            <w:tcW w:w="2060" w:type="dxa"/>
            <w:vAlign w:val="bottom"/>
            <w:tcBorders>
              <w:top w:val="single" w:sz="8" w:color="auto"/>
              <w:bottom w:val="single" w:sz="8" w:color="auto"/>
              <w:right w:val="single" w:sz="8" w:color="D9D9D9"/>
            </w:tcBorders>
            <w:shd w:val="clear" w:color="auto" w:fill="D9D9D9"/>
          </w:tcPr>
          <w:p>
            <w:pPr>
              <w:spacing w:after="0"/>
              <w:rPr>
                <w:sz w:val="20"/>
                <w:szCs w:val="20"/>
                <w:color w:val="auto"/>
              </w:rPr>
            </w:pPr>
            <w:r>
              <w:rPr>
                <w:rFonts w:ascii="Times New Roman" w:cs="Times New Roman" w:eastAsia="Times New Roman" w:hAnsi="Times New Roman"/>
                <w:sz w:val="11"/>
                <w:szCs w:val="11"/>
                <w:b w:val="1"/>
                <w:bCs w:val="1"/>
                <w:color w:val="auto"/>
              </w:rPr>
              <w:t>Option-Based Awards</w:t>
            </w:r>
          </w:p>
        </w:tc>
        <w:tc>
          <w:tcPr>
            <w:tcW w:w="1400" w:type="dxa"/>
            <w:vAlign w:val="bottom"/>
            <w:tcBorders>
              <w:top w:val="single" w:sz="8" w:color="auto"/>
              <w:bottom w:val="single" w:sz="8" w:color="auto"/>
              <w:right w:val="single" w:sz="8" w:color="auto"/>
            </w:tcBorders>
            <w:shd w:val="clear" w:color="auto" w:fill="D9D9D9"/>
          </w:tcPr>
          <w:p>
            <w:pPr>
              <w:spacing w:after="0"/>
              <w:rPr>
                <w:sz w:val="13"/>
                <w:szCs w:val="13"/>
                <w:color w:val="auto"/>
              </w:rPr>
            </w:pPr>
          </w:p>
        </w:tc>
        <w:tc>
          <w:tcPr>
            <w:tcW w:w="1080" w:type="dxa"/>
            <w:vAlign w:val="bottom"/>
            <w:tcBorders>
              <w:top w:val="single" w:sz="8" w:color="auto"/>
              <w:bottom w:val="single" w:sz="8" w:color="auto"/>
              <w:right w:val="single" w:sz="8" w:color="D9D9D9"/>
            </w:tcBorders>
            <w:shd w:val="clear" w:color="auto" w:fill="D9D9D9"/>
          </w:tcPr>
          <w:p>
            <w:pPr>
              <w:spacing w:after="0"/>
              <w:rPr>
                <w:sz w:val="13"/>
                <w:szCs w:val="13"/>
                <w:color w:val="auto"/>
              </w:rPr>
            </w:pPr>
          </w:p>
        </w:tc>
        <w:tc>
          <w:tcPr>
            <w:tcW w:w="1300" w:type="dxa"/>
            <w:vAlign w:val="bottom"/>
            <w:tcBorders>
              <w:top w:val="single" w:sz="8" w:color="auto"/>
              <w:bottom w:val="single" w:sz="8" w:color="auto"/>
              <w:right w:val="single" w:sz="8" w:color="D9D9D9"/>
            </w:tcBorders>
            <w:shd w:val="clear" w:color="auto" w:fill="D9D9D9"/>
          </w:tcPr>
          <w:p>
            <w:pPr>
              <w:ind w:left="260"/>
              <w:spacing w:after="0"/>
              <w:rPr>
                <w:sz w:val="20"/>
                <w:szCs w:val="20"/>
                <w:color w:val="auto"/>
              </w:rPr>
            </w:pPr>
            <w:r>
              <w:rPr>
                <w:rFonts w:ascii="Times New Roman" w:cs="Times New Roman" w:eastAsia="Times New Roman" w:hAnsi="Times New Roman"/>
                <w:sz w:val="11"/>
                <w:szCs w:val="11"/>
                <w:b w:val="1"/>
                <w:bCs w:val="1"/>
                <w:color w:val="auto"/>
              </w:rPr>
              <w:t>Share-Based Awards</w:t>
            </w:r>
          </w:p>
        </w:tc>
        <w:tc>
          <w:tcPr>
            <w:tcW w:w="1300" w:type="dxa"/>
            <w:vAlign w:val="bottom"/>
            <w:tcBorders>
              <w:top w:val="single" w:sz="8" w:color="auto"/>
              <w:bottom w:val="single" w:sz="8" w:color="auto"/>
              <w:right w:val="single" w:sz="8" w:color="auto"/>
            </w:tcBorders>
            <w:shd w:val="clear" w:color="auto" w:fill="D9D9D9"/>
          </w:tcPr>
          <w:p>
            <w:pPr>
              <w:spacing w:after="0"/>
              <w:rPr>
                <w:sz w:val="13"/>
                <w:szCs w:val="13"/>
                <w:color w:val="auto"/>
              </w:rPr>
            </w:pPr>
          </w:p>
        </w:tc>
      </w:tr>
      <w:tr>
        <w:trPr>
          <w:trHeight w:val="123"/>
        </w:trPr>
        <w:tc>
          <w:tcPr>
            <w:tcW w:w="1600" w:type="dxa"/>
            <w:vAlign w:val="bottom"/>
            <w:tcBorders>
              <w:left w:val="single" w:sz="8" w:color="auto"/>
              <w:right w:val="single" w:sz="8" w:color="auto"/>
            </w:tcBorders>
            <w:shd w:val="clear" w:color="auto" w:fill="D9D9D9"/>
          </w:tcPr>
          <w:p>
            <w:pPr>
              <w:ind w:left="660"/>
              <w:spacing w:after="0" w:line="123" w:lineRule="exact"/>
              <w:rPr>
                <w:sz w:val="20"/>
                <w:szCs w:val="20"/>
                <w:color w:val="auto"/>
              </w:rPr>
            </w:pPr>
            <w:r>
              <w:rPr>
                <w:rFonts w:ascii="Times New Roman" w:cs="Times New Roman" w:eastAsia="Times New Roman" w:hAnsi="Times New Roman"/>
                <w:sz w:val="11"/>
                <w:szCs w:val="11"/>
                <w:b w:val="1"/>
                <w:bCs w:val="1"/>
                <w:color w:val="auto"/>
              </w:rPr>
              <w:t>Name</w:t>
            </w:r>
          </w:p>
        </w:tc>
        <w:tc>
          <w:tcPr>
            <w:tcW w:w="1420" w:type="dxa"/>
            <w:vAlign w:val="bottom"/>
            <w:tcBorders>
              <w:right w:val="single" w:sz="8" w:color="auto"/>
            </w:tcBorders>
            <w:shd w:val="clear" w:color="auto" w:fill="D9D9D9"/>
          </w:tcPr>
          <w:p>
            <w:pPr>
              <w:jc w:val="center"/>
              <w:spacing w:after="0" w:line="123" w:lineRule="exact"/>
              <w:rPr>
                <w:sz w:val="20"/>
                <w:szCs w:val="20"/>
                <w:color w:val="auto"/>
              </w:rPr>
            </w:pPr>
            <w:r>
              <w:rPr>
                <w:rFonts w:ascii="Times New Roman" w:cs="Times New Roman" w:eastAsia="Times New Roman" w:hAnsi="Times New Roman"/>
                <w:sz w:val="11"/>
                <w:szCs w:val="11"/>
                <w:b w:val="1"/>
                <w:bCs w:val="1"/>
                <w:color w:val="auto"/>
                <w:w w:val="98"/>
              </w:rPr>
              <w:t>Number of securities</w:t>
            </w:r>
          </w:p>
        </w:tc>
        <w:tc>
          <w:tcPr>
            <w:tcW w:w="1080" w:type="dxa"/>
            <w:vAlign w:val="bottom"/>
            <w:tcBorders>
              <w:right w:val="single" w:sz="8" w:color="auto"/>
            </w:tcBorders>
            <w:shd w:val="clear" w:color="auto" w:fill="D9D9D9"/>
          </w:tcPr>
          <w:p>
            <w:pPr>
              <w:ind w:left="40"/>
              <w:spacing w:after="0" w:line="123" w:lineRule="exact"/>
              <w:rPr>
                <w:sz w:val="20"/>
                <w:szCs w:val="20"/>
                <w:color w:val="auto"/>
              </w:rPr>
            </w:pPr>
            <w:r>
              <w:rPr>
                <w:rFonts w:ascii="Times New Roman" w:cs="Times New Roman" w:eastAsia="Times New Roman" w:hAnsi="Times New Roman"/>
                <w:sz w:val="11"/>
                <w:szCs w:val="11"/>
                <w:b w:val="1"/>
                <w:bCs w:val="1"/>
                <w:color w:val="auto"/>
              </w:rPr>
              <w:t>Option exercise price</w:t>
            </w:r>
          </w:p>
        </w:tc>
        <w:tc>
          <w:tcPr>
            <w:tcW w:w="2060" w:type="dxa"/>
            <w:vAlign w:val="bottom"/>
            <w:tcBorders>
              <w:right w:val="single" w:sz="8" w:color="auto"/>
            </w:tcBorders>
            <w:shd w:val="clear" w:color="auto" w:fill="D9D9D9"/>
          </w:tcPr>
          <w:p>
            <w:pPr>
              <w:jc w:val="center"/>
              <w:spacing w:after="0" w:line="123" w:lineRule="exact"/>
              <w:rPr>
                <w:sz w:val="20"/>
                <w:szCs w:val="20"/>
                <w:color w:val="auto"/>
              </w:rPr>
            </w:pPr>
            <w:r>
              <w:rPr>
                <w:rFonts w:ascii="Times New Roman" w:cs="Times New Roman" w:eastAsia="Times New Roman" w:hAnsi="Times New Roman"/>
                <w:sz w:val="11"/>
                <w:szCs w:val="11"/>
                <w:b w:val="1"/>
                <w:bCs w:val="1"/>
                <w:color w:val="auto"/>
                <w:w w:val="99"/>
              </w:rPr>
              <w:t>Option expiration date</w:t>
            </w:r>
          </w:p>
        </w:tc>
        <w:tc>
          <w:tcPr>
            <w:tcW w:w="1400" w:type="dxa"/>
            <w:vAlign w:val="bottom"/>
            <w:tcBorders>
              <w:right w:val="single" w:sz="8" w:color="auto"/>
            </w:tcBorders>
            <w:shd w:val="clear" w:color="auto" w:fill="D9D9D9"/>
          </w:tcPr>
          <w:p>
            <w:pPr>
              <w:jc w:val="center"/>
              <w:spacing w:after="0" w:line="123" w:lineRule="exact"/>
              <w:rPr>
                <w:sz w:val="20"/>
                <w:szCs w:val="20"/>
                <w:color w:val="auto"/>
              </w:rPr>
            </w:pPr>
            <w:r>
              <w:rPr>
                <w:rFonts w:ascii="Times New Roman" w:cs="Times New Roman" w:eastAsia="Times New Roman" w:hAnsi="Times New Roman"/>
                <w:sz w:val="11"/>
                <w:szCs w:val="11"/>
                <w:b w:val="1"/>
                <w:bCs w:val="1"/>
                <w:color w:val="auto"/>
                <w:w w:val="97"/>
              </w:rPr>
              <w:t>Value of unexercised in-the-</w:t>
            </w:r>
          </w:p>
        </w:tc>
        <w:tc>
          <w:tcPr>
            <w:tcW w:w="1080" w:type="dxa"/>
            <w:vAlign w:val="bottom"/>
            <w:tcBorders>
              <w:right w:val="single" w:sz="8" w:color="auto"/>
            </w:tcBorders>
            <w:shd w:val="clear" w:color="auto" w:fill="D9D9D9"/>
          </w:tcPr>
          <w:p>
            <w:pPr>
              <w:jc w:val="center"/>
              <w:spacing w:after="0" w:line="123" w:lineRule="exact"/>
              <w:rPr>
                <w:sz w:val="20"/>
                <w:szCs w:val="20"/>
                <w:color w:val="auto"/>
              </w:rPr>
            </w:pPr>
            <w:r>
              <w:rPr>
                <w:rFonts w:ascii="Times New Roman" w:cs="Times New Roman" w:eastAsia="Times New Roman" w:hAnsi="Times New Roman"/>
                <w:sz w:val="11"/>
                <w:szCs w:val="11"/>
                <w:b w:val="1"/>
                <w:bCs w:val="1"/>
                <w:color w:val="auto"/>
                <w:w w:val="99"/>
              </w:rPr>
              <w:t>Number of shares or</w:t>
            </w:r>
          </w:p>
        </w:tc>
        <w:tc>
          <w:tcPr>
            <w:tcW w:w="1300" w:type="dxa"/>
            <w:vAlign w:val="bottom"/>
            <w:tcBorders>
              <w:right w:val="single" w:sz="8" w:color="auto"/>
            </w:tcBorders>
            <w:shd w:val="clear" w:color="auto" w:fill="D9D9D9"/>
          </w:tcPr>
          <w:p>
            <w:pPr>
              <w:jc w:val="center"/>
              <w:spacing w:after="0" w:line="123" w:lineRule="exact"/>
              <w:rPr>
                <w:sz w:val="20"/>
                <w:szCs w:val="20"/>
                <w:color w:val="auto"/>
              </w:rPr>
            </w:pPr>
            <w:r>
              <w:rPr>
                <w:rFonts w:ascii="Times New Roman" w:cs="Times New Roman" w:eastAsia="Times New Roman" w:hAnsi="Times New Roman"/>
                <w:sz w:val="11"/>
                <w:szCs w:val="11"/>
                <w:b w:val="1"/>
                <w:bCs w:val="1"/>
                <w:color w:val="auto"/>
                <w:w w:val="98"/>
              </w:rPr>
              <w:t>Market or payout value</w:t>
            </w:r>
          </w:p>
        </w:tc>
        <w:tc>
          <w:tcPr>
            <w:tcW w:w="1300" w:type="dxa"/>
            <w:vAlign w:val="bottom"/>
            <w:tcBorders>
              <w:right w:val="single" w:sz="8" w:color="auto"/>
            </w:tcBorders>
            <w:shd w:val="clear" w:color="auto" w:fill="D9D9D9"/>
          </w:tcPr>
          <w:p>
            <w:pPr>
              <w:jc w:val="center"/>
              <w:spacing w:after="0" w:line="123" w:lineRule="exact"/>
              <w:rPr>
                <w:sz w:val="20"/>
                <w:szCs w:val="20"/>
                <w:color w:val="auto"/>
              </w:rPr>
            </w:pPr>
            <w:r>
              <w:rPr>
                <w:rFonts w:ascii="Times New Roman" w:cs="Times New Roman" w:eastAsia="Times New Roman" w:hAnsi="Times New Roman"/>
                <w:sz w:val="11"/>
                <w:szCs w:val="11"/>
                <w:b w:val="1"/>
                <w:bCs w:val="1"/>
                <w:color w:val="auto"/>
                <w:w w:val="97"/>
              </w:rPr>
              <w:t>Market or payout value of</w:t>
            </w:r>
          </w:p>
        </w:tc>
      </w:tr>
      <w:tr>
        <w:trPr>
          <w:trHeight w:val="135"/>
        </w:trPr>
        <w:tc>
          <w:tcPr>
            <w:tcW w:w="1600" w:type="dxa"/>
            <w:vAlign w:val="bottom"/>
            <w:tcBorders>
              <w:left w:val="single" w:sz="8" w:color="auto"/>
              <w:right w:val="single" w:sz="8" w:color="auto"/>
            </w:tcBorders>
            <w:shd w:val="clear" w:color="auto" w:fill="D9D9D9"/>
          </w:tcPr>
          <w:p>
            <w:pPr>
              <w:spacing w:after="0"/>
              <w:rPr>
                <w:sz w:val="11"/>
                <w:szCs w:val="11"/>
                <w:color w:val="auto"/>
              </w:rPr>
            </w:pPr>
          </w:p>
        </w:tc>
        <w:tc>
          <w:tcPr>
            <w:tcW w:w="1420" w:type="dxa"/>
            <w:vAlign w:val="bottom"/>
            <w:tcBorders>
              <w:right w:val="single" w:sz="8" w:color="auto"/>
            </w:tcBorders>
            <w:shd w:val="clear" w:color="auto" w:fill="D9D9D9"/>
          </w:tcPr>
          <w:p>
            <w:pPr>
              <w:jc w:val="center"/>
              <w:spacing w:after="0"/>
              <w:rPr>
                <w:sz w:val="20"/>
                <w:szCs w:val="20"/>
                <w:color w:val="auto"/>
              </w:rPr>
            </w:pPr>
            <w:r>
              <w:rPr>
                <w:rFonts w:ascii="Times New Roman" w:cs="Times New Roman" w:eastAsia="Times New Roman" w:hAnsi="Times New Roman"/>
                <w:sz w:val="11"/>
                <w:szCs w:val="11"/>
                <w:b w:val="1"/>
                <w:bCs w:val="1"/>
                <w:color w:val="auto"/>
                <w:w w:val="98"/>
              </w:rPr>
              <w:t>underlying unexercised</w:t>
            </w:r>
          </w:p>
        </w:tc>
        <w:tc>
          <w:tcPr>
            <w:tcW w:w="1080" w:type="dxa"/>
            <w:vAlign w:val="bottom"/>
            <w:tcBorders>
              <w:right w:val="single" w:sz="8" w:color="auto"/>
            </w:tcBorders>
            <w:shd w:val="clear" w:color="auto" w:fill="D9D9D9"/>
          </w:tcPr>
          <w:p>
            <w:pPr>
              <w:jc w:val="center"/>
              <w:spacing w:after="0"/>
              <w:rPr>
                <w:sz w:val="20"/>
                <w:szCs w:val="20"/>
                <w:color w:val="auto"/>
              </w:rPr>
            </w:pPr>
            <w:r>
              <w:rPr>
                <w:rFonts w:ascii="Times New Roman" w:cs="Times New Roman" w:eastAsia="Times New Roman" w:hAnsi="Times New Roman"/>
                <w:sz w:val="11"/>
                <w:szCs w:val="11"/>
                <w:b w:val="1"/>
                <w:bCs w:val="1"/>
                <w:color w:val="auto"/>
                <w:w w:val="93"/>
              </w:rPr>
              <w:t>($)</w:t>
            </w:r>
          </w:p>
        </w:tc>
        <w:tc>
          <w:tcPr>
            <w:tcW w:w="2060" w:type="dxa"/>
            <w:vAlign w:val="bottom"/>
            <w:tcBorders>
              <w:right w:val="single" w:sz="8" w:color="auto"/>
            </w:tcBorders>
            <w:shd w:val="clear" w:color="auto" w:fill="D9D9D9"/>
          </w:tcPr>
          <w:p>
            <w:pPr>
              <w:spacing w:after="0"/>
              <w:rPr>
                <w:sz w:val="11"/>
                <w:szCs w:val="11"/>
                <w:color w:val="auto"/>
              </w:rPr>
            </w:pPr>
          </w:p>
        </w:tc>
        <w:tc>
          <w:tcPr>
            <w:tcW w:w="1400" w:type="dxa"/>
            <w:vAlign w:val="bottom"/>
            <w:tcBorders>
              <w:right w:val="single" w:sz="8" w:color="auto"/>
            </w:tcBorders>
            <w:shd w:val="clear" w:color="auto" w:fill="D9D9D9"/>
          </w:tcPr>
          <w:p>
            <w:pPr>
              <w:jc w:val="center"/>
              <w:spacing w:after="0" w:line="135" w:lineRule="exact"/>
              <w:rPr>
                <w:sz w:val="20"/>
                <w:szCs w:val="20"/>
                <w:color w:val="auto"/>
              </w:rPr>
            </w:pPr>
            <w:r>
              <w:rPr>
                <w:rFonts w:ascii="Times New Roman" w:cs="Times New Roman" w:eastAsia="Times New Roman" w:hAnsi="Times New Roman"/>
                <w:sz w:val="11"/>
                <w:szCs w:val="11"/>
                <w:b w:val="1"/>
                <w:bCs w:val="1"/>
                <w:color w:val="auto"/>
                <w:w w:val="96"/>
              </w:rPr>
              <w:t>money options</w:t>
            </w:r>
            <w:r>
              <w:rPr>
                <w:rFonts w:ascii="Times New Roman" w:cs="Times New Roman" w:eastAsia="Times New Roman" w:hAnsi="Times New Roman"/>
                <w:sz w:val="14"/>
                <w:szCs w:val="14"/>
                <w:b w:val="1"/>
                <w:bCs w:val="1"/>
                <w:color w:val="auto"/>
                <w:w w:val="96"/>
                <w:vertAlign w:val="superscript"/>
              </w:rPr>
              <w:t>(1)</w:t>
            </w:r>
          </w:p>
        </w:tc>
        <w:tc>
          <w:tcPr>
            <w:tcW w:w="1080" w:type="dxa"/>
            <w:vAlign w:val="bottom"/>
            <w:tcBorders>
              <w:right w:val="single" w:sz="8" w:color="auto"/>
            </w:tcBorders>
            <w:shd w:val="clear" w:color="auto" w:fill="D9D9D9"/>
          </w:tcPr>
          <w:p>
            <w:pPr>
              <w:jc w:val="center"/>
              <w:spacing w:after="0"/>
              <w:rPr>
                <w:sz w:val="20"/>
                <w:szCs w:val="20"/>
                <w:color w:val="auto"/>
              </w:rPr>
            </w:pPr>
            <w:r>
              <w:rPr>
                <w:rFonts w:ascii="Times New Roman" w:cs="Times New Roman" w:eastAsia="Times New Roman" w:hAnsi="Times New Roman"/>
                <w:sz w:val="11"/>
                <w:szCs w:val="11"/>
                <w:b w:val="1"/>
                <w:bCs w:val="1"/>
                <w:color w:val="auto"/>
                <w:w w:val="98"/>
              </w:rPr>
              <w:t>units of shares that</w:t>
            </w:r>
          </w:p>
        </w:tc>
        <w:tc>
          <w:tcPr>
            <w:tcW w:w="1300" w:type="dxa"/>
            <w:vAlign w:val="bottom"/>
            <w:tcBorders>
              <w:right w:val="single" w:sz="8" w:color="auto"/>
            </w:tcBorders>
            <w:shd w:val="clear" w:color="auto" w:fill="D9D9D9"/>
          </w:tcPr>
          <w:p>
            <w:pPr>
              <w:jc w:val="center"/>
              <w:spacing w:after="0"/>
              <w:rPr>
                <w:sz w:val="20"/>
                <w:szCs w:val="20"/>
                <w:color w:val="auto"/>
              </w:rPr>
            </w:pPr>
            <w:r>
              <w:rPr>
                <w:rFonts w:ascii="Times New Roman" w:cs="Times New Roman" w:eastAsia="Times New Roman" w:hAnsi="Times New Roman"/>
                <w:sz w:val="11"/>
                <w:szCs w:val="11"/>
                <w:b w:val="1"/>
                <w:bCs w:val="1"/>
                <w:color w:val="auto"/>
                <w:w w:val="97"/>
              </w:rPr>
              <w:t>of share based awards</w:t>
            </w:r>
          </w:p>
        </w:tc>
        <w:tc>
          <w:tcPr>
            <w:tcW w:w="1300" w:type="dxa"/>
            <w:vAlign w:val="bottom"/>
            <w:tcBorders>
              <w:right w:val="single" w:sz="8" w:color="auto"/>
            </w:tcBorders>
            <w:shd w:val="clear" w:color="auto" w:fill="D9D9D9"/>
          </w:tcPr>
          <w:p>
            <w:pPr>
              <w:jc w:val="center"/>
              <w:spacing w:after="0"/>
              <w:rPr>
                <w:sz w:val="20"/>
                <w:szCs w:val="20"/>
                <w:color w:val="auto"/>
              </w:rPr>
            </w:pPr>
            <w:r>
              <w:rPr>
                <w:rFonts w:ascii="Times New Roman" w:cs="Times New Roman" w:eastAsia="Times New Roman" w:hAnsi="Times New Roman"/>
                <w:sz w:val="11"/>
                <w:szCs w:val="11"/>
                <w:b w:val="1"/>
                <w:bCs w:val="1"/>
                <w:color w:val="auto"/>
                <w:w w:val="97"/>
              </w:rPr>
              <w:t>vested share-based</w:t>
            </w:r>
          </w:p>
        </w:tc>
      </w:tr>
      <w:tr>
        <w:trPr>
          <w:trHeight w:val="126"/>
        </w:trPr>
        <w:tc>
          <w:tcPr>
            <w:tcW w:w="1600" w:type="dxa"/>
            <w:vAlign w:val="bottom"/>
            <w:tcBorders>
              <w:left w:val="single" w:sz="8" w:color="auto"/>
              <w:right w:val="single" w:sz="8" w:color="auto"/>
            </w:tcBorders>
            <w:shd w:val="clear" w:color="auto" w:fill="D9D9D9"/>
          </w:tcPr>
          <w:p>
            <w:pPr>
              <w:spacing w:after="0"/>
              <w:rPr>
                <w:sz w:val="10"/>
                <w:szCs w:val="10"/>
                <w:color w:val="auto"/>
              </w:rPr>
            </w:pPr>
          </w:p>
        </w:tc>
        <w:tc>
          <w:tcPr>
            <w:tcW w:w="1420" w:type="dxa"/>
            <w:vAlign w:val="bottom"/>
            <w:tcBorders>
              <w:right w:val="single" w:sz="8" w:color="auto"/>
            </w:tcBorders>
            <w:shd w:val="clear" w:color="auto" w:fill="D9D9D9"/>
          </w:tcPr>
          <w:p>
            <w:pPr>
              <w:jc w:val="center"/>
              <w:spacing w:after="0"/>
              <w:rPr>
                <w:sz w:val="20"/>
                <w:szCs w:val="20"/>
                <w:color w:val="auto"/>
              </w:rPr>
            </w:pPr>
            <w:r>
              <w:rPr>
                <w:rFonts w:ascii="Times New Roman" w:cs="Times New Roman" w:eastAsia="Times New Roman" w:hAnsi="Times New Roman"/>
                <w:sz w:val="11"/>
                <w:szCs w:val="11"/>
                <w:b w:val="1"/>
                <w:bCs w:val="1"/>
                <w:color w:val="auto"/>
                <w:w w:val="99"/>
              </w:rPr>
              <w:t>options</w:t>
            </w:r>
          </w:p>
        </w:tc>
        <w:tc>
          <w:tcPr>
            <w:tcW w:w="1080" w:type="dxa"/>
            <w:vAlign w:val="bottom"/>
            <w:tcBorders>
              <w:right w:val="single" w:sz="8" w:color="auto"/>
            </w:tcBorders>
            <w:shd w:val="clear" w:color="auto" w:fill="D9D9D9"/>
          </w:tcPr>
          <w:p>
            <w:pPr>
              <w:spacing w:after="0"/>
              <w:rPr>
                <w:sz w:val="10"/>
                <w:szCs w:val="10"/>
                <w:color w:val="auto"/>
              </w:rPr>
            </w:pPr>
          </w:p>
        </w:tc>
        <w:tc>
          <w:tcPr>
            <w:tcW w:w="2060" w:type="dxa"/>
            <w:vAlign w:val="bottom"/>
            <w:tcBorders>
              <w:right w:val="single" w:sz="8" w:color="auto"/>
            </w:tcBorders>
            <w:shd w:val="clear" w:color="auto" w:fill="D9D9D9"/>
          </w:tcPr>
          <w:p>
            <w:pPr>
              <w:spacing w:after="0"/>
              <w:rPr>
                <w:sz w:val="10"/>
                <w:szCs w:val="10"/>
                <w:color w:val="auto"/>
              </w:rPr>
            </w:pPr>
          </w:p>
        </w:tc>
        <w:tc>
          <w:tcPr>
            <w:tcW w:w="1400" w:type="dxa"/>
            <w:vAlign w:val="bottom"/>
            <w:tcBorders>
              <w:right w:val="single" w:sz="8" w:color="auto"/>
            </w:tcBorders>
            <w:shd w:val="clear" w:color="auto" w:fill="D9D9D9"/>
          </w:tcPr>
          <w:p>
            <w:pPr>
              <w:jc w:val="center"/>
              <w:spacing w:after="0"/>
              <w:rPr>
                <w:sz w:val="20"/>
                <w:szCs w:val="20"/>
                <w:color w:val="auto"/>
              </w:rPr>
            </w:pPr>
            <w:r>
              <w:rPr>
                <w:rFonts w:ascii="Times New Roman" w:cs="Times New Roman" w:eastAsia="Times New Roman" w:hAnsi="Times New Roman"/>
                <w:sz w:val="11"/>
                <w:szCs w:val="11"/>
                <w:b w:val="1"/>
                <w:bCs w:val="1"/>
                <w:color w:val="auto"/>
                <w:w w:val="93"/>
              </w:rPr>
              <w:t>($)</w:t>
            </w:r>
          </w:p>
        </w:tc>
        <w:tc>
          <w:tcPr>
            <w:tcW w:w="1080" w:type="dxa"/>
            <w:vAlign w:val="bottom"/>
            <w:tcBorders>
              <w:right w:val="single" w:sz="8" w:color="auto"/>
            </w:tcBorders>
            <w:shd w:val="clear" w:color="auto" w:fill="D9D9D9"/>
          </w:tcPr>
          <w:p>
            <w:pPr>
              <w:jc w:val="center"/>
              <w:spacing w:after="0"/>
              <w:rPr>
                <w:sz w:val="20"/>
                <w:szCs w:val="20"/>
                <w:color w:val="auto"/>
              </w:rPr>
            </w:pPr>
            <w:r>
              <w:rPr>
                <w:rFonts w:ascii="Times New Roman" w:cs="Times New Roman" w:eastAsia="Times New Roman" w:hAnsi="Times New Roman"/>
                <w:sz w:val="11"/>
                <w:szCs w:val="11"/>
                <w:b w:val="1"/>
                <w:bCs w:val="1"/>
                <w:color w:val="auto"/>
                <w:w w:val="99"/>
              </w:rPr>
              <w:t>have not vested</w:t>
            </w:r>
          </w:p>
        </w:tc>
        <w:tc>
          <w:tcPr>
            <w:tcW w:w="1300" w:type="dxa"/>
            <w:vAlign w:val="bottom"/>
            <w:tcBorders>
              <w:right w:val="single" w:sz="8" w:color="auto"/>
            </w:tcBorders>
            <w:shd w:val="clear" w:color="auto" w:fill="D9D9D9"/>
          </w:tcPr>
          <w:p>
            <w:pPr>
              <w:jc w:val="center"/>
              <w:spacing w:after="0"/>
              <w:rPr>
                <w:sz w:val="20"/>
                <w:szCs w:val="20"/>
                <w:color w:val="auto"/>
              </w:rPr>
            </w:pPr>
            <w:r>
              <w:rPr>
                <w:rFonts w:ascii="Times New Roman" w:cs="Times New Roman" w:eastAsia="Times New Roman" w:hAnsi="Times New Roman"/>
                <w:sz w:val="11"/>
                <w:szCs w:val="11"/>
                <w:b w:val="1"/>
                <w:bCs w:val="1"/>
                <w:color w:val="auto"/>
                <w:w w:val="98"/>
              </w:rPr>
              <w:t>that have not vested</w:t>
            </w:r>
          </w:p>
        </w:tc>
        <w:tc>
          <w:tcPr>
            <w:tcW w:w="1300" w:type="dxa"/>
            <w:vAlign w:val="bottom"/>
            <w:tcBorders>
              <w:right w:val="single" w:sz="8" w:color="auto"/>
            </w:tcBorders>
            <w:shd w:val="clear" w:color="auto" w:fill="D9D9D9"/>
          </w:tcPr>
          <w:p>
            <w:pPr>
              <w:jc w:val="center"/>
              <w:spacing w:after="0"/>
              <w:rPr>
                <w:sz w:val="20"/>
                <w:szCs w:val="20"/>
                <w:color w:val="auto"/>
              </w:rPr>
            </w:pPr>
            <w:r>
              <w:rPr>
                <w:rFonts w:ascii="Times New Roman" w:cs="Times New Roman" w:eastAsia="Times New Roman" w:hAnsi="Times New Roman"/>
                <w:sz w:val="11"/>
                <w:szCs w:val="11"/>
                <w:b w:val="1"/>
                <w:bCs w:val="1"/>
                <w:color w:val="auto"/>
                <w:w w:val="97"/>
              </w:rPr>
              <w:t>awards not paid out or</w:t>
            </w:r>
          </w:p>
        </w:tc>
      </w:tr>
      <w:tr>
        <w:trPr>
          <w:trHeight w:val="135"/>
        </w:trPr>
        <w:tc>
          <w:tcPr>
            <w:tcW w:w="1600" w:type="dxa"/>
            <w:vAlign w:val="bottom"/>
            <w:tcBorders>
              <w:left w:val="single" w:sz="8" w:color="auto"/>
              <w:right w:val="single" w:sz="8" w:color="auto"/>
            </w:tcBorders>
            <w:shd w:val="clear" w:color="auto" w:fill="D9D9D9"/>
          </w:tcPr>
          <w:p>
            <w:pPr>
              <w:spacing w:after="0"/>
              <w:rPr>
                <w:sz w:val="11"/>
                <w:szCs w:val="11"/>
                <w:color w:val="auto"/>
              </w:rPr>
            </w:pPr>
          </w:p>
        </w:tc>
        <w:tc>
          <w:tcPr>
            <w:tcW w:w="1420" w:type="dxa"/>
            <w:vAlign w:val="bottom"/>
            <w:tcBorders>
              <w:right w:val="single" w:sz="8" w:color="auto"/>
            </w:tcBorders>
            <w:shd w:val="clear" w:color="auto" w:fill="D9D9D9"/>
          </w:tcPr>
          <w:p>
            <w:pPr>
              <w:jc w:val="center"/>
              <w:spacing w:after="0"/>
              <w:rPr>
                <w:sz w:val="20"/>
                <w:szCs w:val="20"/>
                <w:color w:val="auto"/>
              </w:rPr>
            </w:pPr>
            <w:r>
              <w:rPr>
                <w:rFonts w:ascii="Times New Roman" w:cs="Times New Roman" w:eastAsia="Times New Roman" w:hAnsi="Times New Roman"/>
                <w:sz w:val="11"/>
                <w:szCs w:val="11"/>
                <w:b w:val="1"/>
                <w:bCs w:val="1"/>
                <w:color w:val="auto"/>
                <w:w w:val="93"/>
              </w:rPr>
              <w:t>(#)</w:t>
            </w:r>
          </w:p>
        </w:tc>
        <w:tc>
          <w:tcPr>
            <w:tcW w:w="1080" w:type="dxa"/>
            <w:vAlign w:val="bottom"/>
            <w:tcBorders>
              <w:right w:val="single" w:sz="8" w:color="auto"/>
            </w:tcBorders>
            <w:shd w:val="clear" w:color="auto" w:fill="D9D9D9"/>
          </w:tcPr>
          <w:p>
            <w:pPr>
              <w:spacing w:after="0"/>
              <w:rPr>
                <w:sz w:val="11"/>
                <w:szCs w:val="11"/>
                <w:color w:val="auto"/>
              </w:rPr>
            </w:pPr>
          </w:p>
        </w:tc>
        <w:tc>
          <w:tcPr>
            <w:tcW w:w="2060" w:type="dxa"/>
            <w:vAlign w:val="bottom"/>
            <w:tcBorders>
              <w:right w:val="single" w:sz="8" w:color="auto"/>
            </w:tcBorders>
            <w:shd w:val="clear" w:color="auto" w:fill="D9D9D9"/>
          </w:tcPr>
          <w:p>
            <w:pPr>
              <w:spacing w:after="0"/>
              <w:rPr>
                <w:sz w:val="11"/>
                <w:szCs w:val="11"/>
                <w:color w:val="auto"/>
              </w:rPr>
            </w:pPr>
          </w:p>
        </w:tc>
        <w:tc>
          <w:tcPr>
            <w:tcW w:w="1400" w:type="dxa"/>
            <w:vAlign w:val="bottom"/>
            <w:tcBorders>
              <w:right w:val="single" w:sz="8" w:color="auto"/>
            </w:tcBorders>
            <w:shd w:val="clear" w:color="auto" w:fill="D9D9D9"/>
          </w:tcPr>
          <w:p>
            <w:pPr>
              <w:spacing w:after="0"/>
              <w:rPr>
                <w:sz w:val="11"/>
                <w:szCs w:val="11"/>
                <w:color w:val="auto"/>
              </w:rPr>
            </w:pPr>
          </w:p>
        </w:tc>
        <w:tc>
          <w:tcPr>
            <w:tcW w:w="1080" w:type="dxa"/>
            <w:vAlign w:val="bottom"/>
            <w:tcBorders>
              <w:right w:val="single" w:sz="8" w:color="auto"/>
            </w:tcBorders>
            <w:shd w:val="clear" w:color="auto" w:fill="D9D9D9"/>
          </w:tcPr>
          <w:p>
            <w:pPr>
              <w:jc w:val="center"/>
              <w:spacing w:after="0"/>
              <w:rPr>
                <w:sz w:val="20"/>
                <w:szCs w:val="20"/>
                <w:color w:val="auto"/>
              </w:rPr>
            </w:pPr>
            <w:r>
              <w:rPr>
                <w:rFonts w:ascii="Times New Roman" w:cs="Times New Roman" w:eastAsia="Times New Roman" w:hAnsi="Times New Roman"/>
                <w:sz w:val="11"/>
                <w:szCs w:val="11"/>
                <w:b w:val="1"/>
                <w:bCs w:val="1"/>
                <w:color w:val="auto"/>
                <w:w w:val="93"/>
              </w:rPr>
              <w:t>(#)</w:t>
            </w:r>
          </w:p>
        </w:tc>
        <w:tc>
          <w:tcPr>
            <w:tcW w:w="1300" w:type="dxa"/>
            <w:vAlign w:val="bottom"/>
            <w:tcBorders>
              <w:right w:val="single" w:sz="8" w:color="auto"/>
            </w:tcBorders>
            <w:shd w:val="clear" w:color="auto" w:fill="D9D9D9"/>
          </w:tcPr>
          <w:p>
            <w:pPr>
              <w:jc w:val="center"/>
              <w:spacing w:after="0"/>
              <w:rPr>
                <w:sz w:val="20"/>
                <w:szCs w:val="20"/>
                <w:color w:val="auto"/>
              </w:rPr>
            </w:pPr>
            <w:r>
              <w:rPr>
                <w:rFonts w:ascii="Times New Roman" w:cs="Times New Roman" w:eastAsia="Times New Roman" w:hAnsi="Times New Roman"/>
                <w:sz w:val="11"/>
                <w:szCs w:val="11"/>
                <w:b w:val="1"/>
                <w:bCs w:val="1"/>
                <w:color w:val="auto"/>
              </w:rPr>
              <w:t>($)</w:t>
            </w:r>
          </w:p>
        </w:tc>
        <w:tc>
          <w:tcPr>
            <w:tcW w:w="1300" w:type="dxa"/>
            <w:vAlign w:val="bottom"/>
            <w:tcBorders>
              <w:right w:val="single" w:sz="8" w:color="auto"/>
            </w:tcBorders>
            <w:shd w:val="clear" w:color="auto" w:fill="D9D9D9"/>
          </w:tcPr>
          <w:p>
            <w:pPr>
              <w:jc w:val="center"/>
              <w:spacing w:after="0"/>
              <w:rPr>
                <w:sz w:val="20"/>
                <w:szCs w:val="20"/>
                <w:color w:val="auto"/>
              </w:rPr>
            </w:pPr>
            <w:r>
              <w:rPr>
                <w:rFonts w:ascii="Times New Roman" w:cs="Times New Roman" w:eastAsia="Times New Roman" w:hAnsi="Times New Roman"/>
                <w:sz w:val="11"/>
                <w:szCs w:val="11"/>
                <w:b w:val="1"/>
                <w:bCs w:val="1"/>
                <w:color w:val="auto"/>
                <w:w w:val="99"/>
              </w:rPr>
              <w:t>distributed</w:t>
            </w:r>
          </w:p>
        </w:tc>
      </w:tr>
      <w:tr>
        <w:trPr>
          <w:trHeight w:val="149"/>
        </w:trPr>
        <w:tc>
          <w:tcPr>
            <w:tcW w:w="1600" w:type="dxa"/>
            <w:vAlign w:val="bottom"/>
            <w:tcBorders>
              <w:left w:val="single" w:sz="8" w:color="auto"/>
              <w:bottom w:val="single" w:sz="8" w:color="auto"/>
              <w:right w:val="single" w:sz="8" w:color="auto"/>
            </w:tcBorders>
            <w:shd w:val="clear" w:color="auto" w:fill="D9D9D9"/>
          </w:tcPr>
          <w:p>
            <w:pPr>
              <w:spacing w:after="0"/>
              <w:rPr>
                <w:sz w:val="12"/>
                <w:szCs w:val="12"/>
                <w:color w:val="auto"/>
              </w:rPr>
            </w:pPr>
          </w:p>
        </w:tc>
        <w:tc>
          <w:tcPr>
            <w:tcW w:w="1420" w:type="dxa"/>
            <w:vAlign w:val="bottom"/>
            <w:tcBorders>
              <w:bottom w:val="single" w:sz="8" w:color="auto"/>
              <w:right w:val="single" w:sz="8" w:color="auto"/>
            </w:tcBorders>
            <w:shd w:val="clear" w:color="auto" w:fill="D9D9D9"/>
          </w:tcPr>
          <w:p>
            <w:pPr>
              <w:spacing w:after="0"/>
              <w:rPr>
                <w:sz w:val="12"/>
                <w:szCs w:val="12"/>
                <w:color w:val="auto"/>
              </w:rPr>
            </w:pPr>
          </w:p>
        </w:tc>
        <w:tc>
          <w:tcPr>
            <w:tcW w:w="1080" w:type="dxa"/>
            <w:vAlign w:val="bottom"/>
            <w:tcBorders>
              <w:bottom w:val="single" w:sz="8" w:color="auto"/>
              <w:right w:val="single" w:sz="8" w:color="auto"/>
            </w:tcBorders>
            <w:shd w:val="clear" w:color="auto" w:fill="D9D9D9"/>
          </w:tcPr>
          <w:p>
            <w:pPr>
              <w:spacing w:after="0"/>
              <w:rPr>
                <w:sz w:val="12"/>
                <w:szCs w:val="12"/>
                <w:color w:val="auto"/>
              </w:rPr>
            </w:pPr>
          </w:p>
        </w:tc>
        <w:tc>
          <w:tcPr>
            <w:tcW w:w="2060" w:type="dxa"/>
            <w:vAlign w:val="bottom"/>
            <w:tcBorders>
              <w:bottom w:val="single" w:sz="8" w:color="auto"/>
              <w:right w:val="single" w:sz="8" w:color="auto"/>
            </w:tcBorders>
            <w:shd w:val="clear" w:color="auto" w:fill="D9D9D9"/>
          </w:tcPr>
          <w:p>
            <w:pPr>
              <w:spacing w:after="0"/>
              <w:rPr>
                <w:sz w:val="12"/>
                <w:szCs w:val="12"/>
                <w:color w:val="auto"/>
              </w:rPr>
            </w:pPr>
          </w:p>
        </w:tc>
        <w:tc>
          <w:tcPr>
            <w:tcW w:w="1400" w:type="dxa"/>
            <w:vAlign w:val="bottom"/>
            <w:tcBorders>
              <w:bottom w:val="single" w:sz="8" w:color="auto"/>
              <w:right w:val="single" w:sz="8" w:color="auto"/>
            </w:tcBorders>
            <w:shd w:val="clear" w:color="auto" w:fill="D9D9D9"/>
          </w:tcPr>
          <w:p>
            <w:pPr>
              <w:spacing w:after="0"/>
              <w:rPr>
                <w:sz w:val="12"/>
                <w:szCs w:val="12"/>
                <w:color w:val="auto"/>
              </w:rPr>
            </w:pPr>
          </w:p>
        </w:tc>
        <w:tc>
          <w:tcPr>
            <w:tcW w:w="1080" w:type="dxa"/>
            <w:vAlign w:val="bottom"/>
            <w:tcBorders>
              <w:bottom w:val="single" w:sz="8" w:color="auto"/>
              <w:right w:val="single" w:sz="8" w:color="auto"/>
            </w:tcBorders>
            <w:shd w:val="clear" w:color="auto" w:fill="D9D9D9"/>
          </w:tcPr>
          <w:p>
            <w:pPr>
              <w:spacing w:after="0"/>
              <w:rPr>
                <w:sz w:val="12"/>
                <w:szCs w:val="12"/>
                <w:color w:val="auto"/>
              </w:rPr>
            </w:pPr>
          </w:p>
        </w:tc>
        <w:tc>
          <w:tcPr>
            <w:tcW w:w="1300" w:type="dxa"/>
            <w:vAlign w:val="bottom"/>
            <w:tcBorders>
              <w:bottom w:val="single" w:sz="8" w:color="auto"/>
              <w:right w:val="single" w:sz="8" w:color="auto"/>
            </w:tcBorders>
            <w:shd w:val="clear" w:color="auto" w:fill="D9D9D9"/>
          </w:tcPr>
          <w:p>
            <w:pPr>
              <w:spacing w:after="0"/>
              <w:rPr>
                <w:sz w:val="12"/>
                <w:szCs w:val="12"/>
                <w:color w:val="auto"/>
              </w:rPr>
            </w:pPr>
          </w:p>
        </w:tc>
        <w:tc>
          <w:tcPr>
            <w:tcW w:w="1300" w:type="dxa"/>
            <w:vAlign w:val="bottom"/>
            <w:tcBorders>
              <w:bottom w:val="single" w:sz="8" w:color="auto"/>
              <w:right w:val="single" w:sz="8" w:color="auto"/>
            </w:tcBorders>
            <w:shd w:val="clear" w:color="auto" w:fill="D9D9D9"/>
          </w:tcPr>
          <w:p>
            <w:pPr>
              <w:jc w:val="center"/>
              <w:spacing w:after="0"/>
              <w:rPr>
                <w:sz w:val="20"/>
                <w:szCs w:val="20"/>
                <w:color w:val="auto"/>
              </w:rPr>
            </w:pPr>
            <w:r>
              <w:rPr>
                <w:rFonts w:ascii="Times New Roman" w:cs="Times New Roman" w:eastAsia="Times New Roman" w:hAnsi="Times New Roman"/>
                <w:sz w:val="11"/>
                <w:szCs w:val="11"/>
                <w:b w:val="1"/>
                <w:bCs w:val="1"/>
                <w:color w:val="auto"/>
                <w:w w:val="93"/>
              </w:rPr>
              <w:t>($)</w:t>
            </w:r>
          </w:p>
        </w:tc>
      </w:tr>
      <w:tr>
        <w:trPr>
          <w:trHeight w:val="130"/>
        </w:trPr>
        <w:tc>
          <w:tcPr>
            <w:tcW w:w="1600" w:type="dxa"/>
            <w:vAlign w:val="bottom"/>
            <w:tcBorders>
              <w:left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1"/>
                <w:szCs w:val="11"/>
                <w:color w:val="auto"/>
              </w:rPr>
              <w:t>Douglas Drysdale,</w:t>
            </w:r>
          </w:p>
        </w:tc>
        <w:tc>
          <w:tcPr>
            <w:tcW w:w="14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1"/>
                <w:szCs w:val="11"/>
                <w:color w:val="auto"/>
                <w:w w:val="99"/>
              </w:rPr>
              <w:t>19,737</w:t>
            </w:r>
          </w:p>
        </w:tc>
        <w:tc>
          <w:tcPr>
            <w:tcW w:w="1080" w:type="dxa"/>
            <w:vAlign w:val="bottom"/>
            <w:tcBorders>
              <w:right w:val="single" w:sz="8" w:color="auto"/>
            </w:tcBorders>
          </w:tcPr>
          <w:p>
            <w:pPr>
              <w:jc w:val="center"/>
              <w:ind w:right="6"/>
              <w:spacing w:after="0"/>
              <w:rPr>
                <w:sz w:val="20"/>
                <w:szCs w:val="20"/>
                <w:color w:val="auto"/>
              </w:rPr>
            </w:pPr>
            <w:r>
              <w:rPr>
                <w:rFonts w:ascii="Times New Roman" w:cs="Times New Roman" w:eastAsia="Times New Roman" w:hAnsi="Times New Roman"/>
                <w:sz w:val="11"/>
                <w:szCs w:val="11"/>
                <w:color w:val="auto"/>
                <w:w w:val="99"/>
              </w:rPr>
              <w:t>$16.72</w:t>
            </w:r>
          </w:p>
        </w:tc>
        <w:tc>
          <w:tcPr>
            <w:tcW w:w="20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1"/>
                <w:szCs w:val="11"/>
                <w:color w:val="auto"/>
              </w:rPr>
              <w:t>June 30, 2028</w:t>
            </w:r>
          </w:p>
        </w:tc>
        <w:tc>
          <w:tcPr>
            <w:tcW w:w="14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1"/>
                <w:szCs w:val="11"/>
                <w:color w:val="auto"/>
              </w:rPr>
              <w:t>-</w:t>
            </w:r>
          </w:p>
        </w:tc>
        <w:tc>
          <w:tcPr>
            <w:tcW w:w="1080" w:type="dxa"/>
            <w:vAlign w:val="bottom"/>
            <w:tcBorders>
              <w:right w:val="single" w:sz="8" w:color="auto"/>
            </w:tcBorders>
          </w:tcPr>
          <w:p>
            <w:pPr>
              <w:jc w:val="right"/>
              <w:ind w:right="746"/>
              <w:spacing w:after="0"/>
              <w:rPr>
                <w:sz w:val="20"/>
                <w:szCs w:val="20"/>
                <w:color w:val="auto"/>
              </w:rPr>
            </w:pPr>
            <w:r>
              <w:rPr>
                <w:rFonts w:ascii="Times New Roman" w:cs="Times New Roman" w:eastAsia="Times New Roman" w:hAnsi="Times New Roman"/>
                <w:sz w:val="11"/>
                <w:szCs w:val="11"/>
                <w:color w:val="auto"/>
              </w:rPr>
              <w:t>-</w:t>
            </w:r>
          </w:p>
        </w:tc>
        <w:tc>
          <w:tcPr>
            <w:tcW w:w="13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8"/>
                <w:szCs w:val="8"/>
                <w:color w:val="auto"/>
                <w:w w:val="73"/>
              </w:rPr>
              <w:t>-</w:t>
            </w:r>
          </w:p>
        </w:tc>
        <w:tc>
          <w:tcPr>
            <w:tcW w:w="13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1"/>
                <w:szCs w:val="11"/>
                <w:color w:val="auto"/>
              </w:rPr>
              <w:t>-</w:t>
            </w:r>
          </w:p>
        </w:tc>
      </w:tr>
      <w:tr>
        <w:trPr>
          <w:trHeight w:val="135"/>
        </w:trPr>
        <w:tc>
          <w:tcPr>
            <w:tcW w:w="1600" w:type="dxa"/>
            <w:vAlign w:val="bottom"/>
            <w:tcBorders>
              <w:left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1"/>
                <w:szCs w:val="11"/>
                <w:color w:val="auto"/>
              </w:rPr>
              <w:t>Chief Executive Officer</w:t>
            </w:r>
          </w:p>
        </w:tc>
        <w:tc>
          <w:tcPr>
            <w:tcW w:w="14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1"/>
                <w:szCs w:val="11"/>
                <w:color w:val="auto"/>
                <w:w w:val="99"/>
              </w:rPr>
              <w:t>52,632</w:t>
            </w:r>
          </w:p>
        </w:tc>
        <w:tc>
          <w:tcPr>
            <w:tcW w:w="1080" w:type="dxa"/>
            <w:vAlign w:val="bottom"/>
            <w:tcBorders>
              <w:right w:val="single" w:sz="8" w:color="auto"/>
            </w:tcBorders>
          </w:tcPr>
          <w:p>
            <w:pPr>
              <w:jc w:val="center"/>
              <w:ind w:right="6"/>
              <w:spacing w:after="0"/>
              <w:rPr>
                <w:sz w:val="20"/>
                <w:szCs w:val="20"/>
                <w:color w:val="auto"/>
              </w:rPr>
            </w:pPr>
            <w:r>
              <w:rPr>
                <w:rFonts w:ascii="Times New Roman" w:cs="Times New Roman" w:eastAsia="Times New Roman" w:hAnsi="Times New Roman"/>
                <w:sz w:val="11"/>
                <w:szCs w:val="11"/>
                <w:color w:val="auto"/>
                <w:w w:val="99"/>
              </w:rPr>
              <w:t>$21.28</w:t>
            </w:r>
          </w:p>
        </w:tc>
        <w:tc>
          <w:tcPr>
            <w:tcW w:w="20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1"/>
                <w:szCs w:val="11"/>
                <w:color w:val="auto"/>
                <w:w w:val="98"/>
              </w:rPr>
              <w:t>April 5, 2029</w:t>
            </w:r>
          </w:p>
        </w:tc>
        <w:tc>
          <w:tcPr>
            <w:tcW w:w="14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1"/>
                <w:szCs w:val="11"/>
                <w:color w:val="auto"/>
              </w:rPr>
              <w:t>-</w:t>
            </w:r>
          </w:p>
        </w:tc>
        <w:tc>
          <w:tcPr>
            <w:tcW w:w="1080" w:type="dxa"/>
            <w:vAlign w:val="bottom"/>
            <w:tcBorders>
              <w:right w:val="single" w:sz="8" w:color="auto"/>
            </w:tcBorders>
          </w:tcPr>
          <w:p>
            <w:pPr>
              <w:spacing w:after="0"/>
              <w:rPr>
                <w:sz w:val="11"/>
                <w:szCs w:val="11"/>
                <w:color w:val="auto"/>
              </w:rPr>
            </w:pPr>
          </w:p>
        </w:tc>
        <w:tc>
          <w:tcPr>
            <w:tcW w:w="1300" w:type="dxa"/>
            <w:vAlign w:val="bottom"/>
            <w:tcBorders>
              <w:right w:val="single" w:sz="8" w:color="auto"/>
            </w:tcBorders>
          </w:tcPr>
          <w:p>
            <w:pPr>
              <w:spacing w:after="0"/>
              <w:rPr>
                <w:sz w:val="11"/>
                <w:szCs w:val="11"/>
                <w:color w:val="auto"/>
              </w:rPr>
            </w:pPr>
          </w:p>
        </w:tc>
        <w:tc>
          <w:tcPr>
            <w:tcW w:w="1300" w:type="dxa"/>
            <w:vAlign w:val="bottom"/>
            <w:tcBorders>
              <w:right w:val="single" w:sz="8" w:color="auto"/>
            </w:tcBorders>
          </w:tcPr>
          <w:p>
            <w:pPr>
              <w:spacing w:after="0"/>
              <w:rPr>
                <w:sz w:val="11"/>
                <w:szCs w:val="11"/>
                <w:color w:val="auto"/>
              </w:rPr>
            </w:pPr>
          </w:p>
        </w:tc>
      </w:tr>
      <w:tr>
        <w:trPr>
          <w:trHeight w:val="147"/>
        </w:trPr>
        <w:tc>
          <w:tcPr>
            <w:tcW w:w="1600" w:type="dxa"/>
            <w:vAlign w:val="bottom"/>
            <w:tcBorders>
              <w:left w:val="single" w:sz="8" w:color="auto"/>
              <w:bottom w:val="single" w:sz="8" w:color="auto"/>
              <w:right w:val="single" w:sz="8" w:color="auto"/>
            </w:tcBorders>
          </w:tcPr>
          <w:p>
            <w:pPr>
              <w:spacing w:after="0"/>
              <w:rPr>
                <w:sz w:val="12"/>
                <w:szCs w:val="12"/>
                <w:color w:val="auto"/>
              </w:rPr>
            </w:pPr>
          </w:p>
        </w:tc>
        <w:tc>
          <w:tcPr>
            <w:tcW w:w="14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1"/>
                <w:szCs w:val="11"/>
                <w:color w:val="auto"/>
              </w:rPr>
              <w:t>153,132</w:t>
            </w:r>
          </w:p>
        </w:tc>
        <w:tc>
          <w:tcPr>
            <w:tcW w:w="10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1"/>
                <w:szCs w:val="11"/>
                <w:color w:val="auto"/>
                <w:w w:val="92"/>
              </w:rPr>
              <w:t>$13.11</w:t>
            </w:r>
          </w:p>
        </w:tc>
        <w:tc>
          <w:tcPr>
            <w:tcW w:w="20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1"/>
                <w:szCs w:val="11"/>
                <w:color w:val="auto"/>
                <w:w w:val="95"/>
              </w:rPr>
              <w:t>August 15, 2034</w:t>
            </w:r>
          </w:p>
        </w:tc>
        <w:tc>
          <w:tcPr>
            <w:tcW w:w="14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1"/>
                <w:szCs w:val="11"/>
                <w:color w:val="auto"/>
              </w:rPr>
              <w:t>-</w:t>
            </w:r>
          </w:p>
        </w:tc>
        <w:tc>
          <w:tcPr>
            <w:tcW w:w="1080" w:type="dxa"/>
            <w:vAlign w:val="bottom"/>
            <w:tcBorders>
              <w:bottom w:val="single" w:sz="8" w:color="auto"/>
              <w:right w:val="single" w:sz="8" w:color="auto"/>
            </w:tcBorders>
          </w:tcPr>
          <w:p>
            <w:pPr>
              <w:spacing w:after="0"/>
              <w:rPr>
                <w:sz w:val="12"/>
                <w:szCs w:val="12"/>
                <w:color w:val="auto"/>
              </w:rPr>
            </w:pPr>
          </w:p>
        </w:tc>
        <w:tc>
          <w:tcPr>
            <w:tcW w:w="1300" w:type="dxa"/>
            <w:vAlign w:val="bottom"/>
            <w:tcBorders>
              <w:bottom w:val="single" w:sz="8" w:color="auto"/>
              <w:right w:val="single" w:sz="8" w:color="auto"/>
            </w:tcBorders>
          </w:tcPr>
          <w:p>
            <w:pPr>
              <w:spacing w:after="0"/>
              <w:rPr>
                <w:sz w:val="12"/>
                <w:szCs w:val="12"/>
                <w:color w:val="auto"/>
              </w:rPr>
            </w:pPr>
          </w:p>
        </w:tc>
        <w:tc>
          <w:tcPr>
            <w:tcW w:w="1300" w:type="dxa"/>
            <w:vAlign w:val="bottom"/>
            <w:tcBorders>
              <w:bottom w:val="single" w:sz="8" w:color="auto"/>
              <w:right w:val="single" w:sz="8" w:color="auto"/>
            </w:tcBorders>
          </w:tcPr>
          <w:p>
            <w:pPr>
              <w:spacing w:after="0"/>
              <w:rPr>
                <w:sz w:val="12"/>
                <w:szCs w:val="12"/>
                <w:color w:val="auto"/>
              </w:rPr>
            </w:pPr>
          </w:p>
        </w:tc>
      </w:tr>
      <w:tr>
        <w:trPr>
          <w:trHeight w:val="130"/>
        </w:trPr>
        <w:tc>
          <w:tcPr>
            <w:tcW w:w="1600" w:type="dxa"/>
            <w:vAlign w:val="bottom"/>
            <w:tcBorders>
              <w:left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1"/>
                <w:szCs w:val="11"/>
                <w:color w:val="auto"/>
              </w:rPr>
              <w:t>Greg Cavers,</w:t>
            </w:r>
          </w:p>
        </w:tc>
        <w:tc>
          <w:tcPr>
            <w:tcW w:w="14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1"/>
                <w:szCs w:val="11"/>
                <w:color w:val="auto"/>
                <w:w w:val="96"/>
              </w:rPr>
              <w:t>3,947</w:t>
            </w:r>
          </w:p>
        </w:tc>
        <w:tc>
          <w:tcPr>
            <w:tcW w:w="10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1"/>
                <w:szCs w:val="11"/>
                <w:color w:val="auto"/>
                <w:w w:val="96"/>
              </w:rPr>
              <w:t>$9.50</w:t>
            </w:r>
          </w:p>
        </w:tc>
        <w:tc>
          <w:tcPr>
            <w:tcW w:w="20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1"/>
                <w:szCs w:val="11"/>
                <w:color w:val="auto"/>
              </w:rPr>
              <w:t>June 15, 2025</w:t>
            </w:r>
          </w:p>
        </w:tc>
        <w:tc>
          <w:tcPr>
            <w:tcW w:w="14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1"/>
                <w:szCs w:val="11"/>
                <w:color w:val="auto"/>
              </w:rPr>
              <w:t>-</w:t>
            </w:r>
          </w:p>
        </w:tc>
        <w:tc>
          <w:tcPr>
            <w:tcW w:w="10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1"/>
                <w:szCs w:val="11"/>
                <w:color w:val="auto"/>
              </w:rPr>
              <w:t>-</w:t>
            </w:r>
          </w:p>
        </w:tc>
        <w:tc>
          <w:tcPr>
            <w:tcW w:w="13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8"/>
                <w:szCs w:val="8"/>
                <w:color w:val="auto"/>
                <w:w w:val="73"/>
              </w:rPr>
              <w:t>-</w:t>
            </w:r>
          </w:p>
        </w:tc>
        <w:tc>
          <w:tcPr>
            <w:tcW w:w="13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1"/>
                <w:szCs w:val="11"/>
                <w:color w:val="auto"/>
              </w:rPr>
              <w:t>-</w:t>
            </w:r>
          </w:p>
        </w:tc>
      </w:tr>
      <w:tr>
        <w:trPr>
          <w:trHeight w:val="135"/>
        </w:trPr>
        <w:tc>
          <w:tcPr>
            <w:tcW w:w="1600" w:type="dxa"/>
            <w:vAlign w:val="bottom"/>
            <w:tcBorders>
              <w:left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1"/>
                <w:szCs w:val="11"/>
                <w:color w:val="auto"/>
              </w:rPr>
              <w:t>Chief Financial Officer</w:t>
            </w:r>
          </w:p>
        </w:tc>
        <w:tc>
          <w:tcPr>
            <w:tcW w:w="14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1"/>
                <w:szCs w:val="11"/>
                <w:color w:val="auto"/>
                <w:w w:val="96"/>
              </w:rPr>
              <w:t>6,579</w:t>
            </w:r>
          </w:p>
        </w:tc>
        <w:tc>
          <w:tcPr>
            <w:tcW w:w="1080" w:type="dxa"/>
            <w:vAlign w:val="bottom"/>
            <w:tcBorders>
              <w:right w:val="single" w:sz="8" w:color="auto"/>
            </w:tcBorders>
          </w:tcPr>
          <w:p>
            <w:pPr>
              <w:jc w:val="center"/>
              <w:ind w:right="6"/>
              <w:spacing w:after="0"/>
              <w:rPr>
                <w:sz w:val="20"/>
                <w:szCs w:val="20"/>
                <w:color w:val="auto"/>
              </w:rPr>
            </w:pPr>
            <w:r>
              <w:rPr>
                <w:rFonts w:ascii="Times New Roman" w:cs="Times New Roman" w:eastAsia="Times New Roman" w:hAnsi="Times New Roman"/>
                <w:sz w:val="11"/>
                <w:szCs w:val="11"/>
                <w:color w:val="auto"/>
                <w:w w:val="99"/>
              </w:rPr>
              <w:t>$16.72</w:t>
            </w:r>
          </w:p>
        </w:tc>
        <w:tc>
          <w:tcPr>
            <w:tcW w:w="20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1"/>
                <w:szCs w:val="11"/>
                <w:color w:val="auto"/>
              </w:rPr>
              <w:t>June 30, 2028</w:t>
            </w:r>
          </w:p>
        </w:tc>
        <w:tc>
          <w:tcPr>
            <w:tcW w:w="14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1"/>
                <w:szCs w:val="11"/>
                <w:color w:val="auto"/>
              </w:rPr>
              <w:t>-</w:t>
            </w:r>
          </w:p>
        </w:tc>
        <w:tc>
          <w:tcPr>
            <w:tcW w:w="1080" w:type="dxa"/>
            <w:vAlign w:val="bottom"/>
            <w:tcBorders>
              <w:right w:val="single" w:sz="8" w:color="auto"/>
            </w:tcBorders>
          </w:tcPr>
          <w:p>
            <w:pPr>
              <w:spacing w:after="0"/>
              <w:rPr>
                <w:sz w:val="11"/>
                <w:szCs w:val="11"/>
                <w:color w:val="auto"/>
              </w:rPr>
            </w:pPr>
          </w:p>
        </w:tc>
        <w:tc>
          <w:tcPr>
            <w:tcW w:w="1300" w:type="dxa"/>
            <w:vAlign w:val="bottom"/>
            <w:tcBorders>
              <w:right w:val="single" w:sz="8" w:color="auto"/>
            </w:tcBorders>
          </w:tcPr>
          <w:p>
            <w:pPr>
              <w:spacing w:after="0"/>
              <w:rPr>
                <w:sz w:val="11"/>
                <w:szCs w:val="11"/>
                <w:color w:val="auto"/>
              </w:rPr>
            </w:pPr>
          </w:p>
        </w:tc>
        <w:tc>
          <w:tcPr>
            <w:tcW w:w="1300" w:type="dxa"/>
            <w:vAlign w:val="bottom"/>
            <w:tcBorders>
              <w:right w:val="single" w:sz="8" w:color="auto"/>
            </w:tcBorders>
          </w:tcPr>
          <w:p>
            <w:pPr>
              <w:spacing w:after="0"/>
              <w:rPr>
                <w:sz w:val="11"/>
                <w:szCs w:val="11"/>
                <w:color w:val="auto"/>
              </w:rPr>
            </w:pPr>
          </w:p>
        </w:tc>
      </w:tr>
      <w:tr>
        <w:trPr>
          <w:trHeight w:val="126"/>
        </w:trPr>
        <w:tc>
          <w:tcPr>
            <w:tcW w:w="1600" w:type="dxa"/>
            <w:vAlign w:val="bottom"/>
            <w:tcBorders>
              <w:left w:val="single" w:sz="8" w:color="auto"/>
              <w:right w:val="single" w:sz="8" w:color="auto"/>
            </w:tcBorders>
          </w:tcPr>
          <w:p>
            <w:pPr>
              <w:spacing w:after="0"/>
              <w:rPr>
                <w:sz w:val="10"/>
                <w:szCs w:val="10"/>
                <w:color w:val="auto"/>
              </w:rPr>
            </w:pPr>
          </w:p>
        </w:tc>
        <w:tc>
          <w:tcPr>
            <w:tcW w:w="14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1"/>
                <w:szCs w:val="11"/>
                <w:color w:val="auto"/>
                <w:w w:val="99"/>
              </w:rPr>
              <w:t>26,316</w:t>
            </w:r>
          </w:p>
        </w:tc>
        <w:tc>
          <w:tcPr>
            <w:tcW w:w="1080" w:type="dxa"/>
            <w:vAlign w:val="bottom"/>
            <w:tcBorders>
              <w:right w:val="single" w:sz="8" w:color="auto"/>
            </w:tcBorders>
          </w:tcPr>
          <w:p>
            <w:pPr>
              <w:jc w:val="center"/>
              <w:ind w:right="6"/>
              <w:spacing w:after="0"/>
              <w:rPr>
                <w:sz w:val="20"/>
                <w:szCs w:val="20"/>
                <w:color w:val="auto"/>
              </w:rPr>
            </w:pPr>
            <w:r>
              <w:rPr>
                <w:rFonts w:ascii="Times New Roman" w:cs="Times New Roman" w:eastAsia="Times New Roman" w:hAnsi="Times New Roman"/>
                <w:sz w:val="11"/>
                <w:szCs w:val="11"/>
                <w:color w:val="auto"/>
                <w:w w:val="99"/>
              </w:rPr>
              <w:t>$21.28</w:t>
            </w:r>
          </w:p>
        </w:tc>
        <w:tc>
          <w:tcPr>
            <w:tcW w:w="20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1"/>
                <w:szCs w:val="11"/>
                <w:color w:val="auto"/>
                <w:w w:val="98"/>
              </w:rPr>
              <w:t>April 5, 2029</w:t>
            </w:r>
          </w:p>
        </w:tc>
        <w:tc>
          <w:tcPr>
            <w:tcW w:w="14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1"/>
                <w:szCs w:val="11"/>
                <w:color w:val="auto"/>
              </w:rPr>
              <w:t>-</w:t>
            </w:r>
          </w:p>
        </w:tc>
        <w:tc>
          <w:tcPr>
            <w:tcW w:w="1080" w:type="dxa"/>
            <w:vAlign w:val="bottom"/>
            <w:tcBorders>
              <w:right w:val="single" w:sz="8" w:color="auto"/>
            </w:tcBorders>
          </w:tcPr>
          <w:p>
            <w:pPr>
              <w:spacing w:after="0"/>
              <w:rPr>
                <w:sz w:val="10"/>
                <w:szCs w:val="10"/>
                <w:color w:val="auto"/>
              </w:rPr>
            </w:pPr>
          </w:p>
        </w:tc>
        <w:tc>
          <w:tcPr>
            <w:tcW w:w="1300" w:type="dxa"/>
            <w:vAlign w:val="bottom"/>
            <w:tcBorders>
              <w:right w:val="single" w:sz="8" w:color="auto"/>
            </w:tcBorders>
          </w:tcPr>
          <w:p>
            <w:pPr>
              <w:spacing w:after="0"/>
              <w:rPr>
                <w:sz w:val="10"/>
                <w:szCs w:val="10"/>
                <w:color w:val="auto"/>
              </w:rPr>
            </w:pPr>
          </w:p>
        </w:tc>
        <w:tc>
          <w:tcPr>
            <w:tcW w:w="1300" w:type="dxa"/>
            <w:vAlign w:val="bottom"/>
            <w:tcBorders>
              <w:right w:val="single" w:sz="8" w:color="auto"/>
            </w:tcBorders>
          </w:tcPr>
          <w:p>
            <w:pPr>
              <w:spacing w:after="0"/>
              <w:rPr>
                <w:sz w:val="10"/>
                <w:szCs w:val="10"/>
                <w:color w:val="auto"/>
              </w:rPr>
            </w:pPr>
          </w:p>
        </w:tc>
      </w:tr>
      <w:tr>
        <w:trPr>
          <w:trHeight w:val="140"/>
        </w:trPr>
        <w:tc>
          <w:tcPr>
            <w:tcW w:w="1600" w:type="dxa"/>
            <w:vAlign w:val="bottom"/>
            <w:tcBorders>
              <w:left w:val="single" w:sz="8" w:color="auto"/>
              <w:right w:val="single" w:sz="8" w:color="auto"/>
            </w:tcBorders>
          </w:tcPr>
          <w:p>
            <w:pPr>
              <w:spacing w:after="0"/>
              <w:rPr>
                <w:sz w:val="12"/>
                <w:szCs w:val="12"/>
                <w:color w:val="auto"/>
              </w:rPr>
            </w:pPr>
          </w:p>
        </w:tc>
        <w:tc>
          <w:tcPr>
            <w:tcW w:w="14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1"/>
                <w:szCs w:val="11"/>
                <w:color w:val="auto"/>
                <w:w w:val="99"/>
              </w:rPr>
              <w:t>32,237</w:t>
            </w:r>
          </w:p>
        </w:tc>
        <w:tc>
          <w:tcPr>
            <w:tcW w:w="10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1"/>
                <w:szCs w:val="11"/>
                <w:color w:val="auto"/>
                <w:w w:val="92"/>
              </w:rPr>
              <w:t>$13.11</w:t>
            </w:r>
          </w:p>
        </w:tc>
        <w:tc>
          <w:tcPr>
            <w:tcW w:w="20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1"/>
                <w:szCs w:val="11"/>
                <w:color w:val="auto"/>
                <w:w w:val="95"/>
              </w:rPr>
              <w:t>August 15, 2034</w:t>
            </w:r>
          </w:p>
        </w:tc>
        <w:tc>
          <w:tcPr>
            <w:tcW w:w="14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1"/>
                <w:szCs w:val="11"/>
                <w:color w:val="auto"/>
              </w:rPr>
              <w:t>-</w:t>
            </w:r>
          </w:p>
        </w:tc>
        <w:tc>
          <w:tcPr>
            <w:tcW w:w="1080" w:type="dxa"/>
            <w:vAlign w:val="bottom"/>
            <w:tcBorders>
              <w:right w:val="single" w:sz="8" w:color="auto"/>
            </w:tcBorders>
          </w:tcPr>
          <w:p>
            <w:pPr>
              <w:spacing w:after="0"/>
              <w:rPr>
                <w:sz w:val="12"/>
                <w:szCs w:val="12"/>
                <w:color w:val="auto"/>
              </w:rPr>
            </w:pPr>
          </w:p>
        </w:tc>
        <w:tc>
          <w:tcPr>
            <w:tcW w:w="1300" w:type="dxa"/>
            <w:vAlign w:val="bottom"/>
            <w:tcBorders>
              <w:right w:val="single" w:sz="8" w:color="auto"/>
            </w:tcBorders>
          </w:tcPr>
          <w:p>
            <w:pPr>
              <w:spacing w:after="0"/>
              <w:rPr>
                <w:sz w:val="12"/>
                <w:szCs w:val="12"/>
                <w:color w:val="auto"/>
              </w:rPr>
            </w:pPr>
          </w:p>
        </w:tc>
        <w:tc>
          <w:tcPr>
            <w:tcW w:w="1300" w:type="dxa"/>
            <w:vAlign w:val="bottom"/>
            <w:tcBorders>
              <w:right w:val="single" w:sz="8" w:color="auto"/>
            </w:tcBorders>
          </w:tcPr>
          <w:p>
            <w:pPr>
              <w:spacing w:after="0"/>
              <w:rPr>
                <w:sz w:val="12"/>
                <w:szCs w:val="12"/>
                <w:color w:val="auto"/>
              </w:rPr>
            </w:pPr>
          </w:p>
        </w:tc>
      </w:tr>
      <w:tr>
        <w:trPr>
          <w:trHeight w:val="22"/>
        </w:trPr>
        <w:tc>
          <w:tcPr>
            <w:tcW w:w="160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1420" w:type="dxa"/>
            <w:vAlign w:val="bottom"/>
            <w:tcBorders>
              <w:bottom w:val="single" w:sz="8" w:color="auto"/>
              <w:right w:val="single" w:sz="8" w:color="auto"/>
            </w:tcBorders>
          </w:tcPr>
          <w:p>
            <w:pPr>
              <w:spacing w:after="0" w:line="20" w:lineRule="exact"/>
              <w:rPr>
                <w:sz w:val="1"/>
                <w:szCs w:val="1"/>
                <w:color w:val="auto"/>
              </w:rPr>
            </w:pPr>
          </w:p>
        </w:tc>
        <w:tc>
          <w:tcPr>
            <w:tcW w:w="1080" w:type="dxa"/>
            <w:vAlign w:val="bottom"/>
            <w:tcBorders>
              <w:bottom w:val="single" w:sz="8" w:color="auto"/>
              <w:right w:val="single" w:sz="8" w:color="auto"/>
            </w:tcBorders>
          </w:tcPr>
          <w:p>
            <w:pPr>
              <w:spacing w:after="0" w:line="20" w:lineRule="exact"/>
              <w:rPr>
                <w:sz w:val="1"/>
                <w:szCs w:val="1"/>
                <w:color w:val="auto"/>
              </w:rPr>
            </w:pPr>
          </w:p>
        </w:tc>
        <w:tc>
          <w:tcPr>
            <w:tcW w:w="2060" w:type="dxa"/>
            <w:vAlign w:val="bottom"/>
            <w:tcBorders>
              <w:bottom w:val="single" w:sz="8" w:color="auto"/>
              <w:right w:val="single" w:sz="8" w:color="auto"/>
            </w:tcBorders>
          </w:tcPr>
          <w:p>
            <w:pPr>
              <w:spacing w:after="0" w:line="20" w:lineRule="exact"/>
              <w:rPr>
                <w:sz w:val="1"/>
                <w:szCs w:val="1"/>
                <w:color w:val="auto"/>
              </w:rPr>
            </w:pPr>
          </w:p>
        </w:tc>
        <w:tc>
          <w:tcPr>
            <w:tcW w:w="1400" w:type="dxa"/>
            <w:vAlign w:val="bottom"/>
            <w:tcBorders>
              <w:bottom w:val="single" w:sz="8" w:color="auto"/>
              <w:right w:val="single" w:sz="8" w:color="auto"/>
            </w:tcBorders>
          </w:tcPr>
          <w:p>
            <w:pPr>
              <w:spacing w:after="0" w:line="20" w:lineRule="exact"/>
              <w:rPr>
                <w:sz w:val="1"/>
                <w:szCs w:val="1"/>
                <w:color w:val="auto"/>
              </w:rPr>
            </w:pPr>
          </w:p>
        </w:tc>
        <w:tc>
          <w:tcPr>
            <w:tcW w:w="1080" w:type="dxa"/>
            <w:vAlign w:val="bottom"/>
            <w:tcBorders>
              <w:bottom w:val="single" w:sz="8" w:color="auto"/>
              <w:right w:val="single" w:sz="8" w:color="auto"/>
            </w:tcBorders>
          </w:tcPr>
          <w:p>
            <w:pPr>
              <w:spacing w:after="0" w:line="20" w:lineRule="exact"/>
              <w:rPr>
                <w:sz w:val="1"/>
                <w:szCs w:val="1"/>
                <w:color w:val="auto"/>
              </w:rPr>
            </w:pPr>
          </w:p>
        </w:tc>
        <w:tc>
          <w:tcPr>
            <w:tcW w:w="1300" w:type="dxa"/>
            <w:vAlign w:val="bottom"/>
            <w:tcBorders>
              <w:bottom w:val="single" w:sz="8" w:color="auto"/>
              <w:right w:val="single" w:sz="8" w:color="auto"/>
            </w:tcBorders>
          </w:tcPr>
          <w:p>
            <w:pPr>
              <w:spacing w:after="0" w:line="20" w:lineRule="exact"/>
              <w:rPr>
                <w:sz w:val="1"/>
                <w:szCs w:val="1"/>
                <w:color w:val="auto"/>
              </w:rPr>
            </w:pPr>
          </w:p>
        </w:tc>
        <w:tc>
          <w:tcPr>
            <w:tcW w:w="1300" w:type="dxa"/>
            <w:vAlign w:val="bottom"/>
            <w:tcBorders>
              <w:bottom w:val="single" w:sz="8" w:color="auto"/>
              <w:right w:val="single" w:sz="8" w:color="auto"/>
            </w:tcBorders>
          </w:tcPr>
          <w:p>
            <w:pPr>
              <w:spacing w:after="0" w:line="20" w:lineRule="exact"/>
              <w:rPr>
                <w:sz w:val="1"/>
                <w:szCs w:val="1"/>
                <w:color w:val="auto"/>
              </w:rPr>
            </w:pPr>
          </w:p>
        </w:tc>
      </w:tr>
      <w:tr>
        <w:trPr>
          <w:trHeight w:val="124"/>
        </w:trPr>
        <w:tc>
          <w:tcPr>
            <w:tcW w:w="1600" w:type="dxa"/>
            <w:vAlign w:val="bottom"/>
            <w:tcBorders>
              <w:left w:val="single" w:sz="8" w:color="auto"/>
              <w:right w:val="single" w:sz="8" w:color="auto"/>
            </w:tcBorders>
          </w:tcPr>
          <w:p>
            <w:pPr>
              <w:ind w:left="60"/>
              <w:spacing w:after="0" w:line="124" w:lineRule="exact"/>
              <w:rPr>
                <w:sz w:val="20"/>
                <w:szCs w:val="20"/>
                <w:color w:val="auto"/>
              </w:rPr>
            </w:pPr>
            <w:r>
              <w:rPr>
                <w:rFonts w:ascii="Times New Roman" w:cs="Times New Roman" w:eastAsia="Times New Roman" w:hAnsi="Times New Roman"/>
                <w:sz w:val="11"/>
                <w:szCs w:val="11"/>
                <w:color w:val="auto"/>
              </w:rPr>
              <w:t>Eric So,</w:t>
            </w:r>
          </w:p>
        </w:tc>
        <w:tc>
          <w:tcPr>
            <w:tcW w:w="1420" w:type="dxa"/>
            <w:vAlign w:val="bottom"/>
            <w:tcBorders>
              <w:right w:val="single" w:sz="8" w:color="auto"/>
            </w:tcBorders>
          </w:tcPr>
          <w:p>
            <w:pPr>
              <w:jc w:val="center"/>
              <w:spacing w:after="0" w:line="124" w:lineRule="exact"/>
              <w:rPr>
                <w:sz w:val="20"/>
                <w:szCs w:val="20"/>
                <w:color w:val="auto"/>
              </w:rPr>
            </w:pPr>
            <w:r>
              <w:rPr>
                <w:rFonts w:ascii="Times New Roman" w:cs="Times New Roman" w:eastAsia="Times New Roman" w:hAnsi="Times New Roman"/>
                <w:sz w:val="11"/>
                <w:szCs w:val="11"/>
                <w:color w:val="auto"/>
                <w:w w:val="99"/>
              </w:rPr>
              <w:t>12,632</w:t>
            </w:r>
          </w:p>
        </w:tc>
        <w:tc>
          <w:tcPr>
            <w:tcW w:w="1080" w:type="dxa"/>
            <w:vAlign w:val="bottom"/>
            <w:tcBorders>
              <w:right w:val="single" w:sz="8" w:color="auto"/>
            </w:tcBorders>
          </w:tcPr>
          <w:p>
            <w:pPr>
              <w:jc w:val="center"/>
              <w:ind w:right="6"/>
              <w:spacing w:after="0" w:line="124" w:lineRule="exact"/>
              <w:rPr>
                <w:sz w:val="20"/>
                <w:szCs w:val="20"/>
                <w:color w:val="auto"/>
              </w:rPr>
            </w:pPr>
            <w:r>
              <w:rPr>
                <w:rFonts w:ascii="Times New Roman" w:cs="Times New Roman" w:eastAsia="Times New Roman" w:hAnsi="Times New Roman"/>
                <w:sz w:val="11"/>
                <w:szCs w:val="11"/>
                <w:color w:val="auto"/>
                <w:w w:val="99"/>
              </w:rPr>
              <w:t>$16.72</w:t>
            </w:r>
          </w:p>
        </w:tc>
        <w:tc>
          <w:tcPr>
            <w:tcW w:w="2060" w:type="dxa"/>
            <w:vAlign w:val="bottom"/>
            <w:tcBorders>
              <w:right w:val="single" w:sz="8" w:color="auto"/>
            </w:tcBorders>
          </w:tcPr>
          <w:p>
            <w:pPr>
              <w:jc w:val="center"/>
              <w:spacing w:after="0" w:line="124" w:lineRule="exact"/>
              <w:rPr>
                <w:sz w:val="20"/>
                <w:szCs w:val="20"/>
                <w:color w:val="auto"/>
              </w:rPr>
            </w:pPr>
            <w:r>
              <w:rPr>
                <w:rFonts w:ascii="Times New Roman" w:cs="Times New Roman" w:eastAsia="Times New Roman" w:hAnsi="Times New Roman"/>
                <w:sz w:val="11"/>
                <w:szCs w:val="11"/>
                <w:color w:val="auto"/>
              </w:rPr>
              <w:t>June 30, 2028</w:t>
            </w:r>
          </w:p>
        </w:tc>
        <w:tc>
          <w:tcPr>
            <w:tcW w:w="1400" w:type="dxa"/>
            <w:vAlign w:val="bottom"/>
            <w:tcBorders>
              <w:right w:val="single" w:sz="8" w:color="auto"/>
            </w:tcBorders>
          </w:tcPr>
          <w:p>
            <w:pPr>
              <w:jc w:val="center"/>
              <w:spacing w:after="0" w:line="124" w:lineRule="exact"/>
              <w:rPr>
                <w:sz w:val="20"/>
                <w:szCs w:val="20"/>
                <w:color w:val="auto"/>
              </w:rPr>
            </w:pPr>
            <w:r>
              <w:rPr>
                <w:rFonts w:ascii="Times New Roman" w:cs="Times New Roman" w:eastAsia="Times New Roman" w:hAnsi="Times New Roman"/>
                <w:sz w:val="11"/>
                <w:szCs w:val="11"/>
                <w:color w:val="auto"/>
              </w:rPr>
              <w:t>-</w:t>
            </w:r>
          </w:p>
        </w:tc>
        <w:tc>
          <w:tcPr>
            <w:tcW w:w="1080" w:type="dxa"/>
            <w:vAlign w:val="bottom"/>
            <w:tcBorders>
              <w:right w:val="single" w:sz="8" w:color="auto"/>
            </w:tcBorders>
          </w:tcPr>
          <w:p>
            <w:pPr>
              <w:jc w:val="center"/>
              <w:spacing w:after="0" w:line="124" w:lineRule="exact"/>
              <w:rPr>
                <w:sz w:val="20"/>
                <w:szCs w:val="20"/>
                <w:color w:val="auto"/>
              </w:rPr>
            </w:pPr>
            <w:r>
              <w:rPr>
                <w:rFonts w:ascii="Times New Roman" w:cs="Times New Roman" w:eastAsia="Times New Roman" w:hAnsi="Times New Roman"/>
                <w:sz w:val="11"/>
                <w:szCs w:val="11"/>
                <w:color w:val="auto"/>
              </w:rPr>
              <w:t>-</w:t>
            </w:r>
          </w:p>
        </w:tc>
        <w:tc>
          <w:tcPr>
            <w:tcW w:w="13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8"/>
                <w:szCs w:val="8"/>
                <w:color w:val="auto"/>
                <w:w w:val="73"/>
              </w:rPr>
              <w:t>-</w:t>
            </w:r>
          </w:p>
        </w:tc>
        <w:tc>
          <w:tcPr>
            <w:tcW w:w="1300" w:type="dxa"/>
            <w:vAlign w:val="bottom"/>
            <w:tcBorders>
              <w:right w:val="single" w:sz="8" w:color="auto"/>
            </w:tcBorders>
          </w:tcPr>
          <w:p>
            <w:pPr>
              <w:jc w:val="center"/>
              <w:spacing w:after="0" w:line="124" w:lineRule="exact"/>
              <w:rPr>
                <w:sz w:val="20"/>
                <w:szCs w:val="20"/>
                <w:color w:val="auto"/>
              </w:rPr>
            </w:pPr>
            <w:r>
              <w:rPr>
                <w:rFonts w:ascii="Times New Roman" w:cs="Times New Roman" w:eastAsia="Times New Roman" w:hAnsi="Times New Roman"/>
                <w:sz w:val="11"/>
                <w:szCs w:val="11"/>
                <w:color w:val="auto"/>
              </w:rPr>
              <w:t>-</w:t>
            </w:r>
          </w:p>
        </w:tc>
      </w:tr>
      <w:tr>
        <w:trPr>
          <w:trHeight w:val="140"/>
        </w:trPr>
        <w:tc>
          <w:tcPr>
            <w:tcW w:w="1600" w:type="dxa"/>
            <w:vAlign w:val="bottom"/>
            <w:tcBorders>
              <w:left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1"/>
                <w:szCs w:val="11"/>
                <w:color w:val="auto"/>
              </w:rPr>
              <w:t>President</w:t>
            </w:r>
          </w:p>
        </w:tc>
        <w:tc>
          <w:tcPr>
            <w:tcW w:w="14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1"/>
                <w:szCs w:val="11"/>
                <w:color w:val="auto"/>
              </w:rPr>
              <w:t>778,789</w:t>
            </w:r>
          </w:p>
        </w:tc>
        <w:tc>
          <w:tcPr>
            <w:tcW w:w="10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1"/>
                <w:szCs w:val="11"/>
                <w:color w:val="auto"/>
                <w:w w:val="92"/>
              </w:rPr>
              <w:t>$13.11</w:t>
            </w:r>
          </w:p>
        </w:tc>
        <w:tc>
          <w:tcPr>
            <w:tcW w:w="20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1"/>
                <w:szCs w:val="11"/>
                <w:color w:val="auto"/>
                <w:w w:val="95"/>
              </w:rPr>
              <w:t>August 15, 2034</w:t>
            </w:r>
          </w:p>
        </w:tc>
        <w:tc>
          <w:tcPr>
            <w:tcW w:w="14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1"/>
                <w:szCs w:val="11"/>
                <w:color w:val="auto"/>
              </w:rPr>
              <w:t>-</w:t>
            </w:r>
          </w:p>
        </w:tc>
        <w:tc>
          <w:tcPr>
            <w:tcW w:w="1080" w:type="dxa"/>
            <w:vAlign w:val="bottom"/>
            <w:tcBorders>
              <w:right w:val="single" w:sz="8" w:color="auto"/>
            </w:tcBorders>
          </w:tcPr>
          <w:p>
            <w:pPr>
              <w:spacing w:after="0"/>
              <w:rPr>
                <w:sz w:val="12"/>
                <w:szCs w:val="12"/>
                <w:color w:val="auto"/>
              </w:rPr>
            </w:pPr>
          </w:p>
        </w:tc>
        <w:tc>
          <w:tcPr>
            <w:tcW w:w="1300" w:type="dxa"/>
            <w:vAlign w:val="bottom"/>
            <w:tcBorders>
              <w:right w:val="single" w:sz="8" w:color="auto"/>
            </w:tcBorders>
          </w:tcPr>
          <w:p>
            <w:pPr>
              <w:spacing w:after="0"/>
              <w:rPr>
                <w:sz w:val="12"/>
                <w:szCs w:val="12"/>
                <w:color w:val="auto"/>
              </w:rPr>
            </w:pPr>
          </w:p>
        </w:tc>
        <w:tc>
          <w:tcPr>
            <w:tcW w:w="1300" w:type="dxa"/>
            <w:vAlign w:val="bottom"/>
            <w:tcBorders>
              <w:right w:val="single" w:sz="8" w:color="auto"/>
            </w:tcBorders>
          </w:tcPr>
          <w:p>
            <w:pPr>
              <w:spacing w:after="0"/>
              <w:rPr>
                <w:sz w:val="12"/>
                <w:szCs w:val="12"/>
                <w:color w:val="auto"/>
              </w:rPr>
            </w:pPr>
          </w:p>
        </w:tc>
      </w:tr>
      <w:tr>
        <w:trPr>
          <w:trHeight w:val="22"/>
        </w:trPr>
        <w:tc>
          <w:tcPr>
            <w:tcW w:w="160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1420" w:type="dxa"/>
            <w:vAlign w:val="bottom"/>
            <w:tcBorders>
              <w:bottom w:val="single" w:sz="8" w:color="auto"/>
              <w:right w:val="single" w:sz="8" w:color="auto"/>
            </w:tcBorders>
          </w:tcPr>
          <w:p>
            <w:pPr>
              <w:spacing w:after="0" w:line="20" w:lineRule="exact"/>
              <w:rPr>
                <w:sz w:val="1"/>
                <w:szCs w:val="1"/>
                <w:color w:val="auto"/>
              </w:rPr>
            </w:pPr>
          </w:p>
        </w:tc>
        <w:tc>
          <w:tcPr>
            <w:tcW w:w="1080" w:type="dxa"/>
            <w:vAlign w:val="bottom"/>
            <w:tcBorders>
              <w:bottom w:val="single" w:sz="8" w:color="auto"/>
              <w:right w:val="single" w:sz="8" w:color="auto"/>
            </w:tcBorders>
          </w:tcPr>
          <w:p>
            <w:pPr>
              <w:spacing w:after="0" w:line="20" w:lineRule="exact"/>
              <w:rPr>
                <w:sz w:val="1"/>
                <w:szCs w:val="1"/>
                <w:color w:val="auto"/>
              </w:rPr>
            </w:pPr>
          </w:p>
        </w:tc>
        <w:tc>
          <w:tcPr>
            <w:tcW w:w="2060" w:type="dxa"/>
            <w:vAlign w:val="bottom"/>
            <w:tcBorders>
              <w:bottom w:val="single" w:sz="8" w:color="auto"/>
              <w:right w:val="single" w:sz="8" w:color="auto"/>
            </w:tcBorders>
          </w:tcPr>
          <w:p>
            <w:pPr>
              <w:spacing w:after="0" w:line="20" w:lineRule="exact"/>
              <w:rPr>
                <w:sz w:val="1"/>
                <w:szCs w:val="1"/>
                <w:color w:val="auto"/>
              </w:rPr>
            </w:pPr>
          </w:p>
        </w:tc>
        <w:tc>
          <w:tcPr>
            <w:tcW w:w="1400" w:type="dxa"/>
            <w:vAlign w:val="bottom"/>
            <w:tcBorders>
              <w:bottom w:val="single" w:sz="8" w:color="auto"/>
              <w:right w:val="single" w:sz="8" w:color="auto"/>
            </w:tcBorders>
          </w:tcPr>
          <w:p>
            <w:pPr>
              <w:spacing w:after="0" w:line="20" w:lineRule="exact"/>
              <w:rPr>
                <w:sz w:val="1"/>
                <w:szCs w:val="1"/>
                <w:color w:val="auto"/>
              </w:rPr>
            </w:pPr>
          </w:p>
        </w:tc>
        <w:tc>
          <w:tcPr>
            <w:tcW w:w="1080" w:type="dxa"/>
            <w:vAlign w:val="bottom"/>
            <w:tcBorders>
              <w:bottom w:val="single" w:sz="8" w:color="auto"/>
              <w:right w:val="single" w:sz="8" w:color="auto"/>
            </w:tcBorders>
          </w:tcPr>
          <w:p>
            <w:pPr>
              <w:spacing w:after="0" w:line="20" w:lineRule="exact"/>
              <w:rPr>
                <w:sz w:val="1"/>
                <w:szCs w:val="1"/>
                <w:color w:val="auto"/>
              </w:rPr>
            </w:pPr>
          </w:p>
        </w:tc>
        <w:tc>
          <w:tcPr>
            <w:tcW w:w="1300" w:type="dxa"/>
            <w:vAlign w:val="bottom"/>
            <w:tcBorders>
              <w:bottom w:val="single" w:sz="8" w:color="auto"/>
              <w:right w:val="single" w:sz="8" w:color="auto"/>
            </w:tcBorders>
          </w:tcPr>
          <w:p>
            <w:pPr>
              <w:spacing w:after="0" w:line="20" w:lineRule="exact"/>
              <w:rPr>
                <w:sz w:val="1"/>
                <w:szCs w:val="1"/>
                <w:color w:val="auto"/>
              </w:rPr>
            </w:pPr>
          </w:p>
        </w:tc>
        <w:tc>
          <w:tcPr>
            <w:tcW w:w="1300" w:type="dxa"/>
            <w:vAlign w:val="bottom"/>
            <w:tcBorders>
              <w:bottom w:val="single" w:sz="8" w:color="auto"/>
              <w:right w:val="single" w:sz="8" w:color="auto"/>
            </w:tcBorders>
          </w:tcPr>
          <w:p>
            <w:pPr>
              <w:spacing w:after="0" w:line="20" w:lineRule="exact"/>
              <w:rPr>
                <w:sz w:val="1"/>
                <w:szCs w:val="1"/>
                <w:color w:val="auto"/>
              </w:rPr>
            </w:pPr>
          </w:p>
        </w:tc>
      </w:tr>
      <w:tr>
        <w:trPr>
          <w:trHeight w:val="124"/>
        </w:trPr>
        <w:tc>
          <w:tcPr>
            <w:tcW w:w="1600" w:type="dxa"/>
            <w:vAlign w:val="bottom"/>
            <w:tcBorders>
              <w:left w:val="single" w:sz="8" w:color="auto"/>
              <w:right w:val="single" w:sz="8" w:color="auto"/>
            </w:tcBorders>
          </w:tcPr>
          <w:p>
            <w:pPr>
              <w:ind w:left="60"/>
              <w:spacing w:after="0" w:line="124" w:lineRule="exact"/>
              <w:rPr>
                <w:sz w:val="20"/>
                <w:szCs w:val="20"/>
                <w:color w:val="auto"/>
              </w:rPr>
            </w:pPr>
            <w:r>
              <w:rPr>
                <w:rFonts w:ascii="Times New Roman" w:cs="Times New Roman" w:eastAsia="Times New Roman" w:hAnsi="Times New Roman"/>
                <w:sz w:val="11"/>
                <w:szCs w:val="11"/>
                <w:color w:val="auto"/>
              </w:rPr>
              <w:t>Paul Glavine,</w:t>
            </w:r>
          </w:p>
        </w:tc>
        <w:tc>
          <w:tcPr>
            <w:tcW w:w="1420" w:type="dxa"/>
            <w:vAlign w:val="bottom"/>
            <w:tcBorders>
              <w:right w:val="single" w:sz="8" w:color="auto"/>
            </w:tcBorders>
          </w:tcPr>
          <w:p>
            <w:pPr>
              <w:jc w:val="center"/>
              <w:spacing w:after="0" w:line="124" w:lineRule="exact"/>
              <w:rPr>
                <w:sz w:val="20"/>
                <w:szCs w:val="20"/>
                <w:color w:val="auto"/>
              </w:rPr>
            </w:pPr>
            <w:r>
              <w:rPr>
                <w:rFonts w:ascii="Times New Roman" w:cs="Times New Roman" w:eastAsia="Times New Roman" w:hAnsi="Times New Roman"/>
                <w:sz w:val="11"/>
                <w:szCs w:val="11"/>
                <w:color w:val="auto"/>
                <w:w w:val="99"/>
              </w:rPr>
              <w:t>12,632</w:t>
            </w:r>
          </w:p>
        </w:tc>
        <w:tc>
          <w:tcPr>
            <w:tcW w:w="1080" w:type="dxa"/>
            <w:vAlign w:val="bottom"/>
            <w:tcBorders>
              <w:right w:val="single" w:sz="8" w:color="auto"/>
            </w:tcBorders>
          </w:tcPr>
          <w:p>
            <w:pPr>
              <w:jc w:val="center"/>
              <w:ind w:right="6"/>
              <w:spacing w:after="0" w:line="124" w:lineRule="exact"/>
              <w:rPr>
                <w:sz w:val="20"/>
                <w:szCs w:val="20"/>
                <w:color w:val="auto"/>
              </w:rPr>
            </w:pPr>
            <w:r>
              <w:rPr>
                <w:rFonts w:ascii="Times New Roman" w:cs="Times New Roman" w:eastAsia="Times New Roman" w:hAnsi="Times New Roman"/>
                <w:sz w:val="11"/>
                <w:szCs w:val="11"/>
                <w:color w:val="auto"/>
                <w:w w:val="99"/>
              </w:rPr>
              <w:t>$16.72</w:t>
            </w:r>
          </w:p>
        </w:tc>
        <w:tc>
          <w:tcPr>
            <w:tcW w:w="2060" w:type="dxa"/>
            <w:vAlign w:val="bottom"/>
            <w:tcBorders>
              <w:right w:val="single" w:sz="8" w:color="auto"/>
            </w:tcBorders>
          </w:tcPr>
          <w:p>
            <w:pPr>
              <w:jc w:val="center"/>
              <w:spacing w:after="0" w:line="124" w:lineRule="exact"/>
              <w:rPr>
                <w:sz w:val="20"/>
                <w:szCs w:val="20"/>
                <w:color w:val="auto"/>
              </w:rPr>
            </w:pPr>
            <w:r>
              <w:rPr>
                <w:rFonts w:ascii="Times New Roman" w:cs="Times New Roman" w:eastAsia="Times New Roman" w:hAnsi="Times New Roman"/>
                <w:sz w:val="11"/>
                <w:szCs w:val="11"/>
                <w:color w:val="auto"/>
              </w:rPr>
              <w:t>June 30, 2028</w:t>
            </w:r>
          </w:p>
        </w:tc>
        <w:tc>
          <w:tcPr>
            <w:tcW w:w="1400" w:type="dxa"/>
            <w:vAlign w:val="bottom"/>
            <w:tcBorders>
              <w:right w:val="single" w:sz="8" w:color="auto"/>
            </w:tcBorders>
          </w:tcPr>
          <w:p>
            <w:pPr>
              <w:jc w:val="center"/>
              <w:spacing w:after="0" w:line="124" w:lineRule="exact"/>
              <w:rPr>
                <w:sz w:val="20"/>
                <w:szCs w:val="20"/>
                <w:color w:val="auto"/>
              </w:rPr>
            </w:pPr>
            <w:r>
              <w:rPr>
                <w:rFonts w:ascii="Times New Roman" w:cs="Times New Roman" w:eastAsia="Times New Roman" w:hAnsi="Times New Roman"/>
                <w:sz w:val="11"/>
                <w:szCs w:val="11"/>
                <w:color w:val="auto"/>
              </w:rPr>
              <w:t>-</w:t>
            </w:r>
          </w:p>
        </w:tc>
        <w:tc>
          <w:tcPr>
            <w:tcW w:w="1080" w:type="dxa"/>
            <w:vAlign w:val="bottom"/>
            <w:tcBorders>
              <w:right w:val="single" w:sz="8" w:color="auto"/>
            </w:tcBorders>
          </w:tcPr>
          <w:p>
            <w:pPr>
              <w:jc w:val="center"/>
              <w:spacing w:after="0" w:line="124" w:lineRule="exact"/>
              <w:rPr>
                <w:sz w:val="20"/>
                <w:szCs w:val="20"/>
                <w:color w:val="auto"/>
              </w:rPr>
            </w:pPr>
            <w:r>
              <w:rPr>
                <w:rFonts w:ascii="Times New Roman" w:cs="Times New Roman" w:eastAsia="Times New Roman" w:hAnsi="Times New Roman"/>
                <w:sz w:val="11"/>
                <w:szCs w:val="11"/>
                <w:color w:val="auto"/>
              </w:rPr>
              <w:t>-</w:t>
            </w:r>
          </w:p>
        </w:tc>
        <w:tc>
          <w:tcPr>
            <w:tcW w:w="13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8"/>
                <w:szCs w:val="8"/>
                <w:color w:val="auto"/>
                <w:w w:val="73"/>
              </w:rPr>
              <w:t>-</w:t>
            </w:r>
          </w:p>
        </w:tc>
        <w:tc>
          <w:tcPr>
            <w:tcW w:w="1300" w:type="dxa"/>
            <w:vAlign w:val="bottom"/>
            <w:tcBorders>
              <w:right w:val="single" w:sz="8" w:color="auto"/>
            </w:tcBorders>
          </w:tcPr>
          <w:p>
            <w:pPr>
              <w:jc w:val="center"/>
              <w:spacing w:after="0" w:line="124" w:lineRule="exact"/>
              <w:rPr>
                <w:sz w:val="20"/>
                <w:szCs w:val="20"/>
                <w:color w:val="auto"/>
              </w:rPr>
            </w:pPr>
            <w:r>
              <w:rPr>
                <w:rFonts w:ascii="Times New Roman" w:cs="Times New Roman" w:eastAsia="Times New Roman" w:hAnsi="Times New Roman"/>
                <w:sz w:val="11"/>
                <w:szCs w:val="11"/>
                <w:color w:val="auto"/>
              </w:rPr>
              <w:t>-</w:t>
            </w:r>
          </w:p>
        </w:tc>
      </w:tr>
      <w:tr>
        <w:trPr>
          <w:trHeight w:val="140"/>
        </w:trPr>
        <w:tc>
          <w:tcPr>
            <w:tcW w:w="1600" w:type="dxa"/>
            <w:vAlign w:val="bottom"/>
            <w:tcBorders>
              <w:left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1"/>
                <w:szCs w:val="11"/>
                <w:color w:val="auto"/>
              </w:rPr>
              <w:t>Chief Growth Officer</w:t>
            </w:r>
          </w:p>
        </w:tc>
        <w:tc>
          <w:tcPr>
            <w:tcW w:w="14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1"/>
                <w:szCs w:val="11"/>
                <w:color w:val="auto"/>
              </w:rPr>
              <w:t>778,789</w:t>
            </w:r>
          </w:p>
        </w:tc>
        <w:tc>
          <w:tcPr>
            <w:tcW w:w="10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1"/>
                <w:szCs w:val="11"/>
                <w:color w:val="auto"/>
                <w:w w:val="92"/>
              </w:rPr>
              <w:t>$13.11</w:t>
            </w:r>
          </w:p>
        </w:tc>
        <w:tc>
          <w:tcPr>
            <w:tcW w:w="20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1"/>
                <w:szCs w:val="11"/>
                <w:color w:val="auto"/>
                <w:w w:val="95"/>
              </w:rPr>
              <w:t>August 15, 2034</w:t>
            </w:r>
          </w:p>
        </w:tc>
        <w:tc>
          <w:tcPr>
            <w:tcW w:w="14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1"/>
                <w:szCs w:val="11"/>
                <w:color w:val="auto"/>
              </w:rPr>
              <w:t>-</w:t>
            </w:r>
          </w:p>
        </w:tc>
        <w:tc>
          <w:tcPr>
            <w:tcW w:w="1080" w:type="dxa"/>
            <w:vAlign w:val="bottom"/>
            <w:tcBorders>
              <w:right w:val="single" w:sz="8" w:color="auto"/>
            </w:tcBorders>
          </w:tcPr>
          <w:p>
            <w:pPr>
              <w:spacing w:after="0"/>
              <w:rPr>
                <w:sz w:val="12"/>
                <w:szCs w:val="12"/>
                <w:color w:val="auto"/>
              </w:rPr>
            </w:pPr>
          </w:p>
        </w:tc>
        <w:tc>
          <w:tcPr>
            <w:tcW w:w="1300" w:type="dxa"/>
            <w:vAlign w:val="bottom"/>
            <w:tcBorders>
              <w:right w:val="single" w:sz="8" w:color="auto"/>
            </w:tcBorders>
          </w:tcPr>
          <w:p>
            <w:pPr>
              <w:spacing w:after="0"/>
              <w:rPr>
                <w:sz w:val="12"/>
                <w:szCs w:val="12"/>
                <w:color w:val="auto"/>
              </w:rPr>
            </w:pPr>
          </w:p>
        </w:tc>
        <w:tc>
          <w:tcPr>
            <w:tcW w:w="1300" w:type="dxa"/>
            <w:vAlign w:val="bottom"/>
            <w:tcBorders>
              <w:right w:val="single" w:sz="8" w:color="auto"/>
            </w:tcBorders>
          </w:tcPr>
          <w:p>
            <w:pPr>
              <w:spacing w:after="0"/>
              <w:rPr>
                <w:sz w:val="12"/>
                <w:szCs w:val="12"/>
                <w:color w:val="auto"/>
              </w:rPr>
            </w:pPr>
          </w:p>
        </w:tc>
      </w:tr>
      <w:tr>
        <w:trPr>
          <w:trHeight w:val="22"/>
        </w:trPr>
        <w:tc>
          <w:tcPr>
            <w:tcW w:w="160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1420" w:type="dxa"/>
            <w:vAlign w:val="bottom"/>
            <w:tcBorders>
              <w:bottom w:val="single" w:sz="8" w:color="auto"/>
              <w:right w:val="single" w:sz="8" w:color="auto"/>
            </w:tcBorders>
          </w:tcPr>
          <w:p>
            <w:pPr>
              <w:spacing w:after="0" w:line="20" w:lineRule="exact"/>
              <w:rPr>
                <w:sz w:val="1"/>
                <w:szCs w:val="1"/>
                <w:color w:val="auto"/>
              </w:rPr>
            </w:pPr>
          </w:p>
        </w:tc>
        <w:tc>
          <w:tcPr>
            <w:tcW w:w="1080" w:type="dxa"/>
            <w:vAlign w:val="bottom"/>
            <w:tcBorders>
              <w:bottom w:val="single" w:sz="8" w:color="auto"/>
              <w:right w:val="single" w:sz="8" w:color="auto"/>
            </w:tcBorders>
          </w:tcPr>
          <w:p>
            <w:pPr>
              <w:spacing w:after="0" w:line="20" w:lineRule="exact"/>
              <w:rPr>
                <w:sz w:val="1"/>
                <w:szCs w:val="1"/>
                <w:color w:val="auto"/>
              </w:rPr>
            </w:pPr>
          </w:p>
        </w:tc>
        <w:tc>
          <w:tcPr>
            <w:tcW w:w="2060" w:type="dxa"/>
            <w:vAlign w:val="bottom"/>
            <w:tcBorders>
              <w:bottom w:val="single" w:sz="8" w:color="auto"/>
              <w:right w:val="single" w:sz="8" w:color="auto"/>
            </w:tcBorders>
          </w:tcPr>
          <w:p>
            <w:pPr>
              <w:spacing w:after="0" w:line="20" w:lineRule="exact"/>
              <w:rPr>
                <w:sz w:val="1"/>
                <w:szCs w:val="1"/>
                <w:color w:val="auto"/>
              </w:rPr>
            </w:pPr>
          </w:p>
        </w:tc>
        <w:tc>
          <w:tcPr>
            <w:tcW w:w="1400" w:type="dxa"/>
            <w:vAlign w:val="bottom"/>
            <w:tcBorders>
              <w:bottom w:val="single" w:sz="8" w:color="auto"/>
              <w:right w:val="single" w:sz="8" w:color="auto"/>
            </w:tcBorders>
          </w:tcPr>
          <w:p>
            <w:pPr>
              <w:spacing w:after="0" w:line="20" w:lineRule="exact"/>
              <w:rPr>
                <w:sz w:val="1"/>
                <w:szCs w:val="1"/>
                <w:color w:val="auto"/>
              </w:rPr>
            </w:pPr>
          </w:p>
        </w:tc>
        <w:tc>
          <w:tcPr>
            <w:tcW w:w="1080" w:type="dxa"/>
            <w:vAlign w:val="bottom"/>
            <w:tcBorders>
              <w:bottom w:val="single" w:sz="8" w:color="auto"/>
              <w:right w:val="single" w:sz="8" w:color="auto"/>
            </w:tcBorders>
          </w:tcPr>
          <w:p>
            <w:pPr>
              <w:spacing w:after="0" w:line="20" w:lineRule="exact"/>
              <w:rPr>
                <w:sz w:val="1"/>
                <w:szCs w:val="1"/>
                <w:color w:val="auto"/>
              </w:rPr>
            </w:pPr>
          </w:p>
        </w:tc>
        <w:tc>
          <w:tcPr>
            <w:tcW w:w="1300" w:type="dxa"/>
            <w:vAlign w:val="bottom"/>
            <w:tcBorders>
              <w:bottom w:val="single" w:sz="8" w:color="auto"/>
              <w:right w:val="single" w:sz="8" w:color="auto"/>
            </w:tcBorders>
          </w:tcPr>
          <w:p>
            <w:pPr>
              <w:spacing w:after="0" w:line="20" w:lineRule="exact"/>
              <w:rPr>
                <w:sz w:val="1"/>
                <w:szCs w:val="1"/>
                <w:color w:val="auto"/>
              </w:rPr>
            </w:pPr>
          </w:p>
        </w:tc>
        <w:tc>
          <w:tcPr>
            <w:tcW w:w="1300" w:type="dxa"/>
            <w:vAlign w:val="bottom"/>
            <w:tcBorders>
              <w:bottom w:val="single" w:sz="8" w:color="auto"/>
              <w:right w:val="single" w:sz="8" w:color="auto"/>
            </w:tcBorders>
          </w:tcPr>
          <w:p>
            <w:pPr>
              <w:spacing w:after="0" w:line="20" w:lineRule="exact"/>
              <w:rPr>
                <w:sz w:val="1"/>
                <w:szCs w:val="1"/>
                <w:color w:val="auto"/>
              </w:rPr>
            </w:pPr>
          </w:p>
        </w:tc>
      </w:tr>
      <w:tr>
        <w:trPr>
          <w:trHeight w:val="124"/>
        </w:trPr>
        <w:tc>
          <w:tcPr>
            <w:tcW w:w="1600" w:type="dxa"/>
            <w:vAlign w:val="bottom"/>
            <w:tcBorders>
              <w:left w:val="single" w:sz="8" w:color="auto"/>
              <w:right w:val="single" w:sz="8" w:color="auto"/>
            </w:tcBorders>
          </w:tcPr>
          <w:p>
            <w:pPr>
              <w:ind w:left="60"/>
              <w:spacing w:after="0" w:line="124" w:lineRule="exact"/>
              <w:rPr>
                <w:sz w:val="20"/>
                <w:szCs w:val="20"/>
                <w:color w:val="auto"/>
              </w:rPr>
            </w:pPr>
            <w:r>
              <w:rPr>
                <w:rFonts w:ascii="Times New Roman" w:cs="Times New Roman" w:eastAsia="Times New Roman" w:hAnsi="Times New Roman"/>
                <w:sz w:val="11"/>
                <w:szCs w:val="11"/>
                <w:color w:val="auto"/>
                <w:w w:val="98"/>
              </w:rPr>
              <w:t>Gabriel Fahel, Chief Legal Officer</w:t>
            </w:r>
          </w:p>
        </w:tc>
        <w:tc>
          <w:tcPr>
            <w:tcW w:w="1420" w:type="dxa"/>
            <w:vAlign w:val="bottom"/>
            <w:tcBorders>
              <w:right w:val="single" w:sz="8" w:color="auto"/>
            </w:tcBorders>
          </w:tcPr>
          <w:p>
            <w:pPr>
              <w:jc w:val="center"/>
              <w:spacing w:after="0" w:line="124" w:lineRule="exact"/>
              <w:rPr>
                <w:sz w:val="20"/>
                <w:szCs w:val="20"/>
                <w:color w:val="auto"/>
              </w:rPr>
            </w:pPr>
            <w:r>
              <w:rPr>
                <w:rFonts w:ascii="Times New Roman" w:cs="Times New Roman" w:eastAsia="Times New Roman" w:hAnsi="Times New Roman"/>
                <w:sz w:val="11"/>
                <w:szCs w:val="11"/>
                <w:color w:val="auto"/>
                <w:w w:val="96"/>
              </w:rPr>
              <w:t>9,211</w:t>
            </w:r>
          </w:p>
        </w:tc>
        <w:tc>
          <w:tcPr>
            <w:tcW w:w="1080" w:type="dxa"/>
            <w:vAlign w:val="bottom"/>
            <w:tcBorders>
              <w:right w:val="single" w:sz="8" w:color="auto"/>
            </w:tcBorders>
          </w:tcPr>
          <w:p>
            <w:pPr>
              <w:jc w:val="center"/>
              <w:ind w:right="6"/>
              <w:spacing w:after="0" w:line="124" w:lineRule="exact"/>
              <w:rPr>
                <w:sz w:val="20"/>
                <w:szCs w:val="20"/>
                <w:color w:val="auto"/>
              </w:rPr>
            </w:pPr>
            <w:r>
              <w:rPr>
                <w:rFonts w:ascii="Times New Roman" w:cs="Times New Roman" w:eastAsia="Times New Roman" w:hAnsi="Times New Roman"/>
                <w:sz w:val="11"/>
                <w:szCs w:val="11"/>
                <w:color w:val="auto"/>
                <w:w w:val="99"/>
              </w:rPr>
              <w:t>$16.72</w:t>
            </w:r>
          </w:p>
        </w:tc>
        <w:tc>
          <w:tcPr>
            <w:tcW w:w="2060" w:type="dxa"/>
            <w:vAlign w:val="bottom"/>
            <w:tcBorders>
              <w:right w:val="single" w:sz="8" w:color="auto"/>
            </w:tcBorders>
          </w:tcPr>
          <w:p>
            <w:pPr>
              <w:jc w:val="center"/>
              <w:spacing w:after="0" w:line="124" w:lineRule="exact"/>
              <w:rPr>
                <w:sz w:val="20"/>
                <w:szCs w:val="20"/>
                <w:color w:val="auto"/>
              </w:rPr>
            </w:pPr>
            <w:r>
              <w:rPr>
                <w:rFonts w:ascii="Times New Roman" w:cs="Times New Roman" w:eastAsia="Times New Roman" w:hAnsi="Times New Roman"/>
                <w:sz w:val="11"/>
                <w:szCs w:val="11"/>
                <w:color w:val="auto"/>
              </w:rPr>
              <w:t>June 30, 2028</w:t>
            </w:r>
          </w:p>
        </w:tc>
        <w:tc>
          <w:tcPr>
            <w:tcW w:w="1400" w:type="dxa"/>
            <w:vAlign w:val="bottom"/>
            <w:tcBorders>
              <w:right w:val="single" w:sz="8" w:color="auto"/>
            </w:tcBorders>
          </w:tcPr>
          <w:p>
            <w:pPr>
              <w:jc w:val="center"/>
              <w:spacing w:after="0" w:line="124" w:lineRule="exact"/>
              <w:rPr>
                <w:sz w:val="20"/>
                <w:szCs w:val="20"/>
                <w:color w:val="auto"/>
              </w:rPr>
            </w:pPr>
            <w:r>
              <w:rPr>
                <w:rFonts w:ascii="Times New Roman" w:cs="Times New Roman" w:eastAsia="Times New Roman" w:hAnsi="Times New Roman"/>
                <w:sz w:val="11"/>
                <w:szCs w:val="11"/>
                <w:color w:val="auto"/>
              </w:rPr>
              <w:t>-</w:t>
            </w:r>
          </w:p>
        </w:tc>
        <w:tc>
          <w:tcPr>
            <w:tcW w:w="1080" w:type="dxa"/>
            <w:vAlign w:val="bottom"/>
            <w:tcBorders>
              <w:right w:val="single" w:sz="8" w:color="auto"/>
            </w:tcBorders>
          </w:tcPr>
          <w:p>
            <w:pPr>
              <w:jc w:val="center"/>
              <w:spacing w:after="0" w:line="124" w:lineRule="exact"/>
              <w:rPr>
                <w:sz w:val="20"/>
                <w:szCs w:val="20"/>
                <w:color w:val="auto"/>
              </w:rPr>
            </w:pPr>
            <w:r>
              <w:rPr>
                <w:rFonts w:ascii="Times New Roman" w:cs="Times New Roman" w:eastAsia="Times New Roman" w:hAnsi="Times New Roman"/>
                <w:sz w:val="11"/>
                <w:szCs w:val="11"/>
                <w:color w:val="auto"/>
              </w:rPr>
              <w:t>-</w:t>
            </w:r>
          </w:p>
        </w:tc>
        <w:tc>
          <w:tcPr>
            <w:tcW w:w="13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8"/>
                <w:szCs w:val="8"/>
                <w:color w:val="auto"/>
                <w:w w:val="73"/>
              </w:rPr>
              <w:t>-</w:t>
            </w:r>
          </w:p>
        </w:tc>
        <w:tc>
          <w:tcPr>
            <w:tcW w:w="1300" w:type="dxa"/>
            <w:vAlign w:val="bottom"/>
            <w:tcBorders>
              <w:right w:val="single" w:sz="8" w:color="auto"/>
            </w:tcBorders>
          </w:tcPr>
          <w:p>
            <w:pPr>
              <w:jc w:val="center"/>
              <w:spacing w:after="0" w:line="124" w:lineRule="exact"/>
              <w:rPr>
                <w:sz w:val="20"/>
                <w:szCs w:val="20"/>
                <w:color w:val="auto"/>
              </w:rPr>
            </w:pPr>
            <w:r>
              <w:rPr>
                <w:rFonts w:ascii="Times New Roman" w:cs="Times New Roman" w:eastAsia="Times New Roman" w:hAnsi="Times New Roman"/>
                <w:sz w:val="11"/>
                <w:szCs w:val="11"/>
                <w:color w:val="auto"/>
              </w:rPr>
              <w:t>-</w:t>
            </w:r>
          </w:p>
        </w:tc>
      </w:tr>
      <w:tr>
        <w:trPr>
          <w:trHeight w:val="135"/>
        </w:trPr>
        <w:tc>
          <w:tcPr>
            <w:tcW w:w="1600" w:type="dxa"/>
            <w:vAlign w:val="bottom"/>
            <w:tcBorders>
              <w:left w:val="single" w:sz="8" w:color="auto"/>
              <w:right w:val="single" w:sz="8" w:color="auto"/>
            </w:tcBorders>
          </w:tcPr>
          <w:p>
            <w:pPr>
              <w:spacing w:after="0"/>
              <w:rPr>
                <w:sz w:val="11"/>
                <w:szCs w:val="11"/>
                <w:color w:val="auto"/>
              </w:rPr>
            </w:pPr>
          </w:p>
        </w:tc>
        <w:tc>
          <w:tcPr>
            <w:tcW w:w="14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1"/>
                <w:szCs w:val="11"/>
                <w:color w:val="auto"/>
                <w:w w:val="99"/>
              </w:rPr>
              <w:t>26,316</w:t>
            </w:r>
          </w:p>
        </w:tc>
        <w:tc>
          <w:tcPr>
            <w:tcW w:w="1080" w:type="dxa"/>
            <w:vAlign w:val="bottom"/>
            <w:tcBorders>
              <w:right w:val="single" w:sz="8" w:color="auto"/>
            </w:tcBorders>
          </w:tcPr>
          <w:p>
            <w:pPr>
              <w:jc w:val="center"/>
              <w:ind w:right="6"/>
              <w:spacing w:after="0"/>
              <w:rPr>
                <w:sz w:val="20"/>
                <w:szCs w:val="20"/>
                <w:color w:val="auto"/>
              </w:rPr>
            </w:pPr>
            <w:r>
              <w:rPr>
                <w:rFonts w:ascii="Times New Roman" w:cs="Times New Roman" w:eastAsia="Times New Roman" w:hAnsi="Times New Roman"/>
                <w:sz w:val="11"/>
                <w:szCs w:val="11"/>
                <w:color w:val="auto"/>
                <w:w w:val="99"/>
              </w:rPr>
              <w:t>$21.28</w:t>
            </w:r>
          </w:p>
        </w:tc>
        <w:tc>
          <w:tcPr>
            <w:tcW w:w="20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1"/>
                <w:szCs w:val="11"/>
                <w:color w:val="auto"/>
                <w:w w:val="98"/>
              </w:rPr>
              <w:t>April 5, 2029</w:t>
            </w:r>
          </w:p>
        </w:tc>
        <w:tc>
          <w:tcPr>
            <w:tcW w:w="14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1"/>
                <w:szCs w:val="11"/>
                <w:color w:val="auto"/>
              </w:rPr>
              <w:t>-</w:t>
            </w:r>
          </w:p>
        </w:tc>
        <w:tc>
          <w:tcPr>
            <w:tcW w:w="1080" w:type="dxa"/>
            <w:vAlign w:val="bottom"/>
            <w:tcBorders>
              <w:right w:val="single" w:sz="8" w:color="auto"/>
            </w:tcBorders>
          </w:tcPr>
          <w:p>
            <w:pPr>
              <w:spacing w:after="0"/>
              <w:rPr>
                <w:sz w:val="11"/>
                <w:szCs w:val="11"/>
                <w:color w:val="auto"/>
              </w:rPr>
            </w:pPr>
          </w:p>
        </w:tc>
        <w:tc>
          <w:tcPr>
            <w:tcW w:w="1300" w:type="dxa"/>
            <w:vAlign w:val="bottom"/>
            <w:tcBorders>
              <w:right w:val="single" w:sz="8" w:color="auto"/>
            </w:tcBorders>
          </w:tcPr>
          <w:p>
            <w:pPr>
              <w:spacing w:after="0"/>
              <w:rPr>
                <w:sz w:val="11"/>
                <w:szCs w:val="11"/>
                <w:color w:val="auto"/>
              </w:rPr>
            </w:pPr>
          </w:p>
        </w:tc>
        <w:tc>
          <w:tcPr>
            <w:tcW w:w="1300" w:type="dxa"/>
            <w:vAlign w:val="bottom"/>
            <w:tcBorders>
              <w:right w:val="single" w:sz="8" w:color="auto"/>
            </w:tcBorders>
          </w:tcPr>
          <w:p>
            <w:pPr>
              <w:spacing w:after="0"/>
              <w:rPr>
                <w:sz w:val="11"/>
                <w:szCs w:val="11"/>
                <w:color w:val="auto"/>
              </w:rPr>
            </w:pPr>
          </w:p>
        </w:tc>
      </w:tr>
      <w:tr>
        <w:trPr>
          <w:trHeight w:val="147"/>
        </w:trPr>
        <w:tc>
          <w:tcPr>
            <w:tcW w:w="1600" w:type="dxa"/>
            <w:vAlign w:val="bottom"/>
            <w:tcBorders>
              <w:left w:val="single" w:sz="8" w:color="auto"/>
              <w:bottom w:val="single" w:sz="8" w:color="auto"/>
              <w:right w:val="single" w:sz="8" w:color="auto"/>
            </w:tcBorders>
          </w:tcPr>
          <w:p>
            <w:pPr>
              <w:spacing w:after="0"/>
              <w:rPr>
                <w:sz w:val="12"/>
                <w:szCs w:val="12"/>
                <w:color w:val="auto"/>
              </w:rPr>
            </w:pPr>
          </w:p>
        </w:tc>
        <w:tc>
          <w:tcPr>
            <w:tcW w:w="14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1"/>
                <w:szCs w:val="11"/>
                <w:color w:val="auto"/>
                <w:w w:val="99"/>
              </w:rPr>
              <w:t>44,868</w:t>
            </w:r>
          </w:p>
        </w:tc>
        <w:tc>
          <w:tcPr>
            <w:tcW w:w="10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1"/>
                <w:szCs w:val="11"/>
                <w:color w:val="auto"/>
                <w:w w:val="92"/>
              </w:rPr>
              <w:t>$13.11</w:t>
            </w:r>
          </w:p>
        </w:tc>
        <w:tc>
          <w:tcPr>
            <w:tcW w:w="20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1"/>
                <w:szCs w:val="11"/>
                <w:color w:val="auto"/>
                <w:w w:val="95"/>
              </w:rPr>
              <w:t>August 15, 2034</w:t>
            </w:r>
          </w:p>
        </w:tc>
        <w:tc>
          <w:tcPr>
            <w:tcW w:w="14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1"/>
                <w:szCs w:val="11"/>
                <w:color w:val="auto"/>
              </w:rPr>
              <w:t>-</w:t>
            </w:r>
          </w:p>
        </w:tc>
        <w:tc>
          <w:tcPr>
            <w:tcW w:w="1080" w:type="dxa"/>
            <w:vAlign w:val="bottom"/>
            <w:tcBorders>
              <w:bottom w:val="single" w:sz="8" w:color="auto"/>
              <w:right w:val="single" w:sz="8" w:color="auto"/>
            </w:tcBorders>
          </w:tcPr>
          <w:p>
            <w:pPr>
              <w:spacing w:after="0"/>
              <w:rPr>
                <w:sz w:val="12"/>
                <w:szCs w:val="12"/>
                <w:color w:val="auto"/>
              </w:rPr>
            </w:pPr>
          </w:p>
        </w:tc>
        <w:tc>
          <w:tcPr>
            <w:tcW w:w="1300" w:type="dxa"/>
            <w:vAlign w:val="bottom"/>
            <w:tcBorders>
              <w:bottom w:val="single" w:sz="8" w:color="auto"/>
              <w:right w:val="single" w:sz="8" w:color="auto"/>
            </w:tcBorders>
          </w:tcPr>
          <w:p>
            <w:pPr>
              <w:spacing w:after="0"/>
              <w:rPr>
                <w:sz w:val="12"/>
                <w:szCs w:val="12"/>
                <w:color w:val="auto"/>
              </w:rPr>
            </w:pPr>
          </w:p>
        </w:tc>
        <w:tc>
          <w:tcPr>
            <w:tcW w:w="1300" w:type="dxa"/>
            <w:vAlign w:val="bottom"/>
            <w:tcBorders>
              <w:bottom w:val="single" w:sz="8" w:color="auto"/>
              <w:right w:val="single" w:sz="8" w:color="auto"/>
            </w:tcBorders>
          </w:tcPr>
          <w:p>
            <w:pPr>
              <w:spacing w:after="0"/>
              <w:rPr>
                <w:sz w:val="12"/>
                <w:szCs w:val="12"/>
                <w:color w:val="auto"/>
              </w:rPr>
            </w:pPr>
          </w:p>
        </w:tc>
      </w:tr>
    </w:tbl>
    <w:p>
      <w:pPr>
        <w:spacing w:after="0" w:line="196" w:lineRule="exact"/>
        <w:rPr>
          <w:sz w:val="20"/>
          <w:szCs w:val="20"/>
          <w:color w:val="auto"/>
        </w:rPr>
      </w:pPr>
    </w:p>
    <w:p>
      <w:pPr>
        <w:ind w:left="8"/>
        <w:spacing w:after="0"/>
        <w:rPr>
          <w:sz w:val="20"/>
          <w:szCs w:val="20"/>
          <w:color w:val="auto"/>
        </w:rPr>
      </w:pPr>
      <w:r>
        <w:rPr>
          <w:rFonts w:ascii="Times New Roman" w:cs="Times New Roman" w:eastAsia="Times New Roman" w:hAnsi="Times New Roman"/>
          <w:sz w:val="11"/>
          <w:szCs w:val="11"/>
          <w:b w:val="1"/>
          <w:bCs w:val="1"/>
          <w:color w:val="auto"/>
        </w:rPr>
        <w:t>Note:</w:t>
      </w:r>
    </w:p>
    <w:p>
      <w:pPr>
        <w:spacing w:after="0" w:line="92" w:lineRule="exact"/>
        <w:rPr>
          <w:sz w:val="20"/>
          <w:szCs w:val="20"/>
          <w:color w:val="auto"/>
        </w:rPr>
      </w:pPr>
    </w:p>
    <w:p>
      <w:pPr>
        <w:ind w:left="428" w:hanging="428"/>
        <w:spacing w:after="0" w:line="299" w:lineRule="auto"/>
        <w:tabs>
          <w:tab w:leader="none" w:pos="272" w:val="left"/>
        </w:tabs>
        <w:numPr>
          <w:ilvl w:val="0"/>
          <w:numId w:val="8"/>
        </w:numPr>
        <w:rPr>
          <w:rFonts w:ascii="Times New Roman" w:cs="Times New Roman" w:eastAsia="Times New Roman" w:hAnsi="Times New Roman"/>
          <w:sz w:val="11"/>
          <w:szCs w:val="11"/>
          <w:color w:val="auto"/>
        </w:rPr>
      </w:pPr>
      <w:r>
        <w:rPr>
          <w:rFonts w:ascii="Times New Roman" w:cs="Times New Roman" w:eastAsia="Times New Roman" w:hAnsi="Times New Roman"/>
          <w:sz w:val="11"/>
          <w:szCs w:val="11"/>
          <w:color w:val="auto"/>
        </w:rPr>
        <w:t>The “value of unexercised in-the-money options” is calculated based on the difference between the closing price of $9.13 for the Common Shares on the Exchange on the last trading day of the year ended March 31, 2025 and the exercise price of the options, multiplied by the number of unexercised options.</w:t>
      </w:r>
    </w:p>
    <w:p>
      <w:pPr>
        <w:spacing w:after="0" w:line="269" w:lineRule="exact"/>
        <w:rPr>
          <w:sz w:val="20"/>
          <w:szCs w:val="20"/>
          <w:color w:val="auto"/>
        </w:rPr>
      </w:pPr>
    </w:p>
    <w:p>
      <w:pPr>
        <w:ind w:left="8"/>
        <w:spacing w:after="0"/>
        <w:rPr>
          <w:sz w:val="20"/>
          <w:szCs w:val="20"/>
          <w:color w:val="auto"/>
        </w:rPr>
      </w:pPr>
      <w:r>
        <w:rPr>
          <w:rFonts w:ascii="Times New Roman" w:cs="Times New Roman" w:eastAsia="Times New Roman" w:hAnsi="Times New Roman"/>
          <w:sz w:val="13"/>
          <w:szCs w:val="13"/>
          <w:b w:val="1"/>
          <w:bCs w:val="1"/>
          <w:i w:val="1"/>
          <w:iCs w:val="1"/>
          <w:color w:val="auto"/>
        </w:rPr>
        <w:t>Value Vested or Earned During the Year</w:t>
      </w:r>
    </w:p>
    <w:p>
      <w:pPr>
        <w:spacing w:after="0" w:line="161" w:lineRule="exact"/>
        <w:rPr>
          <w:sz w:val="20"/>
          <w:szCs w:val="20"/>
          <w:color w:val="auto"/>
        </w:rPr>
      </w:pPr>
    </w:p>
    <w:p>
      <w:pPr>
        <w:ind w:left="8"/>
        <w:spacing w:after="0"/>
        <w:rPr>
          <w:sz w:val="20"/>
          <w:szCs w:val="20"/>
          <w:color w:val="auto"/>
        </w:rPr>
      </w:pPr>
      <w:r>
        <w:rPr>
          <w:rFonts w:ascii="Times New Roman" w:cs="Times New Roman" w:eastAsia="Times New Roman" w:hAnsi="Times New Roman"/>
          <w:sz w:val="13"/>
          <w:szCs w:val="13"/>
          <w:color w:val="auto"/>
        </w:rPr>
        <w:t>The following table sets forth the value of all incentive plan awards vested or earned for each Named Executive Officer during the year ended March 31, 2025:</w:t>
      </w:r>
    </w:p>
    <w:p>
      <w:pPr>
        <w:spacing w:after="0" w:line="160" w:lineRule="exact"/>
        <w:rPr>
          <w:sz w:val="20"/>
          <w:szCs w:val="20"/>
          <w:color w:val="auto"/>
        </w:rPr>
      </w:pPr>
    </w:p>
    <w:tbl>
      <w:tblPr>
        <w:tblLayout w:type="fixed"/>
        <w:tblInd w:w="78" w:type="dxa"/>
        <w:tblCellMar>
          <w:top w:w="0" w:type="dxa"/>
          <w:left w:w="0" w:type="dxa"/>
          <w:bottom w:w="0" w:type="dxa"/>
          <w:right w:w="0" w:type="dxa"/>
        </w:tblCellMar>
      </w:tblPr>
      <w:tr>
        <w:trPr>
          <w:trHeight w:val="151"/>
        </w:trPr>
        <w:tc>
          <w:tcPr>
            <w:tcW w:w="2660" w:type="dxa"/>
            <w:vAlign w:val="bottom"/>
            <w:tcBorders>
              <w:top w:val="single" w:sz="8" w:color="auto"/>
              <w:left w:val="single" w:sz="8" w:color="auto"/>
              <w:right w:val="single" w:sz="8" w:color="auto"/>
            </w:tcBorders>
            <w:shd w:val="clear" w:color="auto" w:fill="D9D9D9"/>
          </w:tcPr>
          <w:p>
            <w:pPr>
              <w:ind w:left="1180"/>
              <w:spacing w:after="0"/>
              <w:rPr>
                <w:sz w:val="20"/>
                <w:szCs w:val="20"/>
                <w:color w:val="auto"/>
              </w:rPr>
            </w:pPr>
            <w:r>
              <w:rPr>
                <w:rFonts w:ascii="Times New Roman" w:cs="Times New Roman" w:eastAsia="Times New Roman" w:hAnsi="Times New Roman"/>
                <w:sz w:val="11"/>
                <w:szCs w:val="11"/>
                <w:b w:val="1"/>
                <w:bCs w:val="1"/>
                <w:color w:val="auto"/>
              </w:rPr>
              <w:t>Name</w:t>
            </w:r>
          </w:p>
        </w:tc>
        <w:tc>
          <w:tcPr>
            <w:tcW w:w="2860" w:type="dxa"/>
            <w:vAlign w:val="bottom"/>
            <w:tcBorders>
              <w:top w:val="single" w:sz="8" w:color="auto"/>
              <w:right w:val="single" w:sz="8" w:color="auto"/>
            </w:tcBorders>
            <w:shd w:val="clear" w:color="auto" w:fill="D9D9D9"/>
          </w:tcPr>
          <w:p>
            <w:pPr>
              <w:ind w:left="180"/>
              <w:spacing w:after="0" w:line="151" w:lineRule="exact"/>
              <w:rPr>
                <w:sz w:val="20"/>
                <w:szCs w:val="20"/>
                <w:color w:val="auto"/>
              </w:rPr>
            </w:pPr>
            <w:r>
              <w:rPr>
                <w:rFonts w:ascii="Times New Roman" w:cs="Times New Roman" w:eastAsia="Times New Roman" w:hAnsi="Times New Roman"/>
                <w:sz w:val="11"/>
                <w:szCs w:val="11"/>
                <w:b w:val="1"/>
                <w:bCs w:val="1"/>
                <w:color w:val="auto"/>
              </w:rPr>
              <w:t>Option-based awards – Value vested during the year</w:t>
            </w:r>
            <w:r>
              <w:rPr>
                <w:rFonts w:ascii="Times New Roman" w:cs="Times New Roman" w:eastAsia="Times New Roman" w:hAnsi="Times New Roman"/>
                <w:sz w:val="14"/>
                <w:szCs w:val="14"/>
                <w:b w:val="1"/>
                <w:bCs w:val="1"/>
                <w:color w:val="auto"/>
                <w:vertAlign w:val="superscript"/>
              </w:rPr>
              <w:t>(1)</w:t>
            </w:r>
          </w:p>
        </w:tc>
        <w:tc>
          <w:tcPr>
            <w:tcW w:w="2760" w:type="dxa"/>
            <w:vAlign w:val="bottom"/>
            <w:tcBorders>
              <w:top w:val="single" w:sz="8" w:color="auto"/>
              <w:right w:val="single" w:sz="8" w:color="auto"/>
            </w:tcBorders>
            <w:shd w:val="clear" w:color="auto" w:fill="D9D9D9"/>
          </w:tcPr>
          <w:p>
            <w:pPr>
              <w:ind w:left="180"/>
              <w:spacing w:after="0"/>
              <w:rPr>
                <w:sz w:val="20"/>
                <w:szCs w:val="20"/>
                <w:color w:val="auto"/>
              </w:rPr>
            </w:pPr>
            <w:r>
              <w:rPr>
                <w:rFonts w:ascii="Times New Roman" w:cs="Times New Roman" w:eastAsia="Times New Roman" w:hAnsi="Times New Roman"/>
                <w:sz w:val="11"/>
                <w:szCs w:val="11"/>
                <w:b w:val="1"/>
                <w:bCs w:val="1"/>
                <w:color w:val="auto"/>
              </w:rPr>
              <w:t>Share-based awards – Value vested during the year</w:t>
            </w:r>
          </w:p>
        </w:tc>
        <w:tc>
          <w:tcPr>
            <w:tcW w:w="2760" w:type="dxa"/>
            <w:vAlign w:val="bottom"/>
            <w:tcBorders>
              <w:top w:val="single" w:sz="8" w:color="auto"/>
              <w:right w:val="single" w:sz="8" w:color="auto"/>
            </w:tcBorders>
            <w:shd w:val="clear" w:color="auto" w:fill="D9D9D9"/>
          </w:tcPr>
          <w:p>
            <w:pPr>
              <w:jc w:val="center"/>
              <w:spacing w:after="0"/>
              <w:rPr>
                <w:sz w:val="20"/>
                <w:szCs w:val="20"/>
                <w:color w:val="auto"/>
              </w:rPr>
            </w:pPr>
            <w:r>
              <w:rPr>
                <w:rFonts w:ascii="Times New Roman" w:cs="Times New Roman" w:eastAsia="Times New Roman" w:hAnsi="Times New Roman"/>
                <w:sz w:val="11"/>
                <w:szCs w:val="11"/>
                <w:b w:val="1"/>
                <w:bCs w:val="1"/>
                <w:color w:val="auto"/>
                <w:w w:val="97"/>
              </w:rPr>
              <w:t>Non-equity incentive plan compensation – Value earned</w:t>
            </w:r>
          </w:p>
        </w:tc>
        <w:tc>
          <w:tcPr>
            <w:tcW w:w="0" w:type="dxa"/>
            <w:vAlign w:val="bottom"/>
          </w:tcPr>
          <w:p>
            <w:pPr>
              <w:spacing w:after="0"/>
              <w:rPr>
                <w:sz w:val="1"/>
                <w:szCs w:val="1"/>
                <w:color w:val="auto"/>
              </w:rPr>
            </w:pPr>
          </w:p>
        </w:tc>
      </w:tr>
      <w:tr>
        <w:trPr>
          <w:trHeight w:val="126"/>
        </w:trPr>
        <w:tc>
          <w:tcPr>
            <w:tcW w:w="2660" w:type="dxa"/>
            <w:vAlign w:val="bottom"/>
            <w:tcBorders>
              <w:left w:val="single" w:sz="8" w:color="auto"/>
              <w:right w:val="single" w:sz="8" w:color="auto"/>
            </w:tcBorders>
            <w:shd w:val="clear" w:color="auto" w:fill="D9D9D9"/>
          </w:tcPr>
          <w:p>
            <w:pPr>
              <w:spacing w:after="0"/>
              <w:rPr>
                <w:sz w:val="10"/>
                <w:szCs w:val="10"/>
                <w:color w:val="auto"/>
              </w:rPr>
            </w:pPr>
          </w:p>
        </w:tc>
        <w:tc>
          <w:tcPr>
            <w:tcW w:w="2860" w:type="dxa"/>
            <w:vAlign w:val="bottom"/>
            <w:tcBorders>
              <w:right w:val="single" w:sz="8" w:color="auto"/>
            </w:tcBorders>
            <w:shd w:val="clear" w:color="auto" w:fill="D9D9D9"/>
          </w:tcPr>
          <w:p>
            <w:pPr>
              <w:jc w:val="center"/>
              <w:spacing w:after="0"/>
              <w:rPr>
                <w:sz w:val="20"/>
                <w:szCs w:val="20"/>
                <w:color w:val="auto"/>
              </w:rPr>
            </w:pPr>
            <w:r>
              <w:rPr>
                <w:rFonts w:ascii="Times New Roman" w:cs="Times New Roman" w:eastAsia="Times New Roman" w:hAnsi="Times New Roman"/>
                <w:sz w:val="11"/>
                <w:szCs w:val="11"/>
                <w:b w:val="1"/>
                <w:bCs w:val="1"/>
                <w:color w:val="auto"/>
                <w:w w:val="93"/>
              </w:rPr>
              <w:t>($)</w:t>
            </w:r>
          </w:p>
        </w:tc>
        <w:tc>
          <w:tcPr>
            <w:tcW w:w="2760" w:type="dxa"/>
            <w:vAlign w:val="bottom"/>
            <w:tcBorders>
              <w:right w:val="single" w:sz="8" w:color="auto"/>
            </w:tcBorders>
            <w:shd w:val="clear" w:color="auto" w:fill="D9D9D9"/>
          </w:tcPr>
          <w:p>
            <w:pPr>
              <w:jc w:val="center"/>
              <w:spacing w:after="0"/>
              <w:rPr>
                <w:sz w:val="20"/>
                <w:szCs w:val="20"/>
                <w:color w:val="auto"/>
              </w:rPr>
            </w:pPr>
            <w:r>
              <w:rPr>
                <w:rFonts w:ascii="Times New Roman" w:cs="Times New Roman" w:eastAsia="Times New Roman" w:hAnsi="Times New Roman"/>
                <w:sz w:val="11"/>
                <w:szCs w:val="11"/>
                <w:b w:val="1"/>
                <w:bCs w:val="1"/>
                <w:color w:val="auto"/>
                <w:w w:val="93"/>
              </w:rPr>
              <w:t>($)</w:t>
            </w:r>
          </w:p>
        </w:tc>
        <w:tc>
          <w:tcPr>
            <w:tcW w:w="2760" w:type="dxa"/>
            <w:vAlign w:val="bottom"/>
            <w:tcBorders>
              <w:right w:val="single" w:sz="8" w:color="auto"/>
            </w:tcBorders>
            <w:shd w:val="clear" w:color="auto" w:fill="D9D9D9"/>
          </w:tcPr>
          <w:p>
            <w:pPr>
              <w:jc w:val="center"/>
              <w:spacing w:after="0"/>
              <w:rPr>
                <w:sz w:val="20"/>
                <w:szCs w:val="20"/>
                <w:color w:val="auto"/>
              </w:rPr>
            </w:pPr>
            <w:r>
              <w:rPr>
                <w:rFonts w:ascii="Times New Roman" w:cs="Times New Roman" w:eastAsia="Times New Roman" w:hAnsi="Times New Roman"/>
                <w:sz w:val="11"/>
                <w:szCs w:val="11"/>
                <w:b w:val="1"/>
                <w:bCs w:val="1"/>
                <w:color w:val="auto"/>
                <w:w w:val="98"/>
              </w:rPr>
              <w:t>during the year</w:t>
            </w:r>
          </w:p>
        </w:tc>
        <w:tc>
          <w:tcPr>
            <w:tcW w:w="0" w:type="dxa"/>
            <w:vAlign w:val="bottom"/>
          </w:tcPr>
          <w:p>
            <w:pPr>
              <w:spacing w:after="0"/>
              <w:rPr>
                <w:sz w:val="1"/>
                <w:szCs w:val="1"/>
                <w:color w:val="auto"/>
              </w:rPr>
            </w:pPr>
          </w:p>
        </w:tc>
      </w:tr>
      <w:tr>
        <w:trPr>
          <w:trHeight w:val="149"/>
        </w:trPr>
        <w:tc>
          <w:tcPr>
            <w:tcW w:w="2660" w:type="dxa"/>
            <w:vAlign w:val="bottom"/>
            <w:tcBorders>
              <w:left w:val="single" w:sz="8" w:color="auto"/>
              <w:bottom w:val="single" w:sz="8" w:color="auto"/>
              <w:right w:val="single" w:sz="8" w:color="auto"/>
            </w:tcBorders>
            <w:shd w:val="clear" w:color="auto" w:fill="D9D9D9"/>
          </w:tcPr>
          <w:p>
            <w:pPr>
              <w:spacing w:after="0"/>
              <w:rPr>
                <w:sz w:val="12"/>
                <w:szCs w:val="12"/>
                <w:color w:val="auto"/>
              </w:rPr>
            </w:pPr>
          </w:p>
        </w:tc>
        <w:tc>
          <w:tcPr>
            <w:tcW w:w="2860" w:type="dxa"/>
            <w:vAlign w:val="bottom"/>
            <w:tcBorders>
              <w:bottom w:val="single" w:sz="8" w:color="auto"/>
              <w:right w:val="single" w:sz="8" w:color="auto"/>
            </w:tcBorders>
            <w:shd w:val="clear" w:color="auto" w:fill="D9D9D9"/>
          </w:tcPr>
          <w:p>
            <w:pPr>
              <w:spacing w:after="0"/>
              <w:rPr>
                <w:sz w:val="12"/>
                <w:szCs w:val="12"/>
                <w:color w:val="auto"/>
              </w:rPr>
            </w:pPr>
          </w:p>
        </w:tc>
        <w:tc>
          <w:tcPr>
            <w:tcW w:w="2760" w:type="dxa"/>
            <w:vAlign w:val="bottom"/>
            <w:tcBorders>
              <w:bottom w:val="single" w:sz="8" w:color="auto"/>
              <w:right w:val="single" w:sz="8" w:color="auto"/>
            </w:tcBorders>
            <w:shd w:val="clear" w:color="auto" w:fill="D9D9D9"/>
          </w:tcPr>
          <w:p>
            <w:pPr>
              <w:spacing w:after="0"/>
              <w:rPr>
                <w:sz w:val="12"/>
                <w:szCs w:val="12"/>
                <w:color w:val="auto"/>
              </w:rPr>
            </w:pPr>
          </w:p>
        </w:tc>
        <w:tc>
          <w:tcPr>
            <w:tcW w:w="2760" w:type="dxa"/>
            <w:vAlign w:val="bottom"/>
            <w:tcBorders>
              <w:bottom w:val="single" w:sz="8" w:color="auto"/>
              <w:right w:val="single" w:sz="8" w:color="auto"/>
            </w:tcBorders>
            <w:shd w:val="clear" w:color="auto" w:fill="D9D9D9"/>
          </w:tcPr>
          <w:p>
            <w:pPr>
              <w:jc w:val="center"/>
              <w:spacing w:after="0"/>
              <w:rPr>
                <w:sz w:val="20"/>
                <w:szCs w:val="20"/>
                <w:color w:val="auto"/>
              </w:rPr>
            </w:pPr>
            <w:r>
              <w:rPr>
                <w:rFonts w:ascii="Times New Roman" w:cs="Times New Roman" w:eastAsia="Times New Roman" w:hAnsi="Times New Roman"/>
                <w:sz w:val="11"/>
                <w:szCs w:val="11"/>
                <w:b w:val="1"/>
                <w:bCs w:val="1"/>
                <w:color w:val="auto"/>
                <w:w w:val="93"/>
              </w:rPr>
              <w:t>($)</w:t>
            </w:r>
          </w:p>
        </w:tc>
        <w:tc>
          <w:tcPr>
            <w:tcW w:w="0" w:type="dxa"/>
            <w:vAlign w:val="bottom"/>
          </w:tcPr>
          <w:p>
            <w:pPr>
              <w:spacing w:after="0"/>
              <w:rPr>
                <w:sz w:val="1"/>
                <w:szCs w:val="1"/>
                <w:color w:val="auto"/>
              </w:rPr>
            </w:pPr>
          </w:p>
        </w:tc>
      </w:tr>
      <w:tr>
        <w:trPr>
          <w:trHeight w:val="139"/>
        </w:trPr>
        <w:tc>
          <w:tcPr>
            <w:tcW w:w="2660" w:type="dxa"/>
            <w:vAlign w:val="bottom"/>
            <w:tcBorders>
              <w:left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1"/>
                <w:szCs w:val="11"/>
                <w:color w:val="auto"/>
              </w:rPr>
              <w:t>Douglas Drysdale,</w:t>
            </w:r>
          </w:p>
        </w:tc>
        <w:tc>
          <w:tcPr>
            <w:tcW w:w="28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1"/>
                <w:szCs w:val="11"/>
                <w:color w:val="auto"/>
              </w:rPr>
              <w:t>-</w:t>
            </w:r>
          </w:p>
        </w:tc>
        <w:tc>
          <w:tcPr>
            <w:tcW w:w="276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1"/>
                <w:szCs w:val="11"/>
                <w:color w:val="auto"/>
              </w:rPr>
              <w:t>-</w:t>
            </w:r>
          </w:p>
        </w:tc>
        <w:tc>
          <w:tcPr>
            <w:tcW w:w="276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1"/>
                <w:szCs w:val="11"/>
                <w:color w:val="auto"/>
              </w:rPr>
              <w:t>359,625</w:t>
            </w:r>
          </w:p>
        </w:tc>
        <w:tc>
          <w:tcPr>
            <w:tcW w:w="0" w:type="dxa"/>
            <w:vAlign w:val="bottom"/>
          </w:tcPr>
          <w:p>
            <w:pPr>
              <w:spacing w:after="0"/>
              <w:rPr>
                <w:sz w:val="1"/>
                <w:szCs w:val="1"/>
                <w:color w:val="auto"/>
              </w:rPr>
            </w:pPr>
          </w:p>
        </w:tc>
      </w:tr>
      <w:tr>
        <w:trPr>
          <w:trHeight w:val="68"/>
        </w:trPr>
        <w:tc>
          <w:tcPr>
            <w:tcW w:w="2660" w:type="dxa"/>
            <w:vAlign w:val="bottom"/>
            <w:tcBorders>
              <w:left w:val="single" w:sz="8" w:color="auto"/>
              <w:right w:val="single" w:sz="8" w:color="auto"/>
            </w:tcBorders>
            <w:vMerge w:val="restart"/>
          </w:tcPr>
          <w:p>
            <w:pPr>
              <w:ind w:left="60"/>
              <w:spacing w:after="0"/>
              <w:rPr>
                <w:sz w:val="20"/>
                <w:szCs w:val="20"/>
                <w:color w:val="auto"/>
              </w:rPr>
            </w:pPr>
            <w:r>
              <w:rPr>
                <w:rFonts w:ascii="Times New Roman" w:cs="Times New Roman" w:eastAsia="Times New Roman" w:hAnsi="Times New Roman"/>
                <w:sz w:val="11"/>
                <w:szCs w:val="11"/>
                <w:color w:val="auto"/>
              </w:rPr>
              <w:t>Chief Executive Officer</w:t>
            </w:r>
          </w:p>
        </w:tc>
        <w:tc>
          <w:tcPr>
            <w:tcW w:w="2860" w:type="dxa"/>
            <w:vAlign w:val="bottom"/>
            <w:tcBorders>
              <w:right w:val="single" w:sz="8" w:color="auto"/>
            </w:tcBorders>
          </w:tcPr>
          <w:p>
            <w:pPr>
              <w:spacing w:after="0"/>
              <w:rPr>
                <w:sz w:val="5"/>
                <w:szCs w:val="5"/>
                <w:color w:val="auto"/>
              </w:rPr>
            </w:pPr>
          </w:p>
        </w:tc>
        <w:tc>
          <w:tcPr>
            <w:tcW w:w="2760" w:type="dxa"/>
            <w:vAlign w:val="bottom"/>
            <w:tcBorders>
              <w:right w:val="single" w:sz="8" w:color="auto"/>
            </w:tcBorders>
            <w:vMerge w:val="continue"/>
          </w:tcPr>
          <w:p>
            <w:pPr>
              <w:spacing w:after="0"/>
              <w:rPr>
                <w:sz w:val="5"/>
                <w:szCs w:val="5"/>
                <w:color w:val="auto"/>
              </w:rPr>
            </w:pPr>
          </w:p>
        </w:tc>
        <w:tc>
          <w:tcPr>
            <w:tcW w:w="2760" w:type="dxa"/>
            <w:vAlign w:val="bottom"/>
            <w:tcBorders>
              <w:right w:val="single" w:sz="8" w:color="auto"/>
            </w:tcBorders>
            <w:vMerge w:val="continue"/>
          </w:tcPr>
          <w:p>
            <w:pPr>
              <w:spacing w:after="0"/>
              <w:rPr>
                <w:sz w:val="5"/>
                <w:szCs w:val="5"/>
                <w:color w:val="auto"/>
              </w:rPr>
            </w:pPr>
          </w:p>
        </w:tc>
        <w:tc>
          <w:tcPr>
            <w:tcW w:w="0" w:type="dxa"/>
            <w:vAlign w:val="bottom"/>
          </w:tcPr>
          <w:p>
            <w:pPr>
              <w:spacing w:after="0"/>
              <w:rPr>
                <w:sz w:val="1"/>
                <w:szCs w:val="1"/>
                <w:color w:val="auto"/>
              </w:rPr>
            </w:pPr>
          </w:p>
        </w:tc>
      </w:tr>
      <w:tr>
        <w:trPr>
          <w:trHeight w:val="79"/>
        </w:trPr>
        <w:tc>
          <w:tcPr>
            <w:tcW w:w="2660" w:type="dxa"/>
            <w:vAlign w:val="bottom"/>
            <w:tcBorders>
              <w:left w:val="single" w:sz="8" w:color="auto"/>
              <w:bottom w:val="single" w:sz="8" w:color="auto"/>
              <w:right w:val="single" w:sz="8" w:color="auto"/>
            </w:tcBorders>
            <w:vMerge w:val="continue"/>
          </w:tcPr>
          <w:p>
            <w:pPr>
              <w:spacing w:after="0"/>
              <w:rPr>
                <w:sz w:val="6"/>
                <w:szCs w:val="6"/>
                <w:color w:val="auto"/>
              </w:rPr>
            </w:pPr>
          </w:p>
        </w:tc>
        <w:tc>
          <w:tcPr>
            <w:tcW w:w="2860" w:type="dxa"/>
            <w:vAlign w:val="bottom"/>
            <w:tcBorders>
              <w:bottom w:val="single" w:sz="8" w:color="auto"/>
              <w:right w:val="single" w:sz="8" w:color="auto"/>
            </w:tcBorders>
          </w:tcPr>
          <w:p>
            <w:pPr>
              <w:spacing w:after="0"/>
              <w:rPr>
                <w:sz w:val="6"/>
                <w:szCs w:val="6"/>
                <w:color w:val="auto"/>
              </w:rPr>
            </w:pPr>
          </w:p>
        </w:tc>
        <w:tc>
          <w:tcPr>
            <w:tcW w:w="2760" w:type="dxa"/>
            <w:vAlign w:val="bottom"/>
            <w:tcBorders>
              <w:bottom w:val="single" w:sz="8" w:color="auto"/>
              <w:right w:val="single" w:sz="8" w:color="auto"/>
            </w:tcBorders>
          </w:tcPr>
          <w:p>
            <w:pPr>
              <w:spacing w:after="0"/>
              <w:rPr>
                <w:sz w:val="6"/>
                <w:szCs w:val="6"/>
                <w:color w:val="auto"/>
              </w:rPr>
            </w:pPr>
          </w:p>
        </w:tc>
        <w:tc>
          <w:tcPr>
            <w:tcW w:w="2760" w:type="dxa"/>
            <w:vAlign w:val="bottom"/>
            <w:tcBorders>
              <w:bottom w:val="single" w:sz="8" w:color="auto"/>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139"/>
        </w:trPr>
        <w:tc>
          <w:tcPr>
            <w:tcW w:w="2660" w:type="dxa"/>
            <w:vAlign w:val="bottom"/>
            <w:tcBorders>
              <w:left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1"/>
                <w:szCs w:val="11"/>
                <w:color w:val="auto"/>
              </w:rPr>
              <w:t>Greg Cavers,</w:t>
            </w:r>
          </w:p>
        </w:tc>
        <w:tc>
          <w:tcPr>
            <w:tcW w:w="28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1"/>
                <w:szCs w:val="11"/>
                <w:color w:val="auto"/>
              </w:rPr>
              <w:t>-</w:t>
            </w:r>
          </w:p>
        </w:tc>
        <w:tc>
          <w:tcPr>
            <w:tcW w:w="276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1"/>
                <w:szCs w:val="11"/>
                <w:color w:val="auto"/>
              </w:rPr>
              <w:t>-</w:t>
            </w:r>
          </w:p>
        </w:tc>
        <w:tc>
          <w:tcPr>
            <w:tcW w:w="276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1"/>
                <w:szCs w:val="11"/>
                <w:color w:val="auto"/>
              </w:rPr>
              <w:t>175,000</w:t>
            </w:r>
          </w:p>
        </w:tc>
        <w:tc>
          <w:tcPr>
            <w:tcW w:w="0" w:type="dxa"/>
            <w:vAlign w:val="bottom"/>
          </w:tcPr>
          <w:p>
            <w:pPr>
              <w:spacing w:after="0"/>
              <w:rPr>
                <w:sz w:val="1"/>
                <w:szCs w:val="1"/>
                <w:color w:val="auto"/>
              </w:rPr>
            </w:pPr>
          </w:p>
        </w:tc>
      </w:tr>
      <w:tr>
        <w:trPr>
          <w:trHeight w:val="68"/>
        </w:trPr>
        <w:tc>
          <w:tcPr>
            <w:tcW w:w="2660" w:type="dxa"/>
            <w:vAlign w:val="bottom"/>
            <w:tcBorders>
              <w:left w:val="single" w:sz="8" w:color="auto"/>
              <w:right w:val="single" w:sz="8" w:color="auto"/>
            </w:tcBorders>
            <w:vMerge w:val="restart"/>
          </w:tcPr>
          <w:p>
            <w:pPr>
              <w:ind w:left="60"/>
              <w:spacing w:after="0"/>
              <w:rPr>
                <w:sz w:val="20"/>
                <w:szCs w:val="20"/>
                <w:color w:val="auto"/>
              </w:rPr>
            </w:pPr>
            <w:r>
              <w:rPr>
                <w:rFonts w:ascii="Times New Roman" w:cs="Times New Roman" w:eastAsia="Times New Roman" w:hAnsi="Times New Roman"/>
                <w:sz w:val="11"/>
                <w:szCs w:val="11"/>
                <w:color w:val="auto"/>
              </w:rPr>
              <w:t>Chief Financial Officer</w:t>
            </w:r>
          </w:p>
        </w:tc>
        <w:tc>
          <w:tcPr>
            <w:tcW w:w="2860" w:type="dxa"/>
            <w:vAlign w:val="bottom"/>
            <w:tcBorders>
              <w:right w:val="single" w:sz="8" w:color="auto"/>
            </w:tcBorders>
          </w:tcPr>
          <w:p>
            <w:pPr>
              <w:spacing w:after="0"/>
              <w:rPr>
                <w:sz w:val="5"/>
                <w:szCs w:val="5"/>
                <w:color w:val="auto"/>
              </w:rPr>
            </w:pPr>
          </w:p>
        </w:tc>
        <w:tc>
          <w:tcPr>
            <w:tcW w:w="2760" w:type="dxa"/>
            <w:vAlign w:val="bottom"/>
            <w:tcBorders>
              <w:right w:val="single" w:sz="8" w:color="auto"/>
            </w:tcBorders>
            <w:vMerge w:val="continue"/>
          </w:tcPr>
          <w:p>
            <w:pPr>
              <w:spacing w:after="0"/>
              <w:rPr>
                <w:sz w:val="5"/>
                <w:szCs w:val="5"/>
                <w:color w:val="auto"/>
              </w:rPr>
            </w:pPr>
          </w:p>
        </w:tc>
        <w:tc>
          <w:tcPr>
            <w:tcW w:w="2760" w:type="dxa"/>
            <w:vAlign w:val="bottom"/>
            <w:tcBorders>
              <w:right w:val="single" w:sz="8" w:color="auto"/>
            </w:tcBorders>
            <w:vMerge w:val="continue"/>
          </w:tcPr>
          <w:p>
            <w:pPr>
              <w:spacing w:after="0"/>
              <w:rPr>
                <w:sz w:val="5"/>
                <w:szCs w:val="5"/>
                <w:color w:val="auto"/>
              </w:rPr>
            </w:pPr>
          </w:p>
        </w:tc>
        <w:tc>
          <w:tcPr>
            <w:tcW w:w="0" w:type="dxa"/>
            <w:vAlign w:val="bottom"/>
          </w:tcPr>
          <w:p>
            <w:pPr>
              <w:spacing w:after="0"/>
              <w:rPr>
                <w:sz w:val="1"/>
                <w:szCs w:val="1"/>
                <w:color w:val="auto"/>
              </w:rPr>
            </w:pPr>
          </w:p>
        </w:tc>
      </w:tr>
      <w:tr>
        <w:trPr>
          <w:trHeight w:val="78"/>
        </w:trPr>
        <w:tc>
          <w:tcPr>
            <w:tcW w:w="2660" w:type="dxa"/>
            <w:vAlign w:val="bottom"/>
            <w:tcBorders>
              <w:left w:val="single" w:sz="8" w:color="auto"/>
              <w:bottom w:val="single" w:sz="8" w:color="auto"/>
              <w:right w:val="single" w:sz="8" w:color="auto"/>
            </w:tcBorders>
            <w:vMerge w:val="continue"/>
          </w:tcPr>
          <w:p>
            <w:pPr>
              <w:spacing w:after="0"/>
              <w:rPr>
                <w:sz w:val="6"/>
                <w:szCs w:val="6"/>
                <w:color w:val="auto"/>
              </w:rPr>
            </w:pPr>
          </w:p>
        </w:tc>
        <w:tc>
          <w:tcPr>
            <w:tcW w:w="2860" w:type="dxa"/>
            <w:vAlign w:val="bottom"/>
            <w:tcBorders>
              <w:bottom w:val="single" w:sz="8" w:color="auto"/>
              <w:right w:val="single" w:sz="8" w:color="auto"/>
            </w:tcBorders>
          </w:tcPr>
          <w:p>
            <w:pPr>
              <w:spacing w:after="0"/>
              <w:rPr>
                <w:sz w:val="6"/>
                <w:szCs w:val="6"/>
                <w:color w:val="auto"/>
              </w:rPr>
            </w:pPr>
          </w:p>
        </w:tc>
        <w:tc>
          <w:tcPr>
            <w:tcW w:w="2760" w:type="dxa"/>
            <w:vAlign w:val="bottom"/>
            <w:tcBorders>
              <w:bottom w:val="single" w:sz="8" w:color="auto"/>
              <w:right w:val="single" w:sz="8" w:color="auto"/>
            </w:tcBorders>
          </w:tcPr>
          <w:p>
            <w:pPr>
              <w:spacing w:after="0"/>
              <w:rPr>
                <w:sz w:val="6"/>
                <w:szCs w:val="6"/>
                <w:color w:val="auto"/>
              </w:rPr>
            </w:pPr>
          </w:p>
        </w:tc>
        <w:tc>
          <w:tcPr>
            <w:tcW w:w="2760" w:type="dxa"/>
            <w:vAlign w:val="bottom"/>
            <w:tcBorders>
              <w:bottom w:val="single" w:sz="8" w:color="auto"/>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139"/>
        </w:trPr>
        <w:tc>
          <w:tcPr>
            <w:tcW w:w="2660" w:type="dxa"/>
            <w:vAlign w:val="bottom"/>
            <w:tcBorders>
              <w:left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1"/>
                <w:szCs w:val="11"/>
                <w:color w:val="auto"/>
              </w:rPr>
              <w:t>Eric So,</w:t>
            </w:r>
          </w:p>
        </w:tc>
        <w:tc>
          <w:tcPr>
            <w:tcW w:w="28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1"/>
                <w:szCs w:val="11"/>
                <w:color w:val="auto"/>
              </w:rPr>
              <w:t>147,970</w:t>
            </w:r>
          </w:p>
        </w:tc>
        <w:tc>
          <w:tcPr>
            <w:tcW w:w="276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1"/>
                <w:szCs w:val="11"/>
                <w:color w:val="auto"/>
              </w:rPr>
              <w:t>-</w:t>
            </w:r>
          </w:p>
        </w:tc>
        <w:tc>
          <w:tcPr>
            <w:tcW w:w="276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1"/>
                <w:szCs w:val="11"/>
                <w:color w:val="auto"/>
              </w:rPr>
              <w:t>252,000</w:t>
            </w:r>
          </w:p>
        </w:tc>
        <w:tc>
          <w:tcPr>
            <w:tcW w:w="0" w:type="dxa"/>
            <w:vAlign w:val="bottom"/>
          </w:tcPr>
          <w:p>
            <w:pPr>
              <w:spacing w:after="0"/>
              <w:rPr>
                <w:sz w:val="1"/>
                <w:szCs w:val="1"/>
                <w:color w:val="auto"/>
              </w:rPr>
            </w:pPr>
          </w:p>
        </w:tc>
      </w:tr>
      <w:tr>
        <w:trPr>
          <w:trHeight w:val="68"/>
        </w:trPr>
        <w:tc>
          <w:tcPr>
            <w:tcW w:w="2660" w:type="dxa"/>
            <w:vAlign w:val="bottom"/>
            <w:tcBorders>
              <w:left w:val="single" w:sz="8" w:color="auto"/>
              <w:right w:val="single" w:sz="8" w:color="auto"/>
            </w:tcBorders>
            <w:vMerge w:val="restart"/>
          </w:tcPr>
          <w:p>
            <w:pPr>
              <w:ind w:left="60"/>
              <w:spacing w:after="0"/>
              <w:rPr>
                <w:sz w:val="20"/>
                <w:szCs w:val="20"/>
                <w:color w:val="auto"/>
              </w:rPr>
            </w:pPr>
            <w:r>
              <w:rPr>
                <w:rFonts w:ascii="Times New Roman" w:cs="Times New Roman" w:eastAsia="Times New Roman" w:hAnsi="Times New Roman"/>
                <w:sz w:val="11"/>
                <w:szCs w:val="11"/>
                <w:color w:val="auto"/>
              </w:rPr>
              <w:t>President</w:t>
            </w:r>
          </w:p>
        </w:tc>
        <w:tc>
          <w:tcPr>
            <w:tcW w:w="2860" w:type="dxa"/>
            <w:vAlign w:val="bottom"/>
            <w:tcBorders>
              <w:right w:val="single" w:sz="8" w:color="auto"/>
            </w:tcBorders>
          </w:tcPr>
          <w:p>
            <w:pPr>
              <w:spacing w:after="0"/>
              <w:rPr>
                <w:sz w:val="5"/>
                <w:szCs w:val="5"/>
                <w:color w:val="auto"/>
              </w:rPr>
            </w:pPr>
          </w:p>
        </w:tc>
        <w:tc>
          <w:tcPr>
            <w:tcW w:w="2760" w:type="dxa"/>
            <w:vAlign w:val="bottom"/>
            <w:tcBorders>
              <w:right w:val="single" w:sz="8" w:color="auto"/>
            </w:tcBorders>
            <w:vMerge w:val="continue"/>
          </w:tcPr>
          <w:p>
            <w:pPr>
              <w:spacing w:after="0"/>
              <w:rPr>
                <w:sz w:val="5"/>
                <w:szCs w:val="5"/>
                <w:color w:val="auto"/>
              </w:rPr>
            </w:pPr>
          </w:p>
        </w:tc>
        <w:tc>
          <w:tcPr>
            <w:tcW w:w="2760" w:type="dxa"/>
            <w:vAlign w:val="bottom"/>
            <w:tcBorders>
              <w:right w:val="single" w:sz="8" w:color="auto"/>
            </w:tcBorders>
            <w:vMerge w:val="continue"/>
          </w:tcPr>
          <w:p>
            <w:pPr>
              <w:spacing w:after="0"/>
              <w:rPr>
                <w:sz w:val="5"/>
                <w:szCs w:val="5"/>
                <w:color w:val="auto"/>
              </w:rPr>
            </w:pPr>
          </w:p>
        </w:tc>
        <w:tc>
          <w:tcPr>
            <w:tcW w:w="0" w:type="dxa"/>
            <w:vAlign w:val="bottom"/>
          </w:tcPr>
          <w:p>
            <w:pPr>
              <w:spacing w:after="0"/>
              <w:rPr>
                <w:sz w:val="1"/>
                <w:szCs w:val="1"/>
                <w:color w:val="auto"/>
              </w:rPr>
            </w:pPr>
          </w:p>
        </w:tc>
      </w:tr>
      <w:tr>
        <w:trPr>
          <w:trHeight w:val="78"/>
        </w:trPr>
        <w:tc>
          <w:tcPr>
            <w:tcW w:w="2660" w:type="dxa"/>
            <w:vAlign w:val="bottom"/>
            <w:tcBorders>
              <w:left w:val="single" w:sz="8" w:color="auto"/>
              <w:bottom w:val="single" w:sz="8" w:color="auto"/>
              <w:right w:val="single" w:sz="8" w:color="auto"/>
            </w:tcBorders>
            <w:vMerge w:val="continue"/>
          </w:tcPr>
          <w:p>
            <w:pPr>
              <w:spacing w:after="0"/>
              <w:rPr>
                <w:sz w:val="6"/>
                <w:szCs w:val="6"/>
                <w:color w:val="auto"/>
              </w:rPr>
            </w:pPr>
          </w:p>
        </w:tc>
        <w:tc>
          <w:tcPr>
            <w:tcW w:w="2860" w:type="dxa"/>
            <w:vAlign w:val="bottom"/>
            <w:tcBorders>
              <w:bottom w:val="single" w:sz="8" w:color="auto"/>
              <w:right w:val="single" w:sz="8" w:color="auto"/>
            </w:tcBorders>
          </w:tcPr>
          <w:p>
            <w:pPr>
              <w:spacing w:after="0"/>
              <w:rPr>
                <w:sz w:val="6"/>
                <w:szCs w:val="6"/>
                <w:color w:val="auto"/>
              </w:rPr>
            </w:pPr>
          </w:p>
        </w:tc>
        <w:tc>
          <w:tcPr>
            <w:tcW w:w="2760" w:type="dxa"/>
            <w:vAlign w:val="bottom"/>
            <w:tcBorders>
              <w:bottom w:val="single" w:sz="8" w:color="auto"/>
              <w:right w:val="single" w:sz="8" w:color="auto"/>
            </w:tcBorders>
          </w:tcPr>
          <w:p>
            <w:pPr>
              <w:spacing w:after="0"/>
              <w:rPr>
                <w:sz w:val="6"/>
                <w:szCs w:val="6"/>
                <w:color w:val="auto"/>
              </w:rPr>
            </w:pPr>
          </w:p>
        </w:tc>
        <w:tc>
          <w:tcPr>
            <w:tcW w:w="2760" w:type="dxa"/>
            <w:vAlign w:val="bottom"/>
            <w:tcBorders>
              <w:bottom w:val="single" w:sz="8" w:color="auto"/>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139"/>
        </w:trPr>
        <w:tc>
          <w:tcPr>
            <w:tcW w:w="2660" w:type="dxa"/>
            <w:vAlign w:val="bottom"/>
            <w:tcBorders>
              <w:left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1"/>
                <w:szCs w:val="11"/>
                <w:color w:val="auto"/>
              </w:rPr>
              <w:t>Paul Glavine,</w:t>
            </w:r>
          </w:p>
        </w:tc>
        <w:tc>
          <w:tcPr>
            <w:tcW w:w="28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1"/>
                <w:szCs w:val="11"/>
                <w:color w:val="auto"/>
              </w:rPr>
              <w:t>147,970</w:t>
            </w:r>
          </w:p>
        </w:tc>
        <w:tc>
          <w:tcPr>
            <w:tcW w:w="276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1"/>
                <w:szCs w:val="11"/>
                <w:color w:val="auto"/>
              </w:rPr>
              <w:t>-</w:t>
            </w:r>
          </w:p>
        </w:tc>
        <w:tc>
          <w:tcPr>
            <w:tcW w:w="276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1"/>
                <w:szCs w:val="11"/>
                <w:color w:val="auto"/>
              </w:rPr>
              <w:t>252,000</w:t>
            </w:r>
          </w:p>
        </w:tc>
        <w:tc>
          <w:tcPr>
            <w:tcW w:w="0" w:type="dxa"/>
            <w:vAlign w:val="bottom"/>
          </w:tcPr>
          <w:p>
            <w:pPr>
              <w:spacing w:after="0"/>
              <w:rPr>
                <w:sz w:val="1"/>
                <w:szCs w:val="1"/>
                <w:color w:val="auto"/>
              </w:rPr>
            </w:pPr>
          </w:p>
        </w:tc>
      </w:tr>
      <w:tr>
        <w:trPr>
          <w:trHeight w:val="68"/>
        </w:trPr>
        <w:tc>
          <w:tcPr>
            <w:tcW w:w="2660" w:type="dxa"/>
            <w:vAlign w:val="bottom"/>
            <w:tcBorders>
              <w:left w:val="single" w:sz="8" w:color="auto"/>
              <w:right w:val="single" w:sz="8" w:color="auto"/>
            </w:tcBorders>
            <w:vMerge w:val="restart"/>
          </w:tcPr>
          <w:p>
            <w:pPr>
              <w:ind w:left="60"/>
              <w:spacing w:after="0"/>
              <w:rPr>
                <w:sz w:val="20"/>
                <w:szCs w:val="20"/>
                <w:color w:val="auto"/>
              </w:rPr>
            </w:pPr>
            <w:r>
              <w:rPr>
                <w:rFonts w:ascii="Times New Roman" w:cs="Times New Roman" w:eastAsia="Times New Roman" w:hAnsi="Times New Roman"/>
                <w:sz w:val="11"/>
                <w:szCs w:val="11"/>
                <w:color w:val="auto"/>
              </w:rPr>
              <w:t>Chief Growth Officer</w:t>
            </w:r>
          </w:p>
        </w:tc>
        <w:tc>
          <w:tcPr>
            <w:tcW w:w="2860" w:type="dxa"/>
            <w:vAlign w:val="bottom"/>
            <w:tcBorders>
              <w:right w:val="single" w:sz="8" w:color="auto"/>
            </w:tcBorders>
          </w:tcPr>
          <w:p>
            <w:pPr>
              <w:spacing w:after="0"/>
              <w:rPr>
                <w:sz w:val="5"/>
                <w:szCs w:val="5"/>
                <w:color w:val="auto"/>
              </w:rPr>
            </w:pPr>
          </w:p>
        </w:tc>
        <w:tc>
          <w:tcPr>
            <w:tcW w:w="2760" w:type="dxa"/>
            <w:vAlign w:val="bottom"/>
            <w:tcBorders>
              <w:right w:val="single" w:sz="8" w:color="auto"/>
            </w:tcBorders>
            <w:vMerge w:val="continue"/>
          </w:tcPr>
          <w:p>
            <w:pPr>
              <w:spacing w:after="0"/>
              <w:rPr>
                <w:sz w:val="5"/>
                <w:szCs w:val="5"/>
                <w:color w:val="auto"/>
              </w:rPr>
            </w:pPr>
          </w:p>
        </w:tc>
        <w:tc>
          <w:tcPr>
            <w:tcW w:w="2760" w:type="dxa"/>
            <w:vAlign w:val="bottom"/>
            <w:tcBorders>
              <w:right w:val="single" w:sz="8" w:color="auto"/>
            </w:tcBorders>
            <w:vMerge w:val="continue"/>
          </w:tcPr>
          <w:p>
            <w:pPr>
              <w:spacing w:after="0"/>
              <w:rPr>
                <w:sz w:val="5"/>
                <w:szCs w:val="5"/>
                <w:color w:val="auto"/>
              </w:rPr>
            </w:pPr>
          </w:p>
        </w:tc>
        <w:tc>
          <w:tcPr>
            <w:tcW w:w="0" w:type="dxa"/>
            <w:vAlign w:val="bottom"/>
          </w:tcPr>
          <w:p>
            <w:pPr>
              <w:spacing w:after="0"/>
              <w:rPr>
                <w:sz w:val="1"/>
                <w:szCs w:val="1"/>
                <w:color w:val="auto"/>
              </w:rPr>
            </w:pPr>
          </w:p>
        </w:tc>
      </w:tr>
      <w:tr>
        <w:trPr>
          <w:trHeight w:val="79"/>
        </w:trPr>
        <w:tc>
          <w:tcPr>
            <w:tcW w:w="2660" w:type="dxa"/>
            <w:vAlign w:val="bottom"/>
            <w:tcBorders>
              <w:left w:val="single" w:sz="8" w:color="auto"/>
              <w:bottom w:val="single" w:sz="8" w:color="auto"/>
              <w:right w:val="single" w:sz="8" w:color="auto"/>
            </w:tcBorders>
            <w:vMerge w:val="continue"/>
          </w:tcPr>
          <w:p>
            <w:pPr>
              <w:spacing w:after="0"/>
              <w:rPr>
                <w:sz w:val="6"/>
                <w:szCs w:val="6"/>
                <w:color w:val="auto"/>
              </w:rPr>
            </w:pPr>
          </w:p>
        </w:tc>
        <w:tc>
          <w:tcPr>
            <w:tcW w:w="2860" w:type="dxa"/>
            <w:vAlign w:val="bottom"/>
            <w:tcBorders>
              <w:bottom w:val="single" w:sz="8" w:color="auto"/>
              <w:right w:val="single" w:sz="8" w:color="auto"/>
            </w:tcBorders>
          </w:tcPr>
          <w:p>
            <w:pPr>
              <w:spacing w:after="0"/>
              <w:rPr>
                <w:sz w:val="6"/>
                <w:szCs w:val="6"/>
                <w:color w:val="auto"/>
              </w:rPr>
            </w:pPr>
          </w:p>
        </w:tc>
        <w:tc>
          <w:tcPr>
            <w:tcW w:w="2760" w:type="dxa"/>
            <w:vAlign w:val="bottom"/>
            <w:tcBorders>
              <w:bottom w:val="single" w:sz="8" w:color="auto"/>
              <w:right w:val="single" w:sz="8" w:color="auto"/>
            </w:tcBorders>
          </w:tcPr>
          <w:p>
            <w:pPr>
              <w:spacing w:after="0"/>
              <w:rPr>
                <w:sz w:val="6"/>
                <w:szCs w:val="6"/>
                <w:color w:val="auto"/>
              </w:rPr>
            </w:pPr>
          </w:p>
        </w:tc>
        <w:tc>
          <w:tcPr>
            <w:tcW w:w="2760" w:type="dxa"/>
            <w:vAlign w:val="bottom"/>
            <w:tcBorders>
              <w:bottom w:val="single" w:sz="8" w:color="auto"/>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138"/>
        </w:trPr>
        <w:tc>
          <w:tcPr>
            <w:tcW w:w="2660" w:type="dxa"/>
            <w:vAlign w:val="bottom"/>
            <w:tcBorders>
              <w:left w:val="single" w:sz="8" w:color="auto"/>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1"/>
                <w:szCs w:val="11"/>
                <w:color w:val="auto"/>
              </w:rPr>
              <w:t>Gabriel Fahel, Chief Legal Officer</w:t>
            </w:r>
          </w:p>
        </w:tc>
        <w:tc>
          <w:tcPr>
            <w:tcW w:w="28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1"/>
                <w:szCs w:val="11"/>
                <w:color w:val="auto"/>
              </w:rPr>
              <w:t>-</w:t>
            </w:r>
          </w:p>
        </w:tc>
        <w:tc>
          <w:tcPr>
            <w:tcW w:w="27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1"/>
                <w:szCs w:val="11"/>
                <w:color w:val="auto"/>
              </w:rPr>
              <w:t>-</w:t>
            </w:r>
          </w:p>
        </w:tc>
        <w:tc>
          <w:tcPr>
            <w:tcW w:w="27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1"/>
                <w:szCs w:val="11"/>
                <w:color w:val="auto"/>
              </w:rPr>
              <w:t>183,750</w:t>
            </w:r>
          </w:p>
        </w:tc>
        <w:tc>
          <w:tcPr>
            <w:tcW w:w="0" w:type="dxa"/>
            <w:vAlign w:val="bottom"/>
          </w:tcPr>
          <w:p>
            <w:pPr>
              <w:spacing w:after="0"/>
              <w:rPr>
                <w:sz w:val="1"/>
                <w:szCs w:val="1"/>
                <w:color w:val="auto"/>
              </w:rPr>
            </w:pPr>
          </w:p>
        </w:tc>
      </w:tr>
    </w:tbl>
    <w:p>
      <w:pPr>
        <w:sectPr>
          <w:pgSz w:w="11900" w:h="16838" w:orient="portrait"/>
          <w:cols w:equalWidth="0" w:num="1">
            <w:col w:w="11308"/>
          </w:cols>
          <w:pgMar w:left="292" w:top="125" w:right="299" w:bottom="1440" w:gutter="0" w:footer="0" w:header="0"/>
        </w:sectPr>
      </w:pPr>
    </w:p>
    <w:bookmarkStart w:id="23" w:name="page24"/>
    <w:bookmarkEnd w:id="23"/>
    <w:p>
      <w:pPr>
        <w:jc w:val="center"/>
        <w:ind w:right="-7"/>
        <w:spacing w:after="0"/>
        <w:rPr>
          <w:sz w:val="20"/>
          <w:szCs w:val="20"/>
          <w:color w:val="auto"/>
        </w:rPr>
      </w:pPr>
      <w:r>
        <w:rPr>
          <w:rFonts w:ascii="Times New Roman" w:cs="Times New Roman" w:eastAsia="Times New Roman" w:hAnsi="Times New Roman"/>
          <w:sz w:val="13"/>
          <w:szCs w:val="13"/>
          <w:color w:val="auto"/>
        </w:rPr>
        <w:t>- 20 -</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ind w:left="8"/>
        <w:spacing w:after="0"/>
        <w:rPr>
          <w:sz w:val="20"/>
          <w:szCs w:val="20"/>
          <w:color w:val="auto"/>
        </w:rPr>
      </w:pPr>
      <w:r>
        <w:rPr>
          <w:rFonts w:ascii="Times New Roman" w:cs="Times New Roman" w:eastAsia="Times New Roman" w:hAnsi="Times New Roman"/>
          <w:sz w:val="11"/>
          <w:szCs w:val="11"/>
          <w:b w:val="1"/>
          <w:bCs w:val="1"/>
          <w:color w:val="auto"/>
        </w:rPr>
        <w:t>Note:</w:t>
      </w:r>
    </w:p>
    <w:p>
      <w:pPr>
        <w:spacing w:after="0" w:line="74" w:lineRule="exact"/>
        <w:rPr>
          <w:sz w:val="20"/>
          <w:szCs w:val="20"/>
          <w:color w:val="auto"/>
        </w:rPr>
      </w:pPr>
    </w:p>
    <w:p>
      <w:pPr>
        <w:ind w:left="428" w:right="20" w:hanging="428"/>
        <w:spacing w:after="0" w:line="282" w:lineRule="auto"/>
        <w:tabs>
          <w:tab w:leader="none" w:pos="284" w:val="left"/>
        </w:tabs>
        <w:numPr>
          <w:ilvl w:val="0"/>
          <w:numId w:val="9"/>
        </w:numPr>
        <w:rPr>
          <w:rFonts w:ascii="Times New Roman" w:cs="Times New Roman" w:eastAsia="Times New Roman" w:hAnsi="Times New Roman"/>
          <w:sz w:val="11"/>
          <w:szCs w:val="11"/>
          <w:color w:val="auto"/>
        </w:rPr>
      </w:pPr>
      <w:r>
        <w:rPr>
          <w:rFonts w:ascii="Times New Roman" w:cs="Times New Roman" w:eastAsia="Times New Roman" w:hAnsi="Times New Roman"/>
          <w:sz w:val="11"/>
          <w:szCs w:val="11"/>
          <w:color w:val="auto"/>
        </w:rPr>
        <w:t>The “value vested during the year” is calculated as the aggregate dollar value that would have been realized if the options under the option-based award had been exercised on the vesting date based on the difference between the closing price for the Common Shares on the Exchange, as applicable, as of the date of vesting (or the most recent closing price on the exchange, if applicable) and the exercise price of the options, multiplied by the number of vested options.</w:t>
      </w:r>
    </w:p>
    <w:p>
      <w:pPr>
        <w:spacing w:after="0" w:line="100" w:lineRule="exact"/>
        <w:rPr>
          <w:sz w:val="20"/>
          <w:szCs w:val="20"/>
          <w:color w:val="auto"/>
        </w:rPr>
      </w:pPr>
    </w:p>
    <w:p>
      <w:pPr>
        <w:jc w:val="center"/>
        <w:ind w:right="-7"/>
        <w:spacing w:after="0"/>
        <w:rPr>
          <w:sz w:val="20"/>
          <w:szCs w:val="20"/>
          <w:color w:val="auto"/>
        </w:rPr>
      </w:pPr>
      <w:r>
        <w:rPr>
          <w:rFonts w:ascii="Times New Roman" w:cs="Times New Roman" w:eastAsia="Times New Roman" w:hAnsi="Times New Roman"/>
          <w:sz w:val="13"/>
          <w:szCs w:val="13"/>
          <w:b w:val="1"/>
          <w:bCs w:val="1"/>
          <w:color w:val="auto"/>
        </w:rPr>
        <w:t>DIRECTOR COMPENSATION</w:t>
      </w:r>
    </w:p>
    <w:p>
      <w:pPr>
        <w:spacing w:after="0" w:line="155" w:lineRule="exact"/>
        <w:rPr>
          <w:sz w:val="20"/>
          <w:szCs w:val="20"/>
          <w:color w:val="auto"/>
        </w:rPr>
      </w:pPr>
    </w:p>
    <w:p>
      <w:pPr>
        <w:ind w:left="8"/>
        <w:spacing w:after="0"/>
        <w:rPr>
          <w:sz w:val="20"/>
          <w:szCs w:val="20"/>
          <w:color w:val="auto"/>
        </w:rPr>
      </w:pPr>
      <w:r>
        <w:rPr>
          <w:rFonts w:ascii="Times New Roman" w:cs="Times New Roman" w:eastAsia="Times New Roman" w:hAnsi="Times New Roman"/>
          <w:sz w:val="13"/>
          <w:szCs w:val="13"/>
          <w:b w:val="1"/>
          <w:bCs w:val="1"/>
          <w:i w:val="1"/>
          <w:iCs w:val="1"/>
          <w:color w:val="auto"/>
        </w:rPr>
        <w:t>Director Compensation Table</w:t>
      </w:r>
    </w:p>
    <w:p>
      <w:pPr>
        <w:spacing w:after="0" w:line="152" w:lineRule="exact"/>
        <w:rPr>
          <w:sz w:val="20"/>
          <w:szCs w:val="20"/>
          <w:color w:val="auto"/>
        </w:rPr>
      </w:pPr>
    </w:p>
    <w:p>
      <w:pPr>
        <w:ind w:left="8"/>
        <w:spacing w:after="0" w:line="267" w:lineRule="auto"/>
        <w:rPr>
          <w:sz w:val="20"/>
          <w:szCs w:val="20"/>
          <w:color w:val="auto"/>
        </w:rPr>
      </w:pPr>
      <w:r>
        <w:rPr>
          <w:rFonts w:ascii="Times New Roman" w:cs="Times New Roman" w:eastAsia="Times New Roman" w:hAnsi="Times New Roman"/>
          <w:sz w:val="13"/>
          <w:szCs w:val="13"/>
          <w:color w:val="auto"/>
        </w:rPr>
        <w:t>The following table sets forth all amounts of compensation provided to the directors of the Corporation (other than directors who are also Named Executive Officers) during the financial year ended March 31, 2025:</w:t>
      </w:r>
    </w:p>
    <w:p>
      <w:pPr>
        <w:spacing w:after="0" w:line="314" w:lineRule="exact"/>
        <w:rPr>
          <w:sz w:val="20"/>
          <w:szCs w:val="20"/>
          <w:color w:val="auto"/>
        </w:rPr>
      </w:pPr>
    </w:p>
    <w:tbl>
      <w:tblPr>
        <w:tblLayout w:type="fixed"/>
        <w:tblInd w:w="78" w:type="dxa"/>
        <w:tblCellMar>
          <w:top w:w="0" w:type="dxa"/>
          <w:left w:w="0" w:type="dxa"/>
          <w:bottom w:w="0" w:type="dxa"/>
          <w:right w:w="0" w:type="dxa"/>
        </w:tblCellMar>
      </w:tblPr>
      <w:tr>
        <w:trPr>
          <w:trHeight w:val="142"/>
        </w:trPr>
        <w:tc>
          <w:tcPr>
            <w:tcW w:w="2720" w:type="dxa"/>
            <w:vAlign w:val="bottom"/>
            <w:tcBorders>
              <w:top w:val="single" w:sz="8" w:color="auto"/>
              <w:left w:val="single" w:sz="8" w:color="auto"/>
              <w:right w:val="single" w:sz="8" w:color="auto"/>
            </w:tcBorders>
            <w:shd w:val="clear" w:color="auto" w:fill="D9D9D9"/>
          </w:tcPr>
          <w:p>
            <w:pPr>
              <w:ind w:left="60"/>
              <w:spacing w:after="0"/>
              <w:rPr>
                <w:sz w:val="20"/>
                <w:szCs w:val="20"/>
                <w:color w:val="auto"/>
              </w:rPr>
            </w:pPr>
            <w:r>
              <w:rPr>
                <w:rFonts w:ascii="Times New Roman" w:cs="Times New Roman" w:eastAsia="Times New Roman" w:hAnsi="Times New Roman"/>
                <w:sz w:val="11"/>
                <w:szCs w:val="11"/>
                <w:b w:val="1"/>
                <w:bCs w:val="1"/>
                <w:color w:val="auto"/>
              </w:rPr>
              <w:t>Name</w:t>
            </w:r>
          </w:p>
        </w:tc>
        <w:tc>
          <w:tcPr>
            <w:tcW w:w="1300" w:type="dxa"/>
            <w:vAlign w:val="bottom"/>
            <w:tcBorders>
              <w:top w:val="single" w:sz="8" w:color="auto"/>
              <w:right w:val="single" w:sz="8" w:color="auto"/>
            </w:tcBorders>
            <w:shd w:val="clear" w:color="auto" w:fill="D9D9D9"/>
          </w:tcPr>
          <w:p>
            <w:pPr>
              <w:jc w:val="center"/>
              <w:spacing w:after="0"/>
              <w:rPr>
                <w:sz w:val="20"/>
                <w:szCs w:val="20"/>
                <w:color w:val="auto"/>
              </w:rPr>
            </w:pPr>
            <w:r>
              <w:rPr>
                <w:rFonts w:ascii="Times New Roman" w:cs="Times New Roman" w:eastAsia="Times New Roman" w:hAnsi="Times New Roman"/>
                <w:sz w:val="11"/>
                <w:szCs w:val="11"/>
                <w:b w:val="1"/>
                <w:bCs w:val="1"/>
                <w:color w:val="auto"/>
              </w:rPr>
              <w:t>Fees</w:t>
            </w:r>
          </w:p>
        </w:tc>
        <w:tc>
          <w:tcPr>
            <w:tcW w:w="1500" w:type="dxa"/>
            <w:vAlign w:val="bottom"/>
            <w:tcBorders>
              <w:top w:val="single" w:sz="8" w:color="auto"/>
              <w:right w:val="single" w:sz="8" w:color="auto"/>
            </w:tcBorders>
            <w:shd w:val="clear" w:color="auto" w:fill="D9D9D9"/>
          </w:tcPr>
          <w:p>
            <w:pPr>
              <w:ind w:left="260"/>
              <w:spacing w:after="0"/>
              <w:rPr>
                <w:sz w:val="20"/>
                <w:szCs w:val="20"/>
                <w:color w:val="auto"/>
              </w:rPr>
            </w:pPr>
            <w:r>
              <w:rPr>
                <w:rFonts w:ascii="Times New Roman" w:cs="Times New Roman" w:eastAsia="Times New Roman" w:hAnsi="Times New Roman"/>
                <w:sz w:val="11"/>
                <w:szCs w:val="11"/>
                <w:b w:val="1"/>
                <w:bCs w:val="1"/>
                <w:color w:val="auto"/>
              </w:rPr>
              <w:t>Share-based awards</w:t>
            </w:r>
          </w:p>
        </w:tc>
        <w:tc>
          <w:tcPr>
            <w:tcW w:w="2060" w:type="dxa"/>
            <w:vAlign w:val="bottom"/>
            <w:tcBorders>
              <w:top w:val="single" w:sz="8" w:color="auto"/>
              <w:right w:val="single" w:sz="8" w:color="auto"/>
            </w:tcBorders>
            <w:shd w:val="clear" w:color="auto" w:fill="D9D9D9"/>
          </w:tcPr>
          <w:p>
            <w:pPr>
              <w:ind w:left="480"/>
              <w:spacing w:after="0" w:line="142" w:lineRule="exact"/>
              <w:rPr>
                <w:sz w:val="20"/>
                <w:szCs w:val="20"/>
                <w:color w:val="auto"/>
              </w:rPr>
            </w:pPr>
            <w:r>
              <w:rPr>
                <w:rFonts w:ascii="Times New Roman" w:cs="Times New Roman" w:eastAsia="Times New Roman" w:hAnsi="Times New Roman"/>
                <w:sz w:val="11"/>
                <w:szCs w:val="11"/>
                <w:b w:val="1"/>
                <w:bCs w:val="1"/>
                <w:color w:val="auto"/>
              </w:rPr>
              <w:t>Option-based awards</w:t>
            </w:r>
            <w:r>
              <w:rPr>
                <w:rFonts w:ascii="Times New Roman" w:cs="Times New Roman" w:eastAsia="Times New Roman" w:hAnsi="Times New Roman"/>
                <w:sz w:val="14"/>
                <w:szCs w:val="14"/>
                <w:b w:val="1"/>
                <w:bCs w:val="1"/>
                <w:color w:val="auto"/>
                <w:vertAlign w:val="superscript"/>
              </w:rPr>
              <w:t>(3)</w:t>
            </w:r>
          </w:p>
        </w:tc>
        <w:tc>
          <w:tcPr>
            <w:tcW w:w="1840" w:type="dxa"/>
            <w:vAlign w:val="bottom"/>
            <w:tcBorders>
              <w:top w:val="single" w:sz="8" w:color="auto"/>
              <w:right w:val="single" w:sz="8" w:color="auto"/>
            </w:tcBorders>
            <w:shd w:val="clear" w:color="auto" w:fill="D9D9D9"/>
          </w:tcPr>
          <w:p>
            <w:pPr>
              <w:ind w:left="360"/>
              <w:spacing w:after="0"/>
              <w:rPr>
                <w:sz w:val="20"/>
                <w:szCs w:val="20"/>
                <w:color w:val="auto"/>
              </w:rPr>
            </w:pPr>
            <w:r>
              <w:rPr>
                <w:rFonts w:ascii="Times New Roman" w:cs="Times New Roman" w:eastAsia="Times New Roman" w:hAnsi="Times New Roman"/>
                <w:sz w:val="11"/>
                <w:szCs w:val="11"/>
                <w:b w:val="1"/>
                <w:bCs w:val="1"/>
                <w:color w:val="auto"/>
              </w:rPr>
              <w:t>All other compensation</w:t>
            </w:r>
          </w:p>
        </w:tc>
        <w:tc>
          <w:tcPr>
            <w:tcW w:w="1820" w:type="dxa"/>
            <w:vAlign w:val="bottom"/>
            <w:tcBorders>
              <w:top w:val="single" w:sz="8" w:color="auto"/>
              <w:right w:val="single" w:sz="8" w:color="auto"/>
            </w:tcBorders>
            <w:shd w:val="clear" w:color="auto" w:fill="D9D9D9"/>
          </w:tcPr>
          <w:p>
            <w:pPr>
              <w:ind w:left="780"/>
              <w:spacing w:after="0"/>
              <w:rPr>
                <w:sz w:val="20"/>
                <w:szCs w:val="20"/>
                <w:color w:val="auto"/>
              </w:rPr>
            </w:pPr>
            <w:r>
              <w:rPr>
                <w:rFonts w:ascii="Times New Roman" w:cs="Times New Roman" w:eastAsia="Times New Roman" w:hAnsi="Times New Roman"/>
                <w:sz w:val="11"/>
                <w:szCs w:val="11"/>
                <w:b w:val="1"/>
                <w:bCs w:val="1"/>
                <w:color w:val="auto"/>
              </w:rPr>
              <w:t>Total</w:t>
            </w:r>
          </w:p>
        </w:tc>
      </w:tr>
      <w:tr>
        <w:trPr>
          <w:trHeight w:val="126"/>
        </w:trPr>
        <w:tc>
          <w:tcPr>
            <w:tcW w:w="2720" w:type="dxa"/>
            <w:vAlign w:val="bottom"/>
            <w:tcBorders>
              <w:left w:val="single" w:sz="8" w:color="auto"/>
              <w:right w:val="single" w:sz="8" w:color="auto"/>
            </w:tcBorders>
            <w:shd w:val="clear" w:color="auto" w:fill="D9D9D9"/>
          </w:tcPr>
          <w:p>
            <w:pPr>
              <w:spacing w:after="0"/>
              <w:rPr>
                <w:sz w:val="10"/>
                <w:szCs w:val="10"/>
                <w:color w:val="auto"/>
              </w:rPr>
            </w:pPr>
          </w:p>
        </w:tc>
        <w:tc>
          <w:tcPr>
            <w:tcW w:w="1300" w:type="dxa"/>
            <w:vAlign w:val="bottom"/>
            <w:tcBorders>
              <w:right w:val="single" w:sz="8" w:color="auto"/>
            </w:tcBorders>
            <w:shd w:val="clear" w:color="auto" w:fill="D9D9D9"/>
          </w:tcPr>
          <w:p>
            <w:pPr>
              <w:jc w:val="center"/>
              <w:spacing w:after="0" w:line="126" w:lineRule="exact"/>
              <w:rPr>
                <w:sz w:val="20"/>
                <w:szCs w:val="20"/>
                <w:color w:val="auto"/>
              </w:rPr>
            </w:pPr>
            <w:r>
              <w:rPr>
                <w:rFonts w:ascii="Times New Roman" w:cs="Times New Roman" w:eastAsia="Times New Roman" w:hAnsi="Times New Roman"/>
                <w:sz w:val="11"/>
                <w:szCs w:val="11"/>
                <w:b w:val="1"/>
                <w:bCs w:val="1"/>
                <w:color w:val="auto"/>
                <w:w w:val="91"/>
              </w:rPr>
              <w:t>Earned</w:t>
            </w:r>
            <w:r>
              <w:rPr>
                <w:rFonts w:ascii="Times New Roman" w:cs="Times New Roman" w:eastAsia="Times New Roman" w:hAnsi="Times New Roman"/>
                <w:sz w:val="14"/>
                <w:szCs w:val="14"/>
                <w:b w:val="1"/>
                <w:bCs w:val="1"/>
                <w:color w:val="auto"/>
                <w:w w:val="91"/>
                <w:vertAlign w:val="superscript"/>
              </w:rPr>
              <w:t>(2)</w:t>
            </w:r>
          </w:p>
        </w:tc>
        <w:tc>
          <w:tcPr>
            <w:tcW w:w="1500" w:type="dxa"/>
            <w:vAlign w:val="bottom"/>
            <w:tcBorders>
              <w:right w:val="single" w:sz="8" w:color="auto"/>
            </w:tcBorders>
            <w:shd w:val="clear" w:color="auto" w:fill="D9D9D9"/>
          </w:tcPr>
          <w:p>
            <w:pPr>
              <w:jc w:val="center"/>
              <w:spacing w:after="0"/>
              <w:rPr>
                <w:sz w:val="20"/>
                <w:szCs w:val="20"/>
                <w:color w:val="auto"/>
              </w:rPr>
            </w:pPr>
            <w:r>
              <w:rPr>
                <w:rFonts w:ascii="Times New Roman" w:cs="Times New Roman" w:eastAsia="Times New Roman" w:hAnsi="Times New Roman"/>
                <w:sz w:val="11"/>
                <w:szCs w:val="11"/>
                <w:b w:val="1"/>
                <w:bCs w:val="1"/>
                <w:color w:val="auto"/>
                <w:w w:val="93"/>
              </w:rPr>
              <w:t>($)</w:t>
            </w:r>
          </w:p>
        </w:tc>
        <w:tc>
          <w:tcPr>
            <w:tcW w:w="2060" w:type="dxa"/>
            <w:vAlign w:val="bottom"/>
            <w:tcBorders>
              <w:right w:val="single" w:sz="8" w:color="auto"/>
            </w:tcBorders>
            <w:shd w:val="clear" w:color="auto" w:fill="D9D9D9"/>
          </w:tcPr>
          <w:p>
            <w:pPr>
              <w:jc w:val="center"/>
              <w:spacing w:after="0"/>
              <w:rPr>
                <w:sz w:val="20"/>
                <w:szCs w:val="20"/>
                <w:color w:val="auto"/>
              </w:rPr>
            </w:pPr>
            <w:r>
              <w:rPr>
                <w:rFonts w:ascii="Times New Roman" w:cs="Times New Roman" w:eastAsia="Times New Roman" w:hAnsi="Times New Roman"/>
                <w:sz w:val="11"/>
                <w:szCs w:val="11"/>
                <w:b w:val="1"/>
                <w:bCs w:val="1"/>
                <w:color w:val="auto"/>
                <w:w w:val="93"/>
              </w:rPr>
              <w:t>($)</w:t>
            </w:r>
          </w:p>
        </w:tc>
        <w:tc>
          <w:tcPr>
            <w:tcW w:w="1840" w:type="dxa"/>
            <w:vAlign w:val="bottom"/>
            <w:tcBorders>
              <w:right w:val="single" w:sz="8" w:color="auto"/>
            </w:tcBorders>
            <w:shd w:val="clear" w:color="auto" w:fill="D9D9D9"/>
          </w:tcPr>
          <w:p>
            <w:pPr>
              <w:jc w:val="center"/>
              <w:spacing w:after="0"/>
              <w:rPr>
                <w:sz w:val="20"/>
                <w:szCs w:val="20"/>
                <w:color w:val="auto"/>
              </w:rPr>
            </w:pPr>
            <w:r>
              <w:rPr>
                <w:rFonts w:ascii="Times New Roman" w:cs="Times New Roman" w:eastAsia="Times New Roman" w:hAnsi="Times New Roman"/>
                <w:sz w:val="11"/>
                <w:szCs w:val="11"/>
                <w:b w:val="1"/>
                <w:bCs w:val="1"/>
                <w:color w:val="auto"/>
                <w:w w:val="93"/>
              </w:rPr>
              <w:t>($)</w:t>
            </w:r>
          </w:p>
        </w:tc>
        <w:tc>
          <w:tcPr>
            <w:tcW w:w="1820" w:type="dxa"/>
            <w:vAlign w:val="bottom"/>
            <w:tcBorders>
              <w:right w:val="single" w:sz="8" w:color="auto"/>
            </w:tcBorders>
            <w:shd w:val="clear" w:color="auto" w:fill="D9D9D9"/>
          </w:tcPr>
          <w:p>
            <w:pPr>
              <w:jc w:val="center"/>
              <w:spacing w:after="0"/>
              <w:rPr>
                <w:sz w:val="20"/>
                <w:szCs w:val="20"/>
                <w:color w:val="auto"/>
              </w:rPr>
            </w:pPr>
            <w:r>
              <w:rPr>
                <w:rFonts w:ascii="Times New Roman" w:cs="Times New Roman" w:eastAsia="Times New Roman" w:hAnsi="Times New Roman"/>
                <w:sz w:val="11"/>
                <w:szCs w:val="11"/>
                <w:b w:val="1"/>
                <w:bCs w:val="1"/>
                <w:color w:val="auto"/>
                <w:w w:val="93"/>
              </w:rPr>
              <w:t>($)</w:t>
            </w:r>
          </w:p>
        </w:tc>
      </w:tr>
      <w:tr>
        <w:trPr>
          <w:trHeight w:val="169"/>
        </w:trPr>
        <w:tc>
          <w:tcPr>
            <w:tcW w:w="2720" w:type="dxa"/>
            <w:vAlign w:val="bottom"/>
            <w:tcBorders>
              <w:left w:val="single" w:sz="8" w:color="auto"/>
              <w:bottom w:val="single" w:sz="8" w:color="D9D9D9"/>
              <w:right w:val="single" w:sz="8" w:color="auto"/>
            </w:tcBorders>
            <w:shd w:val="clear" w:color="auto" w:fill="D9D9D9"/>
          </w:tcPr>
          <w:p>
            <w:pPr>
              <w:spacing w:after="0"/>
              <w:rPr>
                <w:sz w:val="14"/>
                <w:szCs w:val="14"/>
                <w:color w:val="auto"/>
              </w:rPr>
            </w:pPr>
          </w:p>
        </w:tc>
        <w:tc>
          <w:tcPr>
            <w:tcW w:w="1300" w:type="dxa"/>
            <w:vAlign w:val="bottom"/>
            <w:tcBorders>
              <w:bottom w:val="single" w:sz="8" w:color="D9D9D9"/>
              <w:right w:val="single" w:sz="8" w:color="auto"/>
            </w:tcBorders>
            <w:shd w:val="clear" w:color="auto" w:fill="D9D9D9"/>
          </w:tcPr>
          <w:p>
            <w:pPr>
              <w:jc w:val="center"/>
              <w:spacing w:after="0"/>
              <w:rPr>
                <w:sz w:val="20"/>
                <w:szCs w:val="20"/>
                <w:color w:val="auto"/>
              </w:rPr>
            </w:pPr>
            <w:r>
              <w:rPr>
                <w:rFonts w:ascii="Times New Roman" w:cs="Times New Roman" w:eastAsia="Times New Roman" w:hAnsi="Times New Roman"/>
                <w:sz w:val="11"/>
                <w:szCs w:val="11"/>
                <w:b w:val="1"/>
                <w:bCs w:val="1"/>
                <w:color w:val="auto"/>
              </w:rPr>
              <w:t>($)</w:t>
            </w:r>
          </w:p>
        </w:tc>
        <w:tc>
          <w:tcPr>
            <w:tcW w:w="1500" w:type="dxa"/>
            <w:vAlign w:val="bottom"/>
            <w:tcBorders>
              <w:bottom w:val="single" w:sz="8" w:color="D9D9D9"/>
              <w:right w:val="single" w:sz="8" w:color="auto"/>
            </w:tcBorders>
            <w:shd w:val="clear" w:color="auto" w:fill="D9D9D9"/>
          </w:tcPr>
          <w:p>
            <w:pPr>
              <w:spacing w:after="0"/>
              <w:rPr>
                <w:sz w:val="14"/>
                <w:szCs w:val="14"/>
                <w:color w:val="auto"/>
              </w:rPr>
            </w:pPr>
          </w:p>
        </w:tc>
        <w:tc>
          <w:tcPr>
            <w:tcW w:w="2060" w:type="dxa"/>
            <w:vAlign w:val="bottom"/>
            <w:tcBorders>
              <w:bottom w:val="single" w:sz="8" w:color="D9D9D9"/>
              <w:right w:val="single" w:sz="8" w:color="auto"/>
            </w:tcBorders>
            <w:shd w:val="clear" w:color="auto" w:fill="D9D9D9"/>
          </w:tcPr>
          <w:p>
            <w:pPr>
              <w:spacing w:after="0"/>
              <w:rPr>
                <w:sz w:val="14"/>
                <w:szCs w:val="14"/>
                <w:color w:val="auto"/>
              </w:rPr>
            </w:pPr>
          </w:p>
        </w:tc>
        <w:tc>
          <w:tcPr>
            <w:tcW w:w="1840" w:type="dxa"/>
            <w:vAlign w:val="bottom"/>
            <w:tcBorders>
              <w:bottom w:val="single" w:sz="8" w:color="D9D9D9"/>
              <w:right w:val="single" w:sz="8" w:color="auto"/>
            </w:tcBorders>
            <w:shd w:val="clear" w:color="auto" w:fill="D9D9D9"/>
          </w:tcPr>
          <w:p>
            <w:pPr>
              <w:spacing w:after="0"/>
              <w:rPr>
                <w:sz w:val="14"/>
                <w:szCs w:val="14"/>
                <w:color w:val="auto"/>
              </w:rPr>
            </w:pPr>
          </w:p>
        </w:tc>
        <w:tc>
          <w:tcPr>
            <w:tcW w:w="1820" w:type="dxa"/>
            <w:vAlign w:val="bottom"/>
            <w:tcBorders>
              <w:bottom w:val="single" w:sz="8" w:color="D9D9D9"/>
              <w:right w:val="single" w:sz="8" w:color="auto"/>
            </w:tcBorders>
            <w:shd w:val="clear" w:color="auto" w:fill="D9D9D9"/>
          </w:tcPr>
          <w:p>
            <w:pPr>
              <w:spacing w:after="0"/>
              <w:rPr>
                <w:sz w:val="14"/>
                <w:szCs w:val="14"/>
                <w:color w:val="auto"/>
              </w:rPr>
            </w:pPr>
          </w:p>
        </w:tc>
      </w:tr>
      <w:tr>
        <w:trPr>
          <w:trHeight w:val="131"/>
        </w:trPr>
        <w:tc>
          <w:tcPr>
            <w:tcW w:w="2720" w:type="dxa"/>
            <w:vAlign w:val="bottom"/>
            <w:tcBorders>
              <w:top w:val="single" w:sz="8" w:color="auto"/>
              <w:left w:val="single" w:sz="8" w:color="auto"/>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1"/>
                <w:szCs w:val="11"/>
                <w:color w:val="auto"/>
              </w:rPr>
              <w:t>Grant Froese</w:t>
            </w:r>
          </w:p>
        </w:tc>
        <w:tc>
          <w:tcPr>
            <w:tcW w:w="1300" w:type="dxa"/>
            <w:vAlign w:val="bottom"/>
            <w:tcBorders>
              <w:top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1"/>
                <w:szCs w:val="11"/>
                <w:color w:val="auto"/>
                <w:w w:val="94"/>
              </w:rPr>
              <w:t>107,820</w:t>
            </w:r>
          </w:p>
        </w:tc>
        <w:tc>
          <w:tcPr>
            <w:tcW w:w="1500" w:type="dxa"/>
            <w:vAlign w:val="bottom"/>
            <w:tcBorders>
              <w:top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1"/>
                <w:szCs w:val="11"/>
                <w:color w:val="auto"/>
              </w:rPr>
              <w:t>-</w:t>
            </w:r>
          </w:p>
        </w:tc>
        <w:tc>
          <w:tcPr>
            <w:tcW w:w="2060" w:type="dxa"/>
            <w:vAlign w:val="bottom"/>
            <w:tcBorders>
              <w:top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1"/>
                <w:szCs w:val="11"/>
                <w:color w:val="auto"/>
              </w:rPr>
              <w:t>282,939</w:t>
            </w:r>
          </w:p>
        </w:tc>
        <w:tc>
          <w:tcPr>
            <w:tcW w:w="1840" w:type="dxa"/>
            <w:vAlign w:val="bottom"/>
            <w:tcBorders>
              <w:top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1"/>
                <w:szCs w:val="11"/>
                <w:color w:val="auto"/>
              </w:rPr>
              <w:t>-</w:t>
            </w:r>
          </w:p>
        </w:tc>
        <w:tc>
          <w:tcPr>
            <w:tcW w:w="1820" w:type="dxa"/>
            <w:vAlign w:val="bottom"/>
            <w:tcBorders>
              <w:top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1"/>
                <w:szCs w:val="11"/>
                <w:color w:val="auto"/>
              </w:rPr>
              <w:t>390,759</w:t>
            </w:r>
          </w:p>
        </w:tc>
      </w:tr>
      <w:tr>
        <w:trPr>
          <w:trHeight w:val="133"/>
        </w:trPr>
        <w:tc>
          <w:tcPr>
            <w:tcW w:w="2720" w:type="dxa"/>
            <w:vAlign w:val="bottom"/>
            <w:tcBorders>
              <w:left w:val="single" w:sz="8" w:color="auto"/>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1"/>
                <w:szCs w:val="11"/>
                <w:color w:val="auto"/>
              </w:rPr>
              <w:t>Eric Hoskins</w:t>
            </w:r>
          </w:p>
        </w:tc>
        <w:tc>
          <w:tcPr>
            <w:tcW w:w="13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1"/>
                <w:szCs w:val="11"/>
                <w:color w:val="auto"/>
                <w:w w:val="94"/>
              </w:rPr>
              <w:t>107,820</w:t>
            </w:r>
          </w:p>
        </w:tc>
        <w:tc>
          <w:tcPr>
            <w:tcW w:w="15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1"/>
                <w:szCs w:val="11"/>
                <w:color w:val="auto"/>
              </w:rPr>
              <w:t>-</w:t>
            </w:r>
          </w:p>
        </w:tc>
        <w:tc>
          <w:tcPr>
            <w:tcW w:w="20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1"/>
                <w:szCs w:val="11"/>
                <w:color w:val="auto"/>
              </w:rPr>
              <w:t>282,939</w:t>
            </w:r>
          </w:p>
        </w:tc>
        <w:tc>
          <w:tcPr>
            <w:tcW w:w="18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1"/>
                <w:szCs w:val="11"/>
                <w:color w:val="auto"/>
              </w:rPr>
              <w:t>-</w:t>
            </w:r>
          </w:p>
        </w:tc>
        <w:tc>
          <w:tcPr>
            <w:tcW w:w="18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1"/>
                <w:szCs w:val="11"/>
                <w:color w:val="auto"/>
              </w:rPr>
              <w:t>412,323</w:t>
            </w:r>
          </w:p>
        </w:tc>
      </w:tr>
      <w:tr>
        <w:trPr>
          <w:trHeight w:val="133"/>
        </w:trPr>
        <w:tc>
          <w:tcPr>
            <w:tcW w:w="2720" w:type="dxa"/>
            <w:vAlign w:val="bottom"/>
            <w:tcBorders>
              <w:left w:val="single" w:sz="8" w:color="auto"/>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1"/>
                <w:szCs w:val="11"/>
                <w:color w:val="auto"/>
              </w:rPr>
              <w:t>Mark Lawson</w:t>
            </w:r>
          </w:p>
        </w:tc>
        <w:tc>
          <w:tcPr>
            <w:tcW w:w="13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1"/>
                <w:szCs w:val="11"/>
                <w:color w:val="auto"/>
                <w:w w:val="94"/>
              </w:rPr>
              <w:t>129,384</w:t>
            </w:r>
          </w:p>
        </w:tc>
        <w:tc>
          <w:tcPr>
            <w:tcW w:w="15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1"/>
                <w:szCs w:val="11"/>
                <w:color w:val="auto"/>
              </w:rPr>
              <w:t>-</w:t>
            </w:r>
          </w:p>
        </w:tc>
        <w:tc>
          <w:tcPr>
            <w:tcW w:w="20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1"/>
                <w:szCs w:val="11"/>
                <w:color w:val="auto"/>
              </w:rPr>
              <w:t>290,425</w:t>
            </w:r>
          </w:p>
        </w:tc>
        <w:tc>
          <w:tcPr>
            <w:tcW w:w="18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1"/>
                <w:szCs w:val="11"/>
                <w:color w:val="auto"/>
              </w:rPr>
              <w:t>-</w:t>
            </w:r>
          </w:p>
        </w:tc>
        <w:tc>
          <w:tcPr>
            <w:tcW w:w="18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1"/>
                <w:szCs w:val="11"/>
                <w:color w:val="auto"/>
              </w:rPr>
              <w:t>419,809</w:t>
            </w:r>
          </w:p>
        </w:tc>
      </w:tr>
      <w:tr>
        <w:trPr>
          <w:trHeight w:val="133"/>
        </w:trPr>
        <w:tc>
          <w:tcPr>
            <w:tcW w:w="2720" w:type="dxa"/>
            <w:vAlign w:val="bottom"/>
            <w:tcBorders>
              <w:left w:val="single" w:sz="8" w:color="auto"/>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1"/>
                <w:szCs w:val="11"/>
                <w:color w:val="auto"/>
              </w:rPr>
              <w:t>Theresa Firestone</w:t>
            </w:r>
          </w:p>
        </w:tc>
        <w:tc>
          <w:tcPr>
            <w:tcW w:w="13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1"/>
                <w:szCs w:val="11"/>
                <w:color w:val="auto"/>
                <w:w w:val="94"/>
              </w:rPr>
              <w:t>129,384</w:t>
            </w:r>
          </w:p>
        </w:tc>
        <w:tc>
          <w:tcPr>
            <w:tcW w:w="15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1"/>
                <w:szCs w:val="11"/>
                <w:color w:val="auto"/>
              </w:rPr>
              <w:t>-</w:t>
            </w:r>
          </w:p>
        </w:tc>
        <w:tc>
          <w:tcPr>
            <w:tcW w:w="20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1"/>
                <w:szCs w:val="11"/>
                <w:color w:val="auto"/>
              </w:rPr>
              <w:t>282,939</w:t>
            </w:r>
          </w:p>
        </w:tc>
        <w:tc>
          <w:tcPr>
            <w:tcW w:w="18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1"/>
                <w:szCs w:val="11"/>
                <w:color w:val="auto"/>
              </w:rPr>
              <w:t>-</w:t>
            </w:r>
          </w:p>
        </w:tc>
        <w:tc>
          <w:tcPr>
            <w:tcW w:w="18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1"/>
                <w:szCs w:val="11"/>
                <w:color w:val="auto"/>
              </w:rPr>
              <w:t>412,323</w:t>
            </w:r>
          </w:p>
        </w:tc>
      </w:tr>
      <w:tr>
        <w:trPr>
          <w:trHeight w:val="153"/>
        </w:trPr>
        <w:tc>
          <w:tcPr>
            <w:tcW w:w="2720" w:type="dxa"/>
            <w:vAlign w:val="bottom"/>
            <w:tcBorders>
              <w:left w:val="single" w:sz="8" w:color="auto"/>
              <w:bottom w:val="single" w:sz="8" w:color="auto"/>
              <w:right w:val="single" w:sz="8" w:color="auto"/>
            </w:tcBorders>
          </w:tcPr>
          <w:p>
            <w:pPr>
              <w:ind w:left="60"/>
              <w:spacing w:after="0" w:line="153" w:lineRule="exact"/>
              <w:rPr>
                <w:sz w:val="20"/>
                <w:szCs w:val="20"/>
                <w:color w:val="auto"/>
              </w:rPr>
            </w:pPr>
            <w:r>
              <w:rPr>
                <w:rFonts w:ascii="Times New Roman" w:cs="Times New Roman" w:eastAsia="Times New Roman" w:hAnsi="Times New Roman"/>
                <w:sz w:val="11"/>
                <w:szCs w:val="11"/>
                <w:color w:val="auto"/>
              </w:rPr>
              <w:t>George Tziras</w:t>
            </w:r>
            <w:r>
              <w:rPr>
                <w:rFonts w:ascii="Times New Roman" w:cs="Times New Roman" w:eastAsia="Times New Roman" w:hAnsi="Times New Roman"/>
                <w:sz w:val="14"/>
                <w:szCs w:val="14"/>
                <w:color w:val="auto"/>
                <w:vertAlign w:val="superscript"/>
              </w:rPr>
              <w:t>(1)</w:t>
            </w:r>
          </w:p>
        </w:tc>
        <w:tc>
          <w:tcPr>
            <w:tcW w:w="13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8"/>
                <w:szCs w:val="8"/>
                <w:color w:val="auto"/>
                <w:w w:val="73"/>
              </w:rPr>
              <w:t>-</w:t>
            </w:r>
          </w:p>
        </w:tc>
        <w:tc>
          <w:tcPr>
            <w:tcW w:w="15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1"/>
                <w:szCs w:val="11"/>
                <w:color w:val="auto"/>
              </w:rPr>
              <w:t>-</w:t>
            </w:r>
          </w:p>
        </w:tc>
        <w:tc>
          <w:tcPr>
            <w:tcW w:w="20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1"/>
                <w:szCs w:val="11"/>
                <w:color w:val="auto"/>
              </w:rPr>
              <w:t>520,351</w:t>
            </w:r>
          </w:p>
        </w:tc>
        <w:tc>
          <w:tcPr>
            <w:tcW w:w="18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1"/>
                <w:szCs w:val="11"/>
                <w:color w:val="auto"/>
              </w:rPr>
              <w:t>693,317</w:t>
            </w:r>
          </w:p>
        </w:tc>
        <w:tc>
          <w:tcPr>
            <w:tcW w:w="18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1"/>
                <w:szCs w:val="11"/>
                <w:color w:val="auto"/>
                <w:w w:val="99"/>
              </w:rPr>
              <w:t>1,213,668</w:t>
            </w:r>
          </w:p>
        </w:tc>
      </w:tr>
    </w:tbl>
    <w:p>
      <w:pPr>
        <w:spacing w:after="0" w:line="187" w:lineRule="exact"/>
        <w:rPr>
          <w:sz w:val="20"/>
          <w:szCs w:val="20"/>
          <w:color w:val="auto"/>
        </w:rPr>
      </w:pPr>
    </w:p>
    <w:p>
      <w:pPr>
        <w:ind w:left="8"/>
        <w:spacing w:after="0"/>
        <w:rPr>
          <w:sz w:val="20"/>
          <w:szCs w:val="20"/>
          <w:color w:val="auto"/>
        </w:rPr>
      </w:pPr>
      <w:r>
        <w:rPr>
          <w:rFonts w:ascii="Times New Roman" w:cs="Times New Roman" w:eastAsia="Times New Roman" w:hAnsi="Times New Roman"/>
          <w:sz w:val="11"/>
          <w:szCs w:val="11"/>
          <w:b w:val="1"/>
          <w:bCs w:val="1"/>
          <w:color w:val="auto"/>
        </w:rPr>
        <w:t>Notes:</w:t>
      </w:r>
    </w:p>
    <w:p>
      <w:pPr>
        <w:spacing w:after="0" w:line="83" w:lineRule="exact"/>
        <w:rPr>
          <w:sz w:val="20"/>
          <w:szCs w:val="20"/>
          <w:color w:val="auto"/>
        </w:rPr>
      </w:pPr>
    </w:p>
    <w:p>
      <w:pPr>
        <w:ind w:left="648" w:right="20" w:hanging="432"/>
        <w:spacing w:after="0" w:line="250" w:lineRule="auto"/>
        <w:tabs>
          <w:tab w:leader="none" w:pos="648" w:val="left"/>
        </w:tabs>
        <w:numPr>
          <w:ilvl w:val="0"/>
          <w:numId w:val="10"/>
        </w:numPr>
        <w:rPr>
          <w:rFonts w:ascii="Times New Roman" w:cs="Times New Roman" w:eastAsia="Times New Roman" w:hAnsi="Times New Roman"/>
          <w:sz w:val="11"/>
          <w:szCs w:val="11"/>
          <w:color w:val="auto"/>
        </w:rPr>
      </w:pPr>
      <w:r>
        <w:rPr>
          <w:rFonts w:ascii="Times New Roman" w:cs="Times New Roman" w:eastAsia="Times New Roman" w:hAnsi="Times New Roman"/>
          <w:sz w:val="11"/>
          <w:szCs w:val="11"/>
          <w:color w:val="auto"/>
        </w:rPr>
        <w:t>As Mr. Tziras is the Corporation’s Chief Business Officer and is compensated for that position, he is not paid compensation for his role as a director. Mr. Tziras is paid in British Pounds. The amounts have been converted to Canadian dollars for the purpose of this Circular using an exchange rate of 1.8571, being the Bank of Canada daily exchange rate as of March 31, 2025.</w:t>
      </w:r>
    </w:p>
    <w:p>
      <w:pPr>
        <w:ind w:left="648" w:right="20" w:hanging="432"/>
        <w:spacing w:after="0" w:line="247" w:lineRule="auto"/>
        <w:tabs>
          <w:tab w:leader="none" w:pos="648" w:val="left"/>
        </w:tabs>
        <w:numPr>
          <w:ilvl w:val="0"/>
          <w:numId w:val="10"/>
        </w:numPr>
        <w:rPr>
          <w:rFonts w:ascii="Times New Roman" w:cs="Times New Roman" w:eastAsia="Times New Roman" w:hAnsi="Times New Roman"/>
          <w:sz w:val="11"/>
          <w:szCs w:val="11"/>
          <w:color w:val="auto"/>
        </w:rPr>
      </w:pPr>
      <w:r>
        <w:rPr>
          <w:rFonts w:ascii="Times New Roman" w:cs="Times New Roman" w:eastAsia="Times New Roman" w:hAnsi="Times New Roman"/>
          <w:sz w:val="11"/>
          <w:szCs w:val="11"/>
          <w:color w:val="auto"/>
        </w:rPr>
        <w:t>Effective April 1, 2024, the board of director fees were denominated in U.S. dollars. The amounts have been converted to Canadian dollars for the purpose of this Circular using an exchange rate of 1.4376, being the Bank of Canada daily exchange rate as of March 31, 2025.</w:t>
      </w:r>
    </w:p>
    <w:p>
      <w:pPr>
        <w:ind w:left="648" w:hanging="432"/>
        <w:spacing w:after="0" w:line="259" w:lineRule="auto"/>
        <w:tabs>
          <w:tab w:leader="none" w:pos="648" w:val="left"/>
        </w:tabs>
        <w:numPr>
          <w:ilvl w:val="0"/>
          <w:numId w:val="10"/>
        </w:numPr>
        <w:rPr>
          <w:rFonts w:ascii="Times New Roman" w:cs="Times New Roman" w:eastAsia="Times New Roman" w:hAnsi="Times New Roman"/>
          <w:sz w:val="11"/>
          <w:szCs w:val="11"/>
          <w:color w:val="auto"/>
        </w:rPr>
      </w:pPr>
      <w:r>
        <w:rPr>
          <w:rFonts w:ascii="Times New Roman" w:cs="Times New Roman" w:eastAsia="Times New Roman" w:hAnsi="Times New Roman"/>
          <w:sz w:val="11"/>
          <w:szCs w:val="11"/>
          <w:color w:val="auto"/>
        </w:rPr>
        <w:t>Calculated based on the Black-Scholes model for option valuation. The fair value of the stock options has been calculated based on the following weighted average assumptions (the grant date fair value equals the accounting fair value for stock options):</w:t>
      </w:r>
    </w:p>
    <w:p>
      <w:pPr>
        <w:spacing w:after="0" w:line="145" w:lineRule="exact"/>
        <w:rPr>
          <w:sz w:val="20"/>
          <w:szCs w:val="20"/>
          <w:color w:val="auto"/>
        </w:rPr>
      </w:pPr>
    </w:p>
    <w:tbl>
      <w:tblPr>
        <w:tblLayout w:type="fixed"/>
        <w:tblInd w:w="438" w:type="dxa"/>
        <w:tblCellMar>
          <w:top w:w="0" w:type="dxa"/>
          <w:left w:w="0" w:type="dxa"/>
          <w:bottom w:w="0" w:type="dxa"/>
          <w:right w:w="0" w:type="dxa"/>
        </w:tblCellMar>
      </w:tblPr>
      <w:tr>
        <w:trPr>
          <w:trHeight w:val="152"/>
        </w:trPr>
        <w:tc>
          <w:tcPr>
            <w:tcW w:w="2520" w:type="dxa"/>
            <w:vAlign w:val="bottom"/>
            <w:tcBorders>
              <w:top w:val="single" w:sz="8" w:color="auto"/>
              <w:left w:val="single" w:sz="8" w:color="auto"/>
              <w:bottom w:val="single" w:sz="8" w:color="auto"/>
              <w:right w:val="single" w:sz="8" w:color="auto"/>
            </w:tcBorders>
            <w:shd w:val="clear" w:color="auto" w:fill="D9D9D9"/>
          </w:tcPr>
          <w:p>
            <w:pPr>
              <w:ind w:left="20"/>
              <w:spacing w:after="0"/>
              <w:rPr>
                <w:sz w:val="20"/>
                <w:szCs w:val="20"/>
                <w:color w:val="auto"/>
              </w:rPr>
            </w:pPr>
            <w:r>
              <w:rPr>
                <w:rFonts w:ascii="Times New Roman" w:cs="Times New Roman" w:eastAsia="Times New Roman" w:hAnsi="Times New Roman"/>
                <w:sz w:val="11"/>
                <w:szCs w:val="11"/>
                <w:b w:val="1"/>
                <w:bCs w:val="1"/>
                <w:color w:val="auto"/>
              </w:rPr>
              <w:t>Grant Date:</w:t>
            </w:r>
          </w:p>
        </w:tc>
        <w:tc>
          <w:tcPr>
            <w:tcW w:w="2520" w:type="dxa"/>
            <w:vAlign w:val="bottom"/>
            <w:tcBorders>
              <w:top w:val="single" w:sz="8" w:color="auto"/>
              <w:bottom w:val="single" w:sz="8" w:color="auto"/>
              <w:right w:val="single" w:sz="8" w:color="auto"/>
            </w:tcBorders>
            <w:shd w:val="clear" w:color="auto" w:fill="D9D9D9"/>
          </w:tcPr>
          <w:p>
            <w:pPr>
              <w:ind w:left="940"/>
              <w:spacing w:after="0"/>
              <w:rPr>
                <w:sz w:val="20"/>
                <w:szCs w:val="20"/>
                <w:color w:val="auto"/>
              </w:rPr>
            </w:pPr>
            <w:r>
              <w:rPr>
                <w:rFonts w:ascii="Times New Roman" w:cs="Times New Roman" w:eastAsia="Times New Roman" w:hAnsi="Times New Roman"/>
                <w:sz w:val="11"/>
                <w:szCs w:val="11"/>
                <w:b w:val="1"/>
                <w:bCs w:val="1"/>
                <w:color w:val="auto"/>
              </w:rPr>
              <w:t>April 5, 2024</w:t>
            </w:r>
          </w:p>
        </w:tc>
        <w:tc>
          <w:tcPr>
            <w:tcW w:w="2500" w:type="dxa"/>
            <w:vAlign w:val="bottom"/>
            <w:tcBorders>
              <w:top w:val="single" w:sz="8" w:color="auto"/>
              <w:bottom w:val="single" w:sz="8" w:color="auto"/>
              <w:right w:val="single" w:sz="8" w:color="auto"/>
            </w:tcBorders>
            <w:shd w:val="clear" w:color="auto" w:fill="D9D9D9"/>
          </w:tcPr>
          <w:p>
            <w:pPr>
              <w:ind w:left="860"/>
              <w:spacing w:after="0"/>
              <w:rPr>
                <w:sz w:val="20"/>
                <w:szCs w:val="20"/>
                <w:color w:val="auto"/>
              </w:rPr>
            </w:pPr>
            <w:r>
              <w:rPr>
                <w:rFonts w:ascii="Times New Roman" w:cs="Times New Roman" w:eastAsia="Times New Roman" w:hAnsi="Times New Roman"/>
                <w:sz w:val="11"/>
                <w:szCs w:val="11"/>
                <w:b w:val="1"/>
                <w:bCs w:val="1"/>
                <w:color w:val="auto"/>
              </w:rPr>
              <w:t>August 14, 2024</w:t>
            </w:r>
          </w:p>
        </w:tc>
      </w:tr>
      <w:tr>
        <w:trPr>
          <w:trHeight w:val="132"/>
        </w:trPr>
        <w:tc>
          <w:tcPr>
            <w:tcW w:w="2520" w:type="dxa"/>
            <w:vAlign w:val="bottom"/>
            <w:tcBorders>
              <w:left w:val="single" w:sz="8" w:color="auto"/>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1"/>
                <w:szCs w:val="11"/>
                <w:color w:val="auto"/>
              </w:rPr>
              <w:t>Risk free interest rate</w:t>
            </w:r>
          </w:p>
        </w:tc>
        <w:tc>
          <w:tcPr>
            <w:tcW w:w="25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1"/>
                <w:szCs w:val="11"/>
                <w:color w:val="auto"/>
                <w:w w:val="98"/>
              </w:rPr>
              <w:t>3.62%</w:t>
            </w:r>
          </w:p>
        </w:tc>
        <w:tc>
          <w:tcPr>
            <w:tcW w:w="25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1"/>
                <w:szCs w:val="11"/>
                <w:color w:val="auto"/>
                <w:w w:val="98"/>
              </w:rPr>
              <w:t>3.07%</w:t>
            </w:r>
          </w:p>
        </w:tc>
      </w:tr>
      <w:tr>
        <w:trPr>
          <w:trHeight w:val="133"/>
        </w:trPr>
        <w:tc>
          <w:tcPr>
            <w:tcW w:w="2520" w:type="dxa"/>
            <w:vAlign w:val="bottom"/>
            <w:tcBorders>
              <w:left w:val="single" w:sz="8" w:color="auto"/>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1"/>
                <w:szCs w:val="11"/>
                <w:color w:val="auto"/>
              </w:rPr>
              <w:t>Dividend yield</w:t>
            </w:r>
          </w:p>
        </w:tc>
        <w:tc>
          <w:tcPr>
            <w:tcW w:w="25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1"/>
                <w:szCs w:val="11"/>
                <w:color w:val="auto"/>
                <w:w w:val="95"/>
              </w:rPr>
              <w:t>0%</w:t>
            </w:r>
          </w:p>
        </w:tc>
        <w:tc>
          <w:tcPr>
            <w:tcW w:w="25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1"/>
                <w:szCs w:val="11"/>
                <w:color w:val="auto"/>
                <w:w w:val="95"/>
              </w:rPr>
              <w:t>0%</w:t>
            </w:r>
          </w:p>
        </w:tc>
      </w:tr>
      <w:tr>
        <w:trPr>
          <w:trHeight w:val="133"/>
        </w:trPr>
        <w:tc>
          <w:tcPr>
            <w:tcW w:w="2520" w:type="dxa"/>
            <w:vAlign w:val="bottom"/>
            <w:tcBorders>
              <w:left w:val="single" w:sz="8" w:color="auto"/>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1"/>
                <w:szCs w:val="11"/>
                <w:color w:val="auto"/>
              </w:rPr>
              <w:t>Volatility factor</w:t>
            </w:r>
          </w:p>
        </w:tc>
        <w:tc>
          <w:tcPr>
            <w:tcW w:w="25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1"/>
                <w:szCs w:val="11"/>
                <w:color w:val="auto"/>
              </w:rPr>
              <w:t>88.13%</w:t>
            </w:r>
          </w:p>
        </w:tc>
        <w:tc>
          <w:tcPr>
            <w:tcW w:w="25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1"/>
                <w:szCs w:val="11"/>
                <w:color w:val="auto"/>
                <w:w w:val="94"/>
              </w:rPr>
              <w:t>86.69%</w:t>
            </w:r>
          </w:p>
        </w:tc>
      </w:tr>
      <w:tr>
        <w:trPr>
          <w:trHeight w:val="133"/>
        </w:trPr>
        <w:tc>
          <w:tcPr>
            <w:tcW w:w="2520" w:type="dxa"/>
            <w:vAlign w:val="bottom"/>
            <w:tcBorders>
              <w:left w:val="single" w:sz="8" w:color="auto"/>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1"/>
                <w:szCs w:val="11"/>
                <w:color w:val="auto"/>
              </w:rPr>
              <w:t>Average expected life</w:t>
            </w:r>
          </w:p>
        </w:tc>
        <w:tc>
          <w:tcPr>
            <w:tcW w:w="25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1"/>
                <w:szCs w:val="11"/>
                <w:color w:val="auto"/>
              </w:rPr>
              <w:t>5</w:t>
            </w:r>
          </w:p>
        </w:tc>
        <w:tc>
          <w:tcPr>
            <w:tcW w:w="25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1"/>
                <w:szCs w:val="11"/>
                <w:color w:val="auto"/>
              </w:rPr>
              <w:t>10</w:t>
            </w:r>
          </w:p>
        </w:tc>
      </w:tr>
      <w:tr>
        <w:trPr>
          <w:trHeight w:val="134"/>
        </w:trPr>
        <w:tc>
          <w:tcPr>
            <w:tcW w:w="2520" w:type="dxa"/>
            <w:vAlign w:val="bottom"/>
            <w:tcBorders>
              <w:left w:val="single" w:sz="8" w:color="auto"/>
              <w:bottom w:val="single" w:sz="8" w:color="auto"/>
              <w:right w:val="single" w:sz="8" w:color="auto"/>
            </w:tcBorders>
          </w:tcPr>
          <w:p>
            <w:pPr>
              <w:ind w:left="780"/>
              <w:spacing w:after="0"/>
              <w:rPr>
                <w:sz w:val="20"/>
                <w:szCs w:val="20"/>
                <w:color w:val="auto"/>
              </w:rPr>
            </w:pPr>
            <w:r>
              <w:rPr>
                <w:rFonts w:ascii="Times New Roman" w:cs="Times New Roman" w:eastAsia="Times New Roman" w:hAnsi="Times New Roman"/>
                <w:sz w:val="11"/>
                <w:szCs w:val="11"/>
                <w:b w:val="1"/>
                <w:bCs w:val="1"/>
                <w:color w:val="auto"/>
              </w:rPr>
              <w:t>Fair value (rounded)</w:t>
            </w:r>
          </w:p>
        </w:tc>
        <w:tc>
          <w:tcPr>
            <w:tcW w:w="25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1"/>
                <w:szCs w:val="11"/>
                <w:b w:val="1"/>
                <w:bCs w:val="1"/>
                <w:color w:val="auto"/>
                <w:w w:val="99"/>
              </w:rPr>
              <w:t>$14.98</w:t>
            </w:r>
          </w:p>
        </w:tc>
        <w:tc>
          <w:tcPr>
            <w:tcW w:w="25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1"/>
                <w:szCs w:val="11"/>
                <w:b w:val="1"/>
                <w:bCs w:val="1"/>
                <w:color w:val="auto"/>
                <w:w w:val="92"/>
              </w:rPr>
              <w:t>$11.38</w:t>
            </w:r>
          </w:p>
        </w:tc>
      </w:tr>
    </w:tbl>
    <w:p>
      <w:pPr>
        <w:spacing w:after="0" w:line="368" w:lineRule="exact"/>
        <w:rPr>
          <w:sz w:val="20"/>
          <w:szCs w:val="20"/>
          <w:color w:val="auto"/>
        </w:rPr>
      </w:pPr>
    </w:p>
    <w:p>
      <w:pPr>
        <w:ind w:left="8"/>
        <w:spacing w:after="0"/>
        <w:rPr>
          <w:sz w:val="20"/>
          <w:szCs w:val="20"/>
          <w:color w:val="auto"/>
        </w:rPr>
      </w:pPr>
      <w:r>
        <w:rPr>
          <w:rFonts w:ascii="Times New Roman" w:cs="Times New Roman" w:eastAsia="Times New Roman" w:hAnsi="Times New Roman"/>
          <w:sz w:val="13"/>
          <w:szCs w:val="13"/>
          <w:b w:val="1"/>
          <w:bCs w:val="1"/>
          <w:i w:val="1"/>
          <w:iCs w:val="1"/>
          <w:color w:val="auto"/>
        </w:rPr>
        <w:t>Incentive Plan Awards - Outstanding Share-Based Awards and Option-Based Awards</w:t>
      </w:r>
    </w:p>
    <w:p>
      <w:pPr>
        <w:spacing w:after="0" w:line="152" w:lineRule="exact"/>
        <w:rPr>
          <w:sz w:val="20"/>
          <w:szCs w:val="20"/>
          <w:color w:val="auto"/>
        </w:rPr>
      </w:pPr>
    </w:p>
    <w:p>
      <w:pPr>
        <w:ind w:left="8"/>
        <w:spacing w:after="0"/>
        <w:rPr>
          <w:sz w:val="20"/>
          <w:szCs w:val="20"/>
          <w:color w:val="auto"/>
        </w:rPr>
      </w:pPr>
      <w:r>
        <w:rPr>
          <w:rFonts w:ascii="Times New Roman" w:cs="Times New Roman" w:eastAsia="Times New Roman" w:hAnsi="Times New Roman"/>
          <w:sz w:val="13"/>
          <w:szCs w:val="13"/>
          <w:color w:val="auto"/>
        </w:rPr>
        <w:t>The following table sets forth all awards outstanding for each of the directors of the Corporation (other than directors who are also Named Executive Officers) as of March 31, 2025:</w:t>
      </w:r>
    </w:p>
    <w:p>
      <w:pPr>
        <w:sectPr>
          <w:pgSz w:w="11900" w:h="16838" w:orient="portrait"/>
          <w:cols w:equalWidth="0" w:num="1">
            <w:col w:w="11308"/>
          </w:cols>
          <w:pgMar w:left="292" w:top="125" w:right="299" w:bottom="1440" w:gutter="0" w:footer="0" w:header="0"/>
        </w:sectPr>
      </w:pPr>
    </w:p>
    <w:bookmarkStart w:id="24" w:name="page25"/>
    <w:bookmarkEnd w:id="24"/>
    <w:p>
      <w:pPr>
        <w:jc w:val="center"/>
        <w:ind w:right="-7"/>
        <w:spacing w:after="0"/>
        <w:rPr>
          <w:sz w:val="20"/>
          <w:szCs w:val="20"/>
          <w:color w:val="auto"/>
        </w:rPr>
      </w:pPr>
      <w:r>
        <w:rPr>
          <w:rFonts w:ascii="Times New Roman" w:cs="Times New Roman" w:eastAsia="Times New Roman" w:hAnsi="Times New Roman"/>
          <w:sz w:val="13"/>
          <w:szCs w:val="13"/>
          <w:color w:val="auto"/>
        </w:rPr>
        <w:t>- 21 -</w:t>
      </w: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tbl>
      <w:tblPr>
        <w:tblLayout w:type="fixed"/>
        <w:tblInd w:w="18" w:type="dxa"/>
        <w:tblCellMar>
          <w:top w:w="0" w:type="dxa"/>
          <w:left w:w="0" w:type="dxa"/>
          <w:bottom w:w="0" w:type="dxa"/>
          <w:right w:w="0" w:type="dxa"/>
        </w:tblCellMar>
      </w:tblPr>
      <w:tr>
        <w:trPr>
          <w:trHeight w:val="152"/>
        </w:trPr>
        <w:tc>
          <w:tcPr>
            <w:tcW w:w="1560" w:type="dxa"/>
            <w:vAlign w:val="bottom"/>
            <w:tcBorders>
              <w:top w:val="single" w:sz="8" w:color="auto"/>
              <w:left w:val="single" w:sz="8" w:color="auto"/>
              <w:bottom w:val="single" w:sz="8" w:color="auto"/>
              <w:right w:val="single" w:sz="8" w:color="auto"/>
            </w:tcBorders>
            <w:shd w:val="clear" w:color="auto" w:fill="D9D9D9"/>
          </w:tcPr>
          <w:p>
            <w:pPr>
              <w:spacing w:after="0"/>
              <w:rPr>
                <w:sz w:val="13"/>
                <w:szCs w:val="13"/>
                <w:color w:val="auto"/>
              </w:rPr>
            </w:pPr>
          </w:p>
        </w:tc>
        <w:tc>
          <w:tcPr>
            <w:tcW w:w="1740" w:type="dxa"/>
            <w:vAlign w:val="bottom"/>
            <w:tcBorders>
              <w:top w:val="single" w:sz="8" w:color="auto"/>
              <w:bottom w:val="single" w:sz="8" w:color="auto"/>
              <w:right w:val="single" w:sz="8" w:color="D9D9D9"/>
            </w:tcBorders>
            <w:shd w:val="clear" w:color="auto" w:fill="D9D9D9"/>
          </w:tcPr>
          <w:p>
            <w:pPr>
              <w:spacing w:after="0"/>
              <w:rPr>
                <w:sz w:val="13"/>
                <w:szCs w:val="13"/>
                <w:color w:val="auto"/>
              </w:rPr>
            </w:pPr>
          </w:p>
        </w:tc>
        <w:tc>
          <w:tcPr>
            <w:tcW w:w="3120" w:type="dxa"/>
            <w:vAlign w:val="bottom"/>
            <w:tcBorders>
              <w:top w:val="single" w:sz="8" w:color="auto"/>
              <w:bottom w:val="single" w:sz="8" w:color="auto"/>
              <w:right w:val="single" w:sz="8" w:color="D9D9D9"/>
            </w:tcBorders>
            <w:gridSpan w:val="2"/>
            <w:shd w:val="clear" w:color="auto" w:fill="D9D9D9"/>
          </w:tcPr>
          <w:p>
            <w:pPr>
              <w:ind w:left="800"/>
              <w:spacing w:after="0"/>
              <w:rPr>
                <w:sz w:val="20"/>
                <w:szCs w:val="20"/>
                <w:color w:val="auto"/>
              </w:rPr>
            </w:pPr>
            <w:r>
              <w:rPr>
                <w:rFonts w:ascii="Times New Roman" w:cs="Times New Roman" w:eastAsia="Times New Roman" w:hAnsi="Times New Roman"/>
                <w:sz w:val="11"/>
                <w:szCs w:val="11"/>
                <w:b w:val="1"/>
                <w:bCs w:val="1"/>
                <w:color w:val="auto"/>
              </w:rPr>
              <w:t>Option-Based Awards</w:t>
            </w:r>
          </w:p>
        </w:tc>
        <w:tc>
          <w:tcPr>
            <w:tcW w:w="1260" w:type="dxa"/>
            <w:vAlign w:val="bottom"/>
            <w:tcBorders>
              <w:top w:val="single" w:sz="8" w:color="auto"/>
              <w:bottom w:val="single" w:sz="8" w:color="auto"/>
              <w:right w:val="single" w:sz="8" w:color="auto"/>
            </w:tcBorders>
            <w:shd w:val="clear" w:color="auto" w:fill="D9D9D9"/>
          </w:tcPr>
          <w:p>
            <w:pPr>
              <w:spacing w:after="0"/>
              <w:rPr>
                <w:sz w:val="13"/>
                <w:szCs w:val="13"/>
                <w:color w:val="auto"/>
              </w:rPr>
            </w:pPr>
          </w:p>
        </w:tc>
        <w:tc>
          <w:tcPr>
            <w:tcW w:w="1160" w:type="dxa"/>
            <w:vAlign w:val="bottom"/>
            <w:tcBorders>
              <w:top w:val="single" w:sz="8" w:color="auto"/>
              <w:bottom w:val="single" w:sz="8" w:color="auto"/>
              <w:right w:val="single" w:sz="8" w:color="D9D9D9"/>
            </w:tcBorders>
            <w:shd w:val="clear" w:color="auto" w:fill="D9D9D9"/>
          </w:tcPr>
          <w:p>
            <w:pPr>
              <w:spacing w:after="0"/>
              <w:rPr>
                <w:sz w:val="13"/>
                <w:szCs w:val="13"/>
                <w:color w:val="auto"/>
              </w:rPr>
            </w:pPr>
          </w:p>
        </w:tc>
        <w:tc>
          <w:tcPr>
            <w:tcW w:w="1180" w:type="dxa"/>
            <w:vAlign w:val="bottom"/>
            <w:tcBorders>
              <w:top w:val="single" w:sz="8" w:color="auto"/>
              <w:bottom w:val="single" w:sz="8" w:color="auto"/>
              <w:right w:val="single" w:sz="8" w:color="D9D9D9"/>
            </w:tcBorders>
            <w:shd w:val="clear" w:color="auto" w:fill="D9D9D9"/>
          </w:tcPr>
          <w:p>
            <w:pPr>
              <w:ind w:left="160"/>
              <w:spacing w:after="0"/>
              <w:rPr>
                <w:sz w:val="20"/>
                <w:szCs w:val="20"/>
                <w:color w:val="auto"/>
              </w:rPr>
            </w:pPr>
            <w:r>
              <w:rPr>
                <w:rFonts w:ascii="Times New Roman" w:cs="Times New Roman" w:eastAsia="Times New Roman" w:hAnsi="Times New Roman"/>
                <w:sz w:val="11"/>
                <w:szCs w:val="11"/>
                <w:b w:val="1"/>
                <w:bCs w:val="1"/>
                <w:color w:val="auto"/>
                <w:w w:val="99"/>
              </w:rPr>
              <w:t>Share-Based Awards</w:t>
            </w:r>
          </w:p>
        </w:tc>
        <w:tc>
          <w:tcPr>
            <w:tcW w:w="1300" w:type="dxa"/>
            <w:vAlign w:val="bottom"/>
            <w:tcBorders>
              <w:top w:val="single" w:sz="8" w:color="auto"/>
              <w:bottom w:val="single" w:sz="8" w:color="auto"/>
              <w:right w:val="single" w:sz="8" w:color="auto"/>
            </w:tcBorders>
            <w:shd w:val="clear" w:color="auto" w:fill="D9D9D9"/>
          </w:tcPr>
          <w:p>
            <w:pPr>
              <w:spacing w:after="0"/>
              <w:rPr>
                <w:sz w:val="13"/>
                <w:szCs w:val="13"/>
                <w:color w:val="auto"/>
              </w:rPr>
            </w:pPr>
          </w:p>
        </w:tc>
        <w:tc>
          <w:tcPr>
            <w:tcW w:w="0" w:type="dxa"/>
            <w:vAlign w:val="bottom"/>
          </w:tcPr>
          <w:p>
            <w:pPr>
              <w:spacing w:after="0"/>
              <w:rPr>
                <w:sz w:val="1"/>
                <w:szCs w:val="1"/>
                <w:color w:val="auto"/>
              </w:rPr>
            </w:pPr>
          </w:p>
        </w:tc>
      </w:tr>
      <w:tr>
        <w:trPr>
          <w:trHeight w:val="123"/>
        </w:trPr>
        <w:tc>
          <w:tcPr>
            <w:tcW w:w="1560" w:type="dxa"/>
            <w:vAlign w:val="bottom"/>
            <w:tcBorders>
              <w:left w:val="single" w:sz="8" w:color="auto"/>
              <w:right w:val="single" w:sz="8" w:color="auto"/>
            </w:tcBorders>
            <w:shd w:val="clear" w:color="auto" w:fill="D9D9D9"/>
          </w:tcPr>
          <w:p>
            <w:pPr>
              <w:ind w:left="640"/>
              <w:spacing w:after="0" w:line="123" w:lineRule="exact"/>
              <w:rPr>
                <w:sz w:val="20"/>
                <w:szCs w:val="20"/>
                <w:color w:val="auto"/>
              </w:rPr>
            </w:pPr>
            <w:r>
              <w:rPr>
                <w:rFonts w:ascii="Times New Roman" w:cs="Times New Roman" w:eastAsia="Times New Roman" w:hAnsi="Times New Roman"/>
                <w:sz w:val="11"/>
                <w:szCs w:val="11"/>
                <w:b w:val="1"/>
                <w:bCs w:val="1"/>
                <w:color w:val="auto"/>
              </w:rPr>
              <w:t>Name</w:t>
            </w:r>
          </w:p>
        </w:tc>
        <w:tc>
          <w:tcPr>
            <w:tcW w:w="1740" w:type="dxa"/>
            <w:vAlign w:val="bottom"/>
            <w:tcBorders>
              <w:right w:val="single" w:sz="8" w:color="auto"/>
            </w:tcBorders>
            <w:shd w:val="clear" w:color="auto" w:fill="D9D9D9"/>
          </w:tcPr>
          <w:p>
            <w:pPr>
              <w:jc w:val="center"/>
              <w:spacing w:after="0" w:line="123" w:lineRule="exact"/>
              <w:rPr>
                <w:sz w:val="20"/>
                <w:szCs w:val="20"/>
                <w:color w:val="auto"/>
              </w:rPr>
            </w:pPr>
            <w:r>
              <w:rPr>
                <w:rFonts w:ascii="Times New Roman" w:cs="Times New Roman" w:eastAsia="Times New Roman" w:hAnsi="Times New Roman"/>
                <w:sz w:val="11"/>
                <w:szCs w:val="11"/>
                <w:b w:val="1"/>
                <w:bCs w:val="1"/>
                <w:color w:val="auto"/>
                <w:w w:val="97"/>
              </w:rPr>
              <w:t>Number of securities underlying</w:t>
            </w:r>
          </w:p>
        </w:tc>
        <w:tc>
          <w:tcPr>
            <w:tcW w:w="1340" w:type="dxa"/>
            <w:vAlign w:val="bottom"/>
            <w:tcBorders>
              <w:right w:val="single" w:sz="8" w:color="auto"/>
            </w:tcBorders>
            <w:shd w:val="clear" w:color="auto" w:fill="D9D9D9"/>
          </w:tcPr>
          <w:p>
            <w:pPr>
              <w:ind w:left="160"/>
              <w:spacing w:after="0" w:line="123" w:lineRule="exact"/>
              <w:rPr>
                <w:sz w:val="20"/>
                <w:szCs w:val="20"/>
                <w:color w:val="auto"/>
              </w:rPr>
            </w:pPr>
            <w:r>
              <w:rPr>
                <w:rFonts w:ascii="Times New Roman" w:cs="Times New Roman" w:eastAsia="Times New Roman" w:hAnsi="Times New Roman"/>
                <w:sz w:val="11"/>
                <w:szCs w:val="11"/>
                <w:b w:val="1"/>
                <w:bCs w:val="1"/>
                <w:color w:val="auto"/>
              </w:rPr>
              <w:t>Option exercise price</w:t>
            </w:r>
          </w:p>
        </w:tc>
        <w:tc>
          <w:tcPr>
            <w:tcW w:w="1780" w:type="dxa"/>
            <w:vAlign w:val="bottom"/>
            <w:tcBorders>
              <w:right w:val="single" w:sz="8" w:color="auto"/>
            </w:tcBorders>
            <w:shd w:val="clear" w:color="auto" w:fill="D9D9D9"/>
          </w:tcPr>
          <w:p>
            <w:pPr>
              <w:jc w:val="center"/>
              <w:ind w:right="6"/>
              <w:spacing w:after="0" w:line="123" w:lineRule="exact"/>
              <w:rPr>
                <w:sz w:val="20"/>
                <w:szCs w:val="20"/>
                <w:color w:val="auto"/>
              </w:rPr>
            </w:pPr>
            <w:r>
              <w:rPr>
                <w:rFonts w:ascii="Times New Roman" w:cs="Times New Roman" w:eastAsia="Times New Roman" w:hAnsi="Times New Roman"/>
                <w:sz w:val="11"/>
                <w:szCs w:val="11"/>
                <w:b w:val="1"/>
                <w:bCs w:val="1"/>
                <w:color w:val="auto"/>
                <w:w w:val="99"/>
              </w:rPr>
              <w:t>Option expiration</w:t>
            </w:r>
          </w:p>
        </w:tc>
        <w:tc>
          <w:tcPr>
            <w:tcW w:w="1260" w:type="dxa"/>
            <w:vAlign w:val="bottom"/>
            <w:tcBorders>
              <w:right w:val="single" w:sz="8" w:color="auto"/>
            </w:tcBorders>
            <w:shd w:val="clear" w:color="auto" w:fill="D9D9D9"/>
          </w:tcPr>
          <w:p>
            <w:pPr>
              <w:jc w:val="center"/>
              <w:spacing w:after="0" w:line="123" w:lineRule="exact"/>
              <w:rPr>
                <w:sz w:val="20"/>
                <w:szCs w:val="20"/>
                <w:color w:val="auto"/>
              </w:rPr>
            </w:pPr>
            <w:r>
              <w:rPr>
                <w:rFonts w:ascii="Times New Roman" w:cs="Times New Roman" w:eastAsia="Times New Roman" w:hAnsi="Times New Roman"/>
                <w:sz w:val="11"/>
                <w:szCs w:val="11"/>
                <w:b w:val="1"/>
                <w:bCs w:val="1"/>
                <w:color w:val="auto"/>
                <w:w w:val="96"/>
              </w:rPr>
              <w:t>Value of unexercised in-</w:t>
            </w:r>
          </w:p>
        </w:tc>
        <w:tc>
          <w:tcPr>
            <w:tcW w:w="1160" w:type="dxa"/>
            <w:vAlign w:val="bottom"/>
            <w:tcBorders>
              <w:right w:val="single" w:sz="8" w:color="auto"/>
            </w:tcBorders>
            <w:shd w:val="clear" w:color="auto" w:fill="D9D9D9"/>
          </w:tcPr>
          <w:p>
            <w:pPr>
              <w:jc w:val="center"/>
              <w:spacing w:after="0" w:line="123" w:lineRule="exact"/>
              <w:rPr>
                <w:sz w:val="20"/>
                <w:szCs w:val="20"/>
                <w:color w:val="auto"/>
              </w:rPr>
            </w:pPr>
            <w:r>
              <w:rPr>
                <w:rFonts w:ascii="Times New Roman" w:cs="Times New Roman" w:eastAsia="Times New Roman" w:hAnsi="Times New Roman"/>
                <w:sz w:val="11"/>
                <w:szCs w:val="11"/>
                <w:b w:val="1"/>
                <w:bCs w:val="1"/>
                <w:color w:val="auto"/>
                <w:w w:val="99"/>
              </w:rPr>
              <w:t>Number of shares or</w:t>
            </w:r>
          </w:p>
        </w:tc>
        <w:tc>
          <w:tcPr>
            <w:tcW w:w="1180" w:type="dxa"/>
            <w:vAlign w:val="bottom"/>
            <w:tcBorders>
              <w:right w:val="single" w:sz="8" w:color="auto"/>
            </w:tcBorders>
            <w:shd w:val="clear" w:color="auto" w:fill="D9D9D9"/>
          </w:tcPr>
          <w:p>
            <w:pPr>
              <w:jc w:val="center"/>
              <w:spacing w:after="0" w:line="123" w:lineRule="exact"/>
              <w:rPr>
                <w:sz w:val="20"/>
                <w:szCs w:val="20"/>
                <w:color w:val="auto"/>
              </w:rPr>
            </w:pPr>
            <w:r>
              <w:rPr>
                <w:rFonts w:ascii="Times New Roman" w:cs="Times New Roman" w:eastAsia="Times New Roman" w:hAnsi="Times New Roman"/>
                <w:sz w:val="11"/>
                <w:szCs w:val="11"/>
                <w:b w:val="1"/>
                <w:bCs w:val="1"/>
                <w:color w:val="auto"/>
                <w:w w:val="97"/>
              </w:rPr>
              <w:t>Market or payout</w:t>
            </w:r>
          </w:p>
        </w:tc>
        <w:tc>
          <w:tcPr>
            <w:tcW w:w="1300" w:type="dxa"/>
            <w:vAlign w:val="bottom"/>
            <w:tcBorders>
              <w:right w:val="single" w:sz="8" w:color="auto"/>
            </w:tcBorders>
            <w:shd w:val="clear" w:color="auto" w:fill="D9D9D9"/>
          </w:tcPr>
          <w:p>
            <w:pPr>
              <w:jc w:val="center"/>
              <w:spacing w:after="0" w:line="123" w:lineRule="exact"/>
              <w:rPr>
                <w:sz w:val="20"/>
                <w:szCs w:val="20"/>
                <w:color w:val="auto"/>
              </w:rPr>
            </w:pPr>
            <w:r>
              <w:rPr>
                <w:rFonts w:ascii="Times New Roman" w:cs="Times New Roman" w:eastAsia="Times New Roman" w:hAnsi="Times New Roman"/>
                <w:sz w:val="11"/>
                <w:szCs w:val="11"/>
                <w:b w:val="1"/>
                <w:bCs w:val="1"/>
                <w:color w:val="auto"/>
                <w:w w:val="98"/>
              </w:rPr>
              <w:t>Market or payout value</w:t>
            </w:r>
          </w:p>
        </w:tc>
        <w:tc>
          <w:tcPr>
            <w:tcW w:w="0" w:type="dxa"/>
            <w:vAlign w:val="bottom"/>
          </w:tcPr>
          <w:p>
            <w:pPr>
              <w:spacing w:after="0"/>
              <w:rPr>
                <w:sz w:val="1"/>
                <w:szCs w:val="1"/>
                <w:color w:val="auto"/>
              </w:rPr>
            </w:pPr>
          </w:p>
        </w:tc>
      </w:tr>
      <w:tr>
        <w:trPr>
          <w:trHeight w:val="135"/>
        </w:trPr>
        <w:tc>
          <w:tcPr>
            <w:tcW w:w="1560" w:type="dxa"/>
            <w:vAlign w:val="bottom"/>
            <w:tcBorders>
              <w:left w:val="single" w:sz="8" w:color="auto"/>
              <w:right w:val="single" w:sz="8" w:color="auto"/>
            </w:tcBorders>
            <w:shd w:val="clear" w:color="auto" w:fill="D9D9D9"/>
          </w:tcPr>
          <w:p>
            <w:pPr>
              <w:spacing w:after="0"/>
              <w:rPr>
                <w:sz w:val="11"/>
                <w:szCs w:val="11"/>
                <w:color w:val="auto"/>
              </w:rPr>
            </w:pPr>
          </w:p>
        </w:tc>
        <w:tc>
          <w:tcPr>
            <w:tcW w:w="1740" w:type="dxa"/>
            <w:vAlign w:val="bottom"/>
            <w:tcBorders>
              <w:right w:val="single" w:sz="8" w:color="auto"/>
            </w:tcBorders>
            <w:shd w:val="clear" w:color="auto" w:fill="D9D9D9"/>
          </w:tcPr>
          <w:p>
            <w:pPr>
              <w:jc w:val="center"/>
              <w:spacing w:after="0"/>
              <w:rPr>
                <w:sz w:val="20"/>
                <w:szCs w:val="20"/>
                <w:color w:val="auto"/>
              </w:rPr>
            </w:pPr>
            <w:r>
              <w:rPr>
                <w:rFonts w:ascii="Times New Roman" w:cs="Times New Roman" w:eastAsia="Times New Roman" w:hAnsi="Times New Roman"/>
                <w:sz w:val="11"/>
                <w:szCs w:val="11"/>
                <w:b w:val="1"/>
                <w:bCs w:val="1"/>
                <w:color w:val="auto"/>
                <w:w w:val="99"/>
              </w:rPr>
              <w:t>unexercised options</w:t>
            </w:r>
          </w:p>
        </w:tc>
        <w:tc>
          <w:tcPr>
            <w:tcW w:w="1340" w:type="dxa"/>
            <w:vAlign w:val="bottom"/>
            <w:tcBorders>
              <w:right w:val="single" w:sz="8" w:color="auto"/>
            </w:tcBorders>
            <w:shd w:val="clear" w:color="auto" w:fill="D9D9D9"/>
          </w:tcPr>
          <w:p>
            <w:pPr>
              <w:jc w:val="center"/>
              <w:spacing w:after="0"/>
              <w:rPr>
                <w:sz w:val="20"/>
                <w:szCs w:val="20"/>
                <w:color w:val="auto"/>
              </w:rPr>
            </w:pPr>
            <w:r>
              <w:rPr>
                <w:rFonts w:ascii="Times New Roman" w:cs="Times New Roman" w:eastAsia="Times New Roman" w:hAnsi="Times New Roman"/>
                <w:sz w:val="11"/>
                <w:szCs w:val="11"/>
                <w:b w:val="1"/>
                <w:bCs w:val="1"/>
                <w:color w:val="auto"/>
                <w:w w:val="93"/>
              </w:rPr>
              <w:t>($)</w:t>
            </w:r>
          </w:p>
        </w:tc>
        <w:tc>
          <w:tcPr>
            <w:tcW w:w="1780" w:type="dxa"/>
            <w:vAlign w:val="bottom"/>
            <w:tcBorders>
              <w:right w:val="single" w:sz="8" w:color="auto"/>
            </w:tcBorders>
            <w:shd w:val="clear" w:color="auto" w:fill="D9D9D9"/>
          </w:tcPr>
          <w:p>
            <w:pPr>
              <w:jc w:val="center"/>
              <w:spacing w:after="0"/>
              <w:rPr>
                <w:sz w:val="20"/>
                <w:szCs w:val="20"/>
                <w:color w:val="auto"/>
              </w:rPr>
            </w:pPr>
            <w:r>
              <w:rPr>
                <w:rFonts w:ascii="Times New Roman" w:cs="Times New Roman" w:eastAsia="Times New Roman" w:hAnsi="Times New Roman"/>
                <w:sz w:val="11"/>
                <w:szCs w:val="11"/>
                <w:b w:val="1"/>
                <w:bCs w:val="1"/>
                <w:color w:val="auto"/>
                <w:w w:val="98"/>
              </w:rPr>
              <w:t>date</w:t>
            </w:r>
          </w:p>
        </w:tc>
        <w:tc>
          <w:tcPr>
            <w:tcW w:w="1260" w:type="dxa"/>
            <w:vAlign w:val="bottom"/>
            <w:tcBorders>
              <w:right w:val="single" w:sz="8" w:color="auto"/>
            </w:tcBorders>
            <w:shd w:val="clear" w:color="auto" w:fill="D9D9D9"/>
          </w:tcPr>
          <w:p>
            <w:pPr>
              <w:jc w:val="center"/>
              <w:spacing w:after="0" w:line="135" w:lineRule="exact"/>
              <w:rPr>
                <w:sz w:val="20"/>
                <w:szCs w:val="20"/>
                <w:color w:val="auto"/>
              </w:rPr>
            </w:pPr>
            <w:r>
              <w:rPr>
                <w:rFonts w:ascii="Times New Roman" w:cs="Times New Roman" w:eastAsia="Times New Roman" w:hAnsi="Times New Roman"/>
                <w:sz w:val="11"/>
                <w:szCs w:val="11"/>
                <w:b w:val="1"/>
                <w:bCs w:val="1"/>
                <w:color w:val="auto"/>
                <w:w w:val="96"/>
              </w:rPr>
              <w:t>the-money options</w:t>
            </w:r>
            <w:r>
              <w:rPr>
                <w:rFonts w:ascii="Times New Roman" w:cs="Times New Roman" w:eastAsia="Times New Roman" w:hAnsi="Times New Roman"/>
                <w:sz w:val="14"/>
                <w:szCs w:val="14"/>
                <w:b w:val="1"/>
                <w:bCs w:val="1"/>
                <w:color w:val="auto"/>
                <w:w w:val="96"/>
                <w:vertAlign w:val="superscript"/>
              </w:rPr>
              <w:t>(1)</w:t>
            </w:r>
          </w:p>
        </w:tc>
        <w:tc>
          <w:tcPr>
            <w:tcW w:w="1160" w:type="dxa"/>
            <w:vAlign w:val="bottom"/>
            <w:tcBorders>
              <w:right w:val="single" w:sz="8" w:color="auto"/>
            </w:tcBorders>
            <w:shd w:val="clear" w:color="auto" w:fill="D9D9D9"/>
          </w:tcPr>
          <w:p>
            <w:pPr>
              <w:jc w:val="center"/>
              <w:spacing w:after="0"/>
              <w:rPr>
                <w:sz w:val="20"/>
                <w:szCs w:val="20"/>
                <w:color w:val="auto"/>
              </w:rPr>
            </w:pPr>
            <w:r>
              <w:rPr>
                <w:rFonts w:ascii="Times New Roman" w:cs="Times New Roman" w:eastAsia="Times New Roman" w:hAnsi="Times New Roman"/>
                <w:sz w:val="11"/>
                <w:szCs w:val="11"/>
                <w:b w:val="1"/>
                <w:bCs w:val="1"/>
                <w:color w:val="auto"/>
                <w:w w:val="98"/>
              </w:rPr>
              <w:t>units of shares that</w:t>
            </w:r>
          </w:p>
        </w:tc>
        <w:tc>
          <w:tcPr>
            <w:tcW w:w="1180" w:type="dxa"/>
            <w:vAlign w:val="bottom"/>
            <w:tcBorders>
              <w:right w:val="single" w:sz="8" w:color="auto"/>
            </w:tcBorders>
            <w:shd w:val="clear" w:color="auto" w:fill="D9D9D9"/>
          </w:tcPr>
          <w:p>
            <w:pPr>
              <w:jc w:val="center"/>
              <w:spacing w:after="0"/>
              <w:rPr>
                <w:sz w:val="20"/>
                <w:szCs w:val="20"/>
                <w:color w:val="auto"/>
              </w:rPr>
            </w:pPr>
            <w:r>
              <w:rPr>
                <w:rFonts w:ascii="Times New Roman" w:cs="Times New Roman" w:eastAsia="Times New Roman" w:hAnsi="Times New Roman"/>
                <w:sz w:val="11"/>
                <w:szCs w:val="11"/>
                <w:b w:val="1"/>
                <w:bCs w:val="1"/>
                <w:color w:val="auto"/>
                <w:w w:val="98"/>
              </w:rPr>
              <w:t>value of share based</w:t>
            </w:r>
          </w:p>
        </w:tc>
        <w:tc>
          <w:tcPr>
            <w:tcW w:w="1300" w:type="dxa"/>
            <w:vAlign w:val="bottom"/>
            <w:tcBorders>
              <w:right w:val="single" w:sz="8" w:color="auto"/>
            </w:tcBorders>
            <w:shd w:val="clear" w:color="auto" w:fill="D9D9D9"/>
          </w:tcPr>
          <w:p>
            <w:pPr>
              <w:jc w:val="center"/>
              <w:spacing w:after="0"/>
              <w:rPr>
                <w:sz w:val="20"/>
                <w:szCs w:val="20"/>
                <w:color w:val="auto"/>
              </w:rPr>
            </w:pPr>
            <w:r>
              <w:rPr>
                <w:rFonts w:ascii="Times New Roman" w:cs="Times New Roman" w:eastAsia="Times New Roman" w:hAnsi="Times New Roman"/>
                <w:sz w:val="11"/>
                <w:szCs w:val="11"/>
                <w:b w:val="1"/>
                <w:bCs w:val="1"/>
                <w:color w:val="auto"/>
                <w:w w:val="97"/>
              </w:rPr>
              <w:t>of vested share-based</w:t>
            </w:r>
          </w:p>
        </w:tc>
        <w:tc>
          <w:tcPr>
            <w:tcW w:w="0" w:type="dxa"/>
            <w:vAlign w:val="bottom"/>
          </w:tcPr>
          <w:p>
            <w:pPr>
              <w:spacing w:after="0"/>
              <w:rPr>
                <w:sz w:val="1"/>
                <w:szCs w:val="1"/>
                <w:color w:val="auto"/>
              </w:rPr>
            </w:pPr>
          </w:p>
        </w:tc>
      </w:tr>
      <w:tr>
        <w:trPr>
          <w:trHeight w:val="126"/>
        </w:trPr>
        <w:tc>
          <w:tcPr>
            <w:tcW w:w="1560" w:type="dxa"/>
            <w:vAlign w:val="bottom"/>
            <w:tcBorders>
              <w:left w:val="single" w:sz="8" w:color="auto"/>
              <w:right w:val="single" w:sz="8" w:color="auto"/>
            </w:tcBorders>
            <w:shd w:val="clear" w:color="auto" w:fill="D9D9D9"/>
          </w:tcPr>
          <w:p>
            <w:pPr>
              <w:spacing w:after="0"/>
              <w:rPr>
                <w:sz w:val="10"/>
                <w:szCs w:val="10"/>
                <w:color w:val="auto"/>
              </w:rPr>
            </w:pPr>
          </w:p>
        </w:tc>
        <w:tc>
          <w:tcPr>
            <w:tcW w:w="1740" w:type="dxa"/>
            <w:vAlign w:val="bottom"/>
            <w:tcBorders>
              <w:right w:val="single" w:sz="8" w:color="auto"/>
            </w:tcBorders>
            <w:shd w:val="clear" w:color="auto" w:fill="D9D9D9"/>
          </w:tcPr>
          <w:p>
            <w:pPr>
              <w:jc w:val="center"/>
              <w:spacing w:after="0"/>
              <w:rPr>
                <w:sz w:val="20"/>
                <w:szCs w:val="20"/>
                <w:color w:val="auto"/>
              </w:rPr>
            </w:pPr>
            <w:r>
              <w:rPr>
                <w:rFonts w:ascii="Times New Roman" w:cs="Times New Roman" w:eastAsia="Times New Roman" w:hAnsi="Times New Roman"/>
                <w:sz w:val="11"/>
                <w:szCs w:val="11"/>
                <w:b w:val="1"/>
                <w:bCs w:val="1"/>
                <w:color w:val="auto"/>
                <w:w w:val="93"/>
              </w:rPr>
              <w:t>(#)</w:t>
            </w:r>
          </w:p>
        </w:tc>
        <w:tc>
          <w:tcPr>
            <w:tcW w:w="1340" w:type="dxa"/>
            <w:vAlign w:val="bottom"/>
            <w:tcBorders>
              <w:right w:val="single" w:sz="8" w:color="auto"/>
            </w:tcBorders>
            <w:shd w:val="clear" w:color="auto" w:fill="D9D9D9"/>
          </w:tcPr>
          <w:p>
            <w:pPr>
              <w:spacing w:after="0"/>
              <w:rPr>
                <w:sz w:val="10"/>
                <w:szCs w:val="10"/>
                <w:color w:val="auto"/>
              </w:rPr>
            </w:pPr>
          </w:p>
        </w:tc>
        <w:tc>
          <w:tcPr>
            <w:tcW w:w="1780" w:type="dxa"/>
            <w:vAlign w:val="bottom"/>
            <w:tcBorders>
              <w:right w:val="single" w:sz="8" w:color="auto"/>
            </w:tcBorders>
            <w:shd w:val="clear" w:color="auto" w:fill="D9D9D9"/>
          </w:tcPr>
          <w:p>
            <w:pPr>
              <w:spacing w:after="0"/>
              <w:rPr>
                <w:sz w:val="10"/>
                <w:szCs w:val="10"/>
                <w:color w:val="auto"/>
              </w:rPr>
            </w:pPr>
          </w:p>
        </w:tc>
        <w:tc>
          <w:tcPr>
            <w:tcW w:w="1260" w:type="dxa"/>
            <w:vAlign w:val="bottom"/>
            <w:tcBorders>
              <w:right w:val="single" w:sz="8" w:color="auto"/>
            </w:tcBorders>
            <w:shd w:val="clear" w:color="auto" w:fill="D9D9D9"/>
          </w:tcPr>
          <w:p>
            <w:pPr>
              <w:jc w:val="center"/>
              <w:ind w:right="6"/>
              <w:spacing w:after="0"/>
              <w:rPr>
                <w:sz w:val="20"/>
                <w:szCs w:val="20"/>
                <w:color w:val="auto"/>
              </w:rPr>
            </w:pPr>
            <w:r>
              <w:rPr>
                <w:rFonts w:ascii="Times New Roman" w:cs="Times New Roman" w:eastAsia="Times New Roman" w:hAnsi="Times New Roman"/>
                <w:sz w:val="11"/>
                <w:szCs w:val="11"/>
                <w:b w:val="1"/>
                <w:bCs w:val="1"/>
                <w:color w:val="auto"/>
                <w:w w:val="93"/>
              </w:rPr>
              <w:t>($)</w:t>
            </w:r>
          </w:p>
        </w:tc>
        <w:tc>
          <w:tcPr>
            <w:tcW w:w="1160" w:type="dxa"/>
            <w:vAlign w:val="bottom"/>
            <w:tcBorders>
              <w:right w:val="single" w:sz="8" w:color="auto"/>
            </w:tcBorders>
            <w:shd w:val="clear" w:color="auto" w:fill="D9D9D9"/>
          </w:tcPr>
          <w:p>
            <w:pPr>
              <w:jc w:val="center"/>
              <w:spacing w:after="0"/>
              <w:rPr>
                <w:sz w:val="20"/>
                <w:szCs w:val="20"/>
                <w:color w:val="auto"/>
              </w:rPr>
            </w:pPr>
            <w:r>
              <w:rPr>
                <w:rFonts w:ascii="Times New Roman" w:cs="Times New Roman" w:eastAsia="Times New Roman" w:hAnsi="Times New Roman"/>
                <w:sz w:val="11"/>
                <w:szCs w:val="11"/>
                <w:b w:val="1"/>
                <w:bCs w:val="1"/>
                <w:color w:val="auto"/>
                <w:w w:val="99"/>
              </w:rPr>
              <w:t>have not vested</w:t>
            </w:r>
          </w:p>
        </w:tc>
        <w:tc>
          <w:tcPr>
            <w:tcW w:w="1180" w:type="dxa"/>
            <w:vAlign w:val="bottom"/>
            <w:tcBorders>
              <w:right w:val="single" w:sz="8" w:color="auto"/>
            </w:tcBorders>
            <w:shd w:val="clear" w:color="auto" w:fill="D9D9D9"/>
          </w:tcPr>
          <w:p>
            <w:pPr>
              <w:jc w:val="center"/>
              <w:spacing w:after="0"/>
              <w:rPr>
                <w:sz w:val="20"/>
                <w:szCs w:val="20"/>
                <w:color w:val="auto"/>
              </w:rPr>
            </w:pPr>
            <w:r>
              <w:rPr>
                <w:rFonts w:ascii="Times New Roman" w:cs="Times New Roman" w:eastAsia="Times New Roman" w:hAnsi="Times New Roman"/>
                <w:sz w:val="11"/>
                <w:szCs w:val="11"/>
                <w:b w:val="1"/>
                <w:bCs w:val="1"/>
                <w:color w:val="auto"/>
                <w:w w:val="99"/>
              </w:rPr>
              <w:t>awards that have not</w:t>
            </w:r>
          </w:p>
        </w:tc>
        <w:tc>
          <w:tcPr>
            <w:tcW w:w="1300" w:type="dxa"/>
            <w:vAlign w:val="bottom"/>
            <w:tcBorders>
              <w:right w:val="single" w:sz="8" w:color="auto"/>
            </w:tcBorders>
            <w:shd w:val="clear" w:color="auto" w:fill="D9D9D9"/>
          </w:tcPr>
          <w:p>
            <w:pPr>
              <w:jc w:val="center"/>
              <w:spacing w:after="0"/>
              <w:rPr>
                <w:sz w:val="20"/>
                <w:szCs w:val="20"/>
                <w:color w:val="auto"/>
              </w:rPr>
            </w:pPr>
            <w:r>
              <w:rPr>
                <w:rFonts w:ascii="Times New Roman" w:cs="Times New Roman" w:eastAsia="Times New Roman" w:hAnsi="Times New Roman"/>
                <w:sz w:val="11"/>
                <w:szCs w:val="11"/>
                <w:b w:val="1"/>
                <w:bCs w:val="1"/>
                <w:color w:val="auto"/>
                <w:w w:val="99"/>
              </w:rPr>
              <w:t>awards not paid out or</w:t>
            </w:r>
          </w:p>
        </w:tc>
        <w:tc>
          <w:tcPr>
            <w:tcW w:w="0" w:type="dxa"/>
            <w:vAlign w:val="bottom"/>
          </w:tcPr>
          <w:p>
            <w:pPr>
              <w:spacing w:after="0"/>
              <w:rPr>
                <w:sz w:val="1"/>
                <w:szCs w:val="1"/>
                <w:color w:val="auto"/>
              </w:rPr>
            </w:pPr>
          </w:p>
        </w:tc>
      </w:tr>
      <w:tr>
        <w:trPr>
          <w:trHeight w:val="135"/>
        </w:trPr>
        <w:tc>
          <w:tcPr>
            <w:tcW w:w="1560" w:type="dxa"/>
            <w:vAlign w:val="bottom"/>
            <w:tcBorders>
              <w:left w:val="single" w:sz="8" w:color="auto"/>
              <w:right w:val="single" w:sz="8" w:color="auto"/>
            </w:tcBorders>
            <w:shd w:val="clear" w:color="auto" w:fill="D9D9D9"/>
          </w:tcPr>
          <w:p>
            <w:pPr>
              <w:spacing w:after="0"/>
              <w:rPr>
                <w:sz w:val="11"/>
                <w:szCs w:val="11"/>
                <w:color w:val="auto"/>
              </w:rPr>
            </w:pPr>
          </w:p>
        </w:tc>
        <w:tc>
          <w:tcPr>
            <w:tcW w:w="1740" w:type="dxa"/>
            <w:vAlign w:val="bottom"/>
            <w:tcBorders>
              <w:right w:val="single" w:sz="8" w:color="auto"/>
            </w:tcBorders>
            <w:shd w:val="clear" w:color="auto" w:fill="D9D9D9"/>
          </w:tcPr>
          <w:p>
            <w:pPr>
              <w:spacing w:after="0"/>
              <w:rPr>
                <w:sz w:val="11"/>
                <w:szCs w:val="11"/>
                <w:color w:val="auto"/>
              </w:rPr>
            </w:pPr>
          </w:p>
        </w:tc>
        <w:tc>
          <w:tcPr>
            <w:tcW w:w="1340" w:type="dxa"/>
            <w:vAlign w:val="bottom"/>
            <w:tcBorders>
              <w:right w:val="single" w:sz="8" w:color="auto"/>
            </w:tcBorders>
            <w:shd w:val="clear" w:color="auto" w:fill="D9D9D9"/>
          </w:tcPr>
          <w:p>
            <w:pPr>
              <w:spacing w:after="0"/>
              <w:rPr>
                <w:sz w:val="11"/>
                <w:szCs w:val="11"/>
                <w:color w:val="auto"/>
              </w:rPr>
            </w:pPr>
          </w:p>
        </w:tc>
        <w:tc>
          <w:tcPr>
            <w:tcW w:w="1780" w:type="dxa"/>
            <w:vAlign w:val="bottom"/>
            <w:tcBorders>
              <w:right w:val="single" w:sz="8" w:color="auto"/>
            </w:tcBorders>
            <w:shd w:val="clear" w:color="auto" w:fill="D9D9D9"/>
          </w:tcPr>
          <w:p>
            <w:pPr>
              <w:spacing w:after="0"/>
              <w:rPr>
                <w:sz w:val="11"/>
                <w:szCs w:val="11"/>
                <w:color w:val="auto"/>
              </w:rPr>
            </w:pPr>
          </w:p>
        </w:tc>
        <w:tc>
          <w:tcPr>
            <w:tcW w:w="1260" w:type="dxa"/>
            <w:vAlign w:val="bottom"/>
            <w:tcBorders>
              <w:right w:val="single" w:sz="8" w:color="auto"/>
            </w:tcBorders>
            <w:shd w:val="clear" w:color="auto" w:fill="D9D9D9"/>
          </w:tcPr>
          <w:p>
            <w:pPr>
              <w:spacing w:after="0"/>
              <w:rPr>
                <w:sz w:val="11"/>
                <w:szCs w:val="11"/>
                <w:color w:val="auto"/>
              </w:rPr>
            </w:pPr>
          </w:p>
        </w:tc>
        <w:tc>
          <w:tcPr>
            <w:tcW w:w="1160" w:type="dxa"/>
            <w:vAlign w:val="bottom"/>
            <w:tcBorders>
              <w:right w:val="single" w:sz="8" w:color="auto"/>
            </w:tcBorders>
            <w:shd w:val="clear" w:color="auto" w:fill="D9D9D9"/>
          </w:tcPr>
          <w:p>
            <w:pPr>
              <w:jc w:val="center"/>
              <w:spacing w:after="0"/>
              <w:rPr>
                <w:sz w:val="20"/>
                <w:szCs w:val="20"/>
                <w:color w:val="auto"/>
              </w:rPr>
            </w:pPr>
            <w:r>
              <w:rPr>
                <w:rFonts w:ascii="Times New Roman" w:cs="Times New Roman" w:eastAsia="Times New Roman" w:hAnsi="Times New Roman"/>
                <w:sz w:val="11"/>
                <w:szCs w:val="11"/>
                <w:b w:val="1"/>
                <w:bCs w:val="1"/>
                <w:color w:val="auto"/>
                <w:w w:val="93"/>
              </w:rPr>
              <w:t>(#)</w:t>
            </w:r>
          </w:p>
        </w:tc>
        <w:tc>
          <w:tcPr>
            <w:tcW w:w="1180" w:type="dxa"/>
            <w:vAlign w:val="bottom"/>
            <w:tcBorders>
              <w:right w:val="single" w:sz="8" w:color="auto"/>
            </w:tcBorders>
            <w:shd w:val="clear" w:color="auto" w:fill="D9D9D9"/>
          </w:tcPr>
          <w:p>
            <w:pPr>
              <w:jc w:val="center"/>
              <w:spacing w:after="0"/>
              <w:rPr>
                <w:sz w:val="20"/>
                <w:szCs w:val="20"/>
                <w:color w:val="auto"/>
              </w:rPr>
            </w:pPr>
            <w:r>
              <w:rPr>
                <w:rFonts w:ascii="Times New Roman" w:cs="Times New Roman" w:eastAsia="Times New Roman" w:hAnsi="Times New Roman"/>
                <w:sz w:val="11"/>
                <w:szCs w:val="11"/>
                <w:b w:val="1"/>
                <w:bCs w:val="1"/>
                <w:color w:val="auto"/>
              </w:rPr>
              <w:t>vested</w:t>
            </w:r>
          </w:p>
        </w:tc>
        <w:tc>
          <w:tcPr>
            <w:tcW w:w="1300" w:type="dxa"/>
            <w:vAlign w:val="bottom"/>
            <w:tcBorders>
              <w:right w:val="single" w:sz="8" w:color="auto"/>
            </w:tcBorders>
            <w:shd w:val="clear" w:color="auto" w:fill="D9D9D9"/>
          </w:tcPr>
          <w:p>
            <w:pPr>
              <w:jc w:val="center"/>
              <w:spacing w:after="0"/>
              <w:rPr>
                <w:sz w:val="20"/>
                <w:szCs w:val="20"/>
                <w:color w:val="auto"/>
              </w:rPr>
            </w:pPr>
            <w:r>
              <w:rPr>
                <w:rFonts w:ascii="Times New Roman" w:cs="Times New Roman" w:eastAsia="Times New Roman" w:hAnsi="Times New Roman"/>
                <w:sz w:val="11"/>
                <w:szCs w:val="11"/>
                <w:b w:val="1"/>
                <w:bCs w:val="1"/>
                <w:color w:val="auto"/>
                <w:w w:val="96"/>
              </w:rPr>
              <w:t>distributed</w:t>
            </w:r>
          </w:p>
        </w:tc>
        <w:tc>
          <w:tcPr>
            <w:tcW w:w="0" w:type="dxa"/>
            <w:vAlign w:val="bottom"/>
          </w:tcPr>
          <w:p>
            <w:pPr>
              <w:spacing w:after="0"/>
              <w:rPr>
                <w:sz w:val="1"/>
                <w:szCs w:val="1"/>
                <w:color w:val="auto"/>
              </w:rPr>
            </w:pPr>
          </w:p>
        </w:tc>
      </w:tr>
      <w:tr>
        <w:trPr>
          <w:trHeight w:val="149"/>
        </w:trPr>
        <w:tc>
          <w:tcPr>
            <w:tcW w:w="1560" w:type="dxa"/>
            <w:vAlign w:val="bottom"/>
            <w:tcBorders>
              <w:left w:val="single" w:sz="8" w:color="auto"/>
              <w:bottom w:val="single" w:sz="8" w:color="auto"/>
              <w:right w:val="single" w:sz="8" w:color="auto"/>
            </w:tcBorders>
            <w:shd w:val="clear" w:color="auto" w:fill="D9D9D9"/>
          </w:tcPr>
          <w:p>
            <w:pPr>
              <w:spacing w:after="0"/>
              <w:rPr>
                <w:sz w:val="12"/>
                <w:szCs w:val="12"/>
                <w:color w:val="auto"/>
              </w:rPr>
            </w:pPr>
          </w:p>
        </w:tc>
        <w:tc>
          <w:tcPr>
            <w:tcW w:w="1740" w:type="dxa"/>
            <w:vAlign w:val="bottom"/>
            <w:tcBorders>
              <w:bottom w:val="single" w:sz="8" w:color="auto"/>
              <w:right w:val="single" w:sz="8" w:color="auto"/>
            </w:tcBorders>
            <w:shd w:val="clear" w:color="auto" w:fill="D9D9D9"/>
          </w:tcPr>
          <w:p>
            <w:pPr>
              <w:spacing w:after="0"/>
              <w:rPr>
                <w:sz w:val="12"/>
                <w:szCs w:val="12"/>
                <w:color w:val="auto"/>
              </w:rPr>
            </w:pPr>
          </w:p>
        </w:tc>
        <w:tc>
          <w:tcPr>
            <w:tcW w:w="1340" w:type="dxa"/>
            <w:vAlign w:val="bottom"/>
            <w:tcBorders>
              <w:bottom w:val="single" w:sz="8" w:color="auto"/>
              <w:right w:val="single" w:sz="8" w:color="auto"/>
            </w:tcBorders>
            <w:shd w:val="clear" w:color="auto" w:fill="D9D9D9"/>
          </w:tcPr>
          <w:p>
            <w:pPr>
              <w:spacing w:after="0"/>
              <w:rPr>
                <w:sz w:val="12"/>
                <w:szCs w:val="12"/>
                <w:color w:val="auto"/>
              </w:rPr>
            </w:pPr>
          </w:p>
        </w:tc>
        <w:tc>
          <w:tcPr>
            <w:tcW w:w="1780" w:type="dxa"/>
            <w:vAlign w:val="bottom"/>
            <w:tcBorders>
              <w:bottom w:val="single" w:sz="8" w:color="auto"/>
              <w:right w:val="single" w:sz="8" w:color="auto"/>
            </w:tcBorders>
            <w:shd w:val="clear" w:color="auto" w:fill="D9D9D9"/>
          </w:tcPr>
          <w:p>
            <w:pPr>
              <w:spacing w:after="0"/>
              <w:rPr>
                <w:sz w:val="12"/>
                <w:szCs w:val="12"/>
                <w:color w:val="auto"/>
              </w:rPr>
            </w:pPr>
          </w:p>
        </w:tc>
        <w:tc>
          <w:tcPr>
            <w:tcW w:w="1260" w:type="dxa"/>
            <w:vAlign w:val="bottom"/>
            <w:tcBorders>
              <w:bottom w:val="single" w:sz="8" w:color="auto"/>
              <w:right w:val="single" w:sz="8" w:color="auto"/>
            </w:tcBorders>
            <w:shd w:val="clear" w:color="auto" w:fill="D9D9D9"/>
          </w:tcPr>
          <w:p>
            <w:pPr>
              <w:spacing w:after="0"/>
              <w:rPr>
                <w:sz w:val="12"/>
                <w:szCs w:val="12"/>
                <w:color w:val="auto"/>
              </w:rPr>
            </w:pPr>
          </w:p>
        </w:tc>
        <w:tc>
          <w:tcPr>
            <w:tcW w:w="1160" w:type="dxa"/>
            <w:vAlign w:val="bottom"/>
            <w:tcBorders>
              <w:bottom w:val="single" w:sz="8" w:color="auto"/>
              <w:right w:val="single" w:sz="8" w:color="auto"/>
            </w:tcBorders>
            <w:shd w:val="clear" w:color="auto" w:fill="D9D9D9"/>
          </w:tcPr>
          <w:p>
            <w:pPr>
              <w:spacing w:after="0"/>
              <w:rPr>
                <w:sz w:val="12"/>
                <w:szCs w:val="12"/>
                <w:color w:val="auto"/>
              </w:rPr>
            </w:pPr>
          </w:p>
        </w:tc>
        <w:tc>
          <w:tcPr>
            <w:tcW w:w="1180" w:type="dxa"/>
            <w:vAlign w:val="bottom"/>
            <w:tcBorders>
              <w:bottom w:val="single" w:sz="8" w:color="auto"/>
              <w:right w:val="single" w:sz="8" w:color="auto"/>
            </w:tcBorders>
            <w:shd w:val="clear" w:color="auto" w:fill="D9D9D9"/>
          </w:tcPr>
          <w:p>
            <w:pPr>
              <w:jc w:val="center"/>
              <w:spacing w:after="0"/>
              <w:rPr>
                <w:sz w:val="20"/>
                <w:szCs w:val="20"/>
                <w:color w:val="auto"/>
              </w:rPr>
            </w:pPr>
            <w:r>
              <w:rPr>
                <w:rFonts w:ascii="Times New Roman" w:cs="Times New Roman" w:eastAsia="Times New Roman" w:hAnsi="Times New Roman"/>
                <w:sz w:val="11"/>
                <w:szCs w:val="11"/>
                <w:b w:val="1"/>
                <w:bCs w:val="1"/>
                <w:color w:val="auto"/>
              </w:rPr>
              <w:t>($)</w:t>
            </w:r>
          </w:p>
        </w:tc>
        <w:tc>
          <w:tcPr>
            <w:tcW w:w="1300" w:type="dxa"/>
            <w:vAlign w:val="bottom"/>
            <w:tcBorders>
              <w:bottom w:val="single" w:sz="8" w:color="auto"/>
              <w:right w:val="single" w:sz="8" w:color="auto"/>
            </w:tcBorders>
            <w:shd w:val="clear" w:color="auto" w:fill="D9D9D9"/>
          </w:tcPr>
          <w:p>
            <w:pPr>
              <w:jc w:val="center"/>
              <w:spacing w:after="0"/>
              <w:rPr>
                <w:sz w:val="20"/>
                <w:szCs w:val="20"/>
                <w:color w:val="auto"/>
              </w:rPr>
            </w:pPr>
            <w:r>
              <w:rPr>
                <w:rFonts w:ascii="Times New Roman" w:cs="Times New Roman" w:eastAsia="Times New Roman" w:hAnsi="Times New Roman"/>
                <w:sz w:val="11"/>
                <w:szCs w:val="11"/>
                <w:b w:val="1"/>
                <w:bCs w:val="1"/>
                <w:color w:val="auto"/>
              </w:rPr>
              <w:t>($)</w:t>
            </w:r>
          </w:p>
        </w:tc>
        <w:tc>
          <w:tcPr>
            <w:tcW w:w="0" w:type="dxa"/>
            <w:vAlign w:val="bottom"/>
          </w:tcPr>
          <w:p>
            <w:pPr>
              <w:spacing w:after="0"/>
              <w:rPr>
                <w:sz w:val="1"/>
                <w:szCs w:val="1"/>
                <w:color w:val="auto"/>
              </w:rPr>
            </w:pPr>
          </w:p>
        </w:tc>
      </w:tr>
      <w:tr>
        <w:trPr>
          <w:trHeight w:val="130"/>
        </w:trPr>
        <w:tc>
          <w:tcPr>
            <w:tcW w:w="1560" w:type="dxa"/>
            <w:vAlign w:val="bottom"/>
            <w:tcBorders>
              <w:left w:val="single" w:sz="8" w:color="auto"/>
              <w:right w:val="single" w:sz="8" w:color="auto"/>
            </w:tcBorders>
            <w:vMerge w:val="restart"/>
          </w:tcPr>
          <w:p>
            <w:pPr>
              <w:ind w:left="40"/>
              <w:spacing w:after="0"/>
              <w:rPr>
                <w:sz w:val="20"/>
                <w:szCs w:val="20"/>
                <w:color w:val="auto"/>
              </w:rPr>
            </w:pPr>
            <w:r>
              <w:rPr>
                <w:rFonts w:ascii="Times New Roman" w:cs="Times New Roman" w:eastAsia="Times New Roman" w:hAnsi="Times New Roman"/>
                <w:sz w:val="11"/>
                <w:szCs w:val="11"/>
                <w:color w:val="auto"/>
              </w:rPr>
              <w:t>Grant Froese</w:t>
            </w:r>
          </w:p>
        </w:tc>
        <w:tc>
          <w:tcPr>
            <w:tcW w:w="17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1"/>
                <w:szCs w:val="11"/>
                <w:color w:val="auto"/>
                <w:w w:val="96"/>
              </w:rPr>
              <w:t>5,132</w:t>
            </w:r>
          </w:p>
        </w:tc>
        <w:tc>
          <w:tcPr>
            <w:tcW w:w="13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1"/>
                <w:szCs w:val="11"/>
                <w:color w:val="auto"/>
                <w:w w:val="99"/>
              </w:rPr>
              <w:t>$16.72</w:t>
            </w:r>
          </w:p>
        </w:tc>
        <w:tc>
          <w:tcPr>
            <w:tcW w:w="17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1"/>
                <w:szCs w:val="11"/>
                <w:color w:val="auto"/>
                <w:w w:val="97"/>
              </w:rPr>
              <w:t>June 30, 2028</w:t>
            </w:r>
          </w:p>
        </w:tc>
        <w:tc>
          <w:tcPr>
            <w:tcW w:w="1260" w:type="dxa"/>
            <w:vAlign w:val="bottom"/>
            <w:tcBorders>
              <w:right w:val="single" w:sz="8" w:color="auto"/>
            </w:tcBorders>
          </w:tcPr>
          <w:p>
            <w:pPr>
              <w:jc w:val="center"/>
              <w:ind w:right="6"/>
              <w:spacing w:after="0"/>
              <w:rPr>
                <w:sz w:val="20"/>
                <w:szCs w:val="20"/>
                <w:color w:val="auto"/>
              </w:rPr>
            </w:pPr>
            <w:r>
              <w:rPr>
                <w:rFonts w:ascii="Times New Roman" w:cs="Times New Roman" w:eastAsia="Times New Roman" w:hAnsi="Times New Roman"/>
                <w:sz w:val="11"/>
                <w:szCs w:val="11"/>
                <w:color w:val="auto"/>
              </w:rPr>
              <w:t>-</w:t>
            </w:r>
          </w:p>
        </w:tc>
        <w:tc>
          <w:tcPr>
            <w:tcW w:w="11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1"/>
                <w:szCs w:val="11"/>
                <w:color w:val="auto"/>
              </w:rPr>
              <w:t>-</w:t>
            </w:r>
          </w:p>
        </w:tc>
        <w:tc>
          <w:tcPr>
            <w:tcW w:w="11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8"/>
                <w:szCs w:val="8"/>
                <w:color w:val="auto"/>
                <w:w w:val="73"/>
              </w:rPr>
              <w:t>-</w:t>
            </w:r>
          </w:p>
        </w:tc>
        <w:tc>
          <w:tcPr>
            <w:tcW w:w="13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8"/>
                <w:szCs w:val="8"/>
                <w:color w:val="auto"/>
                <w:w w:val="73"/>
              </w:rPr>
              <w:t>-</w:t>
            </w:r>
          </w:p>
        </w:tc>
        <w:tc>
          <w:tcPr>
            <w:tcW w:w="0" w:type="dxa"/>
            <w:vAlign w:val="bottom"/>
          </w:tcPr>
          <w:p>
            <w:pPr>
              <w:spacing w:after="0"/>
              <w:rPr>
                <w:sz w:val="1"/>
                <w:szCs w:val="1"/>
                <w:color w:val="auto"/>
              </w:rPr>
            </w:pPr>
          </w:p>
        </w:tc>
      </w:tr>
      <w:tr>
        <w:trPr>
          <w:trHeight w:val="77"/>
        </w:trPr>
        <w:tc>
          <w:tcPr>
            <w:tcW w:w="1560" w:type="dxa"/>
            <w:vAlign w:val="bottom"/>
            <w:tcBorders>
              <w:left w:val="single" w:sz="8" w:color="auto"/>
              <w:right w:val="single" w:sz="8" w:color="auto"/>
            </w:tcBorders>
            <w:vMerge w:val="continue"/>
          </w:tcPr>
          <w:p>
            <w:pPr>
              <w:spacing w:after="0"/>
              <w:rPr>
                <w:sz w:val="6"/>
                <w:szCs w:val="6"/>
                <w:color w:val="auto"/>
              </w:rPr>
            </w:pPr>
          </w:p>
        </w:tc>
        <w:tc>
          <w:tcPr>
            <w:tcW w:w="174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1"/>
                <w:szCs w:val="11"/>
                <w:color w:val="auto"/>
                <w:w w:val="99"/>
              </w:rPr>
              <w:t>24,868</w:t>
            </w:r>
          </w:p>
        </w:tc>
        <w:tc>
          <w:tcPr>
            <w:tcW w:w="134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1"/>
                <w:szCs w:val="11"/>
                <w:color w:val="auto"/>
                <w:w w:val="92"/>
              </w:rPr>
              <w:t>$13.11</w:t>
            </w:r>
          </w:p>
        </w:tc>
        <w:tc>
          <w:tcPr>
            <w:tcW w:w="178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1"/>
                <w:szCs w:val="11"/>
                <w:color w:val="auto"/>
                <w:w w:val="98"/>
              </w:rPr>
              <w:t>August 15, 2034</w:t>
            </w:r>
          </w:p>
        </w:tc>
        <w:tc>
          <w:tcPr>
            <w:tcW w:w="1260" w:type="dxa"/>
            <w:vAlign w:val="bottom"/>
            <w:tcBorders>
              <w:right w:val="single" w:sz="8" w:color="auto"/>
            </w:tcBorders>
            <w:vMerge w:val="restart"/>
          </w:tcPr>
          <w:p>
            <w:pPr>
              <w:jc w:val="center"/>
              <w:ind w:right="6"/>
              <w:spacing w:after="0"/>
              <w:rPr>
                <w:sz w:val="20"/>
                <w:szCs w:val="20"/>
                <w:color w:val="auto"/>
              </w:rPr>
            </w:pPr>
            <w:r>
              <w:rPr>
                <w:rFonts w:ascii="Times New Roman" w:cs="Times New Roman" w:eastAsia="Times New Roman" w:hAnsi="Times New Roman"/>
                <w:sz w:val="11"/>
                <w:szCs w:val="11"/>
                <w:color w:val="auto"/>
              </w:rPr>
              <w:t>-</w:t>
            </w:r>
          </w:p>
        </w:tc>
        <w:tc>
          <w:tcPr>
            <w:tcW w:w="1160" w:type="dxa"/>
            <w:vAlign w:val="bottom"/>
            <w:tcBorders>
              <w:right w:val="single" w:sz="8" w:color="auto"/>
            </w:tcBorders>
          </w:tcPr>
          <w:p>
            <w:pPr>
              <w:spacing w:after="0"/>
              <w:rPr>
                <w:sz w:val="6"/>
                <w:szCs w:val="6"/>
                <w:color w:val="auto"/>
              </w:rPr>
            </w:pPr>
          </w:p>
        </w:tc>
        <w:tc>
          <w:tcPr>
            <w:tcW w:w="1180" w:type="dxa"/>
            <w:vAlign w:val="bottom"/>
            <w:tcBorders>
              <w:right w:val="single" w:sz="8" w:color="auto"/>
            </w:tcBorders>
          </w:tcPr>
          <w:p>
            <w:pPr>
              <w:spacing w:after="0"/>
              <w:rPr>
                <w:sz w:val="6"/>
                <w:szCs w:val="6"/>
                <w:color w:val="auto"/>
              </w:rPr>
            </w:pPr>
          </w:p>
        </w:tc>
        <w:tc>
          <w:tcPr>
            <w:tcW w:w="1300" w:type="dxa"/>
            <w:vAlign w:val="bottom"/>
            <w:tcBorders>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63"/>
        </w:trPr>
        <w:tc>
          <w:tcPr>
            <w:tcW w:w="1560" w:type="dxa"/>
            <w:vAlign w:val="bottom"/>
            <w:tcBorders>
              <w:left w:val="single" w:sz="8" w:color="auto"/>
              <w:right w:val="single" w:sz="8" w:color="auto"/>
            </w:tcBorders>
          </w:tcPr>
          <w:p>
            <w:pPr>
              <w:spacing w:after="0"/>
              <w:rPr>
                <w:sz w:val="5"/>
                <w:szCs w:val="5"/>
                <w:color w:val="auto"/>
              </w:rPr>
            </w:pPr>
          </w:p>
        </w:tc>
        <w:tc>
          <w:tcPr>
            <w:tcW w:w="1740" w:type="dxa"/>
            <w:vAlign w:val="bottom"/>
            <w:tcBorders>
              <w:right w:val="single" w:sz="8" w:color="auto"/>
            </w:tcBorders>
            <w:vMerge w:val="continue"/>
          </w:tcPr>
          <w:p>
            <w:pPr>
              <w:spacing w:after="0"/>
              <w:rPr>
                <w:sz w:val="5"/>
                <w:szCs w:val="5"/>
                <w:color w:val="auto"/>
              </w:rPr>
            </w:pPr>
          </w:p>
        </w:tc>
        <w:tc>
          <w:tcPr>
            <w:tcW w:w="1340" w:type="dxa"/>
            <w:vAlign w:val="bottom"/>
            <w:tcBorders>
              <w:right w:val="single" w:sz="8" w:color="auto"/>
            </w:tcBorders>
            <w:vMerge w:val="continue"/>
          </w:tcPr>
          <w:p>
            <w:pPr>
              <w:spacing w:after="0"/>
              <w:rPr>
                <w:sz w:val="5"/>
                <w:szCs w:val="5"/>
                <w:color w:val="auto"/>
              </w:rPr>
            </w:pPr>
          </w:p>
        </w:tc>
        <w:tc>
          <w:tcPr>
            <w:tcW w:w="1780" w:type="dxa"/>
            <w:vAlign w:val="bottom"/>
            <w:tcBorders>
              <w:right w:val="single" w:sz="8" w:color="auto"/>
            </w:tcBorders>
            <w:vMerge w:val="continue"/>
          </w:tcPr>
          <w:p>
            <w:pPr>
              <w:spacing w:after="0"/>
              <w:rPr>
                <w:sz w:val="5"/>
                <w:szCs w:val="5"/>
                <w:color w:val="auto"/>
              </w:rPr>
            </w:pPr>
          </w:p>
        </w:tc>
        <w:tc>
          <w:tcPr>
            <w:tcW w:w="1260" w:type="dxa"/>
            <w:vAlign w:val="bottom"/>
            <w:tcBorders>
              <w:right w:val="single" w:sz="8" w:color="auto"/>
            </w:tcBorders>
            <w:vMerge w:val="continue"/>
          </w:tcPr>
          <w:p>
            <w:pPr>
              <w:spacing w:after="0"/>
              <w:rPr>
                <w:sz w:val="5"/>
                <w:szCs w:val="5"/>
                <w:color w:val="auto"/>
              </w:rPr>
            </w:pPr>
          </w:p>
        </w:tc>
        <w:tc>
          <w:tcPr>
            <w:tcW w:w="1160" w:type="dxa"/>
            <w:vAlign w:val="bottom"/>
            <w:tcBorders>
              <w:right w:val="single" w:sz="8" w:color="auto"/>
            </w:tcBorders>
          </w:tcPr>
          <w:p>
            <w:pPr>
              <w:spacing w:after="0"/>
              <w:rPr>
                <w:sz w:val="5"/>
                <w:szCs w:val="5"/>
                <w:color w:val="auto"/>
              </w:rPr>
            </w:pPr>
          </w:p>
        </w:tc>
        <w:tc>
          <w:tcPr>
            <w:tcW w:w="1180" w:type="dxa"/>
            <w:vAlign w:val="bottom"/>
            <w:tcBorders>
              <w:right w:val="single" w:sz="8" w:color="auto"/>
            </w:tcBorders>
          </w:tcPr>
          <w:p>
            <w:pPr>
              <w:spacing w:after="0"/>
              <w:rPr>
                <w:sz w:val="5"/>
                <w:szCs w:val="5"/>
                <w:color w:val="auto"/>
              </w:rPr>
            </w:pPr>
          </w:p>
        </w:tc>
        <w:tc>
          <w:tcPr>
            <w:tcW w:w="1300" w:type="dxa"/>
            <w:vAlign w:val="bottom"/>
            <w:tcBorders>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2"/>
        </w:trPr>
        <w:tc>
          <w:tcPr>
            <w:tcW w:w="156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1740" w:type="dxa"/>
            <w:vAlign w:val="bottom"/>
            <w:tcBorders>
              <w:bottom w:val="single" w:sz="8" w:color="auto"/>
              <w:right w:val="single" w:sz="8" w:color="auto"/>
            </w:tcBorders>
          </w:tcPr>
          <w:p>
            <w:pPr>
              <w:spacing w:after="0" w:line="20" w:lineRule="exact"/>
              <w:rPr>
                <w:sz w:val="1"/>
                <w:szCs w:val="1"/>
                <w:color w:val="auto"/>
              </w:rPr>
            </w:pPr>
          </w:p>
        </w:tc>
        <w:tc>
          <w:tcPr>
            <w:tcW w:w="1340" w:type="dxa"/>
            <w:vAlign w:val="bottom"/>
            <w:tcBorders>
              <w:bottom w:val="single" w:sz="8" w:color="auto"/>
              <w:right w:val="single" w:sz="8" w:color="auto"/>
            </w:tcBorders>
          </w:tcPr>
          <w:p>
            <w:pPr>
              <w:spacing w:after="0" w:line="20" w:lineRule="exact"/>
              <w:rPr>
                <w:sz w:val="1"/>
                <w:szCs w:val="1"/>
                <w:color w:val="auto"/>
              </w:rPr>
            </w:pPr>
          </w:p>
        </w:tc>
        <w:tc>
          <w:tcPr>
            <w:tcW w:w="1780" w:type="dxa"/>
            <w:vAlign w:val="bottom"/>
            <w:tcBorders>
              <w:bottom w:val="single" w:sz="8" w:color="auto"/>
              <w:right w:val="single" w:sz="8" w:color="auto"/>
            </w:tcBorders>
          </w:tcPr>
          <w:p>
            <w:pPr>
              <w:spacing w:after="0" w:line="20" w:lineRule="exact"/>
              <w:rPr>
                <w:sz w:val="1"/>
                <w:szCs w:val="1"/>
                <w:color w:val="auto"/>
              </w:rPr>
            </w:pPr>
          </w:p>
        </w:tc>
        <w:tc>
          <w:tcPr>
            <w:tcW w:w="1260" w:type="dxa"/>
            <w:vAlign w:val="bottom"/>
            <w:tcBorders>
              <w:bottom w:val="single" w:sz="8" w:color="auto"/>
              <w:right w:val="single" w:sz="8" w:color="auto"/>
            </w:tcBorders>
          </w:tcPr>
          <w:p>
            <w:pPr>
              <w:spacing w:after="0" w:line="20" w:lineRule="exact"/>
              <w:rPr>
                <w:sz w:val="1"/>
                <w:szCs w:val="1"/>
                <w:color w:val="auto"/>
              </w:rPr>
            </w:pPr>
          </w:p>
        </w:tc>
        <w:tc>
          <w:tcPr>
            <w:tcW w:w="1160" w:type="dxa"/>
            <w:vAlign w:val="bottom"/>
            <w:tcBorders>
              <w:bottom w:val="single" w:sz="8" w:color="auto"/>
              <w:right w:val="single" w:sz="8" w:color="auto"/>
            </w:tcBorders>
          </w:tcPr>
          <w:p>
            <w:pPr>
              <w:spacing w:after="0" w:line="20" w:lineRule="exact"/>
              <w:rPr>
                <w:sz w:val="1"/>
                <w:szCs w:val="1"/>
                <w:color w:val="auto"/>
              </w:rPr>
            </w:pPr>
          </w:p>
        </w:tc>
        <w:tc>
          <w:tcPr>
            <w:tcW w:w="1180" w:type="dxa"/>
            <w:vAlign w:val="bottom"/>
            <w:tcBorders>
              <w:bottom w:val="single" w:sz="8" w:color="auto"/>
              <w:right w:val="single" w:sz="8" w:color="auto"/>
            </w:tcBorders>
          </w:tcPr>
          <w:p>
            <w:pPr>
              <w:spacing w:after="0" w:line="20" w:lineRule="exact"/>
              <w:rPr>
                <w:sz w:val="1"/>
                <w:szCs w:val="1"/>
                <w:color w:val="auto"/>
              </w:rPr>
            </w:pPr>
          </w:p>
        </w:tc>
        <w:tc>
          <w:tcPr>
            <w:tcW w:w="1300" w:type="dxa"/>
            <w:vAlign w:val="bottom"/>
            <w:tcBorders>
              <w:bottom w:val="single" w:sz="8" w:color="auto"/>
              <w:right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24"/>
        </w:trPr>
        <w:tc>
          <w:tcPr>
            <w:tcW w:w="1560" w:type="dxa"/>
            <w:vAlign w:val="bottom"/>
            <w:tcBorders>
              <w:left w:val="single" w:sz="8" w:color="auto"/>
              <w:right w:val="single" w:sz="8" w:color="auto"/>
            </w:tcBorders>
            <w:vMerge w:val="restart"/>
          </w:tcPr>
          <w:p>
            <w:pPr>
              <w:ind w:left="40"/>
              <w:spacing w:after="0"/>
              <w:rPr>
                <w:sz w:val="20"/>
                <w:szCs w:val="20"/>
                <w:color w:val="auto"/>
              </w:rPr>
            </w:pPr>
            <w:r>
              <w:rPr>
                <w:rFonts w:ascii="Times New Roman" w:cs="Times New Roman" w:eastAsia="Times New Roman" w:hAnsi="Times New Roman"/>
                <w:sz w:val="11"/>
                <w:szCs w:val="11"/>
                <w:color w:val="auto"/>
              </w:rPr>
              <w:t>Eric Hoskins</w:t>
            </w:r>
          </w:p>
        </w:tc>
        <w:tc>
          <w:tcPr>
            <w:tcW w:w="1740" w:type="dxa"/>
            <w:vAlign w:val="bottom"/>
            <w:tcBorders>
              <w:right w:val="single" w:sz="8" w:color="auto"/>
            </w:tcBorders>
          </w:tcPr>
          <w:p>
            <w:pPr>
              <w:jc w:val="center"/>
              <w:spacing w:after="0" w:line="124" w:lineRule="exact"/>
              <w:rPr>
                <w:sz w:val="20"/>
                <w:szCs w:val="20"/>
                <w:color w:val="auto"/>
              </w:rPr>
            </w:pPr>
            <w:r>
              <w:rPr>
                <w:rFonts w:ascii="Times New Roman" w:cs="Times New Roman" w:eastAsia="Times New Roman" w:hAnsi="Times New Roman"/>
                <w:sz w:val="11"/>
                <w:szCs w:val="11"/>
                <w:color w:val="auto"/>
                <w:w w:val="96"/>
              </w:rPr>
              <w:t>5,132</w:t>
            </w:r>
          </w:p>
        </w:tc>
        <w:tc>
          <w:tcPr>
            <w:tcW w:w="1340" w:type="dxa"/>
            <w:vAlign w:val="bottom"/>
            <w:tcBorders>
              <w:right w:val="single" w:sz="8" w:color="auto"/>
            </w:tcBorders>
          </w:tcPr>
          <w:p>
            <w:pPr>
              <w:jc w:val="center"/>
              <w:spacing w:after="0" w:line="124" w:lineRule="exact"/>
              <w:rPr>
                <w:sz w:val="20"/>
                <w:szCs w:val="20"/>
                <w:color w:val="auto"/>
              </w:rPr>
            </w:pPr>
            <w:r>
              <w:rPr>
                <w:rFonts w:ascii="Times New Roman" w:cs="Times New Roman" w:eastAsia="Times New Roman" w:hAnsi="Times New Roman"/>
                <w:sz w:val="11"/>
                <w:szCs w:val="11"/>
                <w:color w:val="auto"/>
                <w:w w:val="99"/>
              </w:rPr>
              <w:t>$16.72</w:t>
            </w:r>
          </w:p>
        </w:tc>
        <w:tc>
          <w:tcPr>
            <w:tcW w:w="1780" w:type="dxa"/>
            <w:vAlign w:val="bottom"/>
            <w:tcBorders>
              <w:right w:val="single" w:sz="8" w:color="auto"/>
            </w:tcBorders>
          </w:tcPr>
          <w:p>
            <w:pPr>
              <w:jc w:val="center"/>
              <w:spacing w:after="0" w:line="124" w:lineRule="exact"/>
              <w:rPr>
                <w:sz w:val="20"/>
                <w:szCs w:val="20"/>
                <w:color w:val="auto"/>
              </w:rPr>
            </w:pPr>
            <w:r>
              <w:rPr>
                <w:rFonts w:ascii="Times New Roman" w:cs="Times New Roman" w:eastAsia="Times New Roman" w:hAnsi="Times New Roman"/>
                <w:sz w:val="11"/>
                <w:szCs w:val="11"/>
                <w:color w:val="auto"/>
                <w:w w:val="97"/>
              </w:rPr>
              <w:t>June 30, 2028</w:t>
            </w:r>
          </w:p>
        </w:tc>
        <w:tc>
          <w:tcPr>
            <w:tcW w:w="1260" w:type="dxa"/>
            <w:vAlign w:val="bottom"/>
            <w:tcBorders>
              <w:right w:val="single" w:sz="8" w:color="auto"/>
            </w:tcBorders>
          </w:tcPr>
          <w:p>
            <w:pPr>
              <w:jc w:val="center"/>
              <w:ind w:right="6"/>
              <w:spacing w:after="0" w:line="124" w:lineRule="exact"/>
              <w:rPr>
                <w:sz w:val="20"/>
                <w:szCs w:val="20"/>
                <w:color w:val="auto"/>
              </w:rPr>
            </w:pPr>
            <w:r>
              <w:rPr>
                <w:rFonts w:ascii="Times New Roman" w:cs="Times New Roman" w:eastAsia="Times New Roman" w:hAnsi="Times New Roman"/>
                <w:sz w:val="11"/>
                <w:szCs w:val="11"/>
                <w:color w:val="auto"/>
              </w:rPr>
              <w:t>-</w:t>
            </w:r>
          </w:p>
        </w:tc>
        <w:tc>
          <w:tcPr>
            <w:tcW w:w="1160" w:type="dxa"/>
            <w:vAlign w:val="bottom"/>
            <w:tcBorders>
              <w:right w:val="single" w:sz="8" w:color="auto"/>
            </w:tcBorders>
          </w:tcPr>
          <w:p>
            <w:pPr>
              <w:jc w:val="center"/>
              <w:spacing w:after="0" w:line="124" w:lineRule="exact"/>
              <w:rPr>
                <w:sz w:val="20"/>
                <w:szCs w:val="20"/>
                <w:color w:val="auto"/>
              </w:rPr>
            </w:pPr>
            <w:r>
              <w:rPr>
                <w:rFonts w:ascii="Times New Roman" w:cs="Times New Roman" w:eastAsia="Times New Roman" w:hAnsi="Times New Roman"/>
                <w:sz w:val="11"/>
                <w:szCs w:val="11"/>
                <w:color w:val="auto"/>
              </w:rPr>
              <w:t>-</w:t>
            </w:r>
          </w:p>
        </w:tc>
        <w:tc>
          <w:tcPr>
            <w:tcW w:w="11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8"/>
                <w:szCs w:val="8"/>
                <w:color w:val="auto"/>
                <w:w w:val="73"/>
              </w:rPr>
              <w:t>-</w:t>
            </w:r>
          </w:p>
        </w:tc>
        <w:tc>
          <w:tcPr>
            <w:tcW w:w="13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8"/>
                <w:szCs w:val="8"/>
                <w:color w:val="auto"/>
                <w:w w:val="73"/>
              </w:rPr>
              <w:t>-</w:t>
            </w:r>
          </w:p>
        </w:tc>
        <w:tc>
          <w:tcPr>
            <w:tcW w:w="0" w:type="dxa"/>
            <w:vAlign w:val="bottom"/>
          </w:tcPr>
          <w:p>
            <w:pPr>
              <w:spacing w:after="0"/>
              <w:rPr>
                <w:sz w:val="1"/>
                <w:szCs w:val="1"/>
                <w:color w:val="auto"/>
              </w:rPr>
            </w:pPr>
          </w:p>
        </w:tc>
      </w:tr>
      <w:tr>
        <w:trPr>
          <w:trHeight w:val="77"/>
        </w:trPr>
        <w:tc>
          <w:tcPr>
            <w:tcW w:w="1560" w:type="dxa"/>
            <w:vAlign w:val="bottom"/>
            <w:tcBorders>
              <w:left w:val="single" w:sz="8" w:color="auto"/>
              <w:right w:val="single" w:sz="8" w:color="auto"/>
            </w:tcBorders>
            <w:vMerge w:val="continue"/>
          </w:tcPr>
          <w:p>
            <w:pPr>
              <w:spacing w:after="0"/>
              <w:rPr>
                <w:sz w:val="6"/>
                <w:szCs w:val="6"/>
                <w:color w:val="auto"/>
              </w:rPr>
            </w:pPr>
          </w:p>
        </w:tc>
        <w:tc>
          <w:tcPr>
            <w:tcW w:w="174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1"/>
                <w:szCs w:val="11"/>
                <w:color w:val="auto"/>
                <w:w w:val="99"/>
              </w:rPr>
              <w:t>24,868</w:t>
            </w:r>
          </w:p>
        </w:tc>
        <w:tc>
          <w:tcPr>
            <w:tcW w:w="134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1"/>
                <w:szCs w:val="11"/>
                <w:color w:val="auto"/>
                <w:w w:val="92"/>
              </w:rPr>
              <w:t>$13.11</w:t>
            </w:r>
          </w:p>
        </w:tc>
        <w:tc>
          <w:tcPr>
            <w:tcW w:w="178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1"/>
                <w:szCs w:val="11"/>
                <w:color w:val="auto"/>
                <w:w w:val="98"/>
              </w:rPr>
              <w:t>August 15, 2034</w:t>
            </w:r>
          </w:p>
        </w:tc>
        <w:tc>
          <w:tcPr>
            <w:tcW w:w="1260" w:type="dxa"/>
            <w:vAlign w:val="bottom"/>
            <w:tcBorders>
              <w:right w:val="single" w:sz="8" w:color="auto"/>
            </w:tcBorders>
            <w:vMerge w:val="restart"/>
          </w:tcPr>
          <w:p>
            <w:pPr>
              <w:jc w:val="center"/>
              <w:ind w:right="6"/>
              <w:spacing w:after="0"/>
              <w:rPr>
                <w:sz w:val="20"/>
                <w:szCs w:val="20"/>
                <w:color w:val="auto"/>
              </w:rPr>
            </w:pPr>
            <w:r>
              <w:rPr>
                <w:rFonts w:ascii="Times New Roman" w:cs="Times New Roman" w:eastAsia="Times New Roman" w:hAnsi="Times New Roman"/>
                <w:sz w:val="11"/>
                <w:szCs w:val="11"/>
                <w:color w:val="auto"/>
              </w:rPr>
              <w:t>-</w:t>
            </w:r>
          </w:p>
        </w:tc>
        <w:tc>
          <w:tcPr>
            <w:tcW w:w="1160" w:type="dxa"/>
            <w:vAlign w:val="bottom"/>
            <w:tcBorders>
              <w:right w:val="single" w:sz="8" w:color="auto"/>
            </w:tcBorders>
          </w:tcPr>
          <w:p>
            <w:pPr>
              <w:spacing w:after="0"/>
              <w:rPr>
                <w:sz w:val="6"/>
                <w:szCs w:val="6"/>
                <w:color w:val="auto"/>
              </w:rPr>
            </w:pPr>
          </w:p>
        </w:tc>
        <w:tc>
          <w:tcPr>
            <w:tcW w:w="1180" w:type="dxa"/>
            <w:vAlign w:val="bottom"/>
            <w:tcBorders>
              <w:right w:val="single" w:sz="8" w:color="auto"/>
            </w:tcBorders>
          </w:tcPr>
          <w:p>
            <w:pPr>
              <w:spacing w:after="0"/>
              <w:rPr>
                <w:sz w:val="6"/>
                <w:szCs w:val="6"/>
                <w:color w:val="auto"/>
              </w:rPr>
            </w:pPr>
          </w:p>
        </w:tc>
        <w:tc>
          <w:tcPr>
            <w:tcW w:w="1300" w:type="dxa"/>
            <w:vAlign w:val="bottom"/>
            <w:tcBorders>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63"/>
        </w:trPr>
        <w:tc>
          <w:tcPr>
            <w:tcW w:w="1560" w:type="dxa"/>
            <w:vAlign w:val="bottom"/>
            <w:tcBorders>
              <w:left w:val="single" w:sz="8" w:color="auto"/>
              <w:right w:val="single" w:sz="8" w:color="auto"/>
            </w:tcBorders>
          </w:tcPr>
          <w:p>
            <w:pPr>
              <w:spacing w:after="0"/>
              <w:rPr>
                <w:sz w:val="5"/>
                <w:szCs w:val="5"/>
                <w:color w:val="auto"/>
              </w:rPr>
            </w:pPr>
          </w:p>
        </w:tc>
        <w:tc>
          <w:tcPr>
            <w:tcW w:w="1740" w:type="dxa"/>
            <w:vAlign w:val="bottom"/>
            <w:tcBorders>
              <w:right w:val="single" w:sz="8" w:color="auto"/>
            </w:tcBorders>
            <w:vMerge w:val="continue"/>
          </w:tcPr>
          <w:p>
            <w:pPr>
              <w:spacing w:after="0"/>
              <w:rPr>
                <w:sz w:val="5"/>
                <w:szCs w:val="5"/>
                <w:color w:val="auto"/>
              </w:rPr>
            </w:pPr>
          </w:p>
        </w:tc>
        <w:tc>
          <w:tcPr>
            <w:tcW w:w="1340" w:type="dxa"/>
            <w:vAlign w:val="bottom"/>
            <w:tcBorders>
              <w:right w:val="single" w:sz="8" w:color="auto"/>
            </w:tcBorders>
            <w:vMerge w:val="continue"/>
          </w:tcPr>
          <w:p>
            <w:pPr>
              <w:spacing w:after="0"/>
              <w:rPr>
                <w:sz w:val="5"/>
                <w:szCs w:val="5"/>
                <w:color w:val="auto"/>
              </w:rPr>
            </w:pPr>
          </w:p>
        </w:tc>
        <w:tc>
          <w:tcPr>
            <w:tcW w:w="1780" w:type="dxa"/>
            <w:vAlign w:val="bottom"/>
            <w:tcBorders>
              <w:right w:val="single" w:sz="8" w:color="auto"/>
            </w:tcBorders>
            <w:vMerge w:val="continue"/>
          </w:tcPr>
          <w:p>
            <w:pPr>
              <w:spacing w:after="0"/>
              <w:rPr>
                <w:sz w:val="5"/>
                <w:szCs w:val="5"/>
                <w:color w:val="auto"/>
              </w:rPr>
            </w:pPr>
          </w:p>
        </w:tc>
        <w:tc>
          <w:tcPr>
            <w:tcW w:w="1260" w:type="dxa"/>
            <w:vAlign w:val="bottom"/>
            <w:tcBorders>
              <w:right w:val="single" w:sz="8" w:color="auto"/>
            </w:tcBorders>
            <w:vMerge w:val="continue"/>
          </w:tcPr>
          <w:p>
            <w:pPr>
              <w:spacing w:after="0"/>
              <w:rPr>
                <w:sz w:val="5"/>
                <w:szCs w:val="5"/>
                <w:color w:val="auto"/>
              </w:rPr>
            </w:pPr>
          </w:p>
        </w:tc>
        <w:tc>
          <w:tcPr>
            <w:tcW w:w="1160" w:type="dxa"/>
            <w:vAlign w:val="bottom"/>
            <w:tcBorders>
              <w:right w:val="single" w:sz="8" w:color="auto"/>
            </w:tcBorders>
          </w:tcPr>
          <w:p>
            <w:pPr>
              <w:spacing w:after="0"/>
              <w:rPr>
                <w:sz w:val="5"/>
                <w:szCs w:val="5"/>
                <w:color w:val="auto"/>
              </w:rPr>
            </w:pPr>
          </w:p>
        </w:tc>
        <w:tc>
          <w:tcPr>
            <w:tcW w:w="1180" w:type="dxa"/>
            <w:vAlign w:val="bottom"/>
            <w:tcBorders>
              <w:right w:val="single" w:sz="8" w:color="auto"/>
            </w:tcBorders>
          </w:tcPr>
          <w:p>
            <w:pPr>
              <w:spacing w:after="0"/>
              <w:rPr>
                <w:sz w:val="5"/>
                <w:szCs w:val="5"/>
                <w:color w:val="auto"/>
              </w:rPr>
            </w:pPr>
          </w:p>
        </w:tc>
        <w:tc>
          <w:tcPr>
            <w:tcW w:w="1300" w:type="dxa"/>
            <w:vAlign w:val="bottom"/>
            <w:tcBorders>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2"/>
        </w:trPr>
        <w:tc>
          <w:tcPr>
            <w:tcW w:w="156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1740" w:type="dxa"/>
            <w:vAlign w:val="bottom"/>
            <w:tcBorders>
              <w:bottom w:val="single" w:sz="8" w:color="auto"/>
              <w:right w:val="single" w:sz="8" w:color="auto"/>
            </w:tcBorders>
          </w:tcPr>
          <w:p>
            <w:pPr>
              <w:spacing w:after="0" w:line="20" w:lineRule="exact"/>
              <w:rPr>
                <w:sz w:val="1"/>
                <w:szCs w:val="1"/>
                <w:color w:val="auto"/>
              </w:rPr>
            </w:pPr>
          </w:p>
        </w:tc>
        <w:tc>
          <w:tcPr>
            <w:tcW w:w="1340" w:type="dxa"/>
            <w:vAlign w:val="bottom"/>
            <w:tcBorders>
              <w:bottom w:val="single" w:sz="8" w:color="auto"/>
              <w:right w:val="single" w:sz="8" w:color="auto"/>
            </w:tcBorders>
          </w:tcPr>
          <w:p>
            <w:pPr>
              <w:spacing w:after="0" w:line="20" w:lineRule="exact"/>
              <w:rPr>
                <w:sz w:val="1"/>
                <w:szCs w:val="1"/>
                <w:color w:val="auto"/>
              </w:rPr>
            </w:pPr>
          </w:p>
        </w:tc>
        <w:tc>
          <w:tcPr>
            <w:tcW w:w="1780" w:type="dxa"/>
            <w:vAlign w:val="bottom"/>
            <w:tcBorders>
              <w:bottom w:val="single" w:sz="8" w:color="auto"/>
              <w:right w:val="single" w:sz="8" w:color="auto"/>
            </w:tcBorders>
          </w:tcPr>
          <w:p>
            <w:pPr>
              <w:spacing w:after="0" w:line="20" w:lineRule="exact"/>
              <w:rPr>
                <w:sz w:val="1"/>
                <w:szCs w:val="1"/>
                <w:color w:val="auto"/>
              </w:rPr>
            </w:pPr>
          </w:p>
        </w:tc>
        <w:tc>
          <w:tcPr>
            <w:tcW w:w="1260" w:type="dxa"/>
            <w:vAlign w:val="bottom"/>
            <w:tcBorders>
              <w:bottom w:val="single" w:sz="8" w:color="auto"/>
              <w:right w:val="single" w:sz="8" w:color="auto"/>
            </w:tcBorders>
          </w:tcPr>
          <w:p>
            <w:pPr>
              <w:spacing w:after="0" w:line="20" w:lineRule="exact"/>
              <w:rPr>
                <w:sz w:val="1"/>
                <w:szCs w:val="1"/>
                <w:color w:val="auto"/>
              </w:rPr>
            </w:pPr>
          </w:p>
        </w:tc>
        <w:tc>
          <w:tcPr>
            <w:tcW w:w="1160" w:type="dxa"/>
            <w:vAlign w:val="bottom"/>
            <w:tcBorders>
              <w:bottom w:val="single" w:sz="8" w:color="auto"/>
              <w:right w:val="single" w:sz="8" w:color="auto"/>
            </w:tcBorders>
          </w:tcPr>
          <w:p>
            <w:pPr>
              <w:spacing w:after="0" w:line="20" w:lineRule="exact"/>
              <w:rPr>
                <w:sz w:val="1"/>
                <w:szCs w:val="1"/>
                <w:color w:val="auto"/>
              </w:rPr>
            </w:pPr>
          </w:p>
        </w:tc>
        <w:tc>
          <w:tcPr>
            <w:tcW w:w="1180" w:type="dxa"/>
            <w:vAlign w:val="bottom"/>
            <w:tcBorders>
              <w:bottom w:val="single" w:sz="8" w:color="auto"/>
              <w:right w:val="single" w:sz="8" w:color="auto"/>
            </w:tcBorders>
          </w:tcPr>
          <w:p>
            <w:pPr>
              <w:spacing w:after="0" w:line="20" w:lineRule="exact"/>
              <w:rPr>
                <w:sz w:val="1"/>
                <w:szCs w:val="1"/>
                <w:color w:val="auto"/>
              </w:rPr>
            </w:pPr>
          </w:p>
        </w:tc>
        <w:tc>
          <w:tcPr>
            <w:tcW w:w="1300" w:type="dxa"/>
            <w:vAlign w:val="bottom"/>
            <w:tcBorders>
              <w:bottom w:val="single" w:sz="8" w:color="auto"/>
              <w:right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24"/>
        </w:trPr>
        <w:tc>
          <w:tcPr>
            <w:tcW w:w="1560" w:type="dxa"/>
            <w:vAlign w:val="bottom"/>
            <w:tcBorders>
              <w:left w:val="single" w:sz="8" w:color="auto"/>
              <w:right w:val="single" w:sz="8" w:color="auto"/>
            </w:tcBorders>
            <w:vMerge w:val="restart"/>
          </w:tcPr>
          <w:p>
            <w:pPr>
              <w:ind w:left="40"/>
              <w:spacing w:after="0"/>
              <w:rPr>
                <w:sz w:val="20"/>
                <w:szCs w:val="20"/>
                <w:color w:val="auto"/>
              </w:rPr>
            </w:pPr>
            <w:r>
              <w:rPr>
                <w:rFonts w:ascii="Times New Roman" w:cs="Times New Roman" w:eastAsia="Times New Roman" w:hAnsi="Times New Roman"/>
                <w:sz w:val="11"/>
                <w:szCs w:val="11"/>
                <w:color w:val="auto"/>
              </w:rPr>
              <w:t>Mark Lawson</w:t>
            </w:r>
          </w:p>
        </w:tc>
        <w:tc>
          <w:tcPr>
            <w:tcW w:w="1740" w:type="dxa"/>
            <w:vAlign w:val="bottom"/>
            <w:tcBorders>
              <w:right w:val="single" w:sz="8" w:color="auto"/>
            </w:tcBorders>
          </w:tcPr>
          <w:p>
            <w:pPr>
              <w:jc w:val="center"/>
              <w:spacing w:after="0" w:line="124" w:lineRule="exact"/>
              <w:rPr>
                <w:sz w:val="20"/>
                <w:szCs w:val="20"/>
                <w:color w:val="auto"/>
              </w:rPr>
            </w:pPr>
            <w:r>
              <w:rPr>
                <w:rFonts w:ascii="Times New Roman" w:cs="Times New Roman" w:eastAsia="Times New Roman" w:hAnsi="Times New Roman"/>
                <w:sz w:val="11"/>
                <w:szCs w:val="11"/>
                <w:color w:val="auto"/>
                <w:w w:val="96"/>
              </w:rPr>
              <w:t>5,263</w:t>
            </w:r>
          </w:p>
        </w:tc>
        <w:tc>
          <w:tcPr>
            <w:tcW w:w="1340" w:type="dxa"/>
            <w:vAlign w:val="bottom"/>
            <w:tcBorders>
              <w:right w:val="single" w:sz="8" w:color="auto"/>
            </w:tcBorders>
          </w:tcPr>
          <w:p>
            <w:pPr>
              <w:jc w:val="center"/>
              <w:spacing w:after="0" w:line="124" w:lineRule="exact"/>
              <w:rPr>
                <w:sz w:val="20"/>
                <w:szCs w:val="20"/>
                <w:color w:val="auto"/>
              </w:rPr>
            </w:pPr>
            <w:r>
              <w:rPr>
                <w:rFonts w:ascii="Times New Roman" w:cs="Times New Roman" w:eastAsia="Times New Roman" w:hAnsi="Times New Roman"/>
                <w:sz w:val="11"/>
                <w:szCs w:val="11"/>
                <w:color w:val="auto"/>
                <w:w w:val="99"/>
              </w:rPr>
              <w:t>$16.72</w:t>
            </w:r>
          </w:p>
        </w:tc>
        <w:tc>
          <w:tcPr>
            <w:tcW w:w="1780" w:type="dxa"/>
            <w:vAlign w:val="bottom"/>
            <w:tcBorders>
              <w:right w:val="single" w:sz="8" w:color="auto"/>
            </w:tcBorders>
          </w:tcPr>
          <w:p>
            <w:pPr>
              <w:jc w:val="center"/>
              <w:spacing w:after="0" w:line="124" w:lineRule="exact"/>
              <w:rPr>
                <w:sz w:val="20"/>
                <w:szCs w:val="20"/>
                <w:color w:val="auto"/>
              </w:rPr>
            </w:pPr>
            <w:r>
              <w:rPr>
                <w:rFonts w:ascii="Times New Roman" w:cs="Times New Roman" w:eastAsia="Times New Roman" w:hAnsi="Times New Roman"/>
                <w:sz w:val="11"/>
                <w:szCs w:val="11"/>
                <w:color w:val="auto"/>
                <w:w w:val="97"/>
              </w:rPr>
              <w:t>June 30, 2028</w:t>
            </w:r>
          </w:p>
        </w:tc>
        <w:tc>
          <w:tcPr>
            <w:tcW w:w="1260" w:type="dxa"/>
            <w:vAlign w:val="bottom"/>
            <w:tcBorders>
              <w:right w:val="single" w:sz="8" w:color="auto"/>
            </w:tcBorders>
          </w:tcPr>
          <w:p>
            <w:pPr>
              <w:jc w:val="center"/>
              <w:ind w:right="6"/>
              <w:spacing w:after="0" w:line="124" w:lineRule="exact"/>
              <w:rPr>
                <w:sz w:val="20"/>
                <w:szCs w:val="20"/>
                <w:color w:val="auto"/>
              </w:rPr>
            </w:pPr>
            <w:r>
              <w:rPr>
                <w:rFonts w:ascii="Times New Roman" w:cs="Times New Roman" w:eastAsia="Times New Roman" w:hAnsi="Times New Roman"/>
                <w:sz w:val="11"/>
                <w:szCs w:val="11"/>
                <w:color w:val="auto"/>
              </w:rPr>
              <w:t>-</w:t>
            </w:r>
          </w:p>
        </w:tc>
        <w:tc>
          <w:tcPr>
            <w:tcW w:w="1160" w:type="dxa"/>
            <w:vAlign w:val="bottom"/>
            <w:tcBorders>
              <w:right w:val="single" w:sz="8" w:color="auto"/>
            </w:tcBorders>
          </w:tcPr>
          <w:p>
            <w:pPr>
              <w:jc w:val="center"/>
              <w:spacing w:after="0" w:line="124" w:lineRule="exact"/>
              <w:rPr>
                <w:sz w:val="20"/>
                <w:szCs w:val="20"/>
                <w:color w:val="auto"/>
              </w:rPr>
            </w:pPr>
            <w:r>
              <w:rPr>
                <w:rFonts w:ascii="Times New Roman" w:cs="Times New Roman" w:eastAsia="Times New Roman" w:hAnsi="Times New Roman"/>
                <w:sz w:val="11"/>
                <w:szCs w:val="11"/>
                <w:color w:val="auto"/>
              </w:rPr>
              <w:t>-</w:t>
            </w:r>
          </w:p>
        </w:tc>
        <w:tc>
          <w:tcPr>
            <w:tcW w:w="11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8"/>
                <w:szCs w:val="8"/>
                <w:color w:val="auto"/>
                <w:w w:val="73"/>
              </w:rPr>
              <w:t>-</w:t>
            </w:r>
          </w:p>
        </w:tc>
        <w:tc>
          <w:tcPr>
            <w:tcW w:w="13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8"/>
                <w:szCs w:val="8"/>
                <w:color w:val="auto"/>
                <w:w w:val="73"/>
              </w:rPr>
              <w:t>-</w:t>
            </w:r>
          </w:p>
        </w:tc>
        <w:tc>
          <w:tcPr>
            <w:tcW w:w="0" w:type="dxa"/>
            <w:vAlign w:val="bottom"/>
          </w:tcPr>
          <w:p>
            <w:pPr>
              <w:spacing w:after="0"/>
              <w:rPr>
                <w:sz w:val="1"/>
                <w:szCs w:val="1"/>
                <w:color w:val="auto"/>
              </w:rPr>
            </w:pPr>
          </w:p>
        </w:tc>
      </w:tr>
      <w:tr>
        <w:trPr>
          <w:trHeight w:val="77"/>
        </w:trPr>
        <w:tc>
          <w:tcPr>
            <w:tcW w:w="1560" w:type="dxa"/>
            <w:vAlign w:val="bottom"/>
            <w:tcBorders>
              <w:left w:val="single" w:sz="8" w:color="auto"/>
              <w:right w:val="single" w:sz="8" w:color="auto"/>
            </w:tcBorders>
            <w:vMerge w:val="continue"/>
          </w:tcPr>
          <w:p>
            <w:pPr>
              <w:spacing w:after="0"/>
              <w:rPr>
                <w:sz w:val="6"/>
                <w:szCs w:val="6"/>
                <w:color w:val="auto"/>
              </w:rPr>
            </w:pPr>
          </w:p>
        </w:tc>
        <w:tc>
          <w:tcPr>
            <w:tcW w:w="174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1"/>
                <w:szCs w:val="11"/>
                <w:color w:val="auto"/>
                <w:w w:val="99"/>
              </w:rPr>
              <w:t>25,526</w:t>
            </w:r>
          </w:p>
        </w:tc>
        <w:tc>
          <w:tcPr>
            <w:tcW w:w="134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1"/>
                <w:szCs w:val="11"/>
                <w:color w:val="auto"/>
                <w:w w:val="92"/>
              </w:rPr>
              <w:t>$13.11</w:t>
            </w:r>
          </w:p>
        </w:tc>
        <w:tc>
          <w:tcPr>
            <w:tcW w:w="178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1"/>
                <w:szCs w:val="11"/>
                <w:color w:val="auto"/>
                <w:w w:val="98"/>
              </w:rPr>
              <w:t>August 15, 2034</w:t>
            </w:r>
          </w:p>
        </w:tc>
        <w:tc>
          <w:tcPr>
            <w:tcW w:w="1260" w:type="dxa"/>
            <w:vAlign w:val="bottom"/>
            <w:tcBorders>
              <w:right w:val="single" w:sz="8" w:color="auto"/>
            </w:tcBorders>
            <w:vMerge w:val="restart"/>
          </w:tcPr>
          <w:p>
            <w:pPr>
              <w:jc w:val="center"/>
              <w:ind w:right="6"/>
              <w:spacing w:after="0"/>
              <w:rPr>
                <w:sz w:val="20"/>
                <w:szCs w:val="20"/>
                <w:color w:val="auto"/>
              </w:rPr>
            </w:pPr>
            <w:r>
              <w:rPr>
                <w:rFonts w:ascii="Times New Roman" w:cs="Times New Roman" w:eastAsia="Times New Roman" w:hAnsi="Times New Roman"/>
                <w:sz w:val="11"/>
                <w:szCs w:val="11"/>
                <w:color w:val="auto"/>
              </w:rPr>
              <w:t>-</w:t>
            </w:r>
          </w:p>
        </w:tc>
        <w:tc>
          <w:tcPr>
            <w:tcW w:w="1160" w:type="dxa"/>
            <w:vAlign w:val="bottom"/>
            <w:tcBorders>
              <w:right w:val="single" w:sz="8" w:color="auto"/>
            </w:tcBorders>
          </w:tcPr>
          <w:p>
            <w:pPr>
              <w:spacing w:after="0"/>
              <w:rPr>
                <w:sz w:val="6"/>
                <w:szCs w:val="6"/>
                <w:color w:val="auto"/>
              </w:rPr>
            </w:pPr>
          </w:p>
        </w:tc>
        <w:tc>
          <w:tcPr>
            <w:tcW w:w="1180" w:type="dxa"/>
            <w:vAlign w:val="bottom"/>
            <w:tcBorders>
              <w:right w:val="single" w:sz="8" w:color="auto"/>
            </w:tcBorders>
          </w:tcPr>
          <w:p>
            <w:pPr>
              <w:spacing w:after="0"/>
              <w:rPr>
                <w:sz w:val="6"/>
                <w:szCs w:val="6"/>
                <w:color w:val="auto"/>
              </w:rPr>
            </w:pPr>
          </w:p>
        </w:tc>
        <w:tc>
          <w:tcPr>
            <w:tcW w:w="1300" w:type="dxa"/>
            <w:vAlign w:val="bottom"/>
            <w:tcBorders>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63"/>
        </w:trPr>
        <w:tc>
          <w:tcPr>
            <w:tcW w:w="1560" w:type="dxa"/>
            <w:vAlign w:val="bottom"/>
            <w:tcBorders>
              <w:left w:val="single" w:sz="8" w:color="auto"/>
              <w:right w:val="single" w:sz="8" w:color="auto"/>
            </w:tcBorders>
          </w:tcPr>
          <w:p>
            <w:pPr>
              <w:spacing w:after="0"/>
              <w:rPr>
                <w:sz w:val="5"/>
                <w:szCs w:val="5"/>
                <w:color w:val="auto"/>
              </w:rPr>
            </w:pPr>
          </w:p>
        </w:tc>
        <w:tc>
          <w:tcPr>
            <w:tcW w:w="1740" w:type="dxa"/>
            <w:vAlign w:val="bottom"/>
            <w:tcBorders>
              <w:right w:val="single" w:sz="8" w:color="auto"/>
            </w:tcBorders>
            <w:vMerge w:val="continue"/>
          </w:tcPr>
          <w:p>
            <w:pPr>
              <w:spacing w:after="0"/>
              <w:rPr>
                <w:sz w:val="5"/>
                <w:szCs w:val="5"/>
                <w:color w:val="auto"/>
              </w:rPr>
            </w:pPr>
          </w:p>
        </w:tc>
        <w:tc>
          <w:tcPr>
            <w:tcW w:w="1340" w:type="dxa"/>
            <w:vAlign w:val="bottom"/>
            <w:tcBorders>
              <w:right w:val="single" w:sz="8" w:color="auto"/>
            </w:tcBorders>
            <w:vMerge w:val="continue"/>
          </w:tcPr>
          <w:p>
            <w:pPr>
              <w:spacing w:after="0"/>
              <w:rPr>
                <w:sz w:val="5"/>
                <w:szCs w:val="5"/>
                <w:color w:val="auto"/>
              </w:rPr>
            </w:pPr>
          </w:p>
        </w:tc>
        <w:tc>
          <w:tcPr>
            <w:tcW w:w="1780" w:type="dxa"/>
            <w:vAlign w:val="bottom"/>
            <w:tcBorders>
              <w:right w:val="single" w:sz="8" w:color="auto"/>
            </w:tcBorders>
            <w:vMerge w:val="continue"/>
          </w:tcPr>
          <w:p>
            <w:pPr>
              <w:spacing w:after="0"/>
              <w:rPr>
                <w:sz w:val="5"/>
                <w:szCs w:val="5"/>
                <w:color w:val="auto"/>
              </w:rPr>
            </w:pPr>
          </w:p>
        </w:tc>
        <w:tc>
          <w:tcPr>
            <w:tcW w:w="1260" w:type="dxa"/>
            <w:vAlign w:val="bottom"/>
            <w:tcBorders>
              <w:right w:val="single" w:sz="8" w:color="auto"/>
            </w:tcBorders>
            <w:vMerge w:val="continue"/>
          </w:tcPr>
          <w:p>
            <w:pPr>
              <w:spacing w:after="0"/>
              <w:rPr>
                <w:sz w:val="5"/>
                <w:szCs w:val="5"/>
                <w:color w:val="auto"/>
              </w:rPr>
            </w:pPr>
          </w:p>
        </w:tc>
        <w:tc>
          <w:tcPr>
            <w:tcW w:w="1160" w:type="dxa"/>
            <w:vAlign w:val="bottom"/>
            <w:tcBorders>
              <w:right w:val="single" w:sz="8" w:color="auto"/>
            </w:tcBorders>
          </w:tcPr>
          <w:p>
            <w:pPr>
              <w:spacing w:after="0"/>
              <w:rPr>
                <w:sz w:val="5"/>
                <w:szCs w:val="5"/>
                <w:color w:val="auto"/>
              </w:rPr>
            </w:pPr>
          </w:p>
        </w:tc>
        <w:tc>
          <w:tcPr>
            <w:tcW w:w="1180" w:type="dxa"/>
            <w:vAlign w:val="bottom"/>
            <w:tcBorders>
              <w:right w:val="single" w:sz="8" w:color="auto"/>
            </w:tcBorders>
          </w:tcPr>
          <w:p>
            <w:pPr>
              <w:spacing w:after="0"/>
              <w:rPr>
                <w:sz w:val="5"/>
                <w:szCs w:val="5"/>
                <w:color w:val="auto"/>
              </w:rPr>
            </w:pPr>
          </w:p>
        </w:tc>
        <w:tc>
          <w:tcPr>
            <w:tcW w:w="1300" w:type="dxa"/>
            <w:vAlign w:val="bottom"/>
            <w:tcBorders>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2"/>
        </w:trPr>
        <w:tc>
          <w:tcPr>
            <w:tcW w:w="156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1740" w:type="dxa"/>
            <w:vAlign w:val="bottom"/>
            <w:tcBorders>
              <w:bottom w:val="single" w:sz="8" w:color="auto"/>
              <w:right w:val="single" w:sz="8" w:color="auto"/>
            </w:tcBorders>
          </w:tcPr>
          <w:p>
            <w:pPr>
              <w:spacing w:after="0" w:line="20" w:lineRule="exact"/>
              <w:rPr>
                <w:sz w:val="1"/>
                <w:szCs w:val="1"/>
                <w:color w:val="auto"/>
              </w:rPr>
            </w:pPr>
          </w:p>
        </w:tc>
        <w:tc>
          <w:tcPr>
            <w:tcW w:w="1340" w:type="dxa"/>
            <w:vAlign w:val="bottom"/>
            <w:tcBorders>
              <w:bottom w:val="single" w:sz="8" w:color="auto"/>
              <w:right w:val="single" w:sz="8" w:color="auto"/>
            </w:tcBorders>
          </w:tcPr>
          <w:p>
            <w:pPr>
              <w:spacing w:after="0" w:line="20" w:lineRule="exact"/>
              <w:rPr>
                <w:sz w:val="1"/>
                <w:szCs w:val="1"/>
                <w:color w:val="auto"/>
              </w:rPr>
            </w:pPr>
          </w:p>
        </w:tc>
        <w:tc>
          <w:tcPr>
            <w:tcW w:w="1780" w:type="dxa"/>
            <w:vAlign w:val="bottom"/>
            <w:tcBorders>
              <w:bottom w:val="single" w:sz="8" w:color="auto"/>
              <w:right w:val="single" w:sz="8" w:color="auto"/>
            </w:tcBorders>
          </w:tcPr>
          <w:p>
            <w:pPr>
              <w:spacing w:after="0" w:line="20" w:lineRule="exact"/>
              <w:rPr>
                <w:sz w:val="1"/>
                <w:szCs w:val="1"/>
                <w:color w:val="auto"/>
              </w:rPr>
            </w:pPr>
          </w:p>
        </w:tc>
        <w:tc>
          <w:tcPr>
            <w:tcW w:w="1260" w:type="dxa"/>
            <w:vAlign w:val="bottom"/>
            <w:tcBorders>
              <w:bottom w:val="single" w:sz="8" w:color="auto"/>
              <w:right w:val="single" w:sz="8" w:color="auto"/>
            </w:tcBorders>
          </w:tcPr>
          <w:p>
            <w:pPr>
              <w:spacing w:after="0" w:line="20" w:lineRule="exact"/>
              <w:rPr>
                <w:sz w:val="1"/>
                <w:szCs w:val="1"/>
                <w:color w:val="auto"/>
              </w:rPr>
            </w:pPr>
          </w:p>
        </w:tc>
        <w:tc>
          <w:tcPr>
            <w:tcW w:w="1160" w:type="dxa"/>
            <w:vAlign w:val="bottom"/>
            <w:tcBorders>
              <w:bottom w:val="single" w:sz="8" w:color="auto"/>
              <w:right w:val="single" w:sz="8" w:color="auto"/>
            </w:tcBorders>
          </w:tcPr>
          <w:p>
            <w:pPr>
              <w:spacing w:after="0" w:line="20" w:lineRule="exact"/>
              <w:rPr>
                <w:sz w:val="1"/>
                <w:szCs w:val="1"/>
                <w:color w:val="auto"/>
              </w:rPr>
            </w:pPr>
          </w:p>
        </w:tc>
        <w:tc>
          <w:tcPr>
            <w:tcW w:w="1180" w:type="dxa"/>
            <w:vAlign w:val="bottom"/>
            <w:tcBorders>
              <w:bottom w:val="single" w:sz="8" w:color="auto"/>
              <w:right w:val="single" w:sz="8" w:color="auto"/>
            </w:tcBorders>
          </w:tcPr>
          <w:p>
            <w:pPr>
              <w:spacing w:after="0" w:line="20" w:lineRule="exact"/>
              <w:rPr>
                <w:sz w:val="1"/>
                <w:szCs w:val="1"/>
                <w:color w:val="auto"/>
              </w:rPr>
            </w:pPr>
          </w:p>
        </w:tc>
        <w:tc>
          <w:tcPr>
            <w:tcW w:w="1300" w:type="dxa"/>
            <w:vAlign w:val="bottom"/>
            <w:tcBorders>
              <w:bottom w:val="single" w:sz="8" w:color="auto"/>
              <w:right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24"/>
        </w:trPr>
        <w:tc>
          <w:tcPr>
            <w:tcW w:w="1560" w:type="dxa"/>
            <w:vAlign w:val="bottom"/>
            <w:tcBorders>
              <w:left w:val="single" w:sz="8" w:color="auto"/>
              <w:right w:val="single" w:sz="8" w:color="auto"/>
            </w:tcBorders>
            <w:vMerge w:val="restart"/>
          </w:tcPr>
          <w:p>
            <w:pPr>
              <w:ind w:left="40"/>
              <w:spacing w:after="0"/>
              <w:rPr>
                <w:sz w:val="20"/>
                <w:szCs w:val="20"/>
                <w:color w:val="auto"/>
              </w:rPr>
            </w:pPr>
            <w:r>
              <w:rPr>
                <w:rFonts w:ascii="Times New Roman" w:cs="Times New Roman" w:eastAsia="Times New Roman" w:hAnsi="Times New Roman"/>
                <w:sz w:val="11"/>
                <w:szCs w:val="11"/>
                <w:color w:val="auto"/>
              </w:rPr>
              <w:t>Theresa Firestone</w:t>
            </w:r>
          </w:p>
        </w:tc>
        <w:tc>
          <w:tcPr>
            <w:tcW w:w="1740" w:type="dxa"/>
            <w:vAlign w:val="bottom"/>
            <w:tcBorders>
              <w:right w:val="single" w:sz="8" w:color="auto"/>
            </w:tcBorders>
          </w:tcPr>
          <w:p>
            <w:pPr>
              <w:jc w:val="center"/>
              <w:spacing w:after="0" w:line="124" w:lineRule="exact"/>
              <w:rPr>
                <w:sz w:val="20"/>
                <w:szCs w:val="20"/>
                <w:color w:val="auto"/>
              </w:rPr>
            </w:pPr>
            <w:r>
              <w:rPr>
                <w:rFonts w:ascii="Times New Roman" w:cs="Times New Roman" w:eastAsia="Times New Roman" w:hAnsi="Times New Roman"/>
                <w:sz w:val="11"/>
                <w:szCs w:val="11"/>
                <w:color w:val="auto"/>
                <w:w w:val="96"/>
              </w:rPr>
              <w:t>5,132</w:t>
            </w:r>
          </w:p>
        </w:tc>
        <w:tc>
          <w:tcPr>
            <w:tcW w:w="1340" w:type="dxa"/>
            <w:vAlign w:val="bottom"/>
            <w:tcBorders>
              <w:right w:val="single" w:sz="8" w:color="auto"/>
            </w:tcBorders>
          </w:tcPr>
          <w:p>
            <w:pPr>
              <w:jc w:val="center"/>
              <w:spacing w:after="0" w:line="124" w:lineRule="exact"/>
              <w:rPr>
                <w:sz w:val="20"/>
                <w:szCs w:val="20"/>
                <w:color w:val="auto"/>
              </w:rPr>
            </w:pPr>
            <w:r>
              <w:rPr>
                <w:rFonts w:ascii="Times New Roman" w:cs="Times New Roman" w:eastAsia="Times New Roman" w:hAnsi="Times New Roman"/>
                <w:sz w:val="11"/>
                <w:szCs w:val="11"/>
                <w:color w:val="auto"/>
                <w:w w:val="99"/>
              </w:rPr>
              <w:t>$16.72</w:t>
            </w:r>
          </w:p>
        </w:tc>
        <w:tc>
          <w:tcPr>
            <w:tcW w:w="1780" w:type="dxa"/>
            <w:vAlign w:val="bottom"/>
            <w:tcBorders>
              <w:right w:val="single" w:sz="8" w:color="auto"/>
            </w:tcBorders>
          </w:tcPr>
          <w:p>
            <w:pPr>
              <w:jc w:val="center"/>
              <w:spacing w:after="0" w:line="124" w:lineRule="exact"/>
              <w:rPr>
                <w:sz w:val="20"/>
                <w:szCs w:val="20"/>
                <w:color w:val="auto"/>
              </w:rPr>
            </w:pPr>
            <w:r>
              <w:rPr>
                <w:rFonts w:ascii="Times New Roman" w:cs="Times New Roman" w:eastAsia="Times New Roman" w:hAnsi="Times New Roman"/>
                <w:sz w:val="11"/>
                <w:szCs w:val="11"/>
                <w:color w:val="auto"/>
                <w:w w:val="97"/>
              </w:rPr>
              <w:t>June 30, 2028</w:t>
            </w:r>
          </w:p>
        </w:tc>
        <w:tc>
          <w:tcPr>
            <w:tcW w:w="1260" w:type="dxa"/>
            <w:vAlign w:val="bottom"/>
            <w:tcBorders>
              <w:right w:val="single" w:sz="8" w:color="auto"/>
            </w:tcBorders>
          </w:tcPr>
          <w:p>
            <w:pPr>
              <w:jc w:val="center"/>
              <w:ind w:right="6"/>
              <w:spacing w:after="0" w:line="124" w:lineRule="exact"/>
              <w:rPr>
                <w:sz w:val="20"/>
                <w:szCs w:val="20"/>
                <w:color w:val="auto"/>
              </w:rPr>
            </w:pPr>
            <w:r>
              <w:rPr>
                <w:rFonts w:ascii="Times New Roman" w:cs="Times New Roman" w:eastAsia="Times New Roman" w:hAnsi="Times New Roman"/>
                <w:sz w:val="11"/>
                <w:szCs w:val="11"/>
                <w:color w:val="auto"/>
              </w:rPr>
              <w:t>-</w:t>
            </w:r>
          </w:p>
        </w:tc>
        <w:tc>
          <w:tcPr>
            <w:tcW w:w="1160" w:type="dxa"/>
            <w:vAlign w:val="bottom"/>
            <w:tcBorders>
              <w:right w:val="single" w:sz="8" w:color="auto"/>
            </w:tcBorders>
          </w:tcPr>
          <w:p>
            <w:pPr>
              <w:jc w:val="center"/>
              <w:spacing w:after="0" w:line="124" w:lineRule="exact"/>
              <w:rPr>
                <w:sz w:val="20"/>
                <w:szCs w:val="20"/>
                <w:color w:val="auto"/>
              </w:rPr>
            </w:pPr>
            <w:r>
              <w:rPr>
                <w:rFonts w:ascii="Times New Roman" w:cs="Times New Roman" w:eastAsia="Times New Roman" w:hAnsi="Times New Roman"/>
                <w:sz w:val="11"/>
                <w:szCs w:val="11"/>
                <w:color w:val="auto"/>
              </w:rPr>
              <w:t>-</w:t>
            </w:r>
          </w:p>
        </w:tc>
        <w:tc>
          <w:tcPr>
            <w:tcW w:w="11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8"/>
                <w:szCs w:val="8"/>
                <w:color w:val="auto"/>
                <w:w w:val="73"/>
              </w:rPr>
              <w:t>-</w:t>
            </w:r>
          </w:p>
        </w:tc>
        <w:tc>
          <w:tcPr>
            <w:tcW w:w="13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8"/>
                <w:szCs w:val="8"/>
                <w:color w:val="auto"/>
                <w:w w:val="73"/>
              </w:rPr>
              <w:t>-</w:t>
            </w:r>
          </w:p>
        </w:tc>
        <w:tc>
          <w:tcPr>
            <w:tcW w:w="0" w:type="dxa"/>
            <w:vAlign w:val="bottom"/>
          </w:tcPr>
          <w:p>
            <w:pPr>
              <w:spacing w:after="0"/>
              <w:rPr>
                <w:sz w:val="1"/>
                <w:szCs w:val="1"/>
                <w:color w:val="auto"/>
              </w:rPr>
            </w:pPr>
          </w:p>
        </w:tc>
      </w:tr>
      <w:tr>
        <w:trPr>
          <w:trHeight w:val="77"/>
        </w:trPr>
        <w:tc>
          <w:tcPr>
            <w:tcW w:w="1560" w:type="dxa"/>
            <w:vAlign w:val="bottom"/>
            <w:tcBorders>
              <w:left w:val="single" w:sz="8" w:color="auto"/>
              <w:right w:val="single" w:sz="8" w:color="auto"/>
            </w:tcBorders>
            <w:vMerge w:val="continue"/>
          </w:tcPr>
          <w:p>
            <w:pPr>
              <w:spacing w:after="0"/>
              <w:rPr>
                <w:sz w:val="6"/>
                <w:szCs w:val="6"/>
                <w:color w:val="auto"/>
              </w:rPr>
            </w:pPr>
          </w:p>
        </w:tc>
        <w:tc>
          <w:tcPr>
            <w:tcW w:w="174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1"/>
                <w:szCs w:val="11"/>
                <w:color w:val="auto"/>
                <w:w w:val="99"/>
              </w:rPr>
              <w:t>24,868</w:t>
            </w:r>
          </w:p>
        </w:tc>
        <w:tc>
          <w:tcPr>
            <w:tcW w:w="134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1"/>
                <w:szCs w:val="11"/>
                <w:color w:val="auto"/>
                <w:w w:val="92"/>
              </w:rPr>
              <w:t>$13.11</w:t>
            </w:r>
          </w:p>
        </w:tc>
        <w:tc>
          <w:tcPr>
            <w:tcW w:w="178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1"/>
                <w:szCs w:val="11"/>
                <w:color w:val="auto"/>
                <w:w w:val="98"/>
              </w:rPr>
              <w:t>August 15, 2034</w:t>
            </w:r>
          </w:p>
        </w:tc>
        <w:tc>
          <w:tcPr>
            <w:tcW w:w="1260" w:type="dxa"/>
            <w:vAlign w:val="bottom"/>
            <w:tcBorders>
              <w:right w:val="single" w:sz="8" w:color="auto"/>
            </w:tcBorders>
            <w:vMerge w:val="restart"/>
          </w:tcPr>
          <w:p>
            <w:pPr>
              <w:jc w:val="center"/>
              <w:ind w:right="6"/>
              <w:spacing w:after="0"/>
              <w:rPr>
                <w:sz w:val="20"/>
                <w:szCs w:val="20"/>
                <w:color w:val="auto"/>
              </w:rPr>
            </w:pPr>
            <w:r>
              <w:rPr>
                <w:rFonts w:ascii="Times New Roman" w:cs="Times New Roman" w:eastAsia="Times New Roman" w:hAnsi="Times New Roman"/>
                <w:sz w:val="11"/>
                <w:szCs w:val="11"/>
                <w:color w:val="auto"/>
              </w:rPr>
              <w:t>-</w:t>
            </w:r>
          </w:p>
        </w:tc>
        <w:tc>
          <w:tcPr>
            <w:tcW w:w="1160" w:type="dxa"/>
            <w:vAlign w:val="bottom"/>
            <w:tcBorders>
              <w:right w:val="single" w:sz="8" w:color="auto"/>
            </w:tcBorders>
          </w:tcPr>
          <w:p>
            <w:pPr>
              <w:spacing w:after="0"/>
              <w:rPr>
                <w:sz w:val="6"/>
                <w:szCs w:val="6"/>
                <w:color w:val="auto"/>
              </w:rPr>
            </w:pPr>
          </w:p>
        </w:tc>
        <w:tc>
          <w:tcPr>
            <w:tcW w:w="1180" w:type="dxa"/>
            <w:vAlign w:val="bottom"/>
            <w:tcBorders>
              <w:right w:val="single" w:sz="8" w:color="auto"/>
            </w:tcBorders>
          </w:tcPr>
          <w:p>
            <w:pPr>
              <w:spacing w:after="0"/>
              <w:rPr>
                <w:sz w:val="6"/>
                <w:szCs w:val="6"/>
                <w:color w:val="auto"/>
              </w:rPr>
            </w:pPr>
          </w:p>
        </w:tc>
        <w:tc>
          <w:tcPr>
            <w:tcW w:w="1300" w:type="dxa"/>
            <w:vAlign w:val="bottom"/>
            <w:tcBorders>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63"/>
        </w:trPr>
        <w:tc>
          <w:tcPr>
            <w:tcW w:w="1560" w:type="dxa"/>
            <w:vAlign w:val="bottom"/>
            <w:tcBorders>
              <w:left w:val="single" w:sz="8" w:color="auto"/>
              <w:right w:val="single" w:sz="8" w:color="auto"/>
            </w:tcBorders>
          </w:tcPr>
          <w:p>
            <w:pPr>
              <w:spacing w:after="0"/>
              <w:rPr>
                <w:sz w:val="5"/>
                <w:szCs w:val="5"/>
                <w:color w:val="auto"/>
              </w:rPr>
            </w:pPr>
          </w:p>
        </w:tc>
        <w:tc>
          <w:tcPr>
            <w:tcW w:w="1740" w:type="dxa"/>
            <w:vAlign w:val="bottom"/>
            <w:tcBorders>
              <w:right w:val="single" w:sz="8" w:color="auto"/>
            </w:tcBorders>
            <w:vMerge w:val="continue"/>
          </w:tcPr>
          <w:p>
            <w:pPr>
              <w:spacing w:after="0"/>
              <w:rPr>
                <w:sz w:val="5"/>
                <w:szCs w:val="5"/>
                <w:color w:val="auto"/>
              </w:rPr>
            </w:pPr>
          </w:p>
        </w:tc>
        <w:tc>
          <w:tcPr>
            <w:tcW w:w="1340" w:type="dxa"/>
            <w:vAlign w:val="bottom"/>
            <w:tcBorders>
              <w:right w:val="single" w:sz="8" w:color="auto"/>
            </w:tcBorders>
            <w:vMerge w:val="continue"/>
          </w:tcPr>
          <w:p>
            <w:pPr>
              <w:spacing w:after="0"/>
              <w:rPr>
                <w:sz w:val="5"/>
                <w:szCs w:val="5"/>
                <w:color w:val="auto"/>
              </w:rPr>
            </w:pPr>
          </w:p>
        </w:tc>
        <w:tc>
          <w:tcPr>
            <w:tcW w:w="1780" w:type="dxa"/>
            <w:vAlign w:val="bottom"/>
            <w:tcBorders>
              <w:right w:val="single" w:sz="8" w:color="auto"/>
            </w:tcBorders>
            <w:vMerge w:val="continue"/>
          </w:tcPr>
          <w:p>
            <w:pPr>
              <w:spacing w:after="0"/>
              <w:rPr>
                <w:sz w:val="5"/>
                <w:szCs w:val="5"/>
                <w:color w:val="auto"/>
              </w:rPr>
            </w:pPr>
          </w:p>
        </w:tc>
        <w:tc>
          <w:tcPr>
            <w:tcW w:w="1260" w:type="dxa"/>
            <w:vAlign w:val="bottom"/>
            <w:tcBorders>
              <w:right w:val="single" w:sz="8" w:color="auto"/>
            </w:tcBorders>
            <w:vMerge w:val="continue"/>
          </w:tcPr>
          <w:p>
            <w:pPr>
              <w:spacing w:after="0"/>
              <w:rPr>
                <w:sz w:val="5"/>
                <w:szCs w:val="5"/>
                <w:color w:val="auto"/>
              </w:rPr>
            </w:pPr>
          </w:p>
        </w:tc>
        <w:tc>
          <w:tcPr>
            <w:tcW w:w="1160" w:type="dxa"/>
            <w:vAlign w:val="bottom"/>
            <w:tcBorders>
              <w:right w:val="single" w:sz="8" w:color="auto"/>
            </w:tcBorders>
          </w:tcPr>
          <w:p>
            <w:pPr>
              <w:spacing w:after="0"/>
              <w:rPr>
                <w:sz w:val="5"/>
                <w:szCs w:val="5"/>
                <w:color w:val="auto"/>
              </w:rPr>
            </w:pPr>
          </w:p>
        </w:tc>
        <w:tc>
          <w:tcPr>
            <w:tcW w:w="1180" w:type="dxa"/>
            <w:vAlign w:val="bottom"/>
            <w:tcBorders>
              <w:right w:val="single" w:sz="8" w:color="auto"/>
            </w:tcBorders>
          </w:tcPr>
          <w:p>
            <w:pPr>
              <w:spacing w:after="0"/>
              <w:rPr>
                <w:sz w:val="5"/>
                <w:szCs w:val="5"/>
                <w:color w:val="auto"/>
              </w:rPr>
            </w:pPr>
          </w:p>
        </w:tc>
        <w:tc>
          <w:tcPr>
            <w:tcW w:w="1300" w:type="dxa"/>
            <w:vAlign w:val="bottom"/>
            <w:tcBorders>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2"/>
        </w:trPr>
        <w:tc>
          <w:tcPr>
            <w:tcW w:w="156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1740" w:type="dxa"/>
            <w:vAlign w:val="bottom"/>
            <w:tcBorders>
              <w:bottom w:val="single" w:sz="8" w:color="auto"/>
              <w:right w:val="single" w:sz="8" w:color="auto"/>
            </w:tcBorders>
          </w:tcPr>
          <w:p>
            <w:pPr>
              <w:spacing w:after="0" w:line="20" w:lineRule="exact"/>
              <w:rPr>
                <w:sz w:val="1"/>
                <w:szCs w:val="1"/>
                <w:color w:val="auto"/>
              </w:rPr>
            </w:pPr>
          </w:p>
        </w:tc>
        <w:tc>
          <w:tcPr>
            <w:tcW w:w="1340" w:type="dxa"/>
            <w:vAlign w:val="bottom"/>
            <w:tcBorders>
              <w:bottom w:val="single" w:sz="8" w:color="auto"/>
              <w:right w:val="single" w:sz="8" w:color="auto"/>
            </w:tcBorders>
          </w:tcPr>
          <w:p>
            <w:pPr>
              <w:spacing w:after="0" w:line="20" w:lineRule="exact"/>
              <w:rPr>
                <w:sz w:val="1"/>
                <w:szCs w:val="1"/>
                <w:color w:val="auto"/>
              </w:rPr>
            </w:pPr>
          </w:p>
        </w:tc>
        <w:tc>
          <w:tcPr>
            <w:tcW w:w="1780" w:type="dxa"/>
            <w:vAlign w:val="bottom"/>
            <w:tcBorders>
              <w:bottom w:val="single" w:sz="8" w:color="auto"/>
              <w:right w:val="single" w:sz="8" w:color="auto"/>
            </w:tcBorders>
          </w:tcPr>
          <w:p>
            <w:pPr>
              <w:spacing w:after="0" w:line="20" w:lineRule="exact"/>
              <w:rPr>
                <w:sz w:val="1"/>
                <w:szCs w:val="1"/>
                <w:color w:val="auto"/>
              </w:rPr>
            </w:pPr>
          </w:p>
        </w:tc>
        <w:tc>
          <w:tcPr>
            <w:tcW w:w="1260" w:type="dxa"/>
            <w:vAlign w:val="bottom"/>
            <w:tcBorders>
              <w:bottom w:val="single" w:sz="8" w:color="auto"/>
              <w:right w:val="single" w:sz="8" w:color="auto"/>
            </w:tcBorders>
          </w:tcPr>
          <w:p>
            <w:pPr>
              <w:spacing w:after="0" w:line="20" w:lineRule="exact"/>
              <w:rPr>
                <w:sz w:val="1"/>
                <w:szCs w:val="1"/>
                <w:color w:val="auto"/>
              </w:rPr>
            </w:pPr>
          </w:p>
        </w:tc>
        <w:tc>
          <w:tcPr>
            <w:tcW w:w="1160" w:type="dxa"/>
            <w:vAlign w:val="bottom"/>
            <w:tcBorders>
              <w:bottom w:val="single" w:sz="8" w:color="auto"/>
              <w:right w:val="single" w:sz="8" w:color="auto"/>
            </w:tcBorders>
          </w:tcPr>
          <w:p>
            <w:pPr>
              <w:spacing w:after="0" w:line="20" w:lineRule="exact"/>
              <w:rPr>
                <w:sz w:val="1"/>
                <w:szCs w:val="1"/>
                <w:color w:val="auto"/>
              </w:rPr>
            </w:pPr>
          </w:p>
        </w:tc>
        <w:tc>
          <w:tcPr>
            <w:tcW w:w="1180" w:type="dxa"/>
            <w:vAlign w:val="bottom"/>
            <w:tcBorders>
              <w:bottom w:val="single" w:sz="8" w:color="auto"/>
              <w:right w:val="single" w:sz="8" w:color="auto"/>
            </w:tcBorders>
          </w:tcPr>
          <w:p>
            <w:pPr>
              <w:spacing w:after="0" w:line="20" w:lineRule="exact"/>
              <w:rPr>
                <w:sz w:val="1"/>
                <w:szCs w:val="1"/>
                <w:color w:val="auto"/>
              </w:rPr>
            </w:pPr>
          </w:p>
        </w:tc>
        <w:tc>
          <w:tcPr>
            <w:tcW w:w="1300" w:type="dxa"/>
            <w:vAlign w:val="bottom"/>
            <w:tcBorders>
              <w:bottom w:val="single" w:sz="8" w:color="auto"/>
              <w:right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24"/>
        </w:trPr>
        <w:tc>
          <w:tcPr>
            <w:tcW w:w="1560" w:type="dxa"/>
            <w:vAlign w:val="bottom"/>
            <w:tcBorders>
              <w:left w:val="single" w:sz="8" w:color="auto"/>
              <w:right w:val="single" w:sz="8" w:color="auto"/>
            </w:tcBorders>
            <w:vMerge w:val="restart"/>
          </w:tcPr>
          <w:p>
            <w:pPr>
              <w:ind w:left="40"/>
              <w:spacing w:after="0"/>
              <w:rPr>
                <w:sz w:val="20"/>
                <w:szCs w:val="20"/>
                <w:color w:val="auto"/>
              </w:rPr>
            </w:pPr>
            <w:r>
              <w:rPr>
                <w:rFonts w:ascii="Times New Roman" w:cs="Times New Roman" w:eastAsia="Times New Roman" w:hAnsi="Times New Roman"/>
                <w:sz w:val="11"/>
                <w:szCs w:val="11"/>
                <w:color w:val="auto"/>
              </w:rPr>
              <w:t>George Tziras</w:t>
            </w:r>
          </w:p>
        </w:tc>
        <w:tc>
          <w:tcPr>
            <w:tcW w:w="1740" w:type="dxa"/>
            <w:vAlign w:val="bottom"/>
            <w:tcBorders>
              <w:right w:val="single" w:sz="8" w:color="auto"/>
            </w:tcBorders>
          </w:tcPr>
          <w:p>
            <w:pPr>
              <w:jc w:val="center"/>
              <w:spacing w:after="0" w:line="124" w:lineRule="exact"/>
              <w:rPr>
                <w:sz w:val="20"/>
                <w:szCs w:val="20"/>
                <w:color w:val="auto"/>
              </w:rPr>
            </w:pPr>
            <w:r>
              <w:rPr>
                <w:rFonts w:ascii="Times New Roman" w:cs="Times New Roman" w:eastAsia="Times New Roman" w:hAnsi="Times New Roman"/>
                <w:sz w:val="11"/>
                <w:szCs w:val="11"/>
                <w:color w:val="auto"/>
                <w:w w:val="99"/>
              </w:rPr>
              <w:t>19,737</w:t>
            </w:r>
          </w:p>
        </w:tc>
        <w:tc>
          <w:tcPr>
            <w:tcW w:w="1340" w:type="dxa"/>
            <w:vAlign w:val="bottom"/>
            <w:tcBorders>
              <w:right w:val="single" w:sz="8" w:color="auto"/>
            </w:tcBorders>
          </w:tcPr>
          <w:p>
            <w:pPr>
              <w:jc w:val="center"/>
              <w:spacing w:after="0" w:line="124" w:lineRule="exact"/>
              <w:rPr>
                <w:sz w:val="20"/>
                <w:szCs w:val="20"/>
                <w:color w:val="auto"/>
              </w:rPr>
            </w:pPr>
            <w:r>
              <w:rPr>
                <w:rFonts w:ascii="Times New Roman" w:cs="Times New Roman" w:eastAsia="Times New Roman" w:hAnsi="Times New Roman"/>
                <w:sz w:val="11"/>
                <w:szCs w:val="11"/>
                <w:color w:val="auto"/>
                <w:w w:val="99"/>
              </w:rPr>
              <w:t>$21.28</w:t>
            </w:r>
          </w:p>
        </w:tc>
        <w:tc>
          <w:tcPr>
            <w:tcW w:w="1780" w:type="dxa"/>
            <w:vAlign w:val="bottom"/>
            <w:tcBorders>
              <w:right w:val="single" w:sz="8" w:color="auto"/>
            </w:tcBorders>
          </w:tcPr>
          <w:p>
            <w:pPr>
              <w:jc w:val="center"/>
              <w:spacing w:after="0" w:line="124" w:lineRule="exact"/>
              <w:rPr>
                <w:sz w:val="20"/>
                <w:szCs w:val="20"/>
                <w:color w:val="auto"/>
              </w:rPr>
            </w:pPr>
            <w:r>
              <w:rPr>
                <w:rFonts w:ascii="Times New Roman" w:cs="Times New Roman" w:eastAsia="Times New Roman" w:hAnsi="Times New Roman"/>
                <w:sz w:val="11"/>
                <w:szCs w:val="11"/>
                <w:color w:val="auto"/>
                <w:w w:val="98"/>
              </w:rPr>
              <w:t>April 5, 2029</w:t>
            </w:r>
          </w:p>
        </w:tc>
        <w:tc>
          <w:tcPr>
            <w:tcW w:w="1260" w:type="dxa"/>
            <w:vAlign w:val="bottom"/>
            <w:tcBorders>
              <w:right w:val="single" w:sz="8" w:color="auto"/>
            </w:tcBorders>
          </w:tcPr>
          <w:p>
            <w:pPr>
              <w:jc w:val="center"/>
              <w:ind w:right="6"/>
              <w:spacing w:after="0" w:line="124" w:lineRule="exact"/>
              <w:rPr>
                <w:sz w:val="20"/>
                <w:szCs w:val="20"/>
                <w:color w:val="auto"/>
              </w:rPr>
            </w:pPr>
            <w:r>
              <w:rPr>
                <w:rFonts w:ascii="Times New Roman" w:cs="Times New Roman" w:eastAsia="Times New Roman" w:hAnsi="Times New Roman"/>
                <w:sz w:val="11"/>
                <w:szCs w:val="11"/>
                <w:color w:val="auto"/>
              </w:rPr>
              <w:t>-</w:t>
            </w:r>
          </w:p>
        </w:tc>
        <w:tc>
          <w:tcPr>
            <w:tcW w:w="1160" w:type="dxa"/>
            <w:vAlign w:val="bottom"/>
            <w:tcBorders>
              <w:right w:val="single" w:sz="8" w:color="auto"/>
            </w:tcBorders>
          </w:tcPr>
          <w:p>
            <w:pPr>
              <w:jc w:val="center"/>
              <w:spacing w:after="0" w:line="124" w:lineRule="exact"/>
              <w:rPr>
                <w:sz w:val="20"/>
                <w:szCs w:val="20"/>
                <w:color w:val="auto"/>
              </w:rPr>
            </w:pPr>
            <w:r>
              <w:rPr>
                <w:rFonts w:ascii="Times New Roman" w:cs="Times New Roman" w:eastAsia="Times New Roman" w:hAnsi="Times New Roman"/>
                <w:sz w:val="11"/>
                <w:szCs w:val="11"/>
                <w:color w:val="auto"/>
              </w:rPr>
              <w:t>-</w:t>
            </w:r>
          </w:p>
        </w:tc>
        <w:tc>
          <w:tcPr>
            <w:tcW w:w="11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8"/>
                <w:szCs w:val="8"/>
                <w:color w:val="auto"/>
                <w:w w:val="73"/>
              </w:rPr>
              <w:t>-</w:t>
            </w:r>
          </w:p>
        </w:tc>
        <w:tc>
          <w:tcPr>
            <w:tcW w:w="13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8"/>
                <w:szCs w:val="8"/>
                <w:color w:val="auto"/>
                <w:w w:val="73"/>
              </w:rPr>
              <w:t>-</w:t>
            </w:r>
          </w:p>
        </w:tc>
        <w:tc>
          <w:tcPr>
            <w:tcW w:w="0" w:type="dxa"/>
            <w:vAlign w:val="bottom"/>
          </w:tcPr>
          <w:p>
            <w:pPr>
              <w:spacing w:after="0"/>
              <w:rPr>
                <w:sz w:val="1"/>
                <w:szCs w:val="1"/>
                <w:color w:val="auto"/>
              </w:rPr>
            </w:pPr>
          </w:p>
        </w:tc>
      </w:tr>
      <w:tr>
        <w:trPr>
          <w:trHeight w:val="77"/>
        </w:trPr>
        <w:tc>
          <w:tcPr>
            <w:tcW w:w="1560" w:type="dxa"/>
            <w:vAlign w:val="bottom"/>
            <w:tcBorders>
              <w:left w:val="single" w:sz="8" w:color="auto"/>
              <w:right w:val="single" w:sz="8" w:color="auto"/>
            </w:tcBorders>
            <w:vMerge w:val="continue"/>
          </w:tcPr>
          <w:p>
            <w:pPr>
              <w:spacing w:after="0"/>
              <w:rPr>
                <w:sz w:val="6"/>
                <w:szCs w:val="6"/>
                <w:color w:val="auto"/>
              </w:rPr>
            </w:pPr>
          </w:p>
        </w:tc>
        <w:tc>
          <w:tcPr>
            <w:tcW w:w="174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1"/>
                <w:szCs w:val="11"/>
                <w:color w:val="auto"/>
                <w:w w:val="99"/>
              </w:rPr>
              <w:t>19,737</w:t>
            </w:r>
          </w:p>
        </w:tc>
        <w:tc>
          <w:tcPr>
            <w:tcW w:w="134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1"/>
                <w:szCs w:val="11"/>
                <w:color w:val="auto"/>
                <w:w w:val="92"/>
              </w:rPr>
              <w:t>$13.11</w:t>
            </w:r>
          </w:p>
        </w:tc>
        <w:tc>
          <w:tcPr>
            <w:tcW w:w="178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1"/>
                <w:szCs w:val="11"/>
                <w:color w:val="auto"/>
                <w:w w:val="98"/>
              </w:rPr>
              <w:t>August 15, 2034</w:t>
            </w:r>
          </w:p>
        </w:tc>
        <w:tc>
          <w:tcPr>
            <w:tcW w:w="1260" w:type="dxa"/>
            <w:vAlign w:val="bottom"/>
            <w:tcBorders>
              <w:right w:val="single" w:sz="8" w:color="auto"/>
            </w:tcBorders>
          </w:tcPr>
          <w:p>
            <w:pPr>
              <w:spacing w:after="0"/>
              <w:rPr>
                <w:sz w:val="6"/>
                <w:szCs w:val="6"/>
                <w:color w:val="auto"/>
              </w:rPr>
            </w:pPr>
          </w:p>
        </w:tc>
        <w:tc>
          <w:tcPr>
            <w:tcW w:w="1160" w:type="dxa"/>
            <w:vAlign w:val="bottom"/>
            <w:tcBorders>
              <w:right w:val="single" w:sz="8" w:color="auto"/>
            </w:tcBorders>
          </w:tcPr>
          <w:p>
            <w:pPr>
              <w:spacing w:after="0"/>
              <w:rPr>
                <w:sz w:val="6"/>
                <w:szCs w:val="6"/>
                <w:color w:val="auto"/>
              </w:rPr>
            </w:pPr>
          </w:p>
        </w:tc>
        <w:tc>
          <w:tcPr>
            <w:tcW w:w="1180" w:type="dxa"/>
            <w:vAlign w:val="bottom"/>
            <w:tcBorders>
              <w:right w:val="single" w:sz="8" w:color="auto"/>
            </w:tcBorders>
          </w:tcPr>
          <w:p>
            <w:pPr>
              <w:spacing w:after="0"/>
              <w:rPr>
                <w:sz w:val="6"/>
                <w:szCs w:val="6"/>
                <w:color w:val="auto"/>
              </w:rPr>
            </w:pPr>
          </w:p>
        </w:tc>
        <w:tc>
          <w:tcPr>
            <w:tcW w:w="1300" w:type="dxa"/>
            <w:vAlign w:val="bottom"/>
            <w:tcBorders>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63"/>
        </w:trPr>
        <w:tc>
          <w:tcPr>
            <w:tcW w:w="1560" w:type="dxa"/>
            <w:vAlign w:val="bottom"/>
            <w:tcBorders>
              <w:left w:val="single" w:sz="8" w:color="auto"/>
              <w:right w:val="single" w:sz="8" w:color="auto"/>
            </w:tcBorders>
          </w:tcPr>
          <w:p>
            <w:pPr>
              <w:spacing w:after="0"/>
              <w:rPr>
                <w:sz w:val="5"/>
                <w:szCs w:val="5"/>
                <w:color w:val="auto"/>
              </w:rPr>
            </w:pPr>
          </w:p>
        </w:tc>
        <w:tc>
          <w:tcPr>
            <w:tcW w:w="1740" w:type="dxa"/>
            <w:vAlign w:val="bottom"/>
            <w:tcBorders>
              <w:right w:val="single" w:sz="8" w:color="auto"/>
            </w:tcBorders>
            <w:vMerge w:val="continue"/>
          </w:tcPr>
          <w:p>
            <w:pPr>
              <w:spacing w:after="0"/>
              <w:rPr>
                <w:sz w:val="5"/>
                <w:szCs w:val="5"/>
                <w:color w:val="auto"/>
              </w:rPr>
            </w:pPr>
          </w:p>
        </w:tc>
        <w:tc>
          <w:tcPr>
            <w:tcW w:w="1340" w:type="dxa"/>
            <w:vAlign w:val="bottom"/>
            <w:tcBorders>
              <w:right w:val="single" w:sz="8" w:color="auto"/>
            </w:tcBorders>
            <w:vMerge w:val="continue"/>
          </w:tcPr>
          <w:p>
            <w:pPr>
              <w:spacing w:after="0"/>
              <w:rPr>
                <w:sz w:val="5"/>
                <w:szCs w:val="5"/>
                <w:color w:val="auto"/>
              </w:rPr>
            </w:pPr>
          </w:p>
        </w:tc>
        <w:tc>
          <w:tcPr>
            <w:tcW w:w="1780" w:type="dxa"/>
            <w:vAlign w:val="bottom"/>
            <w:tcBorders>
              <w:right w:val="single" w:sz="8" w:color="auto"/>
            </w:tcBorders>
            <w:vMerge w:val="continue"/>
          </w:tcPr>
          <w:p>
            <w:pPr>
              <w:spacing w:after="0"/>
              <w:rPr>
                <w:sz w:val="5"/>
                <w:szCs w:val="5"/>
                <w:color w:val="auto"/>
              </w:rPr>
            </w:pPr>
          </w:p>
        </w:tc>
        <w:tc>
          <w:tcPr>
            <w:tcW w:w="1260" w:type="dxa"/>
            <w:vAlign w:val="bottom"/>
            <w:tcBorders>
              <w:right w:val="single" w:sz="8" w:color="auto"/>
            </w:tcBorders>
          </w:tcPr>
          <w:p>
            <w:pPr>
              <w:spacing w:after="0"/>
              <w:rPr>
                <w:sz w:val="5"/>
                <w:szCs w:val="5"/>
                <w:color w:val="auto"/>
              </w:rPr>
            </w:pPr>
          </w:p>
        </w:tc>
        <w:tc>
          <w:tcPr>
            <w:tcW w:w="1160" w:type="dxa"/>
            <w:vAlign w:val="bottom"/>
            <w:tcBorders>
              <w:right w:val="single" w:sz="8" w:color="auto"/>
            </w:tcBorders>
          </w:tcPr>
          <w:p>
            <w:pPr>
              <w:spacing w:after="0"/>
              <w:rPr>
                <w:sz w:val="5"/>
                <w:szCs w:val="5"/>
                <w:color w:val="auto"/>
              </w:rPr>
            </w:pPr>
          </w:p>
        </w:tc>
        <w:tc>
          <w:tcPr>
            <w:tcW w:w="1180" w:type="dxa"/>
            <w:vAlign w:val="bottom"/>
            <w:tcBorders>
              <w:right w:val="single" w:sz="8" w:color="auto"/>
            </w:tcBorders>
          </w:tcPr>
          <w:p>
            <w:pPr>
              <w:spacing w:after="0"/>
              <w:rPr>
                <w:sz w:val="5"/>
                <w:szCs w:val="5"/>
                <w:color w:val="auto"/>
              </w:rPr>
            </w:pPr>
          </w:p>
        </w:tc>
        <w:tc>
          <w:tcPr>
            <w:tcW w:w="1300" w:type="dxa"/>
            <w:vAlign w:val="bottom"/>
            <w:tcBorders>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2"/>
        </w:trPr>
        <w:tc>
          <w:tcPr>
            <w:tcW w:w="156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1740" w:type="dxa"/>
            <w:vAlign w:val="bottom"/>
            <w:tcBorders>
              <w:bottom w:val="single" w:sz="8" w:color="auto"/>
              <w:right w:val="single" w:sz="8" w:color="auto"/>
            </w:tcBorders>
          </w:tcPr>
          <w:p>
            <w:pPr>
              <w:spacing w:after="0" w:line="20" w:lineRule="exact"/>
              <w:rPr>
                <w:sz w:val="1"/>
                <w:szCs w:val="1"/>
                <w:color w:val="auto"/>
              </w:rPr>
            </w:pPr>
          </w:p>
        </w:tc>
        <w:tc>
          <w:tcPr>
            <w:tcW w:w="1340" w:type="dxa"/>
            <w:vAlign w:val="bottom"/>
            <w:tcBorders>
              <w:bottom w:val="single" w:sz="8" w:color="auto"/>
              <w:right w:val="single" w:sz="8" w:color="auto"/>
            </w:tcBorders>
          </w:tcPr>
          <w:p>
            <w:pPr>
              <w:spacing w:after="0" w:line="20" w:lineRule="exact"/>
              <w:rPr>
                <w:sz w:val="1"/>
                <w:szCs w:val="1"/>
                <w:color w:val="auto"/>
              </w:rPr>
            </w:pPr>
          </w:p>
        </w:tc>
        <w:tc>
          <w:tcPr>
            <w:tcW w:w="1780" w:type="dxa"/>
            <w:vAlign w:val="bottom"/>
            <w:tcBorders>
              <w:bottom w:val="single" w:sz="8" w:color="auto"/>
              <w:right w:val="single" w:sz="8" w:color="auto"/>
            </w:tcBorders>
          </w:tcPr>
          <w:p>
            <w:pPr>
              <w:spacing w:after="0" w:line="20" w:lineRule="exact"/>
              <w:rPr>
                <w:sz w:val="1"/>
                <w:szCs w:val="1"/>
                <w:color w:val="auto"/>
              </w:rPr>
            </w:pPr>
          </w:p>
        </w:tc>
        <w:tc>
          <w:tcPr>
            <w:tcW w:w="1260" w:type="dxa"/>
            <w:vAlign w:val="bottom"/>
            <w:tcBorders>
              <w:bottom w:val="single" w:sz="8" w:color="auto"/>
              <w:right w:val="single" w:sz="8" w:color="auto"/>
            </w:tcBorders>
          </w:tcPr>
          <w:p>
            <w:pPr>
              <w:spacing w:after="0" w:line="20" w:lineRule="exact"/>
              <w:rPr>
                <w:sz w:val="1"/>
                <w:szCs w:val="1"/>
                <w:color w:val="auto"/>
              </w:rPr>
            </w:pPr>
          </w:p>
        </w:tc>
        <w:tc>
          <w:tcPr>
            <w:tcW w:w="1160" w:type="dxa"/>
            <w:vAlign w:val="bottom"/>
            <w:tcBorders>
              <w:bottom w:val="single" w:sz="8" w:color="auto"/>
              <w:right w:val="single" w:sz="8" w:color="auto"/>
            </w:tcBorders>
          </w:tcPr>
          <w:p>
            <w:pPr>
              <w:spacing w:after="0" w:line="20" w:lineRule="exact"/>
              <w:rPr>
                <w:sz w:val="1"/>
                <w:szCs w:val="1"/>
                <w:color w:val="auto"/>
              </w:rPr>
            </w:pPr>
          </w:p>
        </w:tc>
        <w:tc>
          <w:tcPr>
            <w:tcW w:w="1180" w:type="dxa"/>
            <w:vAlign w:val="bottom"/>
            <w:tcBorders>
              <w:bottom w:val="single" w:sz="8" w:color="auto"/>
              <w:right w:val="single" w:sz="8" w:color="auto"/>
            </w:tcBorders>
          </w:tcPr>
          <w:p>
            <w:pPr>
              <w:spacing w:after="0" w:line="20" w:lineRule="exact"/>
              <w:rPr>
                <w:sz w:val="1"/>
                <w:szCs w:val="1"/>
                <w:color w:val="auto"/>
              </w:rPr>
            </w:pPr>
          </w:p>
        </w:tc>
        <w:tc>
          <w:tcPr>
            <w:tcW w:w="1300" w:type="dxa"/>
            <w:vAlign w:val="bottom"/>
            <w:tcBorders>
              <w:bottom w:val="single" w:sz="8" w:color="auto"/>
              <w:right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96" w:lineRule="exact"/>
        <w:rPr>
          <w:sz w:val="20"/>
          <w:szCs w:val="20"/>
          <w:color w:val="auto"/>
        </w:rPr>
      </w:pPr>
    </w:p>
    <w:p>
      <w:pPr>
        <w:ind w:left="8"/>
        <w:spacing w:after="0"/>
        <w:rPr>
          <w:sz w:val="20"/>
          <w:szCs w:val="20"/>
          <w:color w:val="auto"/>
        </w:rPr>
      </w:pPr>
      <w:r>
        <w:rPr>
          <w:rFonts w:ascii="Times New Roman" w:cs="Times New Roman" w:eastAsia="Times New Roman" w:hAnsi="Times New Roman"/>
          <w:sz w:val="11"/>
          <w:szCs w:val="11"/>
          <w:b w:val="1"/>
          <w:bCs w:val="1"/>
          <w:color w:val="auto"/>
        </w:rPr>
        <w:t>Note:</w:t>
      </w:r>
    </w:p>
    <w:p>
      <w:pPr>
        <w:spacing w:after="0" w:line="92" w:lineRule="exact"/>
        <w:rPr>
          <w:sz w:val="20"/>
          <w:szCs w:val="20"/>
          <w:color w:val="auto"/>
        </w:rPr>
      </w:pPr>
    </w:p>
    <w:p>
      <w:pPr>
        <w:ind w:left="428" w:hanging="428"/>
        <w:spacing w:after="0" w:line="299" w:lineRule="auto"/>
        <w:tabs>
          <w:tab w:leader="none" w:pos="272" w:val="left"/>
        </w:tabs>
        <w:numPr>
          <w:ilvl w:val="0"/>
          <w:numId w:val="11"/>
        </w:numPr>
        <w:rPr>
          <w:rFonts w:ascii="Times New Roman" w:cs="Times New Roman" w:eastAsia="Times New Roman" w:hAnsi="Times New Roman"/>
          <w:sz w:val="11"/>
          <w:szCs w:val="11"/>
          <w:color w:val="auto"/>
        </w:rPr>
      </w:pPr>
      <w:r>
        <w:rPr>
          <w:rFonts w:ascii="Times New Roman" w:cs="Times New Roman" w:eastAsia="Times New Roman" w:hAnsi="Times New Roman"/>
          <w:sz w:val="11"/>
          <w:szCs w:val="11"/>
          <w:color w:val="auto"/>
        </w:rPr>
        <w:t>The “value of unexercised in-the-money options” is calculated based on the difference between the closing price of $9.15 for the Common Shares on the Exchange on the last trading day of the year ended March 31, 2025 and the exercise price of the options, multiplied by the number of unexercised options.</w:t>
      </w:r>
    </w:p>
    <w:p>
      <w:pPr>
        <w:spacing w:after="0" w:line="107" w:lineRule="exact"/>
        <w:rPr>
          <w:sz w:val="20"/>
          <w:szCs w:val="20"/>
          <w:color w:val="auto"/>
        </w:rPr>
      </w:pPr>
    </w:p>
    <w:p>
      <w:pPr>
        <w:ind w:left="8"/>
        <w:spacing w:after="0"/>
        <w:rPr>
          <w:sz w:val="20"/>
          <w:szCs w:val="20"/>
          <w:color w:val="auto"/>
        </w:rPr>
      </w:pPr>
      <w:r>
        <w:rPr>
          <w:rFonts w:ascii="Times New Roman" w:cs="Times New Roman" w:eastAsia="Times New Roman" w:hAnsi="Times New Roman"/>
          <w:sz w:val="13"/>
          <w:szCs w:val="13"/>
          <w:b w:val="1"/>
          <w:bCs w:val="1"/>
          <w:i w:val="1"/>
          <w:iCs w:val="1"/>
          <w:color w:val="auto"/>
        </w:rPr>
        <w:t>Incentive Plan Awards – Value Vested or Earned During the Year</w:t>
      </w:r>
    </w:p>
    <w:p>
      <w:pPr>
        <w:spacing w:after="0" w:line="161" w:lineRule="exact"/>
        <w:rPr>
          <w:sz w:val="20"/>
          <w:szCs w:val="20"/>
          <w:color w:val="auto"/>
        </w:rPr>
      </w:pPr>
    </w:p>
    <w:p>
      <w:pPr>
        <w:ind w:left="8" w:right="20"/>
        <w:spacing w:after="0" w:line="281" w:lineRule="auto"/>
        <w:rPr>
          <w:sz w:val="20"/>
          <w:szCs w:val="20"/>
          <w:color w:val="auto"/>
        </w:rPr>
      </w:pPr>
      <w:r>
        <w:rPr>
          <w:rFonts w:ascii="Times New Roman" w:cs="Times New Roman" w:eastAsia="Times New Roman" w:hAnsi="Times New Roman"/>
          <w:sz w:val="13"/>
          <w:szCs w:val="13"/>
          <w:color w:val="auto"/>
        </w:rPr>
        <w:t>The following table sets forth the value of all incentive plan awards vested or earned by each director of the Corporation (other than directors who are also named Executive Officers) during the year ended March 31, 2025:</w:t>
      </w:r>
    </w:p>
    <w:p>
      <w:pPr>
        <w:spacing w:after="0" w:line="122" w:lineRule="exact"/>
        <w:rPr>
          <w:sz w:val="20"/>
          <w:szCs w:val="20"/>
          <w:color w:val="auto"/>
        </w:rPr>
      </w:pPr>
    </w:p>
    <w:tbl>
      <w:tblPr>
        <w:tblLayout w:type="fixed"/>
        <w:tblInd w:w="78" w:type="dxa"/>
        <w:tblCellMar>
          <w:top w:w="0" w:type="dxa"/>
          <w:left w:w="0" w:type="dxa"/>
          <w:bottom w:w="0" w:type="dxa"/>
          <w:right w:w="0" w:type="dxa"/>
        </w:tblCellMar>
      </w:tblPr>
      <w:tr>
        <w:trPr>
          <w:trHeight w:val="142"/>
        </w:trPr>
        <w:tc>
          <w:tcPr>
            <w:tcW w:w="2900" w:type="dxa"/>
            <w:vAlign w:val="bottom"/>
            <w:tcBorders>
              <w:top w:val="single" w:sz="8" w:color="auto"/>
              <w:left w:val="single" w:sz="8" w:color="auto"/>
              <w:right w:val="single" w:sz="8" w:color="auto"/>
            </w:tcBorders>
            <w:shd w:val="clear" w:color="auto" w:fill="D9D9D9"/>
          </w:tcPr>
          <w:p>
            <w:pPr>
              <w:ind w:left="1300"/>
              <w:spacing w:after="0"/>
              <w:rPr>
                <w:sz w:val="20"/>
                <w:szCs w:val="20"/>
                <w:color w:val="auto"/>
              </w:rPr>
            </w:pPr>
            <w:r>
              <w:rPr>
                <w:rFonts w:ascii="Times New Roman" w:cs="Times New Roman" w:eastAsia="Times New Roman" w:hAnsi="Times New Roman"/>
                <w:sz w:val="11"/>
                <w:szCs w:val="11"/>
                <w:b w:val="1"/>
                <w:bCs w:val="1"/>
                <w:color w:val="auto"/>
              </w:rPr>
              <w:t>Name</w:t>
            </w:r>
          </w:p>
        </w:tc>
        <w:tc>
          <w:tcPr>
            <w:tcW w:w="2660" w:type="dxa"/>
            <w:vAlign w:val="bottom"/>
            <w:tcBorders>
              <w:top w:val="single" w:sz="8" w:color="auto"/>
              <w:right w:val="single" w:sz="8" w:color="auto"/>
            </w:tcBorders>
            <w:shd w:val="clear" w:color="auto" w:fill="D9D9D9"/>
          </w:tcPr>
          <w:p>
            <w:pPr>
              <w:ind w:left="100"/>
              <w:spacing w:after="0"/>
              <w:rPr>
                <w:sz w:val="20"/>
                <w:szCs w:val="20"/>
                <w:color w:val="auto"/>
              </w:rPr>
            </w:pPr>
            <w:r>
              <w:rPr>
                <w:rFonts w:ascii="Times New Roman" w:cs="Times New Roman" w:eastAsia="Times New Roman" w:hAnsi="Times New Roman"/>
                <w:sz w:val="11"/>
                <w:szCs w:val="11"/>
                <w:b w:val="1"/>
                <w:bCs w:val="1"/>
                <w:color w:val="auto"/>
              </w:rPr>
              <w:t>Option-based awards – Value vested during the year</w:t>
            </w:r>
          </w:p>
        </w:tc>
        <w:tc>
          <w:tcPr>
            <w:tcW w:w="2840" w:type="dxa"/>
            <w:vAlign w:val="bottom"/>
            <w:tcBorders>
              <w:top w:val="single" w:sz="8" w:color="auto"/>
              <w:right w:val="single" w:sz="8" w:color="auto"/>
            </w:tcBorders>
            <w:shd w:val="clear" w:color="auto" w:fill="D9D9D9"/>
          </w:tcPr>
          <w:p>
            <w:pPr>
              <w:jc w:val="center"/>
              <w:spacing w:after="0"/>
              <w:rPr>
                <w:sz w:val="20"/>
                <w:szCs w:val="20"/>
                <w:color w:val="auto"/>
              </w:rPr>
            </w:pPr>
            <w:r>
              <w:rPr>
                <w:rFonts w:ascii="Times New Roman" w:cs="Times New Roman" w:eastAsia="Times New Roman" w:hAnsi="Times New Roman"/>
                <w:sz w:val="11"/>
                <w:szCs w:val="11"/>
                <w:b w:val="1"/>
                <w:bCs w:val="1"/>
                <w:color w:val="auto"/>
                <w:w w:val="97"/>
              </w:rPr>
              <w:t>Share-based awards – Value vested during</w:t>
            </w:r>
          </w:p>
        </w:tc>
        <w:tc>
          <w:tcPr>
            <w:tcW w:w="2720" w:type="dxa"/>
            <w:vAlign w:val="bottom"/>
            <w:tcBorders>
              <w:top w:val="single" w:sz="8" w:color="auto"/>
              <w:right w:val="single" w:sz="8" w:color="auto"/>
            </w:tcBorders>
            <w:shd w:val="clear" w:color="auto" w:fill="D9D9D9"/>
          </w:tcPr>
          <w:p>
            <w:pPr>
              <w:jc w:val="center"/>
              <w:spacing w:after="0"/>
              <w:rPr>
                <w:sz w:val="20"/>
                <w:szCs w:val="20"/>
                <w:color w:val="auto"/>
              </w:rPr>
            </w:pPr>
            <w:r>
              <w:rPr>
                <w:rFonts w:ascii="Times New Roman" w:cs="Times New Roman" w:eastAsia="Times New Roman" w:hAnsi="Times New Roman"/>
                <w:sz w:val="11"/>
                <w:szCs w:val="11"/>
                <w:b w:val="1"/>
                <w:bCs w:val="1"/>
                <w:color w:val="auto"/>
                <w:w w:val="98"/>
              </w:rPr>
              <w:t>Non-equity incentive plan compensation – Value earned</w:t>
            </w:r>
          </w:p>
        </w:tc>
      </w:tr>
      <w:tr>
        <w:trPr>
          <w:trHeight w:val="135"/>
        </w:trPr>
        <w:tc>
          <w:tcPr>
            <w:tcW w:w="2900" w:type="dxa"/>
            <w:vAlign w:val="bottom"/>
            <w:tcBorders>
              <w:left w:val="single" w:sz="8" w:color="auto"/>
              <w:right w:val="single" w:sz="8" w:color="auto"/>
            </w:tcBorders>
            <w:shd w:val="clear" w:color="auto" w:fill="D9D9D9"/>
          </w:tcPr>
          <w:p>
            <w:pPr>
              <w:spacing w:after="0"/>
              <w:rPr>
                <w:sz w:val="11"/>
                <w:szCs w:val="11"/>
                <w:color w:val="auto"/>
              </w:rPr>
            </w:pPr>
          </w:p>
        </w:tc>
        <w:tc>
          <w:tcPr>
            <w:tcW w:w="2660" w:type="dxa"/>
            <w:vAlign w:val="bottom"/>
            <w:tcBorders>
              <w:right w:val="single" w:sz="8" w:color="auto"/>
            </w:tcBorders>
            <w:shd w:val="clear" w:color="auto" w:fill="D9D9D9"/>
          </w:tcPr>
          <w:p>
            <w:pPr>
              <w:jc w:val="center"/>
              <w:spacing w:after="0"/>
              <w:rPr>
                <w:sz w:val="20"/>
                <w:szCs w:val="20"/>
                <w:color w:val="auto"/>
              </w:rPr>
            </w:pPr>
            <w:r>
              <w:rPr>
                <w:rFonts w:ascii="Times New Roman" w:cs="Times New Roman" w:eastAsia="Times New Roman" w:hAnsi="Times New Roman"/>
                <w:sz w:val="11"/>
                <w:szCs w:val="11"/>
                <w:b w:val="1"/>
                <w:bCs w:val="1"/>
                <w:color w:val="auto"/>
                <w:w w:val="93"/>
              </w:rPr>
              <w:t>($)</w:t>
            </w:r>
          </w:p>
        </w:tc>
        <w:tc>
          <w:tcPr>
            <w:tcW w:w="2840" w:type="dxa"/>
            <w:vAlign w:val="bottom"/>
            <w:tcBorders>
              <w:right w:val="single" w:sz="8" w:color="auto"/>
            </w:tcBorders>
            <w:shd w:val="clear" w:color="auto" w:fill="D9D9D9"/>
          </w:tcPr>
          <w:p>
            <w:pPr>
              <w:jc w:val="center"/>
              <w:spacing w:after="0" w:line="135" w:lineRule="exact"/>
              <w:rPr>
                <w:sz w:val="20"/>
                <w:szCs w:val="20"/>
                <w:color w:val="auto"/>
              </w:rPr>
            </w:pPr>
            <w:r>
              <w:rPr>
                <w:rFonts w:ascii="Times New Roman" w:cs="Times New Roman" w:eastAsia="Times New Roman" w:hAnsi="Times New Roman"/>
                <w:sz w:val="11"/>
                <w:szCs w:val="11"/>
                <w:b w:val="1"/>
                <w:bCs w:val="1"/>
                <w:color w:val="auto"/>
                <w:w w:val="93"/>
              </w:rPr>
              <w:t>the year</w:t>
            </w:r>
            <w:r>
              <w:rPr>
                <w:rFonts w:ascii="Times New Roman" w:cs="Times New Roman" w:eastAsia="Times New Roman" w:hAnsi="Times New Roman"/>
                <w:sz w:val="14"/>
                <w:szCs w:val="14"/>
                <w:b w:val="1"/>
                <w:bCs w:val="1"/>
                <w:color w:val="auto"/>
                <w:w w:val="93"/>
                <w:vertAlign w:val="superscript"/>
              </w:rPr>
              <w:t>(1)</w:t>
            </w:r>
          </w:p>
        </w:tc>
        <w:tc>
          <w:tcPr>
            <w:tcW w:w="2720" w:type="dxa"/>
            <w:vAlign w:val="bottom"/>
            <w:tcBorders>
              <w:right w:val="single" w:sz="8" w:color="auto"/>
            </w:tcBorders>
            <w:shd w:val="clear" w:color="auto" w:fill="D9D9D9"/>
          </w:tcPr>
          <w:p>
            <w:pPr>
              <w:jc w:val="center"/>
              <w:spacing w:after="0"/>
              <w:rPr>
                <w:sz w:val="20"/>
                <w:szCs w:val="20"/>
                <w:color w:val="auto"/>
              </w:rPr>
            </w:pPr>
            <w:r>
              <w:rPr>
                <w:rFonts w:ascii="Times New Roman" w:cs="Times New Roman" w:eastAsia="Times New Roman" w:hAnsi="Times New Roman"/>
                <w:sz w:val="11"/>
                <w:szCs w:val="11"/>
                <w:b w:val="1"/>
                <w:bCs w:val="1"/>
                <w:color w:val="auto"/>
                <w:w w:val="96"/>
              </w:rPr>
              <w:t>during the year</w:t>
            </w:r>
          </w:p>
        </w:tc>
      </w:tr>
      <w:tr>
        <w:trPr>
          <w:trHeight w:val="149"/>
        </w:trPr>
        <w:tc>
          <w:tcPr>
            <w:tcW w:w="2900" w:type="dxa"/>
            <w:vAlign w:val="bottom"/>
            <w:tcBorders>
              <w:left w:val="single" w:sz="8" w:color="auto"/>
              <w:bottom w:val="single" w:sz="8" w:color="auto"/>
              <w:right w:val="single" w:sz="8" w:color="auto"/>
            </w:tcBorders>
            <w:shd w:val="clear" w:color="auto" w:fill="D9D9D9"/>
          </w:tcPr>
          <w:p>
            <w:pPr>
              <w:spacing w:after="0"/>
              <w:rPr>
                <w:sz w:val="12"/>
                <w:szCs w:val="12"/>
                <w:color w:val="auto"/>
              </w:rPr>
            </w:pPr>
          </w:p>
        </w:tc>
        <w:tc>
          <w:tcPr>
            <w:tcW w:w="2660" w:type="dxa"/>
            <w:vAlign w:val="bottom"/>
            <w:tcBorders>
              <w:bottom w:val="single" w:sz="8" w:color="auto"/>
              <w:right w:val="single" w:sz="8" w:color="auto"/>
            </w:tcBorders>
            <w:shd w:val="clear" w:color="auto" w:fill="D9D9D9"/>
          </w:tcPr>
          <w:p>
            <w:pPr>
              <w:spacing w:after="0"/>
              <w:rPr>
                <w:sz w:val="12"/>
                <w:szCs w:val="12"/>
                <w:color w:val="auto"/>
              </w:rPr>
            </w:pPr>
          </w:p>
        </w:tc>
        <w:tc>
          <w:tcPr>
            <w:tcW w:w="2840" w:type="dxa"/>
            <w:vAlign w:val="bottom"/>
            <w:tcBorders>
              <w:bottom w:val="single" w:sz="8" w:color="auto"/>
              <w:right w:val="single" w:sz="8" w:color="auto"/>
            </w:tcBorders>
            <w:shd w:val="clear" w:color="auto" w:fill="D9D9D9"/>
          </w:tcPr>
          <w:p>
            <w:pPr>
              <w:jc w:val="center"/>
              <w:spacing w:after="0"/>
              <w:rPr>
                <w:sz w:val="20"/>
                <w:szCs w:val="20"/>
                <w:color w:val="auto"/>
              </w:rPr>
            </w:pPr>
            <w:r>
              <w:rPr>
                <w:rFonts w:ascii="Times New Roman" w:cs="Times New Roman" w:eastAsia="Times New Roman" w:hAnsi="Times New Roman"/>
                <w:sz w:val="11"/>
                <w:szCs w:val="11"/>
                <w:b w:val="1"/>
                <w:bCs w:val="1"/>
                <w:color w:val="auto"/>
              </w:rPr>
              <w:t>($)</w:t>
            </w:r>
          </w:p>
        </w:tc>
        <w:tc>
          <w:tcPr>
            <w:tcW w:w="2720" w:type="dxa"/>
            <w:vAlign w:val="bottom"/>
            <w:tcBorders>
              <w:bottom w:val="single" w:sz="8" w:color="auto"/>
              <w:right w:val="single" w:sz="8" w:color="auto"/>
            </w:tcBorders>
            <w:shd w:val="clear" w:color="auto" w:fill="D9D9D9"/>
          </w:tcPr>
          <w:p>
            <w:pPr>
              <w:jc w:val="center"/>
              <w:spacing w:after="0"/>
              <w:rPr>
                <w:sz w:val="20"/>
                <w:szCs w:val="20"/>
                <w:color w:val="auto"/>
              </w:rPr>
            </w:pPr>
            <w:r>
              <w:rPr>
                <w:rFonts w:ascii="Times New Roman" w:cs="Times New Roman" w:eastAsia="Times New Roman" w:hAnsi="Times New Roman"/>
                <w:sz w:val="11"/>
                <w:szCs w:val="11"/>
                <w:b w:val="1"/>
                <w:bCs w:val="1"/>
                <w:color w:val="auto"/>
              </w:rPr>
              <w:t>($)</w:t>
            </w:r>
          </w:p>
        </w:tc>
      </w:tr>
      <w:tr>
        <w:trPr>
          <w:trHeight w:val="138"/>
        </w:trPr>
        <w:tc>
          <w:tcPr>
            <w:tcW w:w="2900" w:type="dxa"/>
            <w:vAlign w:val="bottom"/>
            <w:tcBorders>
              <w:left w:val="single" w:sz="8" w:color="auto"/>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1"/>
                <w:szCs w:val="11"/>
                <w:color w:val="auto"/>
              </w:rPr>
              <w:t>Grant Froese</w:t>
            </w:r>
          </w:p>
        </w:tc>
        <w:tc>
          <w:tcPr>
            <w:tcW w:w="26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1"/>
                <w:szCs w:val="11"/>
                <w:color w:val="auto"/>
                <w:w w:val="96"/>
              </w:rPr>
              <w:t>4,725</w:t>
            </w:r>
          </w:p>
        </w:tc>
        <w:tc>
          <w:tcPr>
            <w:tcW w:w="28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1"/>
                <w:szCs w:val="11"/>
                <w:color w:val="auto"/>
              </w:rPr>
              <w:t>-</w:t>
            </w:r>
          </w:p>
        </w:tc>
        <w:tc>
          <w:tcPr>
            <w:tcW w:w="27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8"/>
                <w:szCs w:val="8"/>
                <w:color w:val="auto"/>
                <w:w w:val="73"/>
              </w:rPr>
              <w:t>-</w:t>
            </w:r>
          </w:p>
        </w:tc>
      </w:tr>
      <w:tr>
        <w:trPr>
          <w:trHeight w:val="133"/>
        </w:trPr>
        <w:tc>
          <w:tcPr>
            <w:tcW w:w="2900" w:type="dxa"/>
            <w:vAlign w:val="bottom"/>
            <w:tcBorders>
              <w:left w:val="single" w:sz="8" w:color="auto"/>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1"/>
                <w:szCs w:val="11"/>
                <w:color w:val="auto"/>
              </w:rPr>
              <w:t>Eric Hoskins</w:t>
            </w:r>
          </w:p>
        </w:tc>
        <w:tc>
          <w:tcPr>
            <w:tcW w:w="26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1"/>
                <w:szCs w:val="11"/>
                <w:color w:val="auto"/>
                <w:w w:val="96"/>
              </w:rPr>
              <w:t>4,725</w:t>
            </w:r>
          </w:p>
        </w:tc>
        <w:tc>
          <w:tcPr>
            <w:tcW w:w="28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1"/>
                <w:szCs w:val="11"/>
                <w:color w:val="auto"/>
              </w:rPr>
              <w:t>-</w:t>
            </w:r>
          </w:p>
        </w:tc>
        <w:tc>
          <w:tcPr>
            <w:tcW w:w="27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8"/>
                <w:szCs w:val="8"/>
                <w:color w:val="auto"/>
                <w:w w:val="73"/>
              </w:rPr>
              <w:t>-</w:t>
            </w:r>
          </w:p>
        </w:tc>
      </w:tr>
      <w:tr>
        <w:trPr>
          <w:trHeight w:val="133"/>
        </w:trPr>
        <w:tc>
          <w:tcPr>
            <w:tcW w:w="2900" w:type="dxa"/>
            <w:vAlign w:val="bottom"/>
            <w:tcBorders>
              <w:left w:val="single" w:sz="8" w:color="auto"/>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1"/>
                <w:szCs w:val="11"/>
                <w:color w:val="auto"/>
              </w:rPr>
              <w:t>Mark Lawson</w:t>
            </w:r>
          </w:p>
        </w:tc>
        <w:tc>
          <w:tcPr>
            <w:tcW w:w="26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1"/>
                <w:szCs w:val="11"/>
                <w:color w:val="auto"/>
                <w:w w:val="96"/>
              </w:rPr>
              <w:t>4,850</w:t>
            </w:r>
          </w:p>
        </w:tc>
        <w:tc>
          <w:tcPr>
            <w:tcW w:w="28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1"/>
                <w:szCs w:val="11"/>
                <w:color w:val="auto"/>
              </w:rPr>
              <w:t>-</w:t>
            </w:r>
          </w:p>
        </w:tc>
        <w:tc>
          <w:tcPr>
            <w:tcW w:w="27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8"/>
                <w:szCs w:val="8"/>
                <w:color w:val="auto"/>
                <w:w w:val="73"/>
              </w:rPr>
              <w:t>-</w:t>
            </w:r>
          </w:p>
        </w:tc>
      </w:tr>
      <w:tr>
        <w:trPr>
          <w:trHeight w:val="133"/>
        </w:trPr>
        <w:tc>
          <w:tcPr>
            <w:tcW w:w="2900" w:type="dxa"/>
            <w:vAlign w:val="bottom"/>
            <w:tcBorders>
              <w:left w:val="single" w:sz="8" w:color="auto"/>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1"/>
                <w:szCs w:val="11"/>
                <w:color w:val="auto"/>
              </w:rPr>
              <w:t>Theresa Firestone</w:t>
            </w:r>
          </w:p>
        </w:tc>
        <w:tc>
          <w:tcPr>
            <w:tcW w:w="26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1"/>
                <w:szCs w:val="11"/>
                <w:color w:val="auto"/>
                <w:w w:val="96"/>
              </w:rPr>
              <w:t>4,725</w:t>
            </w:r>
          </w:p>
        </w:tc>
        <w:tc>
          <w:tcPr>
            <w:tcW w:w="28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1"/>
                <w:szCs w:val="11"/>
                <w:color w:val="auto"/>
              </w:rPr>
              <w:t>-</w:t>
            </w:r>
          </w:p>
        </w:tc>
        <w:tc>
          <w:tcPr>
            <w:tcW w:w="27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8"/>
                <w:szCs w:val="8"/>
                <w:color w:val="auto"/>
                <w:w w:val="73"/>
              </w:rPr>
              <w:t>-</w:t>
            </w:r>
          </w:p>
        </w:tc>
      </w:tr>
      <w:tr>
        <w:trPr>
          <w:trHeight w:val="153"/>
        </w:trPr>
        <w:tc>
          <w:tcPr>
            <w:tcW w:w="2900" w:type="dxa"/>
            <w:vAlign w:val="bottom"/>
            <w:tcBorders>
              <w:left w:val="single" w:sz="8" w:color="auto"/>
              <w:bottom w:val="single" w:sz="8" w:color="auto"/>
              <w:right w:val="single" w:sz="8" w:color="auto"/>
            </w:tcBorders>
          </w:tcPr>
          <w:p>
            <w:pPr>
              <w:ind w:left="60"/>
              <w:spacing w:after="0" w:line="153" w:lineRule="exact"/>
              <w:rPr>
                <w:sz w:val="20"/>
                <w:szCs w:val="20"/>
                <w:color w:val="auto"/>
              </w:rPr>
            </w:pPr>
            <w:r>
              <w:rPr>
                <w:rFonts w:ascii="Times New Roman" w:cs="Times New Roman" w:eastAsia="Times New Roman" w:hAnsi="Times New Roman"/>
                <w:sz w:val="11"/>
                <w:szCs w:val="11"/>
                <w:color w:val="auto"/>
              </w:rPr>
              <w:t>George Tziras</w:t>
            </w:r>
            <w:r>
              <w:rPr>
                <w:rFonts w:ascii="Times New Roman" w:cs="Times New Roman" w:eastAsia="Times New Roman" w:hAnsi="Times New Roman"/>
                <w:sz w:val="14"/>
                <w:szCs w:val="14"/>
                <w:color w:val="auto"/>
                <w:vertAlign w:val="superscript"/>
              </w:rPr>
              <w:t>(2)</w:t>
            </w:r>
          </w:p>
        </w:tc>
        <w:tc>
          <w:tcPr>
            <w:tcW w:w="26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1"/>
                <w:szCs w:val="11"/>
                <w:color w:val="auto"/>
              </w:rPr>
              <w:t>-</w:t>
            </w:r>
          </w:p>
        </w:tc>
        <w:tc>
          <w:tcPr>
            <w:tcW w:w="28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1"/>
                <w:szCs w:val="11"/>
                <w:color w:val="auto"/>
              </w:rPr>
              <w:t>$-</w:t>
            </w:r>
          </w:p>
        </w:tc>
        <w:tc>
          <w:tcPr>
            <w:tcW w:w="27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1"/>
                <w:szCs w:val="11"/>
                <w:color w:val="auto"/>
                <w:w w:val="94"/>
              </w:rPr>
              <w:t>$71,188</w:t>
            </w:r>
          </w:p>
        </w:tc>
      </w:tr>
    </w:tbl>
    <w:p>
      <w:pPr>
        <w:spacing w:after="0" w:line="187" w:lineRule="exact"/>
        <w:rPr>
          <w:sz w:val="20"/>
          <w:szCs w:val="20"/>
          <w:color w:val="auto"/>
        </w:rPr>
      </w:pPr>
    </w:p>
    <w:p>
      <w:pPr>
        <w:ind w:left="8"/>
        <w:spacing w:after="0"/>
        <w:rPr>
          <w:sz w:val="20"/>
          <w:szCs w:val="20"/>
          <w:color w:val="auto"/>
        </w:rPr>
      </w:pPr>
      <w:r>
        <w:rPr>
          <w:rFonts w:ascii="Times New Roman" w:cs="Times New Roman" w:eastAsia="Times New Roman" w:hAnsi="Times New Roman"/>
          <w:sz w:val="11"/>
          <w:szCs w:val="11"/>
          <w:b w:val="1"/>
          <w:bCs w:val="1"/>
          <w:color w:val="auto"/>
        </w:rPr>
        <w:t>Notes:</w:t>
      </w:r>
    </w:p>
    <w:p>
      <w:pPr>
        <w:spacing w:after="0" w:line="83" w:lineRule="exact"/>
        <w:rPr>
          <w:sz w:val="20"/>
          <w:szCs w:val="20"/>
          <w:color w:val="auto"/>
        </w:rPr>
      </w:pPr>
    </w:p>
    <w:p>
      <w:pPr>
        <w:ind w:left="648" w:right="20" w:hanging="432"/>
        <w:spacing w:after="0" w:line="252" w:lineRule="auto"/>
        <w:tabs>
          <w:tab w:leader="none" w:pos="648" w:val="left"/>
        </w:tabs>
        <w:numPr>
          <w:ilvl w:val="0"/>
          <w:numId w:val="12"/>
        </w:numPr>
        <w:rPr>
          <w:rFonts w:ascii="Times New Roman" w:cs="Times New Roman" w:eastAsia="Times New Roman" w:hAnsi="Times New Roman"/>
          <w:sz w:val="11"/>
          <w:szCs w:val="11"/>
          <w:color w:val="auto"/>
        </w:rPr>
      </w:pPr>
      <w:r>
        <w:rPr>
          <w:rFonts w:ascii="Times New Roman" w:cs="Times New Roman" w:eastAsia="Times New Roman" w:hAnsi="Times New Roman"/>
          <w:sz w:val="11"/>
          <w:szCs w:val="11"/>
          <w:color w:val="auto"/>
        </w:rPr>
        <w:t>The “value vested during the year” is calculated based on the difference between the closing price for the Common Shares on the Exchange as of the date of vesting (or the most recent closing price on the Exchange) and the exercise price of the options, multiplied by the number of vested options.</w:t>
      </w:r>
    </w:p>
    <w:p>
      <w:pPr>
        <w:ind w:left="648" w:hanging="432"/>
        <w:spacing w:after="0" w:line="255" w:lineRule="auto"/>
        <w:tabs>
          <w:tab w:leader="none" w:pos="648" w:val="left"/>
        </w:tabs>
        <w:numPr>
          <w:ilvl w:val="0"/>
          <w:numId w:val="12"/>
        </w:numPr>
        <w:rPr>
          <w:rFonts w:ascii="Times New Roman" w:cs="Times New Roman" w:eastAsia="Times New Roman" w:hAnsi="Times New Roman"/>
          <w:sz w:val="11"/>
          <w:szCs w:val="11"/>
          <w:color w:val="auto"/>
        </w:rPr>
      </w:pPr>
      <w:r>
        <w:rPr>
          <w:rFonts w:ascii="Times New Roman" w:cs="Times New Roman" w:eastAsia="Times New Roman" w:hAnsi="Times New Roman"/>
          <w:sz w:val="11"/>
          <w:szCs w:val="11"/>
          <w:color w:val="auto"/>
        </w:rPr>
        <w:t>As Mr. Tziras is the Corporation’s Chief Business Officer and is compensated for that position, he is not paid compensation for his role as a director. Mr. Tziras is paid in British Pounds. The non-equity incentive plan compensation amount has been converted to Canadian dollars for the purpose of this Circular using an exchange rate of 1.8571, being the Bank of Canada daily exchange rate as of March 31, 2025.</w:t>
      </w:r>
    </w:p>
    <w:p>
      <w:pPr>
        <w:sectPr>
          <w:pgSz w:w="11900" w:h="16838" w:orient="portrait"/>
          <w:cols w:equalWidth="0" w:num="1">
            <w:col w:w="11308"/>
          </w:cols>
          <w:pgMar w:left="292" w:top="125" w:right="299" w:bottom="1440" w:gutter="0" w:footer="0" w:header="0"/>
        </w:sectPr>
      </w:pPr>
    </w:p>
    <w:bookmarkStart w:id="25" w:name="page26"/>
    <w:bookmarkEnd w:id="25"/>
    <w:p>
      <w:pPr>
        <w:jc w:val="center"/>
        <w:spacing w:after="0"/>
        <w:rPr>
          <w:sz w:val="20"/>
          <w:szCs w:val="20"/>
          <w:color w:val="auto"/>
        </w:rPr>
      </w:pPr>
      <w:r>
        <w:rPr>
          <w:rFonts w:ascii="Times New Roman" w:cs="Times New Roman" w:eastAsia="Times New Roman" w:hAnsi="Times New Roman"/>
          <w:sz w:val="13"/>
          <w:szCs w:val="13"/>
          <w:color w:val="auto"/>
        </w:rPr>
        <w:t>- 22 -</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SECURITIES AUTHORIZED FOR ISSUANCE UNDER EQUITY COMPENSATION PLANS</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The following table provides information regarding the number of Common Shares to be issued upon exercise of outstanding options pursuant to the Equity Incentive Plan as at March 31, 2025:</w:t>
      </w:r>
    </w:p>
    <w:p>
      <w:pPr>
        <w:spacing w:after="0" w:line="160" w:lineRule="exact"/>
        <w:rPr>
          <w:sz w:val="20"/>
          <w:szCs w:val="20"/>
          <w:color w:val="auto"/>
        </w:rPr>
      </w:pPr>
    </w:p>
    <w:tbl>
      <w:tblPr>
        <w:tblLayout w:type="fixed"/>
        <w:tblInd w:w="10" w:type="dxa"/>
        <w:tblCellMar>
          <w:top w:w="0" w:type="dxa"/>
          <w:left w:w="0" w:type="dxa"/>
          <w:bottom w:w="0" w:type="dxa"/>
          <w:right w:w="0" w:type="dxa"/>
        </w:tblCellMar>
      </w:tblPr>
      <w:tr>
        <w:trPr>
          <w:trHeight w:val="162"/>
        </w:trPr>
        <w:tc>
          <w:tcPr>
            <w:tcW w:w="2860" w:type="dxa"/>
            <w:vAlign w:val="bottom"/>
            <w:tcBorders>
              <w:top w:val="single" w:sz="8" w:color="auto"/>
              <w:left w:val="single" w:sz="8" w:color="auto"/>
              <w:right w:val="single" w:sz="8" w:color="auto"/>
            </w:tcBorders>
            <w:vMerge w:val="restart"/>
            <w:shd w:val="clear" w:color="auto" w:fill="E0E0E0"/>
          </w:tcPr>
          <w:p>
            <w:pPr>
              <w:ind w:left="1080"/>
              <w:spacing w:after="0"/>
              <w:rPr>
                <w:sz w:val="20"/>
                <w:szCs w:val="20"/>
                <w:color w:val="auto"/>
              </w:rPr>
            </w:pPr>
            <w:r>
              <w:rPr>
                <w:rFonts w:ascii="Times New Roman" w:cs="Times New Roman" w:eastAsia="Times New Roman" w:hAnsi="Times New Roman"/>
                <w:sz w:val="11"/>
                <w:szCs w:val="11"/>
                <w:b w:val="1"/>
                <w:bCs w:val="1"/>
                <w:color w:val="auto"/>
              </w:rPr>
              <w:t>Plan Category</w:t>
            </w:r>
          </w:p>
        </w:tc>
        <w:tc>
          <w:tcPr>
            <w:tcW w:w="2600" w:type="dxa"/>
            <w:vAlign w:val="bottom"/>
            <w:tcBorders>
              <w:top w:val="single" w:sz="8" w:color="auto"/>
              <w:right w:val="single" w:sz="8" w:color="auto"/>
            </w:tcBorders>
            <w:shd w:val="clear" w:color="auto" w:fill="E0E0E0"/>
          </w:tcPr>
          <w:p>
            <w:pPr>
              <w:jc w:val="center"/>
              <w:spacing w:after="0"/>
              <w:rPr>
                <w:sz w:val="20"/>
                <w:szCs w:val="20"/>
                <w:color w:val="auto"/>
              </w:rPr>
            </w:pPr>
            <w:r>
              <w:rPr>
                <w:rFonts w:ascii="Times New Roman" w:cs="Times New Roman" w:eastAsia="Times New Roman" w:hAnsi="Times New Roman"/>
                <w:sz w:val="11"/>
                <w:szCs w:val="11"/>
                <w:b w:val="1"/>
                <w:bCs w:val="1"/>
                <w:color w:val="auto"/>
                <w:w w:val="98"/>
              </w:rPr>
              <w:t>Number of Common Shares to be issued upon</w:t>
            </w:r>
          </w:p>
        </w:tc>
        <w:tc>
          <w:tcPr>
            <w:tcW w:w="2680" w:type="dxa"/>
            <w:vAlign w:val="bottom"/>
            <w:tcBorders>
              <w:top w:val="single" w:sz="8" w:color="auto"/>
              <w:right w:val="single" w:sz="8" w:color="auto"/>
            </w:tcBorders>
            <w:vMerge w:val="restart"/>
            <w:shd w:val="clear" w:color="auto" w:fill="E0E0E0"/>
          </w:tcPr>
          <w:p>
            <w:pPr>
              <w:ind w:left="60"/>
              <w:spacing w:after="0"/>
              <w:rPr>
                <w:sz w:val="20"/>
                <w:szCs w:val="20"/>
                <w:color w:val="auto"/>
              </w:rPr>
            </w:pPr>
            <w:r>
              <w:rPr>
                <w:rFonts w:ascii="Times New Roman" w:cs="Times New Roman" w:eastAsia="Times New Roman" w:hAnsi="Times New Roman"/>
                <w:sz w:val="11"/>
                <w:szCs w:val="11"/>
                <w:b w:val="1"/>
                <w:bCs w:val="1"/>
                <w:color w:val="auto"/>
                <w:w w:val="99"/>
              </w:rPr>
              <w:t>Weighted-average exercise price of outstanding options</w:t>
            </w:r>
          </w:p>
        </w:tc>
        <w:tc>
          <w:tcPr>
            <w:tcW w:w="3180" w:type="dxa"/>
            <w:vAlign w:val="bottom"/>
            <w:tcBorders>
              <w:top w:val="single" w:sz="8" w:color="auto"/>
              <w:right w:val="single" w:sz="8" w:color="auto"/>
            </w:tcBorders>
            <w:shd w:val="clear" w:color="auto" w:fill="E0E0E0"/>
          </w:tcPr>
          <w:p>
            <w:pPr>
              <w:jc w:val="center"/>
              <w:spacing w:after="0"/>
              <w:rPr>
                <w:sz w:val="20"/>
                <w:szCs w:val="20"/>
                <w:color w:val="auto"/>
              </w:rPr>
            </w:pPr>
            <w:r>
              <w:rPr>
                <w:rFonts w:ascii="Times New Roman" w:cs="Times New Roman" w:eastAsia="Times New Roman" w:hAnsi="Times New Roman"/>
                <w:sz w:val="11"/>
                <w:szCs w:val="11"/>
                <w:b w:val="1"/>
                <w:bCs w:val="1"/>
                <w:color w:val="auto"/>
                <w:w w:val="98"/>
              </w:rPr>
              <w:t>Number of Common Shares remaining available for future</w:t>
            </w:r>
          </w:p>
        </w:tc>
        <w:tc>
          <w:tcPr>
            <w:tcW w:w="0" w:type="dxa"/>
            <w:vAlign w:val="bottom"/>
          </w:tcPr>
          <w:p>
            <w:pPr>
              <w:spacing w:after="0"/>
              <w:rPr>
                <w:sz w:val="1"/>
                <w:szCs w:val="1"/>
                <w:color w:val="auto"/>
              </w:rPr>
            </w:pPr>
          </w:p>
        </w:tc>
      </w:tr>
      <w:tr>
        <w:trPr>
          <w:trHeight w:val="143"/>
        </w:trPr>
        <w:tc>
          <w:tcPr>
            <w:tcW w:w="2860" w:type="dxa"/>
            <w:vAlign w:val="bottom"/>
            <w:tcBorders>
              <w:left w:val="single" w:sz="8" w:color="auto"/>
              <w:bottom w:val="single" w:sz="8" w:color="auto"/>
              <w:right w:val="single" w:sz="8" w:color="auto"/>
            </w:tcBorders>
            <w:vMerge w:val="continue"/>
            <w:shd w:val="clear" w:color="auto" w:fill="E0E0E0"/>
          </w:tcPr>
          <w:p>
            <w:pPr>
              <w:spacing w:after="0"/>
              <w:rPr>
                <w:sz w:val="12"/>
                <w:szCs w:val="12"/>
                <w:color w:val="auto"/>
              </w:rPr>
            </w:pPr>
          </w:p>
        </w:tc>
        <w:tc>
          <w:tcPr>
            <w:tcW w:w="2600" w:type="dxa"/>
            <w:vAlign w:val="bottom"/>
            <w:tcBorders>
              <w:bottom w:val="single" w:sz="8" w:color="auto"/>
              <w:right w:val="single" w:sz="8" w:color="auto"/>
            </w:tcBorders>
            <w:shd w:val="clear" w:color="auto" w:fill="E0E0E0"/>
          </w:tcPr>
          <w:p>
            <w:pPr>
              <w:jc w:val="center"/>
              <w:spacing w:after="0"/>
              <w:rPr>
                <w:sz w:val="20"/>
                <w:szCs w:val="20"/>
                <w:color w:val="auto"/>
              </w:rPr>
            </w:pPr>
            <w:r>
              <w:rPr>
                <w:rFonts w:ascii="Times New Roman" w:cs="Times New Roman" w:eastAsia="Times New Roman" w:hAnsi="Times New Roman"/>
                <w:sz w:val="11"/>
                <w:szCs w:val="11"/>
                <w:b w:val="1"/>
                <w:bCs w:val="1"/>
                <w:color w:val="auto"/>
                <w:w w:val="98"/>
              </w:rPr>
              <w:t>exercise of outstanding options</w:t>
            </w:r>
          </w:p>
        </w:tc>
        <w:tc>
          <w:tcPr>
            <w:tcW w:w="2680" w:type="dxa"/>
            <w:vAlign w:val="bottom"/>
            <w:tcBorders>
              <w:bottom w:val="single" w:sz="8" w:color="auto"/>
              <w:right w:val="single" w:sz="8" w:color="auto"/>
            </w:tcBorders>
            <w:vMerge w:val="continue"/>
            <w:shd w:val="clear" w:color="auto" w:fill="E0E0E0"/>
          </w:tcPr>
          <w:p>
            <w:pPr>
              <w:spacing w:after="0"/>
              <w:rPr>
                <w:sz w:val="12"/>
                <w:szCs w:val="12"/>
                <w:color w:val="auto"/>
              </w:rPr>
            </w:pPr>
          </w:p>
        </w:tc>
        <w:tc>
          <w:tcPr>
            <w:tcW w:w="3180" w:type="dxa"/>
            <w:vAlign w:val="bottom"/>
            <w:tcBorders>
              <w:bottom w:val="single" w:sz="8" w:color="auto"/>
              <w:right w:val="single" w:sz="8" w:color="auto"/>
            </w:tcBorders>
            <w:shd w:val="clear" w:color="auto" w:fill="E0E0E0"/>
          </w:tcPr>
          <w:p>
            <w:pPr>
              <w:jc w:val="center"/>
              <w:spacing w:after="0"/>
              <w:rPr>
                <w:sz w:val="20"/>
                <w:szCs w:val="20"/>
                <w:color w:val="auto"/>
              </w:rPr>
            </w:pPr>
            <w:r>
              <w:rPr>
                <w:rFonts w:ascii="Times New Roman" w:cs="Times New Roman" w:eastAsia="Times New Roman" w:hAnsi="Times New Roman"/>
                <w:sz w:val="11"/>
                <w:szCs w:val="11"/>
                <w:b w:val="1"/>
                <w:bCs w:val="1"/>
                <w:color w:val="auto"/>
                <w:w w:val="98"/>
              </w:rPr>
              <w:t>issuance under equity compensation plans</w:t>
            </w:r>
          </w:p>
        </w:tc>
        <w:tc>
          <w:tcPr>
            <w:tcW w:w="0" w:type="dxa"/>
            <w:vAlign w:val="bottom"/>
          </w:tcPr>
          <w:p>
            <w:pPr>
              <w:spacing w:after="0"/>
              <w:rPr>
                <w:sz w:val="1"/>
                <w:szCs w:val="1"/>
                <w:color w:val="auto"/>
              </w:rPr>
            </w:pPr>
          </w:p>
        </w:tc>
      </w:tr>
      <w:tr>
        <w:trPr>
          <w:trHeight w:val="143"/>
        </w:trPr>
        <w:tc>
          <w:tcPr>
            <w:tcW w:w="2860" w:type="dxa"/>
            <w:vAlign w:val="bottom"/>
            <w:tcBorders>
              <w:left w:val="single" w:sz="8" w:color="auto"/>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1"/>
                <w:szCs w:val="11"/>
                <w:b w:val="1"/>
                <w:bCs w:val="1"/>
                <w:color w:val="auto"/>
              </w:rPr>
              <w:t>Equity compensation plans approved by security holders</w:t>
            </w:r>
          </w:p>
        </w:tc>
        <w:tc>
          <w:tcPr>
            <w:tcW w:w="26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1"/>
                <w:szCs w:val="11"/>
                <w:color w:val="auto"/>
                <w:w w:val="96"/>
              </w:rPr>
              <w:t>$3,956,684</w:t>
            </w:r>
          </w:p>
        </w:tc>
        <w:tc>
          <w:tcPr>
            <w:tcW w:w="26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1"/>
                <w:szCs w:val="11"/>
                <w:color w:val="auto"/>
                <w:w w:val="99"/>
              </w:rPr>
              <w:t>$15.23</w:t>
            </w:r>
          </w:p>
        </w:tc>
        <w:tc>
          <w:tcPr>
            <w:tcW w:w="31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2"/>
                <w:szCs w:val="12"/>
                <w:color w:val="auto"/>
              </w:rPr>
              <w:t>363,557</w:t>
            </w:r>
          </w:p>
        </w:tc>
        <w:tc>
          <w:tcPr>
            <w:tcW w:w="0" w:type="dxa"/>
            <w:vAlign w:val="bottom"/>
          </w:tcPr>
          <w:p>
            <w:pPr>
              <w:spacing w:after="0"/>
              <w:rPr>
                <w:sz w:val="1"/>
                <w:szCs w:val="1"/>
                <w:color w:val="auto"/>
              </w:rPr>
            </w:pPr>
          </w:p>
        </w:tc>
      </w:tr>
      <w:tr>
        <w:trPr>
          <w:trHeight w:val="97"/>
        </w:trPr>
        <w:tc>
          <w:tcPr>
            <w:tcW w:w="2860" w:type="dxa"/>
            <w:vAlign w:val="bottom"/>
            <w:tcBorders>
              <w:left w:val="single" w:sz="8" w:color="auto"/>
              <w:right w:val="single" w:sz="8" w:color="auto"/>
            </w:tcBorders>
          </w:tcPr>
          <w:p>
            <w:pPr>
              <w:ind w:left="60"/>
              <w:spacing w:after="0" w:line="97" w:lineRule="exact"/>
              <w:rPr>
                <w:sz w:val="20"/>
                <w:szCs w:val="20"/>
                <w:color w:val="auto"/>
              </w:rPr>
            </w:pPr>
            <w:r>
              <w:rPr>
                <w:rFonts w:ascii="Times New Roman" w:cs="Times New Roman" w:eastAsia="Times New Roman" w:hAnsi="Times New Roman"/>
                <w:sz w:val="11"/>
                <w:szCs w:val="11"/>
                <w:b w:val="1"/>
                <w:bCs w:val="1"/>
                <w:color w:val="auto"/>
              </w:rPr>
              <w:t>Equity compensation plans not approved by security</w:t>
            </w:r>
          </w:p>
        </w:tc>
        <w:tc>
          <w:tcPr>
            <w:tcW w:w="2600" w:type="dxa"/>
            <w:vAlign w:val="bottom"/>
            <w:tcBorders>
              <w:right w:val="single" w:sz="8" w:color="auto"/>
            </w:tcBorders>
          </w:tcPr>
          <w:p>
            <w:pPr>
              <w:jc w:val="center"/>
              <w:spacing w:after="0" w:line="97" w:lineRule="exact"/>
              <w:rPr>
                <w:sz w:val="20"/>
                <w:szCs w:val="20"/>
                <w:color w:val="auto"/>
              </w:rPr>
            </w:pPr>
            <w:r>
              <w:rPr>
                <w:rFonts w:ascii="Times New Roman" w:cs="Times New Roman" w:eastAsia="Times New Roman" w:hAnsi="Times New Roman"/>
                <w:sz w:val="11"/>
                <w:szCs w:val="11"/>
                <w:color w:val="auto"/>
              </w:rPr>
              <w:t>-</w:t>
            </w:r>
          </w:p>
        </w:tc>
        <w:tc>
          <w:tcPr>
            <w:tcW w:w="26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8"/>
                <w:szCs w:val="8"/>
                <w:color w:val="auto"/>
                <w:w w:val="73"/>
              </w:rPr>
              <w:t>-</w:t>
            </w:r>
          </w:p>
        </w:tc>
        <w:tc>
          <w:tcPr>
            <w:tcW w:w="3180" w:type="dxa"/>
            <w:vAlign w:val="bottom"/>
            <w:tcBorders>
              <w:right w:val="single" w:sz="8" w:color="auto"/>
            </w:tcBorders>
          </w:tcPr>
          <w:p>
            <w:pPr>
              <w:jc w:val="center"/>
              <w:spacing w:after="0" w:line="97" w:lineRule="exact"/>
              <w:rPr>
                <w:sz w:val="20"/>
                <w:szCs w:val="20"/>
                <w:color w:val="auto"/>
              </w:rPr>
            </w:pPr>
            <w:r>
              <w:rPr>
                <w:rFonts w:ascii="Times New Roman" w:cs="Times New Roman" w:eastAsia="Times New Roman" w:hAnsi="Times New Roman"/>
                <w:sz w:val="11"/>
                <w:szCs w:val="11"/>
                <w:color w:val="auto"/>
              </w:rPr>
              <w:t>-</w:t>
            </w:r>
          </w:p>
        </w:tc>
        <w:tc>
          <w:tcPr>
            <w:tcW w:w="0" w:type="dxa"/>
            <w:vAlign w:val="bottom"/>
          </w:tcPr>
          <w:p>
            <w:pPr>
              <w:spacing w:after="0"/>
              <w:rPr>
                <w:sz w:val="1"/>
                <w:szCs w:val="1"/>
                <w:color w:val="auto"/>
              </w:rPr>
            </w:pPr>
          </w:p>
        </w:tc>
      </w:tr>
      <w:tr>
        <w:trPr>
          <w:trHeight w:val="143"/>
        </w:trPr>
        <w:tc>
          <w:tcPr>
            <w:tcW w:w="2860" w:type="dxa"/>
            <w:vAlign w:val="bottom"/>
            <w:tcBorders>
              <w:left w:val="single" w:sz="8" w:color="auto"/>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1"/>
                <w:szCs w:val="11"/>
                <w:b w:val="1"/>
                <w:bCs w:val="1"/>
                <w:color w:val="auto"/>
              </w:rPr>
              <w:t>holders</w:t>
            </w:r>
          </w:p>
        </w:tc>
        <w:tc>
          <w:tcPr>
            <w:tcW w:w="2600" w:type="dxa"/>
            <w:vAlign w:val="bottom"/>
            <w:tcBorders>
              <w:bottom w:val="single" w:sz="8" w:color="auto"/>
              <w:right w:val="single" w:sz="8" w:color="auto"/>
            </w:tcBorders>
          </w:tcPr>
          <w:p>
            <w:pPr>
              <w:spacing w:after="0"/>
              <w:rPr>
                <w:sz w:val="12"/>
                <w:szCs w:val="12"/>
                <w:color w:val="auto"/>
              </w:rPr>
            </w:pPr>
          </w:p>
        </w:tc>
        <w:tc>
          <w:tcPr>
            <w:tcW w:w="2680" w:type="dxa"/>
            <w:vAlign w:val="bottom"/>
            <w:tcBorders>
              <w:bottom w:val="single" w:sz="8" w:color="auto"/>
              <w:right w:val="single" w:sz="8" w:color="auto"/>
            </w:tcBorders>
          </w:tcPr>
          <w:p>
            <w:pPr>
              <w:spacing w:after="0"/>
              <w:rPr>
                <w:sz w:val="12"/>
                <w:szCs w:val="12"/>
                <w:color w:val="auto"/>
              </w:rPr>
            </w:pPr>
          </w:p>
        </w:tc>
        <w:tc>
          <w:tcPr>
            <w:tcW w:w="3180" w:type="dxa"/>
            <w:vAlign w:val="bottom"/>
            <w:tcBorders>
              <w:bottom w:val="single" w:sz="8" w:color="auto"/>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43"/>
        </w:trPr>
        <w:tc>
          <w:tcPr>
            <w:tcW w:w="2860" w:type="dxa"/>
            <w:vAlign w:val="bottom"/>
            <w:tcBorders>
              <w:left w:val="single" w:sz="8" w:color="auto"/>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1"/>
                <w:szCs w:val="11"/>
                <w:b w:val="1"/>
                <w:bCs w:val="1"/>
                <w:color w:val="auto"/>
              </w:rPr>
              <w:t>Total</w:t>
            </w:r>
          </w:p>
        </w:tc>
        <w:tc>
          <w:tcPr>
            <w:tcW w:w="26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1"/>
                <w:szCs w:val="11"/>
                <w:color w:val="auto"/>
                <w:w w:val="96"/>
              </w:rPr>
              <w:t>$3,956,684</w:t>
            </w:r>
          </w:p>
        </w:tc>
        <w:tc>
          <w:tcPr>
            <w:tcW w:w="26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1"/>
                <w:szCs w:val="11"/>
                <w:color w:val="auto"/>
                <w:w w:val="99"/>
              </w:rPr>
              <w:t>$15.23</w:t>
            </w:r>
          </w:p>
        </w:tc>
        <w:tc>
          <w:tcPr>
            <w:tcW w:w="31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2"/>
                <w:szCs w:val="12"/>
                <w:color w:val="auto"/>
              </w:rPr>
              <w:t>363,557</w:t>
            </w:r>
          </w:p>
        </w:tc>
        <w:tc>
          <w:tcPr>
            <w:tcW w:w="0" w:type="dxa"/>
            <w:vAlign w:val="bottom"/>
          </w:tcPr>
          <w:p>
            <w:pPr>
              <w:spacing w:after="0"/>
              <w:rPr>
                <w:sz w:val="1"/>
                <w:szCs w:val="1"/>
                <w:color w:val="auto"/>
              </w:rPr>
            </w:pPr>
          </w:p>
        </w:tc>
      </w:tr>
    </w:tbl>
    <w:p>
      <w:pPr>
        <w:spacing w:after="0" w:line="1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INDEBTEDNESS OF DIRECTORS AND EXECUTIVE OFFICERS</w:t>
      </w:r>
    </w:p>
    <w:p>
      <w:pPr>
        <w:spacing w:after="0" w:line="150" w:lineRule="exact"/>
        <w:rPr>
          <w:sz w:val="20"/>
          <w:szCs w:val="20"/>
          <w:color w:val="auto"/>
        </w:rPr>
      </w:pPr>
    </w:p>
    <w:p>
      <w:pPr>
        <w:jc w:val="both"/>
        <w:spacing w:after="0" w:line="295" w:lineRule="auto"/>
        <w:rPr>
          <w:sz w:val="20"/>
          <w:szCs w:val="20"/>
          <w:color w:val="auto"/>
        </w:rPr>
      </w:pPr>
      <w:r>
        <w:rPr>
          <w:rFonts w:ascii="Times New Roman" w:cs="Times New Roman" w:eastAsia="Times New Roman" w:hAnsi="Times New Roman"/>
          <w:sz w:val="13"/>
          <w:szCs w:val="13"/>
          <w:color w:val="auto"/>
        </w:rPr>
        <w:t>As at the date of this Circular, no individual who is an executive officer, director, employee or former executive officer, director or employee of the Corporation or any of its subsidiaries is indebted to the Corporation or any of its subsidiaries pursuant to the purchase of securities or otherwise.</w:t>
      </w:r>
    </w:p>
    <w:p>
      <w:pPr>
        <w:spacing w:after="0" w:line="101"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3"/>
          <w:szCs w:val="13"/>
          <w:color w:val="auto"/>
        </w:rPr>
        <w:t>No individual who is, or at any time during the financial year ended March 31, 2025 was, a director or executive officer of the Corporation, a proposed management nominee for election as a director of the Corporation, or an associate of any such director, executive officer or proposed nominee, was indebted to the Corporation or any of its subsidiaries during the financial year ended March 31, 2025 or as at the date of this Circular in connection with security purchase programs or other programs.</w:t>
      </w:r>
    </w:p>
    <w:p>
      <w:pPr>
        <w:spacing w:after="0" w:line="1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REPORT ON CORPORATE GOVERNANCE</w:t>
      </w:r>
    </w:p>
    <w:p>
      <w:pPr>
        <w:spacing w:after="0" w:line="159" w:lineRule="exact"/>
        <w:rPr>
          <w:sz w:val="20"/>
          <w:szCs w:val="20"/>
          <w:color w:val="auto"/>
        </w:rPr>
      </w:pPr>
    </w:p>
    <w:p>
      <w:pPr>
        <w:jc w:val="both"/>
        <w:ind w:right="20"/>
        <w:spacing w:after="0" w:line="295" w:lineRule="auto"/>
        <w:rPr>
          <w:sz w:val="20"/>
          <w:szCs w:val="20"/>
          <w:color w:val="auto"/>
        </w:rPr>
      </w:pPr>
      <w:r>
        <w:rPr>
          <w:rFonts w:ascii="Times New Roman" w:cs="Times New Roman" w:eastAsia="Times New Roman" w:hAnsi="Times New Roman"/>
          <w:sz w:val="13"/>
          <w:szCs w:val="13"/>
          <w:color w:val="auto"/>
        </w:rPr>
        <w:t>Maintaining a high standard of corporate governance is a priority for the Board and the Corporation’s management as both believe that effective corporate governance will help create and maintain shareholder value in the long term. A description of the Corporation’s corporate governance practices, which addresses the matters set out in NI 58-101, is set out at Schedule “A” to this Circular.</w:t>
      </w:r>
    </w:p>
    <w:p>
      <w:pPr>
        <w:spacing w:after="0" w:line="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AUDIT COMMITTEE DISCLOSURE</w:t>
      </w:r>
    </w:p>
    <w:p>
      <w:pPr>
        <w:spacing w:after="0" w:line="157"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color w:val="auto"/>
        </w:rPr>
        <w:t>Audit Committee’s Charter</w:t>
      </w:r>
    </w:p>
    <w:p>
      <w:pPr>
        <w:spacing w:after="0" w:line="148"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The charter (the “</w:t>
      </w:r>
      <w:r>
        <w:rPr>
          <w:rFonts w:ascii="Times New Roman" w:cs="Times New Roman" w:eastAsia="Times New Roman" w:hAnsi="Times New Roman"/>
          <w:sz w:val="13"/>
          <w:szCs w:val="13"/>
          <w:b w:val="1"/>
          <w:bCs w:val="1"/>
          <w:color w:val="auto"/>
        </w:rPr>
        <w:t>Charter</w:t>
      </w:r>
      <w:r>
        <w:rPr>
          <w:rFonts w:ascii="Times New Roman" w:cs="Times New Roman" w:eastAsia="Times New Roman" w:hAnsi="Times New Roman"/>
          <w:sz w:val="13"/>
          <w:szCs w:val="13"/>
          <w:color w:val="auto"/>
        </w:rPr>
        <w:t>”) of the Corporation’s Audit Committee is reproduced as Schedule “B”.</w:t>
      </w:r>
    </w:p>
    <w:p>
      <w:pPr>
        <w:spacing w:after="0" w:line="157"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color w:val="auto"/>
        </w:rPr>
        <w:t>Composition of Audit Committee</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As at the date of this Circular, the Audit Committee is composed of Mark Lawson (Chair), Theresa Firestone, Eric Hoskins, and Grant Froese, each of whom is a director of the Corporation.</w:t>
      </w:r>
    </w:p>
    <w:p>
      <w:pPr>
        <w:spacing w:after="0" w:line="146" w:lineRule="exact"/>
        <w:rPr>
          <w:sz w:val="20"/>
          <w:szCs w:val="20"/>
          <w:color w:val="auto"/>
        </w:rPr>
      </w:pPr>
    </w:p>
    <w:p>
      <w:pPr>
        <w:jc w:val="both"/>
        <w:ind w:right="20"/>
        <w:spacing w:after="0" w:line="298" w:lineRule="auto"/>
        <w:rPr>
          <w:sz w:val="20"/>
          <w:szCs w:val="20"/>
          <w:color w:val="auto"/>
        </w:rPr>
      </w:pPr>
      <w:r>
        <w:rPr>
          <w:rFonts w:ascii="Times New Roman" w:cs="Times New Roman" w:eastAsia="Times New Roman" w:hAnsi="Times New Roman"/>
          <w:sz w:val="13"/>
          <w:szCs w:val="13"/>
          <w:color w:val="auto"/>
        </w:rPr>
        <w:t xml:space="preserve">All of the members of the Audit Committee are “independent” as such term is defined in National Instrument 52-110 – </w:t>
      </w:r>
      <w:r>
        <w:rPr>
          <w:rFonts w:ascii="Times New Roman" w:cs="Times New Roman" w:eastAsia="Times New Roman" w:hAnsi="Times New Roman"/>
          <w:sz w:val="13"/>
          <w:szCs w:val="13"/>
          <w:i w:val="1"/>
          <w:iCs w:val="1"/>
          <w:color w:val="auto"/>
        </w:rPr>
        <w:t>Audit Committees</w:t>
      </w:r>
      <w:r>
        <w:rPr>
          <w:rFonts w:ascii="Times New Roman" w:cs="Times New Roman" w:eastAsia="Times New Roman" w:hAnsi="Times New Roman"/>
          <w:sz w:val="13"/>
          <w:szCs w:val="13"/>
          <w:color w:val="auto"/>
        </w:rPr>
        <w:t xml:space="preserve"> (“</w:t>
      </w:r>
      <w:r>
        <w:rPr>
          <w:rFonts w:ascii="Times New Roman" w:cs="Times New Roman" w:eastAsia="Times New Roman" w:hAnsi="Times New Roman"/>
          <w:sz w:val="13"/>
          <w:szCs w:val="13"/>
          <w:b w:val="1"/>
          <w:bCs w:val="1"/>
          <w:color w:val="auto"/>
        </w:rPr>
        <w:t>NI 52-110</w:t>
      </w:r>
      <w:r>
        <w:rPr>
          <w:rFonts w:ascii="Times New Roman" w:cs="Times New Roman" w:eastAsia="Times New Roman" w:hAnsi="Times New Roman"/>
          <w:sz w:val="13"/>
          <w:szCs w:val="13"/>
          <w:color w:val="auto"/>
        </w:rPr>
        <w:t>”). The Corporation is of the opinion that all four members of the Audit Committee are “financially literate” as such term is defined in NI 52-110.</w:t>
      </w:r>
    </w:p>
    <w:p>
      <w:pPr>
        <w:sectPr>
          <w:pgSz w:w="11900" w:h="16838" w:orient="portrait"/>
          <w:cols w:equalWidth="0" w:num="1">
            <w:col w:w="11300"/>
          </w:cols>
          <w:pgMar w:left="300" w:top="125" w:right="299" w:bottom="1440" w:gutter="0" w:footer="0" w:header="0"/>
        </w:sectPr>
      </w:pPr>
    </w:p>
    <w:bookmarkStart w:id="26" w:name="page27"/>
    <w:bookmarkEnd w:id="26"/>
    <w:p>
      <w:pPr>
        <w:jc w:val="center"/>
        <w:spacing w:after="0"/>
        <w:rPr>
          <w:sz w:val="20"/>
          <w:szCs w:val="20"/>
          <w:color w:val="auto"/>
        </w:rPr>
      </w:pPr>
      <w:r>
        <w:rPr>
          <w:rFonts w:ascii="Times New Roman" w:cs="Times New Roman" w:eastAsia="Times New Roman" w:hAnsi="Times New Roman"/>
          <w:sz w:val="13"/>
          <w:szCs w:val="13"/>
          <w:color w:val="auto"/>
        </w:rPr>
        <w:t>- 23 -</w:t>
      </w:r>
    </w:p>
    <w:p>
      <w:pPr>
        <w:spacing w:after="0" w:line="200" w:lineRule="exact"/>
        <w:rPr>
          <w:sz w:val="20"/>
          <w:szCs w:val="20"/>
          <w:color w:val="auto"/>
        </w:rPr>
      </w:pPr>
    </w:p>
    <w:p>
      <w:pPr>
        <w:spacing w:after="0" w:line="200" w:lineRule="exact"/>
        <w:rPr>
          <w:sz w:val="20"/>
          <w:szCs w:val="20"/>
          <w:color w:val="auto"/>
        </w:rPr>
      </w:pPr>
    </w:p>
    <w:p>
      <w:pPr>
        <w:spacing w:after="0" w:line="312"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color w:val="auto"/>
        </w:rPr>
        <w:t>Relevant Education and Experience</w:t>
      </w:r>
    </w:p>
    <w:p>
      <w:pPr>
        <w:spacing w:after="0" w:line="159" w:lineRule="exact"/>
        <w:rPr>
          <w:sz w:val="20"/>
          <w:szCs w:val="20"/>
          <w:color w:val="auto"/>
        </w:rPr>
      </w:pPr>
    </w:p>
    <w:p>
      <w:pPr>
        <w:jc w:val="both"/>
        <w:spacing w:after="0" w:line="281" w:lineRule="auto"/>
        <w:rPr>
          <w:sz w:val="20"/>
          <w:szCs w:val="20"/>
          <w:color w:val="auto"/>
        </w:rPr>
      </w:pPr>
      <w:r>
        <w:rPr>
          <w:rFonts w:ascii="Times New Roman" w:cs="Times New Roman" w:eastAsia="Times New Roman" w:hAnsi="Times New Roman"/>
          <w:sz w:val="13"/>
          <w:szCs w:val="13"/>
          <w:color w:val="auto"/>
        </w:rPr>
        <w:t>All the members of the Audit Committee have the education and/or practical experience required to understand and evaluate financial statements that present a breadth and level of complexity of accounting issues that are generally comparable to the breadth and complexity of issues that can reasonably be expected to be raised by the Corporation’s financial statements.</w:t>
      </w:r>
    </w:p>
    <w:p>
      <w:pPr>
        <w:spacing w:after="0" w:line="107"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3"/>
          <w:szCs w:val="13"/>
          <w:i w:val="1"/>
          <w:iCs w:val="1"/>
          <w:color w:val="auto"/>
        </w:rPr>
        <w:t xml:space="preserve">Theresa Firestone </w:t>
      </w:r>
      <w:r>
        <w:rPr>
          <w:rFonts w:ascii="Times New Roman" w:cs="Times New Roman" w:eastAsia="Times New Roman" w:hAnsi="Times New Roman"/>
          <w:sz w:val="13"/>
          <w:szCs w:val="13"/>
          <w:color w:val="auto"/>
        </w:rPr>
        <w:t>– Ms. Firestone is a senior healthcare executive with over 35 years experience in pharmaceuticals, health &amp; wellness and government and has extensive P&amp;L, strategy development and operations</w:t>
      </w:r>
      <w:r>
        <w:rPr>
          <w:rFonts w:ascii="Times New Roman" w:cs="Times New Roman" w:eastAsia="Times New Roman" w:hAnsi="Times New Roman"/>
          <w:sz w:val="13"/>
          <w:szCs w:val="13"/>
          <w:i w:val="1"/>
          <w:iCs w:val="1"/>
          <w:color w:val="auto"/>
        </w:rPr>
        <w:t xml:space="preserve"> </w:t>
      </w:r>
      <w:r>
        <w:rPr>
          <w:rFonts w:ascii="Times New Roman" w:cs="Times New Roman" w:eastAsia="Times New Roman" w:hAnsi="Times New Roman"/>
          <w:sz w:val="13"/>
          <w:szCs w:val="13"/>
          <w:color w:val="auto"/>
        </w:rPr>
        <w:t>expertise. Ms. Firestone has held executive leadership positions in Canada, Europe and Asia and led teams in 15 different countries. Prior to retirement in 2021, she was Senior Vice President, Health and Wellness at Shoppers Drug Mart, Canada’s largest retail pharmacy chain. Ms Firestone is and has been a member of audit committees in public and private companies for a number of years and has had overall responsibility for numerous complex businesses including P&amp;Ls, in Canada, Europe and Asia.</w:t>
      </w:r>
    </w:p>
    <w:p>
      <w:pPr>
        <w:spacing w:after="0" w:line="10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3"/>
          <w:szCs w:val="13"/>
          <w:i w:val="1"/>
          <w:iCs w:val="1"/>
          <w:color w:val="auto"/>
        </w:rPr>
        <w:t xml:space="preserve">Grant Froese </w:t>
      </w:r>
      <w:r>
        <w:rPr>
          <w:rFonts w:ascii="Times New Roman" w:cs="Times New Roman" w:eastAsia="Times New Roman" w:hAnsi="Times New Roman"/>
          <w:sz w:val="13"/>
          <w:szCs w:val="13"/>
          <w:color w:val="auto"/>
        </w:rPr>
        <w:t>– Mr. Froese had a 38-year career with retail giant Loblaw Companies Limited, including 3 years as Chief Operating Officer responsible for all levels of operations and merchandising, as well as</w:t>
      </w:r>
      <w:r>
        <w:rPr>
          <w:rFonts w:ascii="Times New Roman" w:cs="Times New Roman" w:eastAsia="Times New Roman" w:hAnsi="Times New Roman"/>
          <w:sz w:val="13"/>
          <w:szCs w:val="13"/>
          <w:i w:val="1"/>
          <w:iCs w:val="1"/>
          <w:color w:val="auto"/>
        </w:rPr>
        <w:t xml:space="preserve"> </w:t>
      </w:r>
      <w:r>
        <w:rPr>
          <w:rFonts w:ascii="Times New Roman" w:cs="Times New Roman" w:eastAsia="Times New Roman" w:hAnsi="Times New Roman"/>
          <w:sz w:val="13"/>
          <w:szCs w:val="13"/>
          <w:color w:val="auto"/>
        </w:rPr>
        <w:t>oversight of information technology, supply chain, digital/e-commerce, marketing and industry-leading control brands. In his capacity as Chief Operating Officer, Mr. Froese was responsible for financial budgeting, operational P/L and annual revenues of approximately $30 million. Mr. Froese served as Chief Executive Officer of Harvest One Cannabis Inc., where he was responsible for oversight of all aspects of the company’s production, operations and financial matters including, the review and approval of quarterly and annual financial statements, AIF, MD&amp;A, and related corporate disclosures. Mr. Froese has a Diploma in Business Administration.</w:t>
      </w:r>
    </w:p>
    <w:p>
      <w:pPr>
        <w:spacing w:after="0" w:line="108" w:lineRule="exact"/>
        <w:rPr>
          <w:sz w:val="20"/>
          <w:szCs w:val="20"/>
          <w:color w:val="auto"/>
        </w:rPr>
      </w:pPr>
    </w:p>
    <w:p>
      <w:pPr>
        <w:jc w:val="both"/>
        <w:spacing w:after="0" w:line="272" w:lineRule="auto"/>
        <w:rPr>
          <w:sz w:val="20"/>
          <w:szCs w:val="20"/>
          <w:color w:val="auto"/>
        </w:rPr>
      </w:pPr>
      <w:r>
        <w:rPr>
          <w:rFonts w:ascii="Times New Roman" w:cs="Times New Roman" w:eastAsia="Times New Roman" w:hAnsi="Times New Roman"/>
          <w:sz w:val="13"/>
          <w:szCs w:val="13"/>
          <w:i w:val="1"/>
          <w:iCs w:val="1"/>
          <w:color w:val="auto"/>
        </w:rPr>
        <w:t xml:space="preserve">Eric Hoskins </w:t>
      </w:r>
      <w:r>
        <w:rPr>
          <w:rFonts w:ascii="Times New Roman" w:cs="Times New Roman" w:eastAsia="Times New Roman" w:hAnsi="Times New Roman"/>
          <w:sz w:val="13"/>
          <w:szCs w:val="13"/>
          <w:color w:val="auto"/>
        </w:rPr>
        <w:t>– Dr. Hoskins served as the Minister of Health for Ontario for 4 years and was responsible for creating, overseeing and administering a $55 billion budget. He was also a member of the Ontario</w:t>
      </w:r>
      <w:r>
        <w:rPr>
          <w:rFonts w:ascii="Times New Roman" w:cs="Times New Roman" w:eastAsia="Times New Roman" w:hAnsi="Times New Roman"/>
          <w:sz w:val="13"/>
          <w:szCs w:val="13"/>
          <w:i w:val="1"/>
          <w:iCs w:val="1"/>
          <w:color w:val="auto"/>
        </w:rPr>
        <w:t xml:space="preserve"> </w:t>
      </w:r>
      <w:r>
        <w:rPr>
          <w:rFonts w:ascii="Times New Roman" w:cs="Times New Roman" w:eastAsia="Times New Roman" w:hAnsi="Times New Roman"/>
          <w:sz w:val="13"/>
          <w:szCs w:val="13"/>
          <w:color w:val="auto"/>
        </w:rPr>
        <w:t>government Cabinet for ten years regularly reviewing and commenting on budgets and financial statements. Dr. Hoskins was the Chief Financial Officer of War Child Canada, a $20 million charity, for 8 years. Dr Hoskins is currently on the audit committee of Canada Health Infoway. He also has a degree in Health Economics and a ICD.D (Institute for Corporate Directors) diploma from the Rotman School of Management.</w:t>
      </w:r>
    </w:p>
    <w:p>
      <w:pPr>
        <w:spacing w:after="0" w:line="113"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3"/>
          <w:szCs w:val="13"/>
          <w:i w:val="1"/>
          <w:iCs w:val="1"/>
          <w:color w:val="auto"/>
        </w:rPr>
        <w:t xml:space="preserve">Mark Lawson </w:t>
      </w:r>
      <w:r>
        <w:rPr>
          <w:rFonts w:ascii="Times New Roman" w:cs="Times New Roman" w:eastAsia="Times New Roman" w:hAnsi="Times New Roman"/>
          <w:sz w:val="13"/>
          <w:szCs w:val="13"/>
          <w:color w:val="auto"/>
        </w:rPr>
        <w:t>– Mr. Lawson was previously an investment banker with Morgan Stanley in New York where he was involved in the execution of over $6 billion worth of mergers and acquisitions, $8 billion worth of</w:t>
      </w:r>
      <w:r>
        <w:rPr>
          <w:rFonts w:ascii="Times New Roman" w:cs="Times New Roman" w:eastAsia="Times New Roman" w:hAnsi="Times New Roman"/>
          <w:sz w:val="13"/>
          <w:szCs w:val="13"/>
          <w:i w:val="1"/>
          <w:iCs w:val="1"/>
          <w:color w:val="auto"/>
        </w:rPr>
        <w:t xml:space="preserve"> </w:t>
      </w:r>
      <w:r>
        <w:rPr>
          <w:rFonts w:ascii="Times New Roman" w:cs="Times New Roman" w:eastAsia="Times New Roman" w:hAnsi="Times New Roman"/>
          <w:sz w:val="13"/>
          <w:szCs w:val="13"/>
          <w:color w:val="auto"/>
        </w:rPr>
        <w:t>debt offerings and $500 million of equity financings in the healthcare, energy, technology, and media &amp; telecom sector. He received his Bachelor of Arts in Statistical Sciences from The University of Western Ontario, Canada, and his MBA in Finance from The Richard Ivey School of Business</w:t>
      </w:r>
      <w:r>
        <w:rPr>
          <w:rFonts w:ascii="Times New Roman" w:cs="Times New Roman" w:eastAsia="Times New Roman" w:hAnsi="Times New Roman"/>
          <w:sz w:val="13"/>
          <w:szCs w:val="13"/>
          <w:i w:val="1"/>
          <w:iCs w:val="1"/>
          <w:color w:val="auto"/>
        </w:rPr>
        <w:t>,</w:t>
      </w:r>
      <w:r>
        <w:rPr>
          <w:rFonts w:ascii="Times New Roman" w:cs="Times New Roman" w:eastAsia="Times New Roman" w:hAnsi="Times New Roman"/>
          <w:sz w:val="13"/>
          <w:szCs w:val="13"/>
          <w:color w:val="auto"/>
        </w:rPr>
        <w:t xml:space="preserve"> University of Western Ontario, Canada. Mr. Lawson was previously the Chief Financial Officer of a TSX Venture listed company.</w:t>
      </w:r>
    </w:p>
    <w:p>
      <w:pPr>
        <w:spacing w:after="0" w:line="106"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color w:val="auto"/>
        </w:rPr>
        <w:t>Audit Committee Oversight</w:t>
      </w:r>
    </w:p>
    <w:p>
      <w:pPr>
        <w:spacing w:after="0" w:line="159" w:lineRule="exact"/>
        <w:rPr>
          <w:sz w:val="20"/>
          <w:szCs w:val="20"/>
          <w:color w:val="auto"/>
        </w:rPr>
      </w:pPr>
    </w:p>
    <w:p>
      <w:pPr>
        <w:jc w:val="both"/>
        <w:spacing w:after="0" w:line="281" w:lineRule="auto"/>
        <w:rPr>
          <w:sz w:val="20"/>
          <w:szCs w:val="20"/>
          <w:color w:val="auto"/>
        </w:rPr>
      </w:pPr>
      <w:r>
        <w:rPr>
          <w:rFonts w:ascii="Times New Roman" w:cs="Times New Roman" w:eastAsia="Times New Roman" w:hAnsi="Times New Roman"/>
          <w:sz w:val="13"/>
          <w:szCs w:val="13"/>
          <w:color w:val="auto"/>
        </w:rPr>
        <w:t>At no time since the commencement of the Corporation’s most recently completed financial year have any recommendations by the Audit Committee respecting the nomination and/or compensation of the Corporation’s external auditors not been adopted by the Board.</w:t>
      </w:r>
    </w:p>
    <w:p>
      <w:pPr>
        <w:sectPr>
          <w:pgSz w:w="11900" w:h="16838" w:orient="portrait"/>
          <w:cols w:equalWidth="0" w:num="1">
            <w:col w:w="11300"/>
          </w:cols>
          <w:pgMar w:left="300" w:top="125" w:right="299" w:bottom="1440" w:gutter="0" w:footer="0" w:header="0"/>
        </w:sectPr>
      </w:pPr>
    </w:p>
    <w:bookmarkStart w:id="27" w:name="page28"/>
    <w:bookmarkEnd w:id="27"/>
    <w:p>
      <w:pPr>
        <w:jc w:val="center"/>
        <w:spacing w:after="0"/>
        <w:rPr>
          <w:sz w:val="20"/>
          <w:szCs w:val="20"/>
          <w:color w:val="auto"/>
        </w:rPr>
      </w:pPr>
      <w:r>
        <w:rPr>
          <w:rFonts w:ascii="Times New Roman" w:cs="Times New Roman" w:eastAsia="Times New Roman" w:hAnsi="Times New Roman"/>
          <w:sz w:val="13"/>
          <w:szCs w:val="13"/>
          <w:color w:val="auto"/>
        </w:rPr>
        <w:t>- 24 -</w:t>
      </w:r>
    </w:p>
    <w:p>
      <w:pPr>
        <w:spacing w:after="0" w:line="200" w:lineRule="exact"/>
        <w:rPr>
          <w:sz w:val="20"/>
          <w:szCs w:val="20"/>
          <w:color w:val="auto"/>
        </w:rPr>
      </w:pPr>
    </w:p>
    <w:p>
      <w:pPr>
        <w:spacing w:after="0" w:line="200" w:lineRule="exact"/>
        <w:rPr>
          <w:sz w:val="20"/>
          <w:szCs w:val="20"/>
          <w:color w:val="auto"/>
        </w:rPr>
      </w:pPr>
    </w:p>
    <w:p>
      <w:pPr>
        <w:spacing w:after="0" w:line="312"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color w:val="auto"/>
        </w:rPr>
        <w:t>Reliance on Certain Exemptions</w:t>
      </w:r>
    </w:p>
    <w:p>
      <w:pPr>
        <w:spacing w:after="0" w:line="157"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13"/>
          <w:szCs w:val="13"/>
          <w:color w:val="auto"/>
        </w:rPr>
        <w:t xml:space="preserve">At no time since the commencement of the Corporation’s most recently completed financial year has the Corporation relied on exemptions in relation to </w:t>
      </w:r>
      <w:r>
        <w:rPr>
          <w:rFonts w:ascii="Times New Roman" w:cs="Times New Roman" w:eastAsia="Times New Roman" w:hAnsi="Times New Roman"/>
          <w:sz w:val="13"/>
          <w:szCs w:val="13"/>
          <w:i w:val="1"/>
          <w:iCs w:val="1"/>
          <w:color w:val="auto"/>
        </w:rPr>
        <w:t>“De Minimis Non-audit Services”</w:t>
      </w:r>
      <w:r>
        <w:rPr>
          <w:rFonts w:ascii="Times New Roman" w:cs="Times New Roman" w:eastAsia="Times New Roman" w:hAnsi="Times New Roman"/>
          <w:sz w:val="13"/>
          <w:szCs w:val="13"/>
          <w:color w:val="auto"/>
        </w:rPr>
        <w:t xml:space="preserve"> or any exemption provided by Part 8 of NI 52-110.</w:t>
      </w:r>
    </w:p>
    <w:p>
      <w:pPr>
        <w:spacing w:after="0" w:line="105"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color w:val="auto"/>
        </w:rPr>
        <w:t>Pre-Approval Policies and Procedures</w:t>
      </w:r>
    </w:p>
    <w:p>
      <w:pPr>
        <w:spacing w:after="0" w:line="150"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Pursuant to the terms of the Audit Committee Charter, the Audit Committee shall pre-approve all non-audit services to be provided to the Corporation or its subsidiary entities by the Corporation’s external auditor.</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color w:val="auto"/>
        </w:rPr>
        <w:t>External Auditor Service Fees (By Category)</w:t>
      </w:r>
    </w:p>
    <w:p>
      <w:pPr>
        <w:spacing w:after="0" w:line="157" w:lineRule="exact"/>
        <w:rPr>
          <w:sz w:val="20"/>
          <w:szCs w:val="20"/>
          <w:color w:val="auto"/>
        </w:rPr>
      </w:pPr>
    </w:p>
    <w:p>
      <w:pPr>
        <w:jc w:val="both"/>
        <w:spacing w:after="0" w:line="272" w:lineRule="auto"/>
        <w:rPr>
          <w:sz w:val="20"/>
          <w:szCs w:val="20"/>
          <w:color w:val="auto"/>
        </w:rPr>
      </w:pPr>
      <w:r>
        <w:rPr>
          <w:rFonts w:ascii="Times New Roman" w:cs="Times New Roman" w:eastAsia="Times New Roman" w:hAnsi="Times New Roman"/>
          <w:sz w:val="13"/>
          <w:szCs w:val="13"/>
          <w:i w:val="1"/>
          <w:iCs w:val="1"/>
          <w:color w:val="auto"/>
        </w:rPr>
        <w:t xml:space="preserve">Audit Fees </w:t>
      </w:r>
      <w:r>
        <w:rPr>
          <w:rFonts w:ascii="Times New Roman" w:cs="Times New Roman" w:eastAsia="Times New Roman" w:hAnsi="Times New Roman"/>
          <w:sz w:val="13"/>
          <w:szCs w:val="13"/>
          <w:color w:val="auto"/>
        </w:rPr>
        <w:t>– The Corporation’s external auditors billed $380,611 and $405,725 in audit fees for the financial years ended March 31, 2025 and 2024, respectively. These audit fees were to perform the annual audit</w:t>
      </w:r>
      <w:r>
        <w:rPr>
          <w:rFonts w:ascii="Times New Roman" w:cs="Times New Roman" w:eastAsia="Times New Roman" w:hAnsi="Times New Roman"/>
          <w:sz w:val="13"/>
          <w:szCs w:val="13"/>
          <w:i w:val="1"/>
          <w:iCs w:val="1"/>
          <w:color w:val="auto"/>
        </w:rPr>
        <w:t xml:space="preserve"> </w:t>
      </w:r>
      <w:r>
        <w:rPr>
          <w:rFonts w:ascii="Times New Roman" w:cs="Times New Roman" w:eastAsia="Times New Roman" w:hAnsi="Times New Roman"/>
          <w:sz w:val="13"/>
          <w:szCs w:val="13"/>
          <w:color w:val="auto"/>
        </w:rPr>
        <w:t>of the Corporation’s financial statements. These services include reviewing interim financial statements and disclosure documents related to financings and other attest services required by legislation or regulation, such as comfort letters, consents, reviews of securities filings and statutory audits.</w:t>
      </w:r>
    </w:p>
    <w:p>
      <w:pPr>
        <w:spacing w:after="0" w:line="104" w:lineRule="exact"/>
        <w:rPr>
          <w:sz w:val="20"/>
          <w:szCs w:val="20"/>
          <w:color w:val="auto"/>
        </w:rPr>
      </w:pPr>
    </w:p>
    <w:p>
      <w:pPr>
        <w:jc w:val="both"/>
        <w:spacing w:after="0" w:line="298" w:lineRule="auto"/>
        <w:rPr>
          <w:sz w:val="20"/>
          <w:szCs w:val="20"/>
          <w:color w:val="auto"/>
        </w:rPr>
      </w:pPr>
      <w:r>
        <w:rPr>
          <w:rFonts w:ascii="Times New Roman" w:cs="Times New Roman" w:eastAsia="Times New Roman" w:hAnsi="Times New Roman"/>
          <w:sz w:val="13"/>
          <w:szCs w:val="13"/>
          <w:i w:val="1"/>
          <w:iCs w:val="1"/>
          <w:color w:val="auto"/>
        </w:rPr>
        <w:t xml:space="preserve">Audit-Related Fees </w:t>
      </w:r>
      <w:r>
        <w:rPr>
          <w:rFonts w:ascii="Times New Roman" w:cs="Times New Roman" w:eastAsia="Times New Roman" w:hAnsi="Times New Roman"/>
          <w:sz w:val="13"/>
          <w:szCs w:val="13"/>
          <w:color w:val="auto"/>
        </w:rPr>
        <w:t>– The Corporation’s external auditors billed nil and nil for audit-related services that are traditionally performed by the auditor during the financial years ended March 31, 2025 and 2024,</w:t>
      </w:r>
      <w:r>
        <w:rPr>
          <w:rFonts w:ascii="Times New Roman" w:cs="Times New Roman" w:eastAsia="Times New Roman" w:hAnsi="Times New Roman"/>
          <w:sz w:val="13"/>
          <w:szCs w:val="13"/>
          <w:i w:val="1"/>
          <w:iCs w:val="1"/>
          <w:color w:val="auto"/>
        </w:rPr>
        <w:t xml:space="preserve"> </w:t>
      </w:r>
      <w:r>
        <w:rPr>
          <w:rFonts w:ascii="Times New Roman" w:cs="Times New Roman" w:eastAsia="Times New Roman" w:hAnsi="Times New Roman"/>
          <w:sz w:val="13"/>
          <w:szCs w:val="13"/>
          <w:color w:val="auto"/>
        </w:rPr>
        <w:t>respectively.</w:t>
      </w:r>
    </w:p>
    <w:p>
      <w:pPr>
        <w:spacing w:after="0" w:line="97" w:lineRule="exact"/>
        <w:rPr>
          <w:sz w:val="20"/>
          <w:szCs w:val="20"/>
          <w:color w:val="auto"/>
        </w:rPr>
      </w:pPr>
    </w:p>
    <w:p>
      <w:pPr>
        <w:jc w:val="both"/>
        <w:spacing w:after="0" w:line="272" w:lineRule="auto"/>
        <w:rPr>
          <w:sz w:val="20"/>
          <w:szCs w:val="20"/>
          <w:color w:val="auto"/>
        </w:rPr>
      </w:pPr>
      <w:r>
        <w:rPr>
          <w:rFonts w:ascii="Times New Roman" w:cs="Times New Roman" w:eastAsia="Times New Roman" w:hAnsi="Times New Roman"/>
          <w:sz w:val="13"/>
          <w:szCs w:val="13"/>
          <w:i w:val="1"/>
          <w:iCs w:val="1"/>
          <w:color w:val="auto"/>
        </w:rPr>
        <w:t xml:space="preserve">Tax Fees </w:t>
      </w:r>
      <w:r>
        <w:rPr>
          <w:rFonts w:ascii="Times New Roman" w:cs="Times New Roman" w:eastAsia="Times New Roman" w:hAnsi="Times New Roman"/>
          <w:sz w:val="13"/>
          <w:szCs w:val="13"/>
          <w:color w:val="auto"/>
        </w:rPr>
        <w:t>– The Corporation’s external auditors billed the Corporation $30,100 and $73,746 during the financial years ended March 31, 2025 and 2024, respectively, for for all tax services other than those included</w:t>
      </w:r>
      <w:r>
        <w:rPr>
          <w:rFonts w:ascii="Times New Roman" w:cs="Times New Roman" w:eastAsia="Times New Roman" w:hAnsi="Times New Roman"/>
          <w:sz w:val="13"/>
          <w:szCs w:val="13"/>
          <w:i w:val="1"/>
          <w:iCs w:val="1"/>
          <w:color w:val="auto"/>
        </w:rPr>
        <w:t xml:space="preserve"> </w:t>
      </w:r>
      <w:r>
        <w:rPr>
          <w:rFonts w:ascii="Times New Roman" w:cs="Times New Roman" w:eastAsia="Times New Roman" w:hAnsi="Times New Roman"/>
          <w:sz w:val="13"/>
          <w:szCs w:val="13"/>
          <w:color w:val="auto"/>
        </w:rPr>
        <w:t>in “Audit Fees” and “Audit-Related Fees”. This category includes fees for tax compliance, tax planning and tax advice. Tax planning and tax advice includes assistance with tax audits and appeals, tax advice related to mergers and acquisitions, and requests for rulings or technical advice from tax authorities.</w:t>
      </w:r>
    </w:p>
    <w:p>
      <w:pPr>
        <w:spacing w:after="0" w:line="104" w:lineRule="exact"/>
        <w:rPr>
          <w:sz w:val="20"/>
          <w:szCs w:val="20"/>
          <w:color w:val="auto"/>
        </w:rPr>
      </w:pPr>
    </w:p>
    <w:p>
      <w:pPr>
        <w:jc w:val="both"/>
        <w:spacing w:after="0" w:line="298" w:lineRule="auto"/>
        <w:rPr>
          <w:sz w:val="20"/>
          <w:szCs w:val="20"/>
          <w:color w:val="auto"/>
        </w:rPr>
      </w:pPr>
      <w:r>
        <w:rPr>
          <w:rFonts w:ascii="Times New Roman" w:cs="Times New Roman" w:eastAsia="Times New Roman" w:hAnsi="Times New Roman"/>
          <w:sz w:val="13"/>
          <w:szCs w:val="13"/>
          <w:i w:val="1"/>
          <w:iCs w:val="1"/>
          <w:color w:val="auto"/>
        </w:rPr>
        <w:t xml:space="preserve">All Other Fees </w:t>
      </w:r>
      <w:r>
        <w:rPr>
          <w:rFonts w:ascii="Times New Roman" w:cs="Times New Roman" w:eastAsia="Times New Roman" w:hAnsi="Times New Roman"/>
          <w:sz w:val="13"/>
          <w:szCs w:val="13"/>
          <w:color w:val="auto"/>
        </w:rPr>
        <w:t>– The Corporation’s external auditors billed the Corporation nil and nil during the financial years ended March 31, 2025 and 2024 for all other non-audit services reported above under the other</w:t>
      </w:r>
      <w:r>
        <w:rPr>
          <w:rFonts w:ascii="Times New Roman" w:cs="Times New Roman" w:eastAsia="Times New Roman" w:hAnsi="Times New Roman"/>
          <w:sz w:val="13"/>
          <w:szCs w:val="13"/>
          <w:i w:val="1"/>
          <w:iCs w:val="1"/>
          <w:color w:val="auto"/>
        </w:rPr>
        <w:t xml:space="preserve"> </w:t>
      </w:r>
      <w:r>
        <w:rPr>
          <w:rFonts w:ascii="Times New Roman" w:cs="Times New Roman" w:eastAsia="Times New Roman" w:hAnsi="Times New Roman"/>
          <w:sz w:val="13"/>
          <w:szCs w:val="13"/>
          <w:color w:val="auto"/>
        </w:rPr>
        <w:t>categories.</w:t>
      </w:r>
    </w:p>
    <w:p>
      <w:pPr>
        <w:spacing w:after="0" w:line="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INTERESTS OF INFORMED PERSONS IN MATERIAL TRANSACTIONS</w:t>
      </w:r>
    </w:p>
    <w:p>
      <w:pPr>
        <w:spacing w:after="0" w:line="168"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3"/>
          <w:szCs w:val="13"/>
          <w:color w:val="auto"/>
        </w:rPr>
        <w:t>Other than as disclosed herein, no “informed person” (as such term is defined in NI 51-102) or proposed nominee for election as a director of the Corporation or any associate or affiliate of the foregoing has any material interest, direct or indirect, in any transaction in which the Corporation has participated since the commencement of the Corporation’s most recently completed financial year or in any proposed transaction which has materially affected or will materially affect the Corporation.</w:t>
      </w:r>
    </w:p>
    <w:p>
      <w:pPr>
        <w:sectPr>
          <w:pgSz w:w="11900" w:h="16838" w:orient="portrait"/>
          <w:cols w:equalWidth="0" w:num="1">
            <w:col w:w="11300"/>
          </w:cols>
          <w:pgMar w:left="300" w:top="125" w:right="299" w:bottom="1440" w:gutter="0" w:footer="0" w:header="0"/>
        </w:sectPr>
      </w:pPr>
    </w:p>
    <w:bookmarkStart w:id="28" w:name="page29"/>
    <w:bookmarkEnd w:id="28"/>
    <w:p>
      <w:pPr>
        <w:jc w:val="center"/>
        <w:ind w:right="-7"/>
        <w:spacing w:after="0"/>
        <w:rPr>
          <w:sz w:val="20"/>
          <w:szCs w:val="20"/>
          <w:color w:val="auto"/>
        </w:rPr>
      </w:pPr>
      <w:r>
        <w:rPr>
          <w:rFonts w:ascii="Times New Roman" w:cs="Times New Roman" w:eastAsia="Times New Roman" w:hAnsi="Times New Roman"/>
          <w:sz w:val="13"/>
          <w:szCs w:val="13"/>
          <w:color w:val="auto"/>
        </w:rPr>
        <w:t>- 25 -</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ind w:right="-7"/>
        <w:spacing w:after="0"/>
        <w:rPr>
          <w:sz w:val="20"/>
          <w:szCs w:val="20"/>
          <w:color w:val="auto"/>
        </w:rPr>
      </w:pPr>
      <w:r>
        <w:rPr>
          <w:rFonts w:ascii="Times New Roman" w:cs="Times New Roman" w:eastAsia="Times New Roman" w:hAnsi="Times New Roman"/>
          <w:sz w:val="13"/>
          <w:szCs w:val="13"/>
          <w:b w:val="1"/>
          <w:bCs w:val="1"/>
          <w:color w:val="auto"/>
        </w:rPr>
        <w:t>PARTICULARS OF MATTERS TO BE ACTED UPON</w:t>
      </w:r>
    </w:p>
    <w:p>
      <w:pPr>
        <w:spacing w:after="0" w:line="157" w:lineRule="exact"/>
        <w:rPr>
          <w:sz w:val="20"/>
          <w:szCs w:val="20"/>
          <w:color w:val="auto"/>
        </w:rPr>
      </w:pPr>
    </w:p>
    <w:p>
      <w:pPr>
        <w:ind w:left="428" w:hanging="428"/>
        <w:spacing w:after="0"/>
        <w:tabs>
          <w:tab w:leader="none" w:pos="428" w:val="left"/>
        </w:tabs>
        <w:numPr>
          <w:ilvl w:val="0"/>
          <w:numId w:val="13"/>
        </w:numPr>
        <w:rPr>
          <w:rFonts w:ascii="Times New Roman" w:cs="Times New Roman" w:eastAsia="Times New Roman" w:hAnsi="Times New Roman"/>
          <w:sz w:val="13"/>
          <w:szCs w:val="13"/>
          <w:b w:val="1"/>
          <w:bCs w:val="1"/>
          <w:color w:val="auto"/>
        </w:rPr>
      </w:pPr>
      <w:r>
        <w:rPr>
          <w:rFonts w:ascii="Times New Roman" w:cs="Times New Roman" w:eastAsia="Times New Roman" w:hAnsi="Times New Roman"/>
          <w:sz w:val="13"/>
          <w:szCs w:val="13"/>
          <w:b w:val="1"/>
          <w:bCs w:val="1"/>
          <w:color w:val="auto"/>
        </w:rPr>
        <w:t>Appointment of Auditor</w:t>
      </w:r>
    </w:p>
    <w:p>
      <w:pPr>
        <w:spacing w:after="0" w:line="150" w:lineRule="exact"/>
        <w:rPr>
          <w:sz w:val="20"/>
          <w:szCs w:val="20"/>
          <w:color w:val="auto"/>
        </w:rPr>
      </w:pPr>
    </w:p>
    <w:p>
      <w:pPr>
        <w:ind w:left="8"/>
        <w:spacing w:after="0"/>
        <w:rPr>
          <w:sz w:val="20"/>
          <w:szCs w:val="20"/>
          <w:color w:val="auto"/>
        </w:rPr>
      </w:pPr>
      <w:r>
        <w:rPr>
          <w:rFonts w:ascii="Times New Roman" w:cs="Times New Roman" w:eastAsia="Times New Roman" w:hAnsi="Times New Roman"/>
          <w:sz w:val="13"/>
          <w:szCs w:val="13"/>
          <w:color w:val="auto"/>
        </w:rPr>
        <w:t>Management proposes to nominate Zeifmans LLP, which firm has been auditor of the Corporation since November 2020, as auditor of the Corporation to hold office until the next annual meeting of Shareholders.</w:t>
      </w:r>
    </w:p>
    <w:p>
      <w:pPr>
        <w:spacing w:after="0" w:line="155" w:lineRule="exact"/>
        <w:rPr>
          <w:sz w:val="20"/>
          <w:szCs w:val="20"/>
          <w:color w:val="auto"/>
        </w:rPr>
      </w:pPr>
    </w:p>
    <w:p>
      <w:pPr>
        <w:jc w:val="both"/>
        <w:ind w:left="8"/>
        <w:spacing w:after="0" w:line="272" w:lineRule="auto"/>
        <w:rPr>
          <w:sz w:val="20"/>
          <w:szCs w:val="20"/>
          <w:color w:val="auto"/>
        </w:rPr>
      </w:pPr>
      <w:r>
        <w:rPr>
          <w:rFonts w:ascii="Times New Roman" w:cs="Times New Roman" w:eastAsia="Times New Roman" w:hAnsi="Times New Roman"/>
          <w:sz w:val="13"/>
          <w:szCs w:val="13"/>
          <w:b w:val="1"/>
          <w:bCs w:val="1"/>
          <w:color w:val="auto"/>
        </w:rPr>
        <w:t>COMMON SHARES REPRESENTED BY PROXIES IN FAVOUR OF MANAGEMENT WILL BE VOTED IN FAVOUR OF THE APPOINTMENT OF ZEIFMANS LLP AS AUDITOR OF THE CORPORATION AND THE AUTHORIZING OF THE DIRECTORS TO FIX ITS REMUNERATION, UNLESS THE SHAREHOLDER HAS SPECIFIED IN THE PROXY THAT HIS, HER OR ITS COMMON SHARES ARE TO BE WITHHELD FROM VOTING IN RESPECT THEREOF.</w:t>
      </w:r>
    </w:p>
    <w:p>
      <w:pPr>
        <w:spacing w:after="0" w:line="113" w:lineRule="exact"/>
        <w:rPr>
          <w:sz w:val="20"/>
          <w:szCs w:val="20"/>
          <w:color w:val="auto"/>
        </w:rPr>
      </w:pPr>
    </w:p>
    <w:p>
      <w:pPr>
        <w:ind w:left="428" w:hanging="428"/>
        <w:spacing w:after="0"/>
        <w:tabs>
          <w:tab w:leader="none" w:pos="428" w:val="left"/>
        </w:tabs>
        <w:numPr>
          <w:ilvl w:val="0"/>
          <w:numId w:val="14"/>
        </w:numPr>
        <w:rPr>
          <w:rFonts w:ascii="Times New Roman" w:cs="Times New Roman" w:eastAsia="Times New Roman" w:hAnsi="Times New Roman"/>
          <w:sz w:val="13"/>
          <w:szCs w:val="13"/>
          <w:b w:val="1"/>
          <w:bCs w:val="1"/>
          <w:color w:val="auto"/>
        </w:rPr>
      </w:pPr>
      <w:r>
        <w:rPr>
          <w:rFonts w:ascii="Times New Roman" w:cs="Times New Roman" w:eastAsia="Times New Roman" w:hAnsi="Times New Roman"/>
          <w:sz w:val="13"/>
          <w:szCs w:val="13"/>
          <w:b w:val="1"/>
          <w:bCs w:val="1"/>
          <w:color w:val="auto"/>
        </w:rPr>
        <w:t>2.  Number of Directors</w:t>
      </w:r>
    </w:p>
    <w:p>
      <w:pPr>
        <w:spacing w:after="0" w:line="148" w:lineRule="exact"/>
        <w:rPr>
          <w:sz w:val="20"/>
          <w:szCs w:val="20"/>
          <w:color w:val="auto"/>
        </w:rPr>
      </w:pPr>
    </w:p>
    <w:p>
      <w:pPr>
        <w:ind w:left="8"/>
        <w:spacing w:after="0"/>
        <w:rPr>
          <w:sz w:val="20"/>
          <w:szCs w:val="20"/>
          <w:color w:val="auto"/>
        </w:rPr>
      </w:pPr>
      <w:r>
        <w:rPr>
          <w:rFonts w:ascii="Times New Roman" w:cs="Times New Roman" w:eastAsia="Times New Roman" w:hAnsi="Times New Roman"/>
          <w:sz w:val="13"/>
          <w:szCs w:val="13"/>
          <w:color w:val="auto"/>
        </w:rPr>
        <w:t>At the Meeting, Shareholders will be asked to approve the following special resolution setting the number of directors of the Board at six (6) directors (the “</w:t>
      </w:r>
      <w:r>
        <w:rPr>
          <w:rFonts w:ascii="Times New Roman" w:cs="Times New Roman" w:eastAsia="Times New Roman" w:hAnsi="Times New Roman"/>
          <w:sz w:val="13"/>
          <w:szCs w:val="13"/>
          <w:b w:val="1"/>
          <w:bCs w:val="1"/>
          <w:color w:val="auto"/>
        </w:rPr>
        <w:t>Board Number Resolution</w:t>
      </w:r>
      <w:r>
        <w:rPr>
          <w:rFonts w:ascii="Times New Roman" w:cs="Times New Roman" w:eastAsia="Times New Roman" w:hAnsi="Times New Roman"/>
          <w:sz w:val="13"/>
          <w:szCs w:val="13"/>
          <w:color w:val="auto"/>
        </w:rPr>
        <w:t>”):</w:t>
      </w:r>
    </w:p>
    <w:p>
      <w:pPr>
        <w:spacing w:after="0" w:line="159" w:lineRule="exact"/>
        <w:rPr>
          <w:sz w:val="20"/>
          <w:szCs w:val="20"/>
          <w:color w:val="auto"/>
        </w:rPr>
      </w:pPr>
    </w:p>
    <w:p>
      <w:pPr>
        <w:jc w:val="both"/>
        <w:ind w:left="8"/>
        <w:spacing w:after="0" w:line="281" w:lineRule="auto"/>
        <w:rPr>
          <w:sz w:val="20"/>
          <w:szCs w:val="20"/>
          <w:color w:val="auto"/>
        </w:rPr>
      </w:pPr>
      <w:r>
        <w:rPr>
          <w:rFonts w:ascii="Times New Roman" w:cs="Times New Roman" w:eastAsia="Times New Roman" w:hAnsi="Times New Roman"/>
          <w:sz w:val="13"/>
          <w:szCs w:val="13"/>
          <w:color w:val="auto"/>
        </w:rPr>
        <w:t>“BE IT RESOLVED, AS A SPECIAL RESOLUTION, THAT the number of directors of the Corporation within the minimum and maximum number of directors provided for in the articles of the Corporation to be elected is determined to be six (6).”</w:t>
      </w:r>
    </w:p>
    <w:p>
      <w:pPr>
        <w:spacing w:after="0" w:line="107" w:lineRule="exact"/>
        <w:rPr>
          <w:sz w:val="20"/>
          <w:szCs w:val="20"/>
          <w:color w:val="auto"/>
        </w:rPr>
      </w:pPr>
    </w:p>
    <w:p>
      <w:pPr>
        <w:jc w:val="both"/>
        <w:ind w:left="8"/>
        <w:spacing w:after="0" w:line="272" w:lineRule="auto"/>
        <w:rPr>
          <w:sz w:val="20"/>
          <w:szCs w:val="20"/>
          <w:color w:val="auto"/>
        </w:rPr>
      </w:pPr>
      <w:r>
        <w:rPr>
          <w:rFonts w:ascii="Times New Roman" w:cs="Times New Roman" w:eastAsia="Times New Roman" w:hAnsi="Times New Roman"/>
          <w:sz w:val="13"/>
          <w:szCs w:val="13"/>
          <w:b w:val="1"/>
          <w:bCs w:val="1"/>
          <w:color w:val="auto"/>
        </w:rPr>
        <w:t>COMMON SHARES REPRESENTED BY PROXIES IN FAVOUR OF MANAGEMENT WILL BE VOTED IN FAVOUR OF THE BOARD NUMBER RESOLUTION IN THE ABSENCE OF DIRECTION TO THE CONTRARY FROM THE SHAREHOLDER APPOINTING THEM. AN AFFIRMATIVE VOTE OF NOT LESS THAN TWO-THIRDS OF THE VOTES CAST AT THE MEETING BY SHAREHOLDERS IS SUFFICIENT FOR THE APPROVAL OF THE BOARD NUMBER RESOLUTION.</w:t>
      </w:r>
    </w:p>
    <w:p>
      <w:pPr>
        <w:spacing w:after="0" w:line="113" w:lineRule="exact"/>
        <w:rPr>
          <w:sz w:val="20"/>
          <w:szCs w:val="20"/>
          <w:color w:val="auto"/>
        </w:rPr>
      </w:pPr>
    </w:p>
    <w:p>
      <w:pPr>
        <w:ind w:left="428" w:hanging="428"/>
        <w:spacing w:after="0"/>
        <w:tabs>
          <w:tab w:leader="none" w:pos="428" w:val="left"/>
        </w:tabs>
        <w:numPr>
          <w:ilvl w:val="0"/>
          <w:numId w:val="15"/>
        </w:numPr>
        <w:rPr>
          <w:rFonts w:ascii="Times New Roman" w:cs="Times New Roman" w:eastAsia="Times New Roman" w:hAnsi="Times New Roman"/>
          <w:sz w:val="13"/>
          <w:szCs w:val="13"/>
          <w:b w:val="1"/>
          <w:bCs w:val="1"/>
          <w:color w:val="auto"/>
        </w:rPr>
      </w:pPr>
      <w:r>
        <w:rPr>
          <w:rFonts w:ascii="Times New Roman" w:cs="Times New Roman" w:eastAsia="Times New Roman" w:hAnsi="Times New Roman"/>
          <w:sz w:val="13"/>
          <w:szCs w:val="13"/>
          <w:b w:val="1"/>
          <w:bCs w:val="1"/>
          <w:color w:val="auto"/>
        </w:rPr>
        <w:t>Election of Directors</w:t>
      </w:r>
    </w:p>
    <w:p>
      <w:pPr>
        <w:spacing w:after="0" w:line="150" w:lineRule="exact"/>
        <w:rPr>
          <w:sz w:val="20"/>
          <w:szCs w:val="20"/>
          <w:color w:val="auto"/>
        </w:rPr>
      </w:pPr>
    </w:p>
    <w:p>
      <w:pPr>
        <w:jc w:val="both"/>
        <w:ind w:left="8"/>
        <w:spacing w:after="0" w:line="267" w:lineRule="auto"/>
        <w:rPr>
          <w:sz w:val="20"/>
          <w:szCs w:val="20"/>
          <w:color w:val="auto"/>
        </w:rPr>
      </w:pPr>
      <w:r>
        <w:rPr>
          <w:rFonts w:ascii="Times New Roman" w:cs="Times New Roman" w:eastAsia="Times New Roman" w:hAnsi="Times New Roman"/>
          <w:sz w:val="13"/>
          <w:szCs w:val="13"/>
          <w:color w:val="auto"/>
        </w:rPr>
        <w:t>The Board presently consists of seven directors, namely, Theresa Firestone, Grant Froese, Paul Glavine, Eric Hoskins, Mark Lawson, Eric So and George Tziras. At the Meeting, the Shareholders will be asked to set the number of directors of the Corporation at six directors and to elect the six nominees set forth below, namely, Theresa Firestone, Grant Froese, Paul Glavine, Eric Hoskins, Mark Lawson, and Eric So (collectively, the “</w:t>
      </w:r>
      <w:r>
        <w:rPr>
          <w:rFonts w:ascii="Times New Roman" w:cs="Times New Roman" w:eastAsia="Times New Roman" w:hAnsi="Times New Roman"/>
          <w:sz w:val="13"/>
          <w:szCs w:val="13"/>
          <w:b w:val="1"/>
          <w:bCs w:val="1"/>
          <w:color w:val="auto"/>
        </w:rPr>
        <w:t>Board Nominees</w:t>
      </w:r>
      <w:r>
        <w:rPr>
          <w:rFonts w:ascii="Times New Roman" w:cs="Times New Roman" w:eastAsia="Times New Roman" w:hAnsi="Times New Roman"/>
          <w:sz w:val="13"/>
          <w:szCs w:val="13"/>
          <w:color w:val="auto"/>
        </w:rPr>
        <w:t>” and each a “</w:t>
      </w:r>
      <w:r>
        <w:rPr>
          <w:rFonts w:ascii="Times New Roman" w:cs="Times New Roman" w:eastAsia="Times New Roman" w:hAnsi="Times New Roman"/>
          <w:sz w:val="13"/>
          <w:szCs w:val="13"/>
          <w:b w:val="1"/>
          <w:bCs w:val="1"/>
          <w:color w:val="auto"/>
        </w:rPr>
        <w:t>Board Nominee</w:t>
      </w:r>
      <w:r>
        <w:rPr>
          <w:rFonts w:ascii="Times New Roman" w:cs="Times New Roman" w:eastAsia="Times New Roman" w:hAnsi="Times New Roman"/>
          <w:sz w:val="13"/>
          <w:szCs w:val="13"/>
          <w:color w:val="auto"/>
        </w:rPr>
        <w:t>”) as directors of the Corporation. Each Board Nominee elected will hold office until the next annual meeting of shareholders or until his or her successor is duly elected or appointed pursuant to the by-laws of the Corporation. The enclosed form of proxy permits Shareholders to vote for all the Board Nominees together or for each Board Nominee on an individual basis.</w:t>
      </w:r>
    </w:p>
    <w:p>
      <w:pPr>
        <w:spacing w:after="0" w:line="269" w:lineRule="exact"/>
        <w:rPr>
          <w:sz w:val="20"/>
          <w:szCs w:val="20"/>
          <w:color w:val="auto"/>
        </w:rPr>
      </w:pPr>
    </w:p>
    <w:p>
      <w:pPr>
        <w:jc w:val="both"/>
        <w:ind w:left="8"/>
        <w:spacing w:after="0" w:line="268" w:lineRule="auto"/>
        <w:rPr>
          <w:sz w:val="20"/>
          <w:szCs w:val="20"/>
          <w:color w:val="auto"/>
        </w:rPr>
      </w:pPr>
      <w:r>
        <w:rPr>
          <w:rFonts w:ascii="Times New Roman" w:cs="Times New Roman" w:eastAsia="Times New Roman" w:hAnsi="Times New Roman"/>
          <w:sz w:val="13"/>
          <w:szCs w:val="13"/>
          <w:b w:val="1"/>
          <w:bCs w:val="1"/>
          <w:color w:val="auto"/>
        </w:rPr>
        <w:t>COMMON SHARES REPRESENTED BY PROXIES IN FAVOUR OF MANAGEMENT WILL BE VOTED IN FAVOUR OF EACH OF THE BOARD NOMINEES UNLESS A SHAREHOLDER HAS SPECIFIED IN HIS, HER OR ITS PROXY THAT HIS, HER OR ITS COMMON SHARES ARE TO BE WITHHELD FROM VOTING IN RESPECT OF ANY PARTICULAR BOARD NOMINEE OR BOARD NOMINEES. MANAGEMENT DOES NOT CONTEMPLATE THAT ANY OF THE BOARD NOMINEES WILL BE UNABLE TO SERVE AS DIRECTORS. HOWEVER, IF FOR ANY REASON, ANY OF THE BOARD NOMINEES DO NOT STAND FOR</w:t>
      </w:r>
    </w:p>
    <w:p>
      <w:pPr>
        <w:sectPr>
          <w:pgSz w:w="11900" w:h="16838" w:orient="portrait"/>
          <w:cols w:equalWidth="0" w:num="1">
            <w:col w:w="11308"/>
          </w:cols>
          <w:pgMar w:left="292" w:top="125" w:right="299" w:bottom="1440" w:gutter="0" w:footer="0" w:header="0"/>
        </w:sectPr>
      </w:pPr>
    </w:p>
    <w:bookmarkStart w:id="29" w:name="page30"/>
    <w:bookmarkEnd w:id="29"/>
    <w:p>
      <w:pPr>
        <w:jc w:val="center"/>
        <w:spacing w:after="0"/>
        <w:rPr>
          <w:sz w:val="20"/>
          <w:szCs w:val="20"/>
          <w:color w:val="auto"/>
        </w:rPr>
      </w:pPr>
      <w:r>
        <w:rPr>
          <w:rFonts w:ascii="Times New Roman" w:cs="Times New Roman" w:eastAsia="Times New Roman" w:hAnsi="Times New Roman"/>
          <w:sz w:val="13"/>
          <w:szCs w:val="13"/>
          <w:color w:val="auto"/>
        </w:rPr>
        <w:t>- 26 -</w:t>
      </w:r>
    </w:p>
    <w:p>
      <w:pPr>
        <w:spacing w:after="0" w:line="200" w:lineRule="exact"/>
        <w:rPr>
          <w:sz w:val="20"/>
          <w:szCs w:val="20"/>
          <w:color w:val="auto"/>
        </w:rPr>
      </w:pPr>
    </w:p>
    <w:p>
      <w:pPr>
        <w:spacing w:after="0" w:line="200" w:lineRule="exact"/>
        <w:rPr>
          <w:sz w:val="20"/>
          <w:szCs w:val="20"/>
          <w:color w:val="auto"/>
        </w:rPr>
      </w:pPr>
    </w:p>
    <w:p>
      <w:pPr>
        <w:spacing w:after="0" w:line="312" w:lineRule="exact"/>
        <w:rPr>
          <w:sz w:val="20"/>
          <w:szCs w:val="20"/>
          <w:color w:val="auto"/>
        </w:rPr>
      </w:pPr>
    </w:p>
    <w:p>
      <w:pPr>
        <w:jc w:val="both"/>
        <w:spacing w:after="0" w:line="272" w:lineRule="auto"/>
        <w:rPr>
          <w:sz w:val="20"/>
          <w:szCs w:val="20"/>
          <w:color w:val="auto"/>
        </w:rPr>
      </w:pPr>
      <w:r>
        <w:rPr>
          <w:rFonts w:ascii="Times New Roman" w:cs="Times New Roman" w:eastAsia="Times New Roman" w:hAnsi="Times New Roman"/>
          <w:sz w:val="13"/>
          <w:szCs w:val="13"/>
          <w:b w:val="1"/>
          <w:bCs w:val="1"/>
          <w:color w:val="auto"/>
        </w:rPr>
        <w:t>ELECTION OR ARE UNABLE TO SERVE AS SUCH, PROXIES IN FAVOUR OF MANAGEMENT NOMINEES WILL BE VOTED FOR ANOTHER NOMINEE IN THEIR DISCRETION UNLESS THE SHAREHOLDER HAS SPECIFIED IN HIS, HER OR ITS PROXY THAT HIS, HER OR ITS COMMON SHARES ARE TO BE WITHHELD FROM VOTING IN RESPECT OF ANY PARTICULAR NOMINEE OR NOMINEES.</w:t>
      </w:r>
    </w:p>
    <w:p>
      <w:pPr>
        <w:spacing w:after="0" w:line="111"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i w:val="1"/>
          <w:iCs w:val="1"/>
          <w:color w:val="auto"/>
        </w:rPr>
        <w:t>Majority Voting Policy</w:t>
      </w:r>
    </w:p>
    <w:p>
      <w:pPr>
        <w:spacing w:after="0" w:line="15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3"/>
          <w:szCs w:val="13"/>
          <w:color w:val="auto"/>
        </w:rPr>
        <w:t>Shareholders will vote for the election of each individual proposed director nominee separately. The Corporation has adopted a majority voting policy for the election of directors whereby any nominee director (in an uncontested election) who receives more “withheld” votes than “for” votes at any meeting where Shareholders vote on the election, the director will be expected to submit to the Board his or her resignation, to take effect upon acceptance by the Board. The Board will then have 90 days to accept the resignation, during which time an alternate Board member may be appointed. The Board shall be expected to accept the resignation absent exceptional circumstances that would warrant the applicable director to continue to serve on the Board. In determining whether to accept the resignation, the Board will consider various matters including the results of the vote of Shareholders, the contribution of the director to the Board and committee discussions, the expressed reasons (if any) for which the withheld votes have been given, the merits of such reasons, and the ability to address the underlying concerns. The Board will promptly disclose the results of the vote director by director and will promptly issue a news release disclosing the Board’s decision. If the Board determines not to accept a resignation, the news release shall fully state the reasons for that decision.</w:t>
      </w:r>
    </w:p>
    <w:p>
      <w:pPr>
        <w:spacing w:after="0" w:line="122"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3"/>
          <w:szCs w:val="13"/>
          <w:color w:val="auto"/>
        </w:rPr>
        <w:t>The director under consideration will not participate in any Board or committee deliberations relating to his or her potential resignation. Subject to any corporate law restrictions, the Board may (i) leave a resultant vacancy unfilled until the next annual meeting of Shareholders; (ii) fill the vacancy through the appointment of a new director whom the Board considers to merit the confidence of Shareholders; or (iii) call a special meeting of Shareholders at which there will be presented individuals to fill the vacant position or positions.</w:t>
      </w:r>
    </w:p>
    <w:p>
      <w:pPr>
        <w:spacing w:after="0" w:line="103"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i w:val="1"/>
          <w:iCs w:val="1"/>
          <w:color w:val="auto"/>
        </w:rPr>
        <w:t>Advance Notice Requirement</w:t>
      </w:r>
    </w:p>
    <w:p>
      <w:pPr>
        <w:spacing w:after="0" w:line="177" w:lineRule="exact"/>
        <w:rPr>
          <w:sz w:val="20"/>
          <w:szCs w:val="20"/>
          <w:color w:val="auto"/>
        </w:rPr>
      </w:pPr>
    </w:p>
    <w:p>
      <w:pPr>
        <w:jc w:val="both"/>
        <w:spacing w:after="0" w:line="234" w:lineRule="auto"/>
        <w:rPr>
          <w:sz w:val="20"/>
          <w:szCs w:val="20"/>
          <w:color w:val="auto"/>
        </w:rPr>
      </w:pPr>
      <w:r>
        <w:rPr>
          <w:rFonts w:ascii="Times New Roman" w:cs="Times New Roman" w:eastAsia="Times New Roman" w:hAnsi="Times New Roman"/>
          <w:sz w:val="13"/>
          <w:szCs w:val="13"/>
          <w:color w:val="auto"/>
        </w:rPr>
        <w:t>The Corporation’s By-Law No. 1, contains a requirement providing for advance notice of nominations of directors (the “</w:t>
      </w:r>
      <w:r>
        <w:rPr>
          <w:rFonts w:ascii="Times New Roman" w:cs="Times New Roman" w:eastAsia="Times New Roman" w:hAnsi="Times New Roman"/>
          <w:sz w:val="13"/>
          <w:szCs w:val="13"/>
          <w:b w:val="1"/>
          <w:bCs w:val="1"/>
          <w:color w:val="auto"/>
        </w:rPr>
        <w:t>Advance Notice Requirement</w:t>
      </w:r>
      <w:r>
        <w:rPr>
          <w:rFonts w:ascii="Times New Roman" w:cs="Times New Roman" w:eastAsia="Times New Roman" w:hAnsi="Times New Roman"/>
          <w:sz w:val="13"/>
          <w:szCs w:val="13"/>
          <w:color w:val="auto"/>
        </w:rPr>
        <w:t>”) in certain circumstances where nominations for election to the Board are made by Shareholders. For an annual meeting of Shareholders, notice to the Corporation must be provided not less than 30 and not more than 65 days prior to the date of the annual meeting; save and except where the annual meeting is to be held on a date less than 50 days after the date on which the first public announcement of the date of such annual meeting was made, in which event notice may be given not later than the close of business on the 10</w:t>
      </w:r>
      <w:r>
        <w:rPr>
          <w:rFonts w:ascii="Times New Roman" w:cs="Times New Roman" w:eastAsia="Times New Roman" w:hAnsi="Times New Roman"/>
          <w:sz w:val="17"/>
          <w:szCs w:val="17"/>
          <w:color w:val="auto"/>
          <w:vertAlign w:val="superscript"/>
        </w:rPr>
        <w:t>th</w:t>
      </w:r>
      <w:r>
        <w:rPr>
          <w:rFonts w:ascii="Times New Roman" w:cs="Times New Roman" w:eastAsia="Times New Roman" w:hAnsi="Times New Roman"/>
          <w:sz w:val="13"/>
          <w:szCs w:val="13"/>
          <w:color w:val="auto"/>
        </w:rPr>
        <w:t xml:space="preserve"> day following such public announcement. For a special meeting of Shareholders (that is not also an annual meeting), notice to the Corporation must be given not later than the close of business on the 15</w:t>
      </w:r>
      <w:r>
        <w:rPr>
          <w:rFonts w:ascii="Times New Roman" w:cs="Times New Roman" w:eastAsia="Times New Roman" w:hAnsi="Times New Roman"/>
          <w:sz w:val="17"/>
          <w:szCs w:val="17"/>
          <w:color w:val="auto"/>
          <w:vertAlign w:val="superscript"/>
        </w:rPr>
        <w:t>th</w:t>
      </w:r>
      <w:r>
        <w:rPr>
          <w:rFonts w:ascii="Times New Roman" w:cs="Times New Roman" w:eastAsia="Times New Roman" w:hAnsi="Times New Roman"/>
          <w:sz w:val="13"/>
          <w:szCs w:val="13"/>
          <w:color w:val="auto"/>
        </w:rPr>
        <w:t xml:space="preserve"> day following the day on which the first public announcement of the date of such special meeting was made. The Corporation’s By-Law No. 1 is available under the Corporation’s profile on SEDAR+ at www.sedarplus.ca.</w:t>
      </w:r>
    </w:p>
    <w:p>
      <w:pPr>
        <w:spacing w:after="0" w:line="145" w:lineRule="exact"/>
        <w:rPr>
          <w:sz w:val="20"/>
          <w:szCs w:val="20"/>
          <w:color w:val="auto"/>
        </w:rPr>
      </w:pPr>
    </w:p>
    <w:p>
      <w:pPr>
        <w:jc w:val="both"/>
        <w:spacing w:after="0" w:line="295" w:lineRule="auto"/>
        <w:rPr>
          <w:sz w:val="20"/>
          <w:szCs w:val="20"/>
          <w:color w:val="auto"/>
        </w:rPr>
      </w:pPr>
      <w:r>
        <w:rPr>
          <w:rFonts w:ascii="Times New Roman" w:cs="Times New Roman" w:eastAsia="Times New Roman" w:hAnsi="Times New Roman"/>
          <w:sz w:val="13"/>
          <w:szCs w:val="13"/>
          <w:color w:val="auto"/>
        </w:rPr>
        <w:t>The following tables set out certain information as of the date of this Circular (unless otherwise indicated) with respect to the persons being nominated at the Meeting for election as directors. Information regarding Common Shares owned by each director of the Corporation is presented to the best knowledge of management of the Corporation and has been furnished to management of the Corporation by such directors.</w:t>
      </w:r>
    </w:p>
    <w:p>
      <w:pPr>
        <w:sectPr>
          <w:pgSz w:w="11900" w:h="16838" w:orient="portrait"/>
          <w:cols w:equalWidth="0" w:num="1">
            <w:col w:w="11300"/>
          </w:cols>
          <w:pgMar w:left="300" w:top="125" w:right="299" w:bottom="1440" w:gutter="0" w:footer="0" w:header="0"/>
        </w:sectPr>
      </w:pPr>
    </w:p>
    <w:bookmarkStart w:id="30" w:name="page31"/>
    <w:bookmarkEnd w:id="30"/>
    <w:tbl>
      <w:tblPr>
        <w:tblLayout w:type="fixed"/>
        <w:tblInd w:w="10" w:type="dxa"/>
        <w:tblCellMar>
          <w:top w:w="0" w:type="dxa"/>
          <w:left w:w="0" w:type="dxa"/>
          <w:bottom w:w="0" w:type="dxa"/>
          <w:right w:w="0" w:type="dxa"/>
        </w:tblCellMar>
      </w:tblPr>
      <w:tr>
        <w:trPr>
          <w:trHeight w:val="171"/>
        </w:trPr>
        <w:tc>
          <w:tcPr>
            <w:tcW w:w="4160" w:type="dxa"/>
            <w:vAlign w:val="bottom"/>
          </w:tcPr>
          <w:p>
            <w:pPr>
              <w:spacing w:after="0"/>
              <w:rPr>
                <w:sz w:val="14"/>
                <w:szCs w:val="14"/>
                <w:color w:val="auto"/>
              </w:rPr>
            </w:pPr>
          </w:p>
        </w:tc>
        <w:tc>
          <w:tcPr>
            <w:tcW w:w="1800" w:type="dxa"/>
            <w:vAlign w:val="bottom"/>
          </w:tcPr>
          <w:p>
            <w:pPr>
              <w:ind w:left="1340"/>
              <w:spacing w:after="0"/>
              <w:rPr>
                <w:sz w:val="20"/>
                <w:szCs w:val="20"/>
                <w:color w:val="auto"/>
              </w:rPr>
            </w:pPr>
            <w:r>
              <w:rPr>
                <w:rFonts w:ascii="Times New Roman" w:cs="Times New Roman" w:eastAsia="Times New Roman" w:hAnsi="Times New Roman"/>
                <w:sz w:val="13"/>
                <w:szCs w:val="13"/>
                <w:color w:val="auto"/>
              </w:rPr>
              <w:t>- 27 -</w:t>
            </w:r>
          </w:p>
        </w:tc>
        <w:tc>
          <w:tcPr>
            <w:tcW w:w="76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33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725"/>
        </w:trPr>
        <w:tc>
          <w:tcPr>
            <w:tcW w:w="4160" w:type="dxa"/>
            <w:vAlign w:val="bottom"/>
            <w:tcBorders>
              <w:bottom w:val="single" w:sz="8" w:color="auto"/>
            </w:tcBorders>
          </w:tcPr>
          <w:p>
            <w:pPr>
              <w:spacing w:after="0"/>
              <w:rPr>
                <w:sz w:val="24"/>
                <w:szCs w:val="24"/>
                <w:color w:val="auto"/>
              </w:rPr>
            </w:pPr>
          </w:p>
        </w:tc>
        <w:tc>
          <w:tcPr>
            <w:tcW w:w="1800" w:type="dxa"/>
            <w:vAlign w:val="bottom"/>
            <w:tcBorders>
              <w:bottom w:val="single" w:sz="8" w:color="auto"/>
            </w:tcBorders>
          </w:tcPr>
          <w:p>
            <w:pPr>
              <w:spacing w:after="0"/>
              <w:rPr>
                <w:sz w:val="24"/>
                <w:szCs w:val="24"/>
                <w:color w:val="auto"/>
              </w:rPr>
            </w:pPr>
          </w:p>
        </w:tc>
        <w:tc>
          <w:tcPr>
            <w:tcW w:w="2020" w:type="dxa"/>
            <w:vAlign w:val="bottom"/>
            <w:tcBorders>
              <w:bottom w:val="single" w:sz="8" w:color="auto"/>
            </w:tcBorders>
            <w:gridSpan w:val="2"/>
          </w:tcPr>
          <w:p>
            <w:pPr>
              <w:spacing w:after="0"/>
              <w:rPr>
                <w:sz w:val="24"/>
                <w:szCs w:val="24"/>
                <w:color w:val="auto"/>
              </w:rPr>
            </w:pPr>
          </w:p>
        </w:tc>
        <w:tc>
          <w:tcPr>
            <w:tcW w:w="33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32"/>
        </w:trPr>
        <w:tc>
          <w:tcPr>
            <w:tcW w:w="4160" w:type="dxa"/>
            <w:vAlign w:val="bottom"/>
            <w:tcBorders>
              <w:left w:val="single" w:sz="8" w:color="auto"/>
              <w:bottom w:val="single" w:sz="8" w:color="auto"/>
              <w:right w:val="single" w:sz="8" w:color="D9D9D9"/>
            </w:tcBorders>
            <w:shd w:val="clear" w:color="auto" w:fill="D9D9D9"/>
          </w:tcPr>
          <w:p>
            <w:pPr>
              <w:ind w:left="40"/>
              <w:spacing w:after="0"/>
              <w:rPr>
                <w:sz w:val="20"/>
                <w:szCs w:val="20"/>
                <w:color w:val="auto"/>
              </w:rPr>
            </w:pPr>
            <w:r>
              <w:rPr>
                <w:rFonts w:ascii="Times New Roman" w:cs="Times New Roman" w:eastAsia="Times New Roman" w:hAnsi="Times New Roman"/>
                <w:sz w:val="11"/>
                <w:szCs w:val="11"/>
                <w:b w:val="1"/>
                <w:bCs w:val="1"/>
                <w:color w:val="auto"/>
              </w:rPr>
              <w:t>THERESA FIRESTONE</w:t>
            </w:r>
          </w:p>
        </w:tc>
        <w:tc>
          <w:tcPr>
            <w:tcW w:w="1800" w:type="dxa"/>
            <w:vAlign w:val="bottom"/>
            <w:tcBorders>
              <w:bottom w:val="single" w:sz="8" w:color="auto"/>
              <w:right w:val="single" w:sz="8" w:color="D9D9D9"/>
            </w:tcBorders>
            <w:shd w:val="clear" w:color="auto" w:fill="D9D9D9"/>
          </w:tcPr>
          <w:p>
            <w:pPr>
              <w:spacing w:after="0"/>
              <w:rPr>
                <w:sz w:val="11"/>
                <w:szCs w:val="11"/>
                <w:color w:val="auto"/>
              </w:rPr>
            </w:pPr>
          </w:p>
        </w:tc>
        <w:tc>
          <w:tcPr>
            <w:tcW w:w="5360" w:type="dxa"/>
            <w:vAlign w:val="bottom"/>
            <w:tcBorders>
              <w:bottom w:val="single" w:sz="8" w:color="auto"/>
              <w:right w:val="single" w:sz="8" w:color="auto"/>
            </w:tcBorders>
            <w:gridSpan w:val="3"/>
            <w:shd w:val="clear" w:color="auto" w:fill="D9D9D9"/>
          </w:tcPr>
          <w:p>
            <w:pPr>
              <w:ind w:left="560"/>
              <w:spacing w:after="0"/>
              <w:rPr>
                <w:sz w:val="20"/>
                <w:szCs w:val="20"/>
                <w:color w:val="auto"/>
              </w:rPr>
            </w:pPr>
            <w:r>
              <w:rPr>
                <w:rFonts w:ascii="Times New Roman" w:cs="Times New Roman" w:eastAsia="Times New Roman" w:hAnsi="Times New Roman"/>
                <w:sz w:val="11"/>
                <w:szCs w:val="11"/>
                <w:b w:val="1"/>
                <w:bCs w:val="1"/>
                <w:color w:val="auto"/>
              </w:rPr>
              <w:t>Principal Occupation and Biographical Information</w:t>
            </w:r>
          </w:p>
        </w:tc>
        <w:tc>
          <w:tcPr>
            <w:tcW w:w="0" w:type="dxa"/>
            <w:vAlign w:val="bottom"/>
          </w:tcPr>
          <w:p>
            <w:pPr>
              <w:spacing w:after="0"/>
              <w:rPr>
                <w:sz w:val="1"/>
                <w:szCs w:val="1"/>
                <w:color w:val="auto"/>
              </w:rPr>
            </w:pPr>
          </w:p>
        </w:tc>
      </w:tr>
      <w:tr>
        <w:trPr>
          <w:trHeight w:val="134"/>
        </w:trPr>
        <w:tc>
          <w:tcPr>
            <w:tcW w:w="4160" w:type="dxa"/>
            <w:vAlign w:val="bottom"/>
            <w:tcBorders>
              <w:left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1"/>
                <w:szCs w:val="11"/>
                <w:color w:val="auto"/>
              </w:rPr>
              <w:t>Ontario, Canada</w:t>
            </w:r>
          </w:p>
        </w:tc>
        <w:tc>
          <w:tcPr>
            <w:tcW w:w="7160" w:type="dxa"/>
            <w:vAlign w:val="bottom"/>
            <w:tcBorders>
              <w:right w:val="single" w:sz="8" w:color="auto"/>
            </w:tcBorders>
            <w:gridSpan w:val="4"/>
          </w:tcPr>
          <w:p>
            <w:pPr>
              <w:ind w:left="20"/>
              <w:spacing w:after="0"/>
              <w:rPr>
                <w:sz w:val="20"/>
                <w:szCs w:val="20"/>
                <w:color w:val="auto"/>
              </w:rPr>
            </w:pPr>
            <w:r>
              <w:rPr>
                <w:rFonts w:ascii="Times New Roman" w:cs="Times New Roman" w:eastAsia="Times New Roman" w:hAnsi="Times New Roman"/>
                <w:sz w:val="11"/>
                <w:szCs w:val="11"/>
                <w:color w:val="auto"/>
              </w:rPr>
              <w:t>Ms. Theresa Firestone is a senior healthcare executive with over 35 years experience in pharmaceuticals, health &amp; wellness and government and has extensive</w:t>
            </w:r>
          </w:p>
        </w:tc>
        <w:tc>
          <w:tcPr>
            <w:tcW w:w="0" w:type="dxa"/>
            <w:vAlign w:val="bottom"/>
          </w:tcPr>
          <w:p>
            <w:pPr>
              <w:spacing w:after="0"/>
              <w:rPr>
                <w:sz w:val="1"/>
                <w:szCs w:val="1"/>
                <w:color w:val="auto"/>
              </w:rPr>
            </w:pPr>
          </w:p>
        </w:tc>
      </w:tr>
      <w:tr>
        <w:trPr>
          <w:trHeight w:val="126"/>
        </w:trPr>
        <w:tc>
          <w:tcPr>
            <w:tcW w:w="4160" w:type="dxa"/>
            <w:vAlign w:val="bottom"/>
            <w:tcBorders>
              <w:left w:val="single" w:sz="8" w:color="auto"/>
              <w:right w:val="single" w:sz="8" w:color="auto"/>
            </w:tcBorders>
            <w:vMerge w:val="restart"/>
          </w:tcPr>
          <w:p>
            <w:pPr>
              <w:ind w:left="40"/>
              <w:spacing w:after="0"/>
              <w:rPr>
                <w:sz w:val="20"/>
                <w:szCs w:val="20"/>
                <w:color w:val="auto"/>
              </w:rPr>
            </w:pPr>
            <w:r>
              <w:rPr>
                <w:rFonts w:ascii="Times New Roman" w:cs="Times New Roman" w:eastAsia="Times New Roman" w:hAnsi="Times New Roman"/>
                <w:sz w:val="11"/>
                <w:szCs w:val="11"/>
                <w:color w:val="auto"/>
              </w:rPr>
              <w:t>Director Since: August 16, 2021</w:t>
            </w:r>
          </w:p>
        </w:tc>
        <w:tc>
          <w:tcPr>
            <w:tcW w:w="7160" w:type="dxa"/>
            <w:vAlign w:val="bottom"/>
            <w:tcBorders>
              <w:right w:val="single" w:sz="8" w:color="auto"/>
            </w:tcBorders>
            <w:gridSpan w:val="4"/>
          </w:tcPr>
          <w:p>
            <w:pPr>
              <w:ind w:left="20"/>
              <w:spacing w:after="0"/>
              <w:rPr>
                <w:sz w:val="20"/>
                <w:szCs w:val="20"/>
                <w:color w:val="auto"/>
              </w:rPr>
            </w:pPr>
            <w:r>
              <w:rPr>
                <w:rFonts w:ascii="Times New Roman" w:cs="Times New Roman" w:eastAsia="Times New Roman" w:hAnsi="Times New Roman"/>
                <w:sz w:val="11"/>
                <w:szCs w:val="11"/>
                <w:color w:val="auto"/>
              </w:rPr>
              <w:t>P&amp;L, strategy development and operations expertise. Ms. Firestone has held executive leadership positions in Canada, Europe and Asia and led teams in 15</w:t>
            </w:r>
          </w:p>
        </w:tc>
        <w:tc>
          <w:tcPr>
            <w:tcW w:w="0" w:type="dxa"/>
            <w:vAlign w:val="bottom"/>
          </w:tcPr>
          <w:p>
            <w:pPr>
              <w:spacing w:after="0"/>
              <w:rPr>
                <w:sz w:val="1"/>
                <w:szCs w:val="1"/>
                <w:color w:val="auto"/>
              </w:rPr>
            </w:pPr>
          </w:p>
        </w:tc>
      </w:tr>
      <w:tr>
        <w:trPr>
          <w:trHeight w:val="59"/>
        </w:trPr>
        <w:tc>
          <w:tcPr>
            <w:tcW w:w="4160" w:type="dxa"/>
            <w:vAlign w:val="bottom"/>
            <w:tcBorders>
              <w:left w:val="single" w:sz="8" w:color="auto"/>
              <w:right w:val="single" w:sz="8" w:color="auto"/>
            </w:tcBorders>
            <w:vMerge w:val="continue"/>
          </w:tcPr>
          <w:p>
            <w:pPr>
              <w:spacing w:after="0"/>
              <w:rPr>
                <w:sz w:val="5"/>
                <w:szCs w:val="5"/>
                <w:color w:val="auto"/>
              </w:rPr>
            </w:pPr>
          </w:p>
        </w:tc>
        <w:tc>
          <w:tcPr>
            <w:tcW w:w="7160" w:type="dxa"/>
            <w:vAlign w:val="bottom"/>
            <w:tcBorders>
              <w:right w:val="single" w:sz="8" w:color="auto"/>
            </w:tcBorders>
            <w:gridSpan w:val="4"/>
            <w:vMerge w:val="restart"/>
          </w:tcPr>
          <w:p>
            <w:pPr>
              <w:ind w:left="20"/>
              <w:spacing w:after="0"/>
              <w:rPr>
                <w:sz w:val="20"/>
                <w:szCs w:val="20"/>
                <w:color w:val="auto"/>
              </w:rPr>
            </w:pPr>
            <w:r>
              <w:rPr>
                <w:rFonts w:ascii="Times New Roman" w:cs="Times New Roman" w:eastAsia="Times New Roman" w:hAnsi="Times New Roman"/>
                <w:sz w:val="11"/>
                <w:szCs w:val="11"/>
                <w:color w:val="auto"/>
              </w:rPr>
              <w:t>different countries. Prior to retirement in 2021, she was Senior Vice President, Health and Wellness at Shoppers Drug Mart (SDM), Canada’s largest retail</w:t>
            </w:r>
          </w:p>
        </w:tc>
        <w:tc>
          <w:tcPr>
            <w:tcW w:w="0" w:type="dxa"/>
            <w:vAlign w:val="bottom"/>
          </w:tcPr>
          <w:p>
            <w:pPr>
              <w:spacing w:after="0"/>
              <w:rPr>
                <w:sz w:val="1"/>
                <w:szCs w:val="1"/>
                <w:color w:val="auto"/>
              </w:rPr>
            </w:pPr>
          </w:p>
        </w:tc>
      </w:tr>
      <w:tr>
        <w:trPr>
          <w:trHeight w:val="67"/>
        </w:trPr>
        <w:tc>
          <w:tcPr>
            <w:tcW w:w="4160" w:type="dxa"/>
            <w:vAlign w:val="bottom"/>
            <w:tcBorders>
              <w:left w:val="single" w:sz="8" w:color="auto"/>
              <w:right w:val="single" w:sz="8" w:color="auto"/>
            </w:tcBorders>
            <w:vMerge w:val="restart"/>
          </w:tcPr>
          <w:p>
            <w:pPr>
              <w:ind w:left="80"/>
              <w:spacing w:after="0"/>
              <w:rPr>
                <w:sz w:val="20"/>
                <w:szCs w:val="20"/>
                <w:color w:val="auto"/>
              </w:rPr>
            </w:pPr>
            <w:r>
              <w:rPr>
                <w:rFonts w:ascii="Times New Roman" w:cs="Times New Roman" w:eastAsia="Times New Roman" w:hAnsi="Times New Roman"/>
                <w:sz w:val="11"/>
                <w:szCs w:val="11"/>
                <w:b w:val="1"/>
                <w:bCs w:val="1"/>
                <w:color w:val="auto"/>
              </w:rPr>
              <w:t>LEAD INDEPENDENT</w:t>
            </w:r>
          </w:p>
        </w:tc>
        <w:tc>
          <w:tcPr>
            <w:tcW w:w="7160" w:type="dxa"/>
            <w:vAlign w:val="bottom"/>
            <w:tcBorders>
              <w:right w:val="single" w:sz="8" w:color="auto"/>
            </w:tcBorders>
            <w:gridSpan w:val="4"/>
            <w:vMerge w:val="continue"/>
          </w:tcPr>
          <w:p>
            <w:pPr>
              <w:spacing w:after="0"/>
              <w:rPr>
                <w:sz w:val="5"/>
                <w:szCs w:val="5"/>
                <w:color w:val="auto"/>
              </w:rPr>
            </w:pPr>
          </w:p>
        </w:tc>
        <w:tc>
          <w:tcPr>
            <w:tcW w:w="0" w:type="dxa"/>
            <w:vAlign w:val="bottom"/>
          </w:tcPr>
          <w:p>
            <w:pPr>
              <w:spacing w:after="0"/>
              <w:rPr>
                <w:sz w:val="1"/>
                <w:szCs w:val="1"/>
                <w:color w:val="auto"/>
              </w:rPr>
            </w:pPr>
          </w:p>
        </w:tc>
      </w:tr>
      <w:tr>
        <w:trPr>
          <w:trHeight w:val="86"/>
        </w:trPr>
        <w:tc>
          <w:tcPr>
            <w:tcW w:w="4160" w:type="dxa"/>
            <w:vAlign w:val="bottom"/>
            <w:tcBorders>
              <w:left w:val="single" w:sz="8" w:color="auto"/>
              <w:right w:val="single" w:sz="8" w:color="auto"/>
            </w:tcBorders>
            <w:vMerge w:val="continue"/>
          </w:tcPr>
          <w:p>
            <w:pPr>
              <w:spacing w:after="0"/>
              <w:rPr>
                <w:sz w:val="7"/>
                <w:szCs w:val="7"/>
                <w:color w:val="auto"/>
              </w:rPr>
            </w:pPr>
          </w:p>
        </w:tc>
        <w:tc>
          <w:tcPr>
            <w:tcW w:w="7160" w:type="dxa"/>
            <w:vAlign w:val="bottom"/>
            <w:tcBorders>
              <w:right w:val="single" w:sz="8" w:color="auto"/>
            </w:tcBorders>
            <w:gridSpan w:val="4"/>
            <w:vMerge w:val="restart"/>
          </w:tcPr>
          <w:p>
            <w:pPr>
              <w:ind w:left="20"/>
              <w:spacing w:after="0"/>
              <w:rPr>
                <w:sz w:val="20"/>
                <w:szCs w:val="20"/>
                <w:color w:val="auto"/>
              </w:rPr>
            </w:pPr>
            <w:r>
              <w:rPr>
                <w:rFonts w:ascii="Times New Roman" w:cs="Times New Roman" w:eastAsia="Times New Roman" w:hAnsi="Times New Roman"/>
                <w:sz w:val="11"/>
                <w:szCs w:val="11"/>
                <w:color w:val="auto"/>
              </w:rPr>
              <w:t>pharmacy chain. Prior to Shoppers, Ms. Firestone was Regional President of Emerging Markets Asia with Pfizer Inc (Shanghai and HK). She was also General</w:t>
            </w:r>
          </w:p>
        </w:tc>
        <w:tc>
          <w:tcPr>
            <w:tcW w:w="0" w:type="dxa"/>
            <w:vAlign w:val="bottom"/>
          </w:tcPr>
          <w:p>
            <w:pPr>
              <w:spacing w:after="0"/>
              <w:rPr>
                <w:sz w:val="1"/>
                <w:szCs w:val="1"/>
                <w:color w:val="auto"/>
              </w:rPr>
            </w:pPr>
          </w:p>
        </w:tc>
      </w:tr>
      <w:tr>
        <w:trPr>
          <w:trHeight w:val="49"/>
        </w:trPr>
        <w:tc>
          <w:tcPr>
            <w:tcW w:w="4160" w:type="dxa"/>
            <w:vAlign w:val="bottom"/>
            <w:tcBorders>
              <w:left w:val="single" w:sz="8" w:color="auto"/>
              <w:right w:val="single" w:sz="8" w:color="auto"/>
            </w:tcBorders>
          </w:tcPr>
          <w:p>
            <w:pPr>
              <w:spacing w:after="0"/>
              <w:rPr>
                <w:sz w:val="4"/>
                <w:szCs w:val="4"/>
                <w:color w:val="auto"/>
              </w:rPr>
            </w:pPr>
          </w:p>
        </w:tc>
        <w:tc>
          <w:tcPr>
            <w:tcW w:w="7160" w:type="dxa"/>
            <w:vAlign w:val="bottom"/>
            <w:tcBorders>
              <w:right w:val="single" w:sz="8" w:color="auto"/>
            </w:tcBorders>
            <w:gridSpan w:val="4"/>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26"/>
        </w:trPr>
        <w:tc>
          <w:tcPr>
            <w:tcW w:w="4160" w:type="dxa"/>
            <w:vAlign w:val="bottom"/>
            <w:tcBorders>
              <w:left w:val="single" w:sz="8" w:color="auto"/>
              <w:right w:val="single" w:sz="8" w:color="auto"/>
            </w:tcBorders>
          </w:tcPr>
          <w:p>
            <w:pPr>
              <w:spacing w:after="0"/>
              <w:rPr>
                <w:sz w:val="10"/>
                <w:szCs w:val="10"/>
                <w:color w:val="auto"/>
              </w:rPr>
            </w:pPr>
          </w:p>
        </w:tc>
        <w:tc>
          <w:tcPr>
            <w:tcW w:w="7160" w:type="dxa"/>
            <w:vAlign w:val="bottom"/>
            <w:tcBorders>
              <w:right w:val="single" w:sz="8" w:color="auto"/>
            </w:tcBorders>
            <w:gridSpan w:val="4"/>
          </w:tcPr>
          <w:p>
            <w:pPr>
              <w:ind w:left="20"/>
              <w:spacing w:after="0"/>
              <w:rPr>
                <w:sz w:val="20"/>
                <w:szCs w:val="20"/>
                <w:color w:val="auto"/>
              </w:rPr>
            </w:pPr>
            <w:r>
              <w:rPr>
                <w:rFonts w:ascii="Times New Roman" w:cs="Times New Roman" w:eastAsia="Times New Roman" w:hAnsi="Times New Roman"/>
                <w:sz w:val="11"/>
                <w:szCs w:val="11"/>
                <w:color w:val="auto"/>
                <w:w w:val="98"/>
              </w:rPr>
              <w:t>Manager of the Established Products Business Unit, Pfizer Canada, Country Manager, Pfizer Austria, VP Sales and VP of Government Affairs with Pfizer Canada.</w:t>
            </w:r>
          </w:p>
        </w:tc>
        <w:tc>
          <w:tcPr>
            <w:tcW w:w="0" w:type="dxa"/>
            <w:vAlign w:val="bottom"/>
          </w:tcPr>
          <w:p>
            <w:pPr>
              <w:spacing w:after="0"/>
              <w:rPr>
                <w:sz w:val="1"/>
                <w:szCs w:val="1"/>
                <w:color w:val="auto"/>
              </w:rPr>
            </w:pPr>
          </w:p>
        </w:tc>
      </w:tr>
      <w:tr>
        <w:trPr>
          <w:trHeight w:val="126"/>
        </w:trPr>
        <w:tc>
          <w:tcPr>
            <w:tcW w:w="4160" w:type="dxa"/>
            <w:vAlign w:val="bottom"/>
            <w:tcBorders>
              <w:left w:val="single" w:sz="8" w:color="auto"/>
              <w:right w:val="single" w:sz="8" w:color="auto"/>
            </w:tcBorders>
          </w:tcPr>
          <w:p>
            <w:pPr>
              <w:spacing w:after="0"/>
              <w:rPr>
                <w:sz w:val="10"/>
                <w:szCs w:val="10"/>
                <w:color w:val="auto"/>
              </w:rPr>
            </w:pPr>
          </w:p>
        </w:tc>
        <w:tc>
          <w:tcPr>
            <w:tcW w:w="7160" w:type="dxa"/>
            <w:vAlign w:val="bottom"/>
            <w:tcBorders>
              <w:right w:val="single" w:sz="8" w:color="auto"/>
            </w:tcBorders>
            <w:gridSpan w:val="4"/>
          </w:tcPr>
          <w:p>
            <w:pPr>
              <w:ind w:left="20"/>
              <w:spacing w:after="0"/>
              <w:rPr>
                <w:sz w:val="20"/>
                <w:szCs w:val="20"/>
                <w:color w:val="auto"/>
              </w:rPr>
            </w:pPr>
            <w:r>
              <w:rPr>
                <w:rFonts w:ascii="Times New Roman" w:cs="Times New Roman" w:eastAsia="Times New Roman" w:hAnsi="Times New Roman"/>
                <w:sz w:val="11"/>
                <w:szCs w:val="11"/>
                <w:color w:val="auto"/>
              </w:rPr>
              <w:t>She currently sits on the Board of Aurora Cannabis Inc. and a number of private boards including Apotex, adMare BioInnovations and Prollenium Medical</w:t>
            </w:r>
          </w:p>
        </w:tc>
        <w:tc>
          <w:tcPr>
            <w:tcW w:w="0" w:type="dxa"/>
            <w:vAlign w:val="bottom"/>
          </w:tcPr>
          <w:p>
            <w:pPr>
              <w:spacing w:after="0"/>
              <w:rPr>
                <w:sz w:val="1"/>
                <w:szCs w:val="1"/>
                <w:color w:val="auto"/>
              </w:rPr>
            </w:pPr>
          </w:p>
        </w:tc>
      </w:tr>
      <w:tr>
        <w:trPr>
          <w:trHeight w:val="140"/>
        </w:trPr>
        <w:tc>
          <w:tcPr>
            <w:tcW w:w="4160" w:type="dxa"/>
            <w:vAlign w:val="bottom"/>
            <w:tcBorders>
              <w:left w:val="single" w:sz="8" w:color="auto"/>
              <w:right w:val="single" w:sz="8" w:color="auto"/>
            </w:tcBorders>
          </w:tcPr>
          <w:p>
            <w:pPr>
              <w:spacing w:after="0"/>
              <w:rPr>
                <w:sz w:val="12"/>
                <w:szCs w:val="12"/>
                <w:color w:val="auto"/>
              </w:rPr>
            </w:pPr>
          </w:p>
        </w:tc>
        <w:tc>
          <w:tcPr>
            <w:tcW w:w="2560" w:type="dxa"/>
            <w:vAlign w:val="bottom"/>
            <w:gridSpan w:val="2"/>
          </w:tcPr>
          <w:p>
            <w:pPr>
              <w:ind w:left="20"/>
              <w:spacing w:after="0"/>
              <w:rPr>
                <w:sz w:val="20"/>
                <w:szCs w:val="20"/>
                <w:color w:val="auto"/>
              </w:rPr>
            </w:pPr>
            <w:r>
              <w:rPr>
                <w:rFonts w:ascii="Times New Roman" w:cs="Times New Roman" w:eastAsia="Times New Roman" w:hAnsi="Times New Roman"/>
                <w:sz w:val="11"/>
                <w:szCs w:val="11"/>
                <w:color w:val="auto"/>
              </w:rPr>
              <w:t>Technologies.</w:t>
            </w:r>
          </w:p>
        </w:tc>
        <w:tc>
          <w:tcPr>
            <w:tcW w:w="1260" w:type="dxa"/>
            <w:vAlign w:val="bottom"/>
          </w:tcPr>
          <w:p>
            <w:pPr>
              <w:spacing w:after="0"/>
              <w:rPr>
                <w:sz w:val="12"/>
                <w:szCs w:val="12"/>
                <w:color w:val="auto"/>
              </w:rPr>
            </w:pPr>
          </w:p>
        </w:tc>
        <w:tc>
          <w:tcPr>
            <w:tcW w:w="334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642"/>
        </w:trPr>
        <w:tc>
          <w:tcPr>
            <w:tcW w:w="4160" w:type="dxa"/>
            <w:vAlign w:val="bottom"/>
            <w:tcBorders>
              <w:left w:val="single" w:sz="8" w:color="auto"/>
              <w:bottom w:val="single" w:sz="8" w:color="auto"/>
              <w:right w:val="single" w:sz="8" w:color="auto"/>
            </w:tcBorders>
          </w:tcPr>
          <w:p>
            <w:pPr>
              <w:spacing w:after="0"/>
              <w:rPr>
                <w:sz w:val="24"/>
                <w:szCs w:val="24"/>
                <w:color w:val="auto"/>
              </w:rPr>
            </w:pPr>
          </w:p>
        </w:tc>
        <w:tc>
          <w:tcPr>
            <w:tcW w:w="180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c>
          <w:tcPr>
            <w:tcW w:w="1260" w:type="dxa"/>
            <w:vAlign w:val="bottom"/>
            <w:tcBorders>
              <w:bottom w:val="single" w:sz="8" w:color="auto"/>
            </w:tcBorders>
          </w:tcPr>
          <w:p>
            <w:pPr>
              <w:spacing w:after="0"/>
              <w:rPr>
                <w:sz w:val="24"/>
                <w:szCs w:val="24"/>
                <w:color w:val="auto"/>
              </w:rPr>
            </w:pPr>
          </w:p>
        </w:tc>
        <w:tc>
          <w:tcPr>
            <w:tcW w:w="334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32"/>
        </w:trPr>
        <w:tc>
          <w:tcPr>
            <w:tcW w:w="4160" w:type="dxa"/>
            <w:vAlign w:val="bottom"/>
            <w:tcBorders>
              <w:left w:val="single" w:sz="8" w:color="auto"/>
              <w:bottom w:val="single" w:sz="8" w:color="auto"/>
              <w:right w:val="single" w:sz="8" w:color="auto"/>
            </w:tcBorders>
            <w:shd w:val="clear" w:color="auto" w:fill="BFBFBF"/>
          </w:tcPr>
          <w:p>
            <w:pPr>
              <w:ind w:left="1140"/>
              <w:spacing w:after="0"/>
              <w:rPr>
                <w:sz w:val="20"/>
                <w:szCs w:val="20"/>
                <w:color w:val="auto"/>
              </w:rPr>
            </w:pPr>
            <w:r>
              <w:rPr>
                <w:rFonts w:ascii="Times New Roman" w:cs="Times New Roman" w:eastAsia="Times New Roman" w:hAnsi="Times New Roman"/>
                <w:sz w:val="11"/>
                <w:szCs w:val="11"/>
                <w:b w:val="1"/>
                <w:bCs w:val="1"/>
                <w:color w:val="auto"/>
              </w:rPr>
              <w:t>Current Board/Committee Membership</w:t>
            </w:r>
          </w:p>
        </w:tc>
        <w:tc>
          <w:tcPr>
            <w:tcW w:w="2560" w:type="dxa"/>
            <w:vAlign w:val="bottom"/>
            <w:tcBorders>
              <w:bottom w:val="single" w:sz="8" w:color="auto"/>
            </w:tcBorders>
            <w:gridSpan w:val="2"/>
            <w:shd w:val="clear" w:color="auto" w:fill="BFBFBF"/>
          </w:tcPr>
          <w:p>
            <w:pPr>
              <w:ind w:left="1340"/>
              <w:spacing w:after="0"/>
              <w:rPr>
                <w:sz w:val="20"/>
                <w:szCs w:val="20"/>
                <w:color w:val="auto"/>
              </w:rPr>
            </w:pPr>
            <w:r>
              <w:rPr>
                <w:rFonts w:ascii="Times New Roman" w:cs="Times New Roman" w:eastAsia="Times New Roman" w:hAnsi="Times New Roman"/>
                <w:sz w:val="11"/>
                <w:szCs w:val="11"/>
                <w:b w:val="1"/>
                <w:bCs w:val="1"/>
                <w:color w:val="auto"/>
              </w:rPr>
              <w:t>2025 Attendance (Total)</w:t>
            </w:r>
          </w:p>
        </w:tc>
        <w:tc>
          <w:tcPr>
            <w:tcW w:w="1260" w:type="dxa"/>
            <w:vAlign w:val="bottom"/>
            <w:tcBorders>
              <w:bottom w:val="single" w:sz="8" w:color="auto"/>
              <w:right w:val="single" w:sz="8" w:color="auto"/>
            </w:tcBorders>
            <w:shd w:val="clear" w:color="auto" w:fill="BFBFBF"/>
          </w:tcPr>
          <w:p>
            <w:pPr>
              <w:spacing w:after="0"/>
              <w:rPr>
                <w:sz w:val="11"/>
                <w:szCs w:val="11"/>
                <w:color w:val="auto"/>
              </w:rPr>
            </w:pPr>
          </w:p>
        </w:tc>
        <w:tc>
          <w:tcPr>
            <w:tcW w:w="3340" w:type="dxa"/>
            <w:vAlign w:val="bottom"/>
            <w:tcBorders>
              <w:bottom w:val="single" w:sz="8" w:color="auto"/>
              <w:right w:val="single" w:sz="8" w:color="auto"/>
            </w:tcBorders>
            <w:shd w:val="clear" w:color="auto" w:fill="BFBFBF"/>
          </w:tcPr>
          <w:p>
            <w:pPr>
              <w:jc w:val="center"/>
              <w:spacing w:after="0"/>
              <w:rPr>
                <w:sz w:val="20"/>
                <w:szCs w:val="20"/>
                <w:color w:val="auto"/>
              </w:rPr>
            </w:pPr>
            <w:r>
              <w:rPr>
                <w:rFonts w:ascii="Times New Roman" w:cs="Times New Roman" w:eastAsia="Times New Roman" w:hAnsi="Times New Roman"/>
                <w:sz w:val="11"/>
                <w:szCs w:val="11"/>
                <w:b w:val="1"/>
                <w:bCs w:val="1"/>
                <w:color w:val="auto"/>
                <w:w w:val="97"/>
              </w:rPr>
              <w:t>Other Public Board Memberships</w:t>
            </w:r>
          </w:p>
        </w:tc>
        <w:tc>
          <w:tcPr>
            <w:tcW w:w="0" w:type="dxa"/>
            <w:vAlign w:val="bottom"/>
          </w:tcPr>
          <w:p>
            <w:pPr>
              <w:spacing w:after="0"/>
              <w:rPr>
                <w:sz w:val="1"/>
                <w:szCs w:val="1"/>
                <w:color w:val="auto"/>
              </w:rPr>
            </w:pPr>
          </w:p>
        </w:tc>
      </w:tr>
      <w:tr>
        <w:trPr>
          <w:trHeight w:val="130"/>
        </w:trPr>
        <w:tc>
          <w:tcPr>
            <w:tcW w:w="4160" w:type="dxa"/>
            <w:vAlign w:val="bottom"/>
            <w:tcBorders>
              <w:left w:val="single" w:sz="8" w:color="auto"/>
              <w:right w:val="single" w:sz="8" w:color="auto"/>
            </w:tcBorders>
            <w:vMerge w:val="restart"/>
          </w:tcPr>
          <w:p>
            <w:pPr>
              <w:ind w:left="40"/>
              <w:spacing w:after="0"/>
              <w:rPr>
                <w:sz w:val="20"/>
                <w:szCs w:val="20"/>
                <w:color w:val="auto"/>
              </w:rPr>
            </w:pPr>
            <w:r>
              <w:rPr>
                <w:rFonts w:ascii="Times New Roman" w:cs="Times New Roman" w:eastAsia="Times New Roman" w:hAnsi="Times New Roman"/>
                <w:sz w:val="11"/>
                <w:szCs w:val="11"/>
                <w:color w:val="auto"/>
              </w:rPr>
              <w:t>Member of the Board</w:t>
            </w:r>
          </w:p>
        </w:tc>
        <w:tc>
          <w:tcPr>
            <w:tcW w:w="1800" w:type="dxa"/>
            <w:vAlign w:val="bottom"/>
            <w:tcBorders>
              <w:right w:val="single" w:sz="8" w:color="auto"/>
            </w:tcBorders>
            <w:vMerge w:val="restart"/>
          </w:tcPr>
          <w:p>
            <w:pPr>
              <w:ind w:left="760"/>
              <w:spacing w:after="0"/>
              <w:rPr>
                <w:sz w:val="20"/>
                <w:szCs w:val="20"/>
                <w:color w:val="auto"/>
              </w:rPr>
            </w:pPr>
            <w:r>
              <w:rPr>
                <w:rFonts w:ascii="Times New Roman" w:cs="Times New Roman" w:eastAsia="Times New Roman" w:hAnsi="Times New Roman"/>
                <w:sz w:val="11"/>
                <w:szCs w:val="11"/>
                <w:color w:val="auto"/>
              </w:rPr>
              <w:t>4 of 4</w:t>
            </w:r>
          </w:p>
        </w:tc>
        <w:tc>
          <w:tcPr>
            <w:tcW w:w="760" w:type="dxa"/>
            <w:vAlign w:val="bottom"/>
          </w:tcPr>
          <w:p>
            <w:pPr>
              <w:spacing w:after="0"/>
              <w:rPr>
                <w:sz w:val="11"/>
                <w:szCs w:val="11"/>
                <w:color w:val="auto"/>
              </w:rPr>
            </w:pPr>
          </w:p>
        </w:tc>
        <w:tc>
          <w:tcPr>
            <w:tcW w:w="1260" w:type="dxa"/>
            <w:vAlign w:val="bottom"/>
            <w:tcBorders>
              <w:right w:val="single" w:sz="8" w:color="auto"/>
            </w:tcBorders>
            <w:vMerge w:val="restart"/>
          </w:tcPr>
          <w:p>
            <w:pPr>
              <w:jc w:val="center"/>
              <w:ind w:right="726"/>
              <w:spacing w:after="0"/>
              <w:rPr>
                <w:sz w:val="20"/>
                <w:szCs w:val="20"/>
                <w:color w:val="auto"/>
              </w:rPr>
            </w:pPr>
            <w:r>
              <w:rPr>
                <w:rFonts w:ascii="Times New Roman" w:cs="Times New Roman" w:eastAsia="Times New Roman" w:hAnsi="Times New Roman"/>
                <w:sz w:val="11"/>
                <w:szCs w:val="11"/>
                <w:color w:val="auto"/>
                <w:w w:val="93"/>
              </w:rPr>
              <w:t>100%</w:t>
            </w:r>
          </w:p>
        </w:tc>
        <w:tc>
          <w:tcPr>
            <w:tcW w:w="33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1"/>
                <w:szCs w:val="11"/>
                <w:color w:val="auto"/>
                <w:w w:val="98"/>
              </w:rPr>
              <w:t>Aurora Cannabis Inc. (TSX: ACB)</w:t>
            </w:r>
          </w:p>
        </w:tc>
        <w:tc>
          <w:tcPr>
            <w:tcW w:w="0" w:type="dxa"/>
            <w:vAlign w:val="bottom"/>
          </w:tcPr>
          <w:p>
            <w:pPr>
              <w:spacing w:after="0"/>
              <w:rPr>
                <w:sz w:val="1"/>
                <w:szCs w:val="1"/>
                <w:color w:val="auto"/>
              </w:rPr>
            </w:pPr>
          </w:p>
        </w:tc>
      </w:tr>
      <w:tr>
        <w:trPr>
          <w:trHeight w:val="36"/>
        </w:trPr>
        <w:tc>
          <w:tcPr>
            <w:tcW w:w="4160" w:type="dxa"/>
            <w:vAlign w:val="bottom"/>
            <w:tcBorders>
              <w:left w:val="single" w:sz="8" w:color="auto"/>
              <w:right w:val="single" w:sz="8" w:color="auto"/>
            </w:tcBorders>
            <w:vMerge w:val="continue"/>
          </w:tcPr>
          <w:p>
            <w:pPr>
              <w:spacing w:after="0"/>
              <w:rPr>
                <w:sz w:val="3"/>
                <w:szCs w:val="3"/>
                <w:color w:val="auto"/>
              </w:rPr>
            </w:pPr>
          </w:p>
        </w:tc>
        <w:tc>
          <w:tcPr>
            <w:tcW w:w="1800" w:type="dxa"/>
            <w:vAlign w:val="bottom"/>
            <w:tcBorders>
              <w:right w:val="single" w:sz="8" w:color="auto"/>
            </w:tcBorders>
            <w:vMerge w:val="continue"/>
          </w:tcPr>
          <w:p>
            <w:pPr>
              <w:spacing w:after="0"/>
              <w:rPr>
                <w:sz w:val="3"/>
                <w:szCs w:val="3"/>
                <w:color w:val="auto"/>
              </w:rPr>
            </w:pPr>
          </w:p>
        </w:tc>
        <w:tc>
          <w:tcPr>
            <w:tcW w:w="760" w:type="dxa"/>
            <w:vAlign w:val="bottom"/>
          </w:tcPr>
          <w:p>
            <w:pPr>
              <w:spacing w:after="0"/>
              <w:rPr>
                <w:sz w:val="3"/>
                <w:szCs w:val="3"/>
                <w:color w:val="auto"/>
              </w:rPr>
            </w:pPr>
          </w:p>
        </w:tc>
        <w:tc>
          <w:tcPr>
            <w:tcW w:w="1260" w:type="dxa"/>
            <w:vAlign w:val="bottom"/>
            <w:tcBorders>
              <w:right w:val="single" w:sz="8" w:color="auto"/>
            </w:tcBorders>
            <w:vMerge w:val="continue"/>
          </w:tcPr>
          <w:p>
            <w:pPr>
              <w:spacing w:after="0"/>
              <w:rPr>
                <w:sz w:val="3"/>
                <w:szCs w:val="3"/>
                <w:color w:val="auto"/>
              </w:rPr>
            </w:pPr>
          </w:p>
        </w:tc>
        <w:tc>
          <w:tcPr>
            <w:tcW w:w="3340" w:type="dxa"/>
            <w:vAlign w:val="bottom"/>
            <w:tcBorders>
              <w:right w:val="single" w:sz="8" w:color="auto"/>
            </w:tcBorders>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53"/>
        </w:trPr>
        <w:tc>
          <w:tcPr>
            <w:tcW w:w="4160" w:type="dxa"/>
            <w:vAlign w:val="bottom"/>
            <w:tcBorders>
              <w:left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1"/>
                <w:szCs w:val="11"/>
                <w:color w:val="auto"/>
              </w:rPr>
              <w:t>Member of the Audit Committee</w:t>
            </w:r>
          </w:p>
        </w:tc>
        <w:tc>
          <w:tcPr>
            <w:tcW w:w="1800" w:type="dxa"/>
            <w:vAlign w:val="bottom"/>
            <w:tcBorders>
              <w:right w:val="single" w:sz="8" w:color="auto"/>
            </w:tcBorders>
          </w:tcPr>
          <w:p>
            <w:pPr>
              <w:ind w:left="760"/>
              <w:spacing w:after="0"/>
              <w:rPr>
                <w:sz w:val="20"/>
                <w:szCs w:val="20"/>
                <w:color w:val="auto"/>
              </w:rPr>
            </w:pPr>
            <w:r>
              <w:rPr>
                <w:rFonts w:ascii="Times New Roman" w:cs="Times New Roman" w:eastAsia="Times New Roman" w:hAnsi="Times New Roman"/>
                <w:sz w:val="11"/>
                <w:szCs w:val="11"/>
                <w:color w:val="auto"/>
              </w:rPr>
              <w:t>4 of 4</w:t>
            </w:r>
          </w:p>
        </w:tc>
        <w:tc>
          <w:tcPr>
            <w:tcW w:w="760" w:type="dxa"/>
            <w:vAlign w:val="bottom"/>
          </w:tcPr>
          <w:p>
            <w:pPr>
              <w:spacing w:after="0"/>
              <w:rPr>
                <w:sz w:val="13"/>
                <w:szCs w:val="13"/>
                <w:color w:val="auto"/>
              </w:rPr>
            </w:pPr>
          </w:p>
        </w:tc>
        <w:tc>
          <w:tcPr>
            <w:tcW w:w="1260" w:type="dxa"/>
            <w:vAlign w:val="bottom"/>
            <w:tcBorders>
              <w:right w:val="single" w:sz="8" w:color="auto"/>
            </w:tcBorders>
          </w:tcPr>
          <w:p>
            <w:pPr>
              <w:jc w:val="center"/>
              <w:ind w:right="726"/>
              <w:spacing w:after="0"/>
              <w:rPr>
                <w:sz w:val="20"/>
                <w:szCs w:val="20"/>
                <w:color w:val="auto"/>
              </w:rPr>
            </w:pPr>
            <w:r>
              <w:rPr>
                <w:rFonts w:ascii="Times New Roman" w:cs="Times New Roman" w:eastAsia="Times New Roman" w:hAnsi="Times New Roman"/>
                <w:sz w:val="11"/>
                <w:szCs w:val="11"/>
                <w:color w:val="auto"/>
                <w:w w:val="93"/>
              </w:rPr>
              <w:t>100%</w:t>
            </w:r>
          </w:p>
        </w:tc>
        <w:tc>
          <w:tcPr>
            <w:tcW w:w="3340" w:type="dxa"/>
            <w:vAlign w:val="bottom"/>
            <w:tcBorders>
              <w:right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4160" w:type="dxa"/>
            <w:vAlign w:val="bottom"/>
            <w:tcBorders>
              <w:left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1"/>
                <w:szCs w:val="11"/>
                <w:color w:val="auto"/>
              </w:rPr>
              <w:t>Member of the Corporate Governance and Nominating Committee</w:t>
            </w:r>
          </w:p>
        </w:tc>
        <w:tc>
          <w:tcPr>
            <w:tcW w:w="1800" w:type="dxa"/>
            <w:vAlign w:val="bottom"/>
            <w:tcBorders>
              <w:right w:val="single" w:sz="8" w:color="auto"/>
            </w:tcBorders>
          </w:tcPr>
          <w:p>
            <w:pPr>
              <w:ind w:left="760"/>
              <w:spacing w:after="0"/>
              <w:rPr>
                <w:sz w:val="20"/>
                <w:szCs w:val="20"/>
                <w:color w:val="auto"/>
              </w:rPr>
            </w:pPr>
            <w:r>
              <w:rPr>
                <w:rFonts w:ascii="Times New Roman" w:cs="Times New Roman" w:eastAsia="Times New Roman" w:hAnsi="Times New Roman"/>
                <w:sz w:val="11"/>
                <w:szCs w:val="11"/>
                <w:color w:val="auto"/>
              </w:rPr>
              <w:t>0 of 0</w:t>
            </w:r>
          </w:p>
        </w:tc>
        <w:tc>
          <w:tcPr>
            <w:tcW w:w="760" w:type="dxa"/>
            <w:vAlign w:val="bottom"/>
          </w:tcPr>
          <w:p>
            <w:pPr>
              <w:spacing w:after="0"/>
              <w:rPr>
                <w:sz w:val="13"/>
                <w:szCs w:val="13"/>
                <w:color w:val="auto"/>
              </w:rPr>
            </w:pPr>
          </w:p>
        </w:tc>
        <w:tc>
          <w:tcPr>
            <w:tcW w:w="1260" w:type="dxa"/>
            <w:vAlign w:val="bottom"/>
            <w:tcBorders>
              <w:right w:val="single" w:sz="8" w:color="auto"/>
            </w:tcBorders>
          </w:tcPr>
          <w:p>
            <w:pPr>
              <w:jc w:val="center"/>
              <w:ind w:right="726"/>
              <w:spacing w:after="0"/>
              <w:rPr>
                <w:sz w:val="20"/>
                <w:szCs w:val="20"/>
                <w:color w:val="auto"/>
              </w:rPr>
            </w:pPr>
            <w:r>
              <w:rPr>
                <w:rFonts w:ascii="Times New Roman" w:cs="Times New Roman" w:eastAsia="Times New Roman" w:hAnsi="Times New Roman"/>
                <w:sz w:val="11"/>
                <w:szCs w:val="11"/>
                <w:color w:val="auto"/>
              </w:rPr>
              <w:t>N/A</w:t>
            </w:r>
          </w:p>
        </w:tc>
        <w:tc>
          <w:tcPr>
            <w:tcW w:w="3340" w:type="dxa"/>
            <w:vAlign w:val="bottom"/>
            <w:tcBorders>
              <w:right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93"/>
        </w:trPr>
        <w:tc>
          <w:tcPr>
            <w:tcW w:w="4160" w:type="dxa"/>
            <w:vAlign w:val="bottom"/>
            <w:tcBorders>
              <w:left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1"/>
                <w:szCs w:val="11"/>
                <w:color w:val="auto"/>
              </w:rPr>
              <w:t>Member of the Compensation Committee</w:t>
            </w:r>
            <w:r>
              <w:rPr>
                <w:rFonts w:ascii="Times New Roman" w:cs="Times New Roman" w:eastAsia="Times New Roman" w:hAnsi="Times New Roman"/>
                <w:sz w:val="14"/>
                <w:szCs w:val="14"/>
                <w:color w:val="auto"/>
                <w:vertAlign w:val="superscript"/>
              </w:rPr>
              <w:t>(1)</w:t>
            </w:r>
          </w:p>
        </w:tc>
        <w:tc>
          <w:tcPr>
            <w:tcW w:w="1800" w:type="dxa"/>
            <w:vAlign w:val="bottom"/>
            <w:tcBorders>
              <w:right w:val="single" w:sz="8" w:color="auto"/>
            </w:tcBorders>
          </w:tcPr>
          <w:p>
            <w:pPr>
              <w:spacing w:after="0"/>
              <w:rPr>
                <w:sz w:val="16"/>
                <w:szCs w:val="16"/>
                <w:color w:val="auto"/>
              </w:rPr>
            </w:pPr>
          </w:p>
        </w:tc>
        <w:tc>
          <w:tcPr>
            <w:tcW w:w="760" w:type="dxa"/>
            <w:vAlign w:val="bottom"/>
          </w:tcPr>
          <w:p>
            <w:pPr>
              <w:spacing w:after="0"/>
              <w:rPr>
                <w:sz w:val="16"/>
                <w:szCs w:val="16"/>
                <w:color w:val="auto"/>
              </w:rPr>
            </w:pPr>
          </w:p>
        </w:tc>
        <w:tc>
          <w:tcPr>
            <w:tcW w:w="1260" w:type="dxa"/>
            <w:vAlign w:val="bottom"/>
            <w:tcBorders>
              <w:right w:val="single" w:sz="8" w:color="auto"/>
            </w:tcBorders>
          </w:tcPr>
          <w:p>
            <w:pPr>
              <w:spacing w:after="0"/>
              <w:rPr>
                <w:sz w:val="16"/>
                <w:szCs w:val="16"/>
                <w:color w:val="auto"/>
              </w:rPr>
            </w:pPr>
          </w:p>
        </w:tc>
        <w:tc>
          <w:tcPr>
            <w:tcW w:w="334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40"/>
        </w:trPr>
        <w:tc>
          <w:tcPr>
            <w:tcW w:w="4160" w:type="dxa"/>
            <w:vAlign w:val="bottom"/>
            <w:tcBorders>
              <w:left w:val="single" w:sz="8" w:color="auto"/>
              <w:right w:val="single" w:sz="8" w:color="auto"/>
            </w:tcBorders>
          </w:tcPr>
          <w:p>
            <w:pPr>
              <w:spacing w:after="0"/>
              <w:rPr>
                <w:sz w:val="12"/>
                <w:szCs w:val="12"/>
                <w:color w:val="auto"/>
              </w:rPr>
            </w:pPr>
          </w:p>
        </w:tc>
        <w:tc>
          <w:tcPr>
            <w:tcW w:w="1800" w:type="dxa"/>
            <w:vAlign w:val="bottom"/>
            <w:tcBorders>
              <w:right w:val="single" w:sz="8" w:color="auto"/>
            </w:tcBorders>
          </w:tcPr>
          <w:p>
            <w:pPr>
              <w:ind w:left="760"/>
              <w:spacing w:after="0"/>
              <w:rPr>
                <w:sz w:val="20"/>
                <w:szCs w:val="20"/>
                <w:color w:val="auto"/>
              </w:rPr>
            </w:pPr>
            <w:r>
              <w:rPr>
                <w:rFonts w:ascii="Times New Roman" w:cs="Times New Roman" w:eastAsia="Times New Roman" w:hAnsi="Times New Roman"/>
                <w:sz w:val="11"/>
                <w:szCs w:val="11"/>
                <w:color w:val="auto"/>
              </w:rPr>
              <w:t>1 of 1</w:t>
            </w:r>
          </w:p>
        </w:tc>
        <w:tc>
          <w:tcPr>
            <w:tcW w:w="760" w:type="dxa"/>
            <w:vAlign w:val="bottom"/>
          </w:tcPr>
          <w:p>
            <w:pPr>
              <w:spacing w:after="0"/>
              <w:rPr>
                <w:sz w:val="12"/>
                <w:szCs w:val="12"/>
                <w:color w:val="auto"/>
              </w:rPr>
            </w:pPr>
          </w:p>
        </w:tc>
        <w:tc>
          <w:tcPr>
            <w:tcW w:w="1260" w:type="dxa"/>
            <w:vAlign w:val="bottom"/>
            <w:tcBorders>
              <w:right w:val="single" w:sz="8" w:color="auto"/>
            </w:tcBorders>
          </w:tcPr>
          <w:p>
            <w:pPr>
              <w:jc w:val="center"/>
              <w:ind w:right="726"/>
              <w:spacing w:after="0"/>
              <w:rPr>
                <w:sz w:val="20"/>
                <w:szCs w:val="20"/>
                <w:color w:val="auto"/>
              </w:rPr>
            </w:pPr>
            <w:r>
              <w:rPr>
                <w:rFonts w:ascii="Times New Roman" w:cs="Times New Roman" w:eastAsia="Times New Roman" w:hAnsi="Times New Roman"/>
                <w:sz w:val="11"/>
                <w:szCs w:val="11"/>
                <w:color w:val="auto"/>
                <w:w w:val="93"/>
              </w:rPr>
              <w:t>100%</w:t>
            </w:r>
          </w:p>
        </w:tc>
        <w:tc>
          <w:tcPr>
            <w:tcW w:w="334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49"/>
        </w:trPr>
        <w:tc>
          <w:tcPr>
            <w:tcW w:w="4160" w:type="dxa"/>
            <w:vAlign w:val="bottom"/>
            <w:tcBorders>
              <w:left w:val="single" w:sz="8" w:color="auto"/>
              <w:bottom w:val="single" w:sz="8" w:color="auto"/>
              <w:right w:val="single" w:sz="8" w:color="auto"/>
            </w:tcBorders>
          </w:tcPr>
          <w:p>
            <w:pPr>
              <w:spacing w:after="0"/>
              <w:rPr>
                <w:sz w:val="4"/>
                <w:szCs w:val="4"/>
                <w:color w:val="auto"/>
              </w:rPr>
            </w:pPr>
          </w:p>
        </w:tc>
        <w:tc>
          <w:tcPr>
            <w:tcW w:w="1800" w:type="dxa"/>
            <w:vAlign w:val="bottom"/>
            <w:tcBorders>
              <w:bottom w:val="single" w:sz="8" w:color="auto"/>
              <w:right w:val="single" w:sz="8" w:color="auto"/>
            </w:tcBorders>
          </w:tcPr>
          <w:p>
            <w:pPr>
              <w:spacing w:after="0"/>
              <w:rPr>
                <w:sz w:val="4"/>
                <w:szCs w:val="4"/>
                <w:color w:val="auto"/>
              </w:rPr>
            </w:pPr>
          </w:p>
        </w:tc>
        <w:tc>
          <w:tcPr>
            <w:tcW w:w="760" w:type="dxa"/>
            <w:vAlign w:val="bottom"/>
            <w:tcBorders>
              <w:bottom w:val="single" w:sz="8" w:color="auto"/>
            </w:tcBorders>
          </w:tcPr>
          <w:p>
            <w:pPr>
              <w:spacing w:after="0"/>
              <w:rPr>
                <w:sz w:val="4"/>
                <w:szCs w:val="4"/>
                <w:color w:val="auto"/>
              </w:rPr>
            </w:pPr>
          </w:p>
        </w:tc>
        <w:tc>
          <w:tcPr>
            <w:tcW w:w="1260" w:type="dxa"/>
            <w:vAlign w:val="bottom"/>
            <w:tcBorders>
              <w:bottom w:val="single" w:sz="8" w:color="auto"/>
              <w:right w:val="single" w:sz="8" w:color="auto"/>
            </w:tcBorders>
          </w:tcPr>
          <w:p>
            <w:pPr>
              <w:spacing w:after="0"/>
              <w:rPr>
                <w:sz w:val="4"/>
                <w:szCs w:val="4"/>
                <w:color w:val="auto"/>
              </w:rPr>
            </w:pPr>
          </w:p>
        </w:tc>
        <w:tc>
          <w:tcPr>
            <w:tcW w:w="334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132"/>
        </w:trPr>
        <w:tc>
          <w:tcPr>
            <w:tcW w:w="6720" w:type="dxa"/>
            <w:vAlign w:val="bottom"/>
            <w:tcBorders>
              <w:left w:val="single" w:sz="8" w:color="auto"/>
              <w:bottom w:val="single" w:sz="8" w:color="auto"/>
            </w:tcBorders>
            <w:gridSpan w:val="3"/>
          </w:tcPr>
          <w:p>
            <w:pPr>
              <w:ind w:left="2320"/>
              <w:spacing w:after="0"/>
              <w:rPr>
                <w:sz w:val="20"/>
                <w:szCs w:val="20"/>
                <w:color w:val="auto"/>
              </w:rPr>
            </w:pPr>
            <w:r>
              <w:rPr>
                <w:rFonts w:ascii="Times New Roman" w:cs="Times New Roman" w:eastAsia="Times New Roman" w:hAnsi="Times New Roman"/>
                <w:sz w:val="11"/>
                <w:szCs w:val="11"/>
                <w:b w:val="1"/>
                <w:bCs w:val="1"/>
                <w:color w:val="auto"/>
              </w:rPr>
              <w:t>Number of Common Shares Beneficially Owned, Controlled or Directed</w:t>
            </w:r>
          </w:p>
        </w:tc>
        <w:tc>
          <w:tcPr>
            <w:tcW w:w="1260" w:type="dxa"/>
            <w:vAlign w:val="bottom"/>
            <w:tcBorders>
              <w:bottom w:val="single" w:sz="8" w:color="auto"/>
              <w:right w:val="single" w:sz="8" w:color="auto"/>
            </w:tcBorders>
          </w:tcPr>
          <w:p>
            <w:pPr>
              <w:spacing w:after="0"/>
              <w:rPr>
                <w:sz w:val="11"/>
                <w:szCs w:val="11"/>
                <w:color w:val="auto"/>
              </w:rPr>
            </w:pPr>
          </w:p>
        </w:tc>
        <w:tc>
          <w:tcPr>
            <w:tcW w:w="33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1"/>
                <w:szCs w:val="11"/>
                <w:color w:val="auto"/>
                <w:w w:val="96"/>
              </w:rPr>
              <w:t>1,059</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789305</wp:posOffset>
            </wp:positionH>
            <wp:positionV relativeFrom="paragraph">
              <wp:posOffset>-1976755</wp:posOffset>
            </wp:positionV>
            <wp:extent cx="1045845" cy="10458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1">
                      <a:extLst>
                        <a:ext uri="{28A0092B-C50C-407E-A947-70E740481C1C}"/>
                      </a:extLst>
                    </a:blip>
                    <a:srcRect/>
                    <a:stretch>
                      <a:fillRect/>
                    </a:stretch>
                  </pic:blipFill>
                  <pic:spPr bwMode="auto">
                    <a:xfrm>
                      <a:off x="0" y="0"/>
                      <a:ext cx="1045845" cy="1045845"/>
                    </a:xfrm>
                    <a:prstGeom prst="rect">
                      <a:avLst/>
                    </a:prstGeom>
                    <a:noFill/>
                  </pic:spPr>
                </pic:pic>
              </a:graphicData>
            </a:graphic>
          </wp:anchor>
        </w:drawing>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b w:val="1"/>
          <w:bCs w:val="1"/>
          <w:color w:val="auto"/>
        </w:rPr>
        <w:t>Note:</w:t>
      </w:r>
    </w:p>
    <w:p>
      <w:pPr>
        <w:spacing w:after="0" w:line="10" w:lineRule="exact"/>
        <w:rPr>
          <w:sz w:val="20"/>
          <w:szCs w:val="20"/>
          <w:color w:val="auto"/>
        </w:rPr>
      </w:pPr>
    </w:p>
    <w:p>
      <w:pPr>
        <w:ind w:left="420" w:hanging="401"/>
        <w:spacing w:after="0"/>
        <w:tabs>
          <w:tab w:leader="none" w:pos="420" w:val="left"/>
        </w:tabs>
        <w:numPr>
          <w:ilvl w:val="0"/>
          <w:numId w:val="16"/>
        </w:numPr>
        <w:rPr>
          <w:rFonts w:ascii="Times New Roman" w:cs="Times New Roman" w:eastAsia="Times New Roman" w:hAnsi="Times New Roman"/>
          <w:sz w:val="10"/>
          <w:szCs w:val="10"/>
          <w:color w:val="auto"/>
        </w:rPr>
      </w:pPr>
      <w:r>
        <w:rPr>
          <w:rFonts w:ascii="Times New Roman" w:cs="Times New Roman" w:eastAsia="Times New Roman" w:hAnsi="Times New Roman"/>
          <w:sz w:val="11"/>
          <w:szCs w:val="11"/>
          <w:color w:val="auto"/>
        </w:rPr>
        <w:t>Ms. Firestone was appointed as a member of the Compensation Committee on October 3, 2024 and attended the one meeting held since that date.</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53"/>
        </w:trPr>
        <w:tc>
          <w:tcPr>
            <w:tcW w:w="2880" w:type="dxa"/>
            <w:vAlign w:val="bottom"/>
            <w:tcBorders>
              <w:bottom w:val="single" w:sz="8" w:color="auto"/>
            </w:tcBorders>
            <w:shd w:val="clear" w:color="auto" w:fill="D9D9D9"/>
          </w:tcPr>
          <w:p>
            <w:pPr>
              <w:ind w:left="40"/>
              <w:spacing w:after="0"/>
              <w:rPr>
                <w:sz w:val="20"/>
                <w:szCs w:val="20"/>
                <w:color w:val="auto"/>
              </w:rPr>
            </w:pPr>
            <w:r>
              <w:rPr>
                <w:rFonts w:ascii="Times New Roman" w:cs="Times New Roman" w:eastAsia="Times New Roman" w:hAnsi="Times New Roman"/>
                <w:sz w:val="11"/>
                <w:szCs w:val="11"/>
                <w:b w:val="1"/>
                <w:bCs w:val="1"/>
                <w:color w:val="auto"/>
              </w:rPr>
              <w:t>GRANT FROESE</w:t>
            </w:r>
          </w:p>
        </w:tc>
        <w:tc>
          <w:tcPr>
            <w:tcW w:w="8420" w:type="dxa"/>
            <w:vAlign w:val="bottom"/>
            <w:tcBorders>
              <w:bottom w:val="single" w:sz="8" w:color="auto"/>
            </w:tcBorders>
            <w:shd w:val="clear" w:color="auto" w:fill="D9D9D9"/>
          </w:tcPr>
          <w:p>
            <w:pPr>
              <w:ind w:left="3640"/>
              <w:spacing w:after="0"/>
              <w:rPr>
                <w:sz w:val="20"/>
                <w:szCs w:val="20"/>
                <w:color w:val="auto"/>
              </w:rPr>
            </w:pPr>
            <w:r>
              <w:rPr>
                <w:rFonts w:ascii="Times New Roman" w:cs="Times New Roman" w:eastAsia="Times New Roman" w:hAnsi="Times New Roman"/>
                <w:sz w:val="11"/>
                <w:szCs w:val="11"/>
                <w:b w:val="1"/>
                <w:bCs w:val="1"/>
                <w:color w:val="auto"/>
              </w:rPr>
              <w:t>Principal Occupation and Biographical Information</w:t>
            </w:r>
          </w:p>
        </w:tc>
        <w:tc>
          <w:tcPr>
            <w:tcW w:w="0" w:type="dxa"/>
            <w:vAlign w:val="bottom"/>
          </w:tcPr>
          <w:p>
            <w:pPr>
              <w:spacing w:after="0"/>
              <w:rPr>
                <w:sz w:val="1"/>
                <w:szCs w:val="1"/>
                <w:color w:val="auto"/>
              </w:rPr>
            </w:pPr>
          </w:p>
        </w:tc>
      </w:tr>
      <w:tr>
        <w:trPr>
          <w:trHeight w:val="133"/>
        </w:trPr>
        <w:tc>
          <w:tcPr>
            <w:tcW w:w="2880" w:type="dxa"/>
            <w:vAlign w:val="bottom"/>
          </w:tcPr>
          <w:p>
            <w:pPr>
              <w:ind w:left="40"/>
              <w:spacing w:after="0"/>
              <w:rPr>
                <w:sz w:val="20"/>
                <w:szCs w:val="20"/>
                <w:color w:val="auto"/>
              </w:rPr>
            </w:pPr>
            <w:r>
              <w:rPr>
                <w:rFonts w:ascii="Times New Roman" w:cs="Times New Roman" w:eastAsia="Times New Roman" w:hAnsi="Times New Roman"/>
                <w:sz w:val="11"/>
                <w:szCs w:val="11"/>
                <w:color w:val="auto"/>
              </w:rPr>
              <w:t>Ontario, Canada</w:t>
            </w:r>
          </w:p>
        </w:tc>
        <w:tc>
          <w:tcPr>
            <w:tcW w:w="8420" w:type="dxa"/>
            <w:vAlign w:val="bottom"/>
          </w:tcPr>
          <w:p>
            <w:pPr>
              <w:ind w:left="1340"/>
              <w:spacing w:after="0"/>
              <w:rPr>
                <w:sz w:val="20"/>
                <w:szCs w:val="20"/>
                <w:color w:val="auto"/>
              </w:rPr>
            </w:pPr>
            <w:r>
              <w:rPr>
                <w:rFonts w:ascii="Times New Roman" w:cs="Times New Roman" w:eastAsia="Times New Roman" w:hAnsi="Times New Roman"/>
                <w:sz w:val="11"/>
                <w:szCs w:val="11"/>
                <w:color w:val="auto"/>
              </w:rPr>
              <w:t>Grant Froese completed a 38-year career with Canadian retail giant Loblaw Companies Limited where he last served as Chief Operating Officer until his</w:t>
            </w:r>
          </w:p>
        </w:tc>
        <w:tc>
          <w:tcPr>
            <w:tcW w:w="0" w:type="dxa"/>
            <w:vAlign w:val="bottom"/>
          </w:tcPr>
          <w:p>
            <w:pPr>
              <w:spacing w:after="0"/>
              <w:rPr>
                <w:sz w:val="1"/>
                <w:szCs w:val="1"/>
                <w:color w:val="auto"/>
              </w:rPr>
            </w:pPr>
          </w:p>
        </w:tc>
      </w:tr>
      <w:tr>
        <w:trPr>
          <w:trHeight w:val="126"/>
        </w:trPr>
        <w:tc>
          <w:tcPr>
            <w:tcW w:w="2880" w:type="dxa"/>
            <w:vAlign w:val="bottom"/>
            <w:vMerge w:val="restart"/>
          </w:tcPr>
          <w:p>
            <w:pPr>
              <w:ind w:left="40"/>
              <w:spacing w:after="0"/>
              <w:rPr>
                <w:sz w:val="20"/>
                <w:szCs w:val="20"/>
                <w:color w:val="auto"/>
              </w:rPr>
            </w:pPr>
            <w:r>
              <w:rPr>
                <w:rFonts w:ascii="Times New Roman" w:cs="Times New Roman" w:eastAsia="Times New Roman" w:hAnsi="Times New Roman"/>
                <w:sz w:val="11"/>
                <w:szCs w:val="11"/>
                <w:color w:val="auto"/>
              </w:rPr>
              <w:t>Director Since: November 5, 2020</w:t>
            </w:r>
          </w:p>
        </w:tc>
        <w:tc>
          <w:tcPr>
            <w:tcW w:w="8420" w:type="dxa"/>
            <w:vAlign w:val="bottom"/>
          </w:tcPr>
          <w:p>
            <w:pPr>
              <w:ind w:left="1340"/>
              <w:spacing w:after="0"/>
              <w:rPr>
                <w:sz w:val="20"/>
                <w:szCs w:val="20"/>
                <w:color w:val="auto"/>
              </w:rPr>
            </w:pPr>
            <w:r>
              <w:rPr>
                <w:rFonts w:ascii="Times New Roman" w:cs="Times New Roman" w:eastAsia="Times New Roman" w:hAnsi="Times New Roman"/>
                <w:sz w:val="11"/>
                <w:szCs w:val="11"/>
                <w:color w:val="auto"/>
              </w:rPr>
              <w:t>retirement. During his career at Loblaw, he led operations, merchandising and had oversight of supply chain, ecommerce, and marketing functions. After</w:t>
            </w:r>
          </w:p>
        </w:tc>
        <w:tc>
          <w:tcPr>
            <w:tcW w:w="0" w:type="dxa"/>
            <w:vAlign w:val="bottom"/>
          </w:tcPr>
          <w:p>
            <w:pPr>
              <w:spacing w:after="0"/>
              <w:rPr>
                <w:sz w:val="1"/>
                <w:szCs w:val="1"/>
                <w:color w:val="auto"/>
              </w:rPr>
            </w:pPr>
          </w:p>
        </w:tc>
      </w:tr>
      <w:tr>
        <w:trPr>
          <w:trHeight w:val="59"/>
        </w:trPr>
        <w:tc>
          <w:tcPr>
            <w:tcW w:w="2880" w:type="dxa"/>
            <w:vAlign w:val="bottom"/>
            <w:vMerge w:val="continue"/>
          </w:tcPr>
          <w:p>
            <w:pPr>
              <w:spacing w:after="0"/>
              <w:rPr>
                <w:sz w:val="5"/>
                <w:szCs w:val="5"/>
                <w:color w:val="auto"/>
              </w:rPr>
            </w:pPr>
          </w:p>
        </w:tc>
        <w:tc>
          <w:tcPr>
            <w:tcW w:w="8420" w:type="dxa"/>
            <w:vAlign w:val="bottom"/>
            <w:vMerge w:val="restart"/>
          </w:tcPr>
          <w:p>
            <w:pPr>
              <w:ind w:left="1340"/>
              <w:spacing w:after="0"/>
              <w:rPr>
                <w:sz w:val="20"/>
                <w:szCs w:val="20"/>
                <w:color w:val="auto"/>
              </w:rPr>
            </w:pPr>
            <w:r>
              <w:rPr>
                <w:rFonts w:ascii="Times New Roman" w:cs="Times New Roman" w:eastAsia="Times New Roman" w:hAnsi="Times New Roman"/>
                <w:sz w:val="11"/>
                <w:szCs w:val="11"/>
                <w:color w:val="auto"/>
                <w:w w:val="99"/>
              </w:rPr>
              <w:t>retirement Grant was the CEO of Harvest One /Delivra Health Brands until 2020. Currently, Grant is the principal consultant at Grey Wolf Management Services</w:t>
            </w:r>
          </w:p>
        </w:tc>
        <w:tc>
          <w:tcPr>
            <w:tcW w:w="0" w:type="dxa"/>
            <w:vAlign w:val="bottom"/>
          </w:tcPr>
          <w:p>
            <w:pPr>
              <w:spacing w:after="0"/>
              <w:rPr>
                <w:sz w:val="1"/>
                <w:szCs w:val="1"/>
                <w:color w:val="auto"/>
              </w:rPr>
            </w:pPr>
          </w:p>
        </w:tc>
      </w:tr>
      <w:tr>
        <w:trPr>
          <w:trHeight w:val="67"/>
        </w:trPr>
        <w:tc>
          <w:tcPr>
            <w:tcW w:w="2880" w:type="dxa"/>
            <w:vAlign w:val="bottom"/>
            <w:vMerge w:val="restart"/>
          </w:tcPr>
          <w:p>
            <w:pPr>
              <w:ind w:left="40"/>
              <w:spacing w:after="0"/>
              <w:rPr>
                <w:sz w:val="20"/>
                <w:szCs w:val="20"/>
                <w:color w:val="auto"/>
              </w:rPr>
            </w:pPr>
            <w:r>
              <w:rPr>
                <w:rFonts w:ascii="Times New Roman" w:cs="Times New Roman" w:eastAsia="Times New Roman" w:hAnsi="Times New Roman"/>
                <w:sz w:val="11"/>
                <w:szCs w:val="11"/>
                <w:b w:val="1"/>
                <w:bCs w:val="1"/>
                <w:color w:val="auto"/>
              </w:rPr>
              <w:t>INDEPENDENT</w:t>
            </w:r>
          </w:p>
        </w:tc>
        <w:tc>
          <w:tcPr>
            <w:tcW w:w="842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86"/>
        </w:trPr>
        <w:tc>
          <w:tcPr>
            <w:tcW w:w="2880" w:type="dxa"/>
            <w:vAlign w:val="bottom"/>
            <w:vMerge w:val="continue"/>
          </w:tcPr>
          <w:p>
            <w:pPr>
              <w:spacing w:after="0"/>
              <w:rPr>
                <w:sz w:val="7"/>
                <w:szCs w:val="7"/>
                <w:color w:val="auto"/>
              </w:rPr>
            </w:pPr>
          </w:p>
        </w:tc>
        <w:tc>
          <w:tcPr>
            <w:tcW w:w="8420" w:type="dxa"/>
            <w:vAlign w:val="bottom"/>
            <w:vMerge w:val="restart"/>
          </w:tcPr>
          <w:p>
            <w:pPr>
              <w:ind w:left="1340"/>
              <w:spacing w:after="0"/>
              <w:rPr>
                <w:sz w:val="20"/>
                <w:szCs w:val="20"/>
                <w:color w:val="auto"/>
              </w:rPr>
            </w:pPr>
            <w:r>
              <w:rPr>
                <w:rFonts w:ascii="Times New Roman" w:cs="Times New Roman" w:eastAsia="Times New Roman" w:hAnsi="Times New Roman"/>
                <w:sz w:val="11"/>
                <w:szCs w:val="11"/>
                <w:color w:val="auto"/>
              </w:rPr>
              <w:t>Inc. and sits on the board of several companies.</w:t>
            </w:r>
          </w:p>
        </w:tc>
        <w:tc>
          <w:tcPr>
            <w:tcW w:w="0" w:type="dxa"/>
            <w:vAlign w:val="bottom"/>
          </w:tcPr>
          <w:p>
            <w:pPr>
              <w:spacing w:after="0"/>
              <w:rPr>
                <w:sz w:val="1"/>
                <w:szCs w:val="1"/>
                <w:color w:val="auto"/>
              </w:rPr>
            </w:pPr>
          </w:p>
        </w:tc>
      </w:tr>
      <w:tr>
        <w:trPr>
          <w:trHeight w:val="54"/>
        </w:trPr>
        <w:tc>
          <w:tcPr>
            <w:tcW w:w="2880" w:type="dxa"/>
            <w:vAlign w:val="bottom"/>
          </w:tcPr>
          <w:p>
            <w:pPr>
              <w:spacing w:after="0"/>
              <w:rPr>
                <w:sz w:val="4"/>
                <w:szCs w:val="4"/>
                <w:color w:val="auto"/>
              </w:rPr>
            </w:pPr>
          </w:p>
        </w:tc>
        <w:tc>
          <w:tcPr>
            <w:tcW w:w="842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-442595</wp:posOffset>
            </wp:positionV>
            <wp:extent cx="7183755" cy="201168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2">
                      <a:extLst>
                        <a:ext uri="{28A0092B-C50C-407E-A947-70E740481C1C}"/>
                      </a:extLst>
                    </a:blip>
                    <a:srcRect/>
                    <a:stretch>
                      <a:fillRect/>
                    </a:stretch>
                  </pic:blipFill>
                  <pic:spPr bwMode="auto">
                    <a:xfrm>
                      <a:off x="0" y="0"/>
                      <a:ext cx="7183755" cy="20116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tbl>
      <w:tblPr>
        <w:tblLayout w:type="fixed"/>
        <w:tblInd w:w="0" w:type="dxa"/>
        <w:tblCellMar>
          <w:top w:w="0" w:type="dxa"/>
          <w:left w:w="0" w:type="dxa"/>
          <w:bottom w:w="0" w:type="dxa"/>
          <w:right w:w="0" w:type="dxa"/>
        </w:tblCellMar>
      </w:tblPr>
      <w:tr>
        <w:trPr>
          <w:trHeight w:val="153"/>
        </w:trPr>
        <w:tc>
          <w:tcPr>
            <w:tcW w:w="3980" w:type="dxa"/>
            <w:vAlign w:val="bottom"/>
            <w:tcBorders>
              <w:top w:val="single" w:sz="8" w:color="auto"/>
              <w:bottom w:val="single" w:sz="8" w:color="auto"/>
            </w:tcBorders>
            <w:shd w:val="clear" w:color="auto" w:fill="BFBFBF"/>
          </w:tcPr>
          <w:p>
            <w:pPr>
              <w:ind w:left="1160"/>
              <w:spacing w:after="0"/>
              <w:rPr>
                <w:sz w:val="20"/>
                <w:szCs w:val="20"/>
                <w:color w:val="auto"/>
              </w:rPr>
            </w:pPr>
            <w:r>
              <w:rPr>
                <w:rFonts w:ascii="Times New Roman" w:cs="Times New Roman" w:eastAsia="Times New Roman" w:hAnsi="Times New Roman"/>
                <w:sz w:val="11"/>
                <w:szCs w:val="11"/>
                <w:b w:val="1"/>
                <w:bCs w:val="1"/>
                <w:color w:val="auto"/>
              </w:rPr>
              <w:t>Current Board/Committee Membership</w:t>
            </w:r>
          </w:p>
        </w:tc>
        <w:tc>
          <w:tcPr>
            <w:tcW w:w="2840" w:type="dxa"/>
            <w:vAlign w:val="bottom"/>
            <w:tcBorders>
              <w:top w:val="single" w:sz="8" w:color="auto"/>
              <w:bottom w:val="single" w:sz="8" w:color="auto"/>
            </w:tcBorders>
            <w:gridSpan w:val="2"/>
            <w:shd w:val="clear" w:color="auto" w:fill="BFBFBF"/>
          </w:tcPr>
          <w:p>
            <w:pPr>
              <w:ind w:left="1620"/>
              <w:spacing w:after="0"/>
              <w:rPr>
                <w:sz w:val="20"/>
                <w:szCs w:val="20"/>
                <w:color w:val="auto"/>
              </w:rPr>
            </w:pPr>
            <w:r>
              <w:rPr>
                <w:rFonts w:ascii="Times New Roman" w:cs="Times New Roman" w:eastAsia="Times New Roman" w:hAnsi="Times New Roman"/>
                <w:sz w:val="11"/>
                <w:szCs w:val="11"/>
                <w:b w:val="1"/>
                <w:bCs w:val="1"/>
                <w:color w:val="auto"/>
              </w:rPr>
              <w:t>2025 Attendance (Total)</w:t>
            </w:r>
          </w:p>
        </w:tc>
        <w:tc>
          <w:tcPr>
            <w:tcW w:w="1320" w:type="dxa"/>
            <w:vAlign w:val="bottom"/>
            <w:tcBorders>
              <w:top w:val="single" w:sz="8" w:color="auto"/>
              <w:bottom w:val="single" w:sz="8" w:color="auto"/>
              <w:right w:val="single" w:sz="8" w:color="auto"/>
            </w:tcBorders>
            <w:shd w:val="clear" w:color="auto" w:fill="BFBFBF"/>
          </w:tcPr>
          <w:p>
            <w:pPr>
              <w:spacing w:after="0"/>
              <w:rPr>
                <w:sz w:val="13"/>
                <w:szCs w:val="13"/>
                <w:color w:val="auto"/>
              </w:rPr>
            </w:pPr>
          </w:p>
        </w:tc>
        <w:tc>
          <w:tcPr>
            <w:tcW w:w="3160" w:type="dxa"/>
            <w:vAlign w:val="bottom"/>
            <w:tcBorders>
              <w:top w:val="single" w:sz="8" w:color="auto"/>
              <w:bottom w:val="single" w:sz="8" w:color="auto"/>
            </w:tcBorders>
            <w:shd w:val="clear" w:color="auto" w:fill="BFBFBF"/>
          </w:tcPr>
          <w:p>
            <w:pPr>
              <w:jc w:val="center"/>
              <w:spacing w:after="0"/>
              <w:rPr>
                <w:sz w:val="20"/>
                <w:szCs w:val="20"/>
                <w:color w:val="auto"/>
              </w:rPr>
            </w:pPr>
            <w:r>
              <w:rPr>
                <w:rFonts w:ascii="Times New Roman" w:cs="Times New Roman" w:eastAsia="Times New Roman" w:hAnsi="Times New Roman"/>
                <w:sz w:val="11"/>
                <w:szCs w:val="11"/>
                <w:b w:val="1"/>
                <w:bCs w:val="1"/>
                <w:color w:val="auto"/>
                <w:w w:val="98"/>
              </w:rPr>
              <w:t>Other Public Board Memberships</w:t>
            </w:r>
          </w:p>
        </w:tc>
        <w:tc>
          <w:tcPr>
            <w:tcW w:w="0" w:type="dxa"/>
            <w:vAlign w:val="bottom"/>
          </w:tcPr>
          <w:p>
            <w:pPr>
              <w:spacing w:after="0"/>
              <w:rPr>
                <w:sz w:val="1"/>
                <w:szCs w:val="1"/>
                <w:color w:val="auto"/>
              </w:rPr>
            </w:pPr>
          </w:p>
        </w:tc>
      </w:tr>
      <w:tr>
        <w:trPr>
          <w:trHeight w:val="130"/>
        </w:trPr>
        <w:tc>
          <w:tcPr>
            <w:tcW w:w="3980" w:type="dxa"/>
            <w:vAlign w:val="bottom"/>
            <w:vMerge w:val="restart"/>
          </w:tcPr>
          <w:p>
            <w:pPr>
              <w:ind w:left="40"/>
              <w:spacing w:after="0"/>
              <w:rPr>
                <w:sz w:val="20"/>
                <w:szCs w:val="20"/>
                <w:color w:val="auto"/>
              </w:rPr>
            </w:pPr>
            <w:r>
              <w:rPr>
                <w:rFonts w:ascii="Times New Roman" w:cs="Times New Roman" w:eastAsia="Times New Roman" w:hAnsi="Times New Roman"/>
                <w:sz w:val="11"/>
                <w:szCs w:val="11"/>
                <w:color w:val="auto"/>
              </w:rPr>
              <w:t>Member of the Board</w:t>
            </w:r>
          </w:p>
        </w:tc>
        <w:tc>
          <w:tcPr>
            <w:tcW w:w="2080" w:type="dxa"/>
            <w:vAlign w:val="bottom"/>
            <w:tcBorders>
              <w:right w:val="single" w:sz="8" w:color="auto"/>
            </w:tcBorders>
            <w:vMerge w:val="restart"/>
          </w:tcPr>
          <w:p>
            <w:pPr>
              <w:ind w:left="1000"/>
              <w:spacing w:after="0"/>
              <w:rPr>
                <w:sz w:val="20"/>
                <w:szCs w:val="20"/>
                <w:color w:val="auto"/>
              </w:rPr>
            </w:pPr>
            <w:r>
              <w:rPr>
                <w:rFonts w:ascii="Times New Roman" w:cs="Times New Roman" w:eastAsia="Times New Roman" w:hAnsi="Times New Roman"/>
                <w:sz w:val="11"/>
                <w:szCs w:val="11"/>
                <w:color w:val="auto"/>
              </w:rPr>
              <w:t>4 of 4</w:t>
            </w:r>
          </w:p>
        </w:tc>
        <w:tc>
          <w:tcPr>
            <w:tcW w:w="760" w:type="dxa"/>
            <w:vAlign w:val="bottom"/>
          </w:tcPr>
          <w:p>
            <w:pPr>
              <w:spacing w:after="0"/>
              <w:rPr>
                <w:sz w:val="11"/>
                <w:szCs w:val="11"/>
                <w:color w:val="auto"/>
              </w:rPr>
            </w:pPr>
          </w:p>
        </w:tc>
        <w:tc>
          <w:tcPr>
            <w:tcW w:w="1320" w:type="dxa"/>
            <w:vAlign w:val="bottom"/>
            <w:tcBorders>
              <w:right w:val="single" w:sz="8" w:color="auto"/>
            </w:tcBorders>
            <w:vMerge w:val="restart"/>
          </w:tcPr>
          <w:p>
            <w:pPr>
              <w:jc w:val="right"/>
              <w:ind w:right="886"/>
              <w:spacing w:after="0"/>
              <w:rPr>
                <w:sz w:val="20"/>
                <w:szCs w:val="20"/>
                <w:color w:val="auto"/>
              </w:rPr>
            </w:pPr>
            <w:r>
              <w:rPr>
                <w:rFonts w:ascii="Times New Roman" w:cs="Times New Roman" w:eastAsia="Times New Roman" w:hAnsi="Times New Roman"/>
                <w:sz w:val="11"/>
                <w:szCs w:val="11"/>
                <w:color w:val="auto"/>
              </w:rPr>
              <w:t>100%</w:t>
            </w:r>
          </w:p>
        </w:tc>
        <w:tc>
          <w:tcPr>
            <w:tcW w:w="316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7"/>
              </w:rPr>
              <w:t>None.</w:t>
            </w:r>
          </w:p>
        </w:tc>
        <w:tc>
          <w:tcPr>
            <w:tcW w:w="0" w:type="dxa"/>
            <w:vAlign w:val="bottom"/>
          </w:tcPr>
          <w:p>
            <w:pPr>
              <w:spacing w:after="0"/>
              <w:rPr>
                <w:sz w:val="1"/>
                <w:szCs w:val="1"/>
                <w:color w:val="auto"/>
              </w:rPr>
            </w:pPr>
          </w:p>
        </w:tc>
      </w:tr>
      <w:tr>
        <w:trPr>
          <w:trHeight w:val="36"/>
        </w:trPr>
        <w:tc>
          <w:tcPr>
            <w:tcW w:w="3980" w:type="dxa"/>
            <w:vAlign w:val="bottom"/>
            <w:vMerge w:val="continue"/>
          </w:tcPr>
          <w:p>
            <w:pPr>
              <w:spacing w:after="0"/>
              <w:rPr>
                <w:sz w:val="3"/>
                <w:szCs w:val="3"/>
                <w:color w:val="auto"/>
              </w:rPr>
            </w:pPr>
          </w:p>
        </w:tc>
        <w:tc>
          <w:tcPr>
            <w:tcW w:w="2080" w:type="dxa"/>
            <w:vAlign w:val="bottom"/>
            <w:tcBorders>
              <w:right w:val="single" w:sz="8" w:color="auto"/>
            </w:tcBorders>
            <w:vMerge w:val="continue"/>
          </w:tcPr>
          <w:p>
            <w:pPr>
              <w:spacing w:after="0"/>
              <w:rPr>
                <w:sz w:val="3"/>
                <w:szCs w:val="3"/>
                <w:color w:val="auto"/>
              </w:rPr>
            </w:pPr>
          </w:p>
        </w:tc>
        <w:tc>
          <w:tcPr>
            <w:tcW w:w="760" w:type="dxa"/>
            <w:vAlign w:val="bottom"/>
          </w:tcPr>
          <w:p>
            <w:pPr>
              <w:spacing w:after="0"/>
              <w:rPr>
                <w:sz w:val="3"/>
                <w:szCs w:val="3"/>
                <w:color w:val="auto"/>
              </w:rPr>
            </w:pPr>
          </w:p>
        </w:tc>
        <w:tc>
          <w:tcPr>
            <w:tcW w:w="1320" w:type="dxa"/>
            <w:vAlign w:val="bottom"/>
            <w:tcBorders>
              <w:right w:val="single" w:sz="8" w:color="auto"/>
            </w:tcBorders>
            <w:vMerge w:val="continue"/>
          </w:tcPr>
          <w:p>
            <w:pPr>
              <w:spacing w:after="0"/>
              <w:rPr>
                <w:sz w:val="3"/>
                <w:szCs w:val="3"/>
                <w:color w:val="auto"/>
              </w:rPr>
            </w:pPr>
          </w:p>
        </w:tc>
        <w:tc>
          <w:tcPr>
            <w:tcW w:w="316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53"/>
        </w:trPr>
        <w:tc>
          <w:tcPr>
            <w:tcW w:w="3980" w:type="dxa"/>
            <w:vAlign w:val="bottom"/>
          </w:tcPr>
          <w:p>
            <w:pPr>
              <w:ind w:left="40"/>
              <w:spacing w:after="0"/>
              <w:rPr>
                <w:sz w:val="20"/>
                <w:szCs w:val="20"/>
                <w:color w:val="auto"/>
              </w:rPr>
            </w:pPr>
            <w:r>
              <w:rPr>
                <w:rFonts w:ascii="Times New Roman" w:cs="Times New Roman" w:eastAsia="Times New Roman" w:hAnsi="Times New Roman"/>
                <w:sz w:val="11"/>
                <w:szCs w:val="11"/>
                <w:color w:val="auto"/>
              </w:rPr>
              <w:t>Member of the Audit Committee</w:t>
            </w:r>
          </w:p>
        </w:tc>
        <w:tc>
          <w:tcPr>
            <w:tcW w:w="2080" w:type="dxa"/>
            <w:vAlign w:val="bottom"/>
            <w:tcBorders>
              <w:right w:val="single" w:sz="8" w:color="auto"/>
            </w:tcBorders>
          </w:tcPr>
          <w:p>
            <w:pPr>
              <w:ind w:left="1000"/>
              <w:spacing w:after="0"/>
              <w:rPr>
                <w:sz w:val="20"/>
                <w:szCs w:val="20"/>
                <w:color w:val="auto"/>
              </w:rPr>
            </w:pPr>
            <w:r>
              <w:rPr>
                <w:rFonts w:ascii="Times New Roman" w:cs="Times New Roman" w:eastAsia="Times New Roman" w:hAnsi="Times New Roman"/>
                <w:sz w:val="11"/>
                <w:szCs w:val="11"/>
                <w:color w:val="auto"/>
              </w:rPr>
              <w:t>4 of 4</w:t>
            </w:r>
          </w:p>
        </w:tc>
        <w:tc>
          <w:tcPr>
            <w:tcW w:w="760" w:type="dxa"/>
            <w:vAlign w:val="bottom"/>
          </w:tcPr>
          <w:p>
            <w:pPr>
              <w:spacing w:after="0"/>
              <w:rPr>
                <w:sz w:val="13"/>
                <w:szCs w:val="13"/>
                <w:color w:val="auto"/>
              </w:rPr>
            </w:pPr>
          </w:p>
        </w:tc>
        <w:tc>
          <w:tcPr>
            <w:tcW w:w="1320" w:type="dxa"/>
            <w:vAlign w:val="bottom"/>
            <w:tcBorders>
              <w:right w:val="single" w:sz="8" w:color="auto"/>
            </w:tcBorders>
          </w:tcPr>
          <w:p>
            <w:pPr>
              <w:jc w:val="right"/>
              <w:ind w:right="886"/>
              <w:spacing w:after="0"/>
              <w:rPr>
                <w:sz w:val="20"/>
                <w:szCs w:val="20"/>
                <w:color w:val="auto"/>
              </w:rPr>
            </w:pPr>
            <w:r>
              <w:rPr>
                <w:rFonts w:ascii="Times New Roman" w:cs="Times New Roman" w:eastAsia="Times New Roman" w:hAnsi="Times New Roman"/>
                <w:sz w:val="11"/>
                <w:szCs w:val="11"/>
                <w:color w:val="auto"/>
              </w:rPr>
              <w:t>100%</w:t>
            </w:r>
          </w:p>
        </w:tc>
        <w:tc>
          <w:tcPr>
            <w:tcW w:w="31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3980" w:type="dxa"/>
            <w:vAlign w:val="bottom"/>
          </w:tcPr>
          <w:p>
            <w:pPr>
              <w:ind w:left="40"/>
              <w:spacing w:after="0"/>
              <w:rPr>
                <w:sz w:val="20"/>
                <w:szCs w:val="20"/>
                <w:color w:val="auto"/>
              </w:rPr>
            </w:pPr>
            <w:r>
              <w:rPr>
                <w:rFonts w:ascii="Times New Roman" w:cs="Times New Roman" w:eastAsia="Times New Roman" w:hAnsi="Times New Roman"/>
                <w:sz w:val="11"/>
                <w:szCs w:val="11"/>
                <w:color w:val="auto"/>
              </w:rPr>
              <w:t>Member of the Compensation Committee</w:t>
            </w:r>
          </w:p>
        </w:tc>
        <w:tc>
          <w:tcPr>
            <w:tcW w:w="2080" w:type="dxa"/>
            <w:vAlign w:val="bottom"/>
            <w:tcBorders>
              <w:right w:val="single" w:sz="8" w:color="auto"/>
            </w:tcBorders>
          </w:tcPr>
          <w:p>
            <w:pPr>
              <w:ind w:left="1000"/>
              <w:spacing w:after="0"/>
              <w:rPr>
                <w:sz w:val="20"/>
                <w:szCs w:val="20"/>
                <w:color w:val="auto"/>
              </w:rPr>
            </w:pPr>
            <w:r>
              <w:rPr>
                <w:rFonts w:ascii="Times New Roman" w:cs="Times New Roman" w:eastAsia="Times New Roman" w:hAnsi="Times New Roman"/>
                <w:sz w:val="11"/>
                <w:szCs w:val="11"/>
                <w:color w:val="auto"/>
              </w:rPr>
              <w:t>3 of 3</w:t>
            </w:r>
          </w:p>
        </w:tc>
        <w:tc>
          <w:tcPr>
            <w:tcW w:w="760" w:type="dxa"/>
            <w:vAlign w:val="bottom"/>
          </w:tcPr>
          <w:p>
            <w:pPr>
              <w:spacing w:after="0"/>
              <w:rPr>
                <w:sz w:val="13"/>
                <w:szCs w:val="13"/>
                <w:color w:val="auto"/>
              </w:rPr>
            </w:pPr>
          </w:p>
        </w:tc>
        <w:tc>
          <w:tcPr>
            <w:tcW w:w="1320" w:type="dxa"/>
            <w:vAlign w:val="bottom"/>
            <w:tcBorders>
              <w:right w:val="single" w:sz="8" w:color="auto"/>
            </w:tcBorders>
          </w:tcPr>
          <w:p>
            <w:pPr>
              <w:jc w:val="right"/>
              <w:ind w:right="886"/>
              <w:spacing w:after="0"/>
              <w:rPr>
                <w:sz w:val="20"/>
                <w:szCs w:val="20"/>
                <w:color w:val="auto"/>
              </w:rPr>
            </w:pPr>
            <w:r>
              <w:rPr>
                <w:rFonts w:ascii="Times New Roman" w:cs="Times New Roman" w:eastAsia="Times New Roman" w:hAnsi="Times New Roman"/>
                <w:sz w:val="11"/>
                <w:szCs w:val="11"/>
                <w:color w:val="auto"/>
              </w:rPr>
              <w:t>100%</w:t>
            </w:r>
          </w:p>
        </w:tc>
        <w:tc>
          <w:tcPr>
            <w:tcW w:w="31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0"/>
        </w:trPr>
        <w:tc>
          <w:tcPr>
            <w:tcW w:w="6060" w:type="dxa"/>
            <w:vAlign w:val="bottom"/>
            <w:tcBorders>
              <w:bottom w:val="single" w:sz="8" w:color="auto"/>
              <w:right w:val="single" w:sz="8" w:color="auto"/>
            </w:tcBorders>
            <w:gridSpan w:val="2"/>
          </w:tcPr>
          <w:p>
            <w:pPr>
              <w:spacing w:after="0"/>
              <w:rPr>
                <w:sz w:val="3"/>
                <w:szCs w:val="3"/>
                <w:color w:val="auto"/>
              </w:rPr>
            </w:pPr>
          </w:p>
        </w:tc>
        <w:tc>
          <w:tcPr>
            <w:tcW w:w="760" w:type="dxa"/>
            <w:vAlign w:val="bottom"/>
            <w:tcBorders>
              <w:bottom w:val="single" w:sz="8" w:color="auto"/>
            </w:tcBorders>
          </w:tcPr>
          <w:p>
            <w:pPr>
              <w:spacing w:after="0"/>
              <w:rPr>
                <w:sz w:val="3"/>
                <w:szCs w:val="3"/>
                <w:color w:val="auto"/>
              </w:rPr>
            </w:pPr>
          </w:p>
        </w:tc>
        <w:tc>
          <w:tcPr>
            <w:tcW w:w="1320" w:type="dxa"/>
            <w:vAlign w:val="bottom"/>
            <w:tcBorders>
              <w:bottom w:val="single" w:sz="8" w:color="auto"/>
              <w:right w:val="single" w:sz="8" w:color="auto"/>
            </w:tcBorders>
          </w:tcPr>
          <w:p>
            <w:pPr>
              <w:spacing w:after="0"/>
              <w:rPr>
                <w:sz w:val="3"/>
                <w:szCs w:val="3"/>
                <w:color w:val="auto"/>
              </w:rPr>
            </w:pPr>
          </w:p>
        </w:tc>
        <w:tc>
          <w:tcPr>
            <w:tcW w:w="316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32"/>
        </w:trPr>
        <w:tc>
          <w:tcPr>
            <w:tcW w:w="6820" w:type="dxa"/>
            <w:vAlign w:val="bottom"/>
            <w:tcBorders>
              <w:bottom w:val="single" w:sz="8" w:color="auto"/>
            </w:tcBorders>
            <w:gridSpan w:val="3"/>
          </w:tcPr>
          <w:p>
            <w:pPr>
              <w:ind w:left="2400"/>
              <w:spacing w:after="0"/>
              <w:rPr>
                <w:sz w:val="20"/>
                <w:szCs w:val="20"/>
                <w:color w:val="auto"/>
              </w:rPr>
            </w:pPr>
            <w:r>
              <w:rPr>
                <w:rFonts w:ascii="Times New Roman" w:cs="Times New Roman" w:eastAsia="Times New Roman" w:hAnsi="Times New Roman"/>
                <w:sz w:val="11"/>
                <w:szCs w:val="11"/>
                <w:b w:val="1"/>
                <w:bCs w:val="1"/>
                <w:color w:val="auto"/>
              </w:rPr>
              <w:t>Number of Common Shares Beneficially Owned, Controlled or Directed</w:t>
            </w:r>
          </w:p>
        </w:tc>
        <w:tc>
          <w:tcPr>
            <w:tcW w:w="1320" w:type="dxa"/>
            <w:vAlign w:val="bottom"/>
            <w:tcBorders>
              <w:bottom w:val="single" w:sz="8" w:color="auto"/>
              <w:right w:val="single" w:sz="8" w:color="auto"/>
            </w:tcBorders>
          </w:tcPr>
          <w:p>
            <w:pPr>
              <w:spacing w:after="0"/>
              <w:rPr>
                <w:sz w:val="11"/>
                <w:szCs w:val="11"/>
                <w:color w:val="auto"/>
              </w:rPr>
            </w:pPr>
          </w:p>
        </w:tc>
        <w:tc>
          <w:tcPr>
            <w:tcW w:w="31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1"/>
                <w:szCs w:val="11"/>
                <w:color w:val="auto"/>
                <w:w w:val="96"/>
              </w:rPr>
              <w:t>5,263</w:t>
            </w:r>
          </w:p>
        </w:tc>
        <w:tc>
          <w:tcPr>
            <w:tcW w:w="0" w:type="dxa"/>
            <w:vAlign w:val="bottom"/>
          </w:tcPr>
          <w:p>
            <w:pPr>
              <w:spacing w:after="0"/>
              <w:rPr>
                <w:sz w:val="1"/>
                <w:szCs w:val="1"/>
                <w:color w:val="auto"/>
              </w:rPr>
            </w:pPr>
          </w:p>
        </w:tc>
      </w:tr>
    </w:tbl>
    <w:p>
      <w:pPr>
        <w:sectPr>
          <w:pgSz w:w="11900" w:h="16838" w:orient="portrait"/>
          <w:cols w:equalWidth="0" w:num="1">
            <w:col w:w="11300"/>
          </w:cols>
          <w:pgMar w:left="300" w:top="125" w:right="299" w:bottom="1440" w:gutter="0" w:footer="0" w:header="0"/>
        </w:sectPr>
      </w:pPr>
    </w:p>
    <w:bookmarkStart w:id="31" w:name="page32"/>
    <w:bookmarkEnd w:id="31"/>
    <w:p>
      <w:pPr>
        <w:spacing w:after="0" w:line="1" w:lineRule="exact"/>
        <w:rPr>
          <w:sz w:val="20"/>
          <w:szCs w:val="20"/>
          <w:color w:val="auto"/>
        </w:rPr>
      </w:pPr>
    </w:p>
    <w:tbl>
      <w:tblPr>
        <w:tblLayout w:type="fixed"/>
        <w:tblInd w:w="10" w:type="dxa"/>
        <w:tblCellMar>
          <w:top w:w="0" w:type="dxa"/>
          <w:left w:w="0" w:type="dxa"/>
          <w:bottom w:w="0" w:type="dxa"/>
          <w:right w:w="0" w:type="dxa"/>
        </w:tblCellMar>
      </w:tblPr>
      <w:tr>
        <w:trPr>
          <w:trHeight w:val="171"/>
        </w:trPr>
        <w:tc>
          <w:tcPr>
            <w:tcW w:w="3940" w:type="dxa"/>
            <w:vAlign w:val="bottom"/>
          </w:tcPr>
          <w:p>
            <w:pPr>
              <w:spacing w:after="0"/>
              <w:rPr>
                <w:sz w:val="14"/>
                <w:szCs w:val="14"/>
                <w:color w:val="auto"/>
              </w:rPr>
            </w:pPr>
          </w:p>
        </w:tc>
        <w:tc>
          <w:tcPr>
            <w:tcW w:w="2040" w:type="dxa"/>
            <w:vAlign w:val="bottom"/>
            <w:gridSpan w:val="2"/>
          </w:tcPr>
          <w:p>
            <w:pPr>
              <w:ind w:left="1560"/>
              <w:spacing w:after="0"/>
              <w:rPr>
                <w:sz w:val="20"/>
                <w:szCs w:val="20"/>
                <w:color w:val="auto"/>
              </w:rPr>
            </w:pPr>
            <w:r>
              <w:rPr>
                <w:rFonts w:ascii="Times New Roman" w:cs="Times New Roman" w:eastAsia="Times New Roman" w:hAnsi="Times New Roman"/>
                <w:sz w:val="13"/>
                <w:szCs w:val="13"/>
                <w:color w:val="auto"/>
              </w:rPr>
              <w:t>- 28 -</w:t>
            </w:r>
          </w:p>
        </w:tc>
        <w:tc>
          <w:tcPr>
            <w:tcW w:w="74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33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725"/>
        </w:trPr>
        <w:tc>
          <w:tcPr>
            <w:tcW w:w="394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820" w:type="dxa"/>
            <w:vAlign w:val="bottom"/>
            <w:tcBorders>
              <w:bottom w:val="single" w:sz="8" w:color="auto"/>
            </w:tcBorders>
          </w:tcPr>
          <w:p>
            <w:pPr>
              <w:spacing w:after="0"/>
              <w:rPr>
                <w:sz w:val="24"/>
                <w:szCs w:val="24"/>
                <w:color w:val="auto"/>
              </w:rPr>
            </w:pPr>
          </w:p>
        </w:tc>
        <w:tc>
          <w:tcPr>
            <w:tcW w:w="2020" w:type="dxa"/>
            <w:vAlign w:val="bottom"/>
            <w:tcBorders>
              <w:bottom w:val="single" w:sz="8" w:color="auto"/>
            </w:tcBorders>
            <w:gridSpan w:val="2"/>
          </w:tcPr>
          <w:p>
            <w:pPr>
              <w:spacing w:after="0"/>
              <w:rPr>
                <w:sz w:val="24"/>
                <w:szCs w:val="24"/>
                <w:color w:val="auto"/>
              </w:rPr>
            </w:pPr>
          </w:p>
        </w:tc>
        <w:tc>
          <w:tcPr>
            <w:tcW w:w="33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32"/>
        </w:trPr>
        <w:tc>
          <w:tcPr>
            <w:tcW w:w="3940" w:type="dxa"/>
            <w:vAlign w:val="bottom"/>
            <w:tcBorders>
              <w:left w:val="single" w:sz="8" w:color="auto"/>
              <w:bottom w:val="single" w:sz="8" w:color="auto"/>
              <w:right w:val="single" w:sz="8" w:color="D9D9D9"/>
            </w:tcBorders>
            <w:shd w:val="clear" w:color="auto" w:fill="D9D9D9"/>
          </w:tcPr>
          <w:p>
            <w:pPr>
              <w:ind w:left="40"/>
              <w:spacing w:after="0"/>
              <w:rPr>
                <w:sz w:val="20"/>
                <w:szCs w:val="20"/>
                <w:color w:val="auto"/>
              </w:rPr>
            </w:pPr>
            <w:r>
              <w:rPr>
                <w:rFonts w:ascii="Times New Roman" w:cs="Times New Roman" w:eastAsia="Times New Roman" w:hAnsi="Times New Roman"/>
                <w:sz w:val="11"/>
                <w:szCs w:val="11"/>
                <w:b w:val="1"/>
                <w:bCs w:val="1"/>
                <w:color w:val="auto"/>
              </w:rPr>
              <w:t>PAUL GLAVINE</w:t>
            </w:r>
          </w:p>
        </w:tc>
        <w:tc>
          <w:tcPr>
            <w:tcW w:w="220" w:type="dxa"/>
            <w:vAlign w:val="bottom"/>
            <w:tcBorders>
              <w:bottom w:val="single" w:sz="8" w:color="auto"/>
              <w:right w:val="single" w:sz="8" w:color="D9D9D9"/>
            </w:tcBorders>
            <w:shd w:val="clear" w:color="auto" w:fill="D9D9D9"/>
          </w:tcPr>
          <w:p>
            <w:pPr>
              <w:spacing w:after="0"/>
              <w:rPr>
                <w:sz w:val="11"/>
                <w:szCs w:val="11"/>
                <w:color w:val="auto"/>
              </w:rPr>
            </w:pPr>
          </w:p>
        </w:tc>
        <w:tc>
          <w:tcPr>
            <w:tcW w:w="1820" w:type="dxa"/>
            <w:vAlign w:val="bottom"/>
            <w:tcBorders>
              <w:bottom w:val="single" w:sz="8" w:color="auto"/>
              <w:right w:val="single" w:sz="8" w:color="D9D9D9"/>
            </w:tcBorders>
            <w:shd w:val="clear" w:color="auto" w:fill="D9D9D9"/>
          </w:tcPr>
          <w:p>
            <w:pPr>
              <w:spacing w:after="0"/>
              <w:rPr>
                <w:sz w:val="11"/>
                <w:szCs w:val="11"/>
                <w:color w:val="auto"/>
              </w:rPr>
            </w:pPr>
          </w:p>
        </w:tc>
        <w:tc>
          <w:tcPr>
            <w:tcW w:w="5340" w:type="dxa"/>
            <w:vAlign w:val="bottom"/>
            <w:tcBorders>
              <w:bottom w:val="single" w:sz="8" w:color="auto"/>
              <w:right w:val="single" w:sz="8" w:color="auto"/>
            </w:tcBorders>
            <w:gridSpan w:val="3"/>
            <w:shd w:val="clear" w:color="auto" w:fill="D9D9D9"/>
          </w:tcPr>
          <w:p>
            <w:pPr>
              <w:jc w:val="right"/>
              <w:ind w:right="2446"/>
              <w:spacing w:after="0"/>
              <w:rPr>
                <w:sz w:val="20"/>
                <w:szCs w:val="20"/>
                <w:color w:val="auto"/>
              </w:rPr>
            </w:pPr>
            <w:r>
              <w:rPr>
                <w:rFonts w:ascii="Times New Roman" w:cs="Times New Roman" w:eastAsia="Times New Roman" w:hAnsi="Times New Roman"/>
                <w:sz w:val="11"/>
                <w:szCs w:val="11"/>
                <w:b w:val="1"/>
                <w:bCs w:val="1"/>
                <w:color w:val="auto"/>
              </w:rPr>
              <w:t>Principal Occupation and Biographical Information</w:t>
            </w:r>
          </w:p>
        </w:tc>
        <w:tc>
          <w:tcPr>
            <w:tcW w:w="0" w:type="dxa"/>
            <w:vAlign w:val="bottom"/>
          </w:tcPr>
          <w:p>
            <w:pPr>
              <w:spacing w:after="0"/>
              <w:rPr>
                <w:sz w:val="1"/>
                <w:szCs w:val="1"/>
                <w:color w:val="auto"/>
              </w:rPr>
            </w:pPr>
          </w:p>
        </w:tc>
      </w:tr>
      <w:tr>
        <w:trPr>
          <w:trHeight w:val="134"/>
        </w:trPr>
        <w:tc>
          <w:tcPr>
            <w:tcW w:w="3940" w:type="dxa"/>
            <w:vAlign w:val="bottom"/>
            <w:tcBorders>
              <w:left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1"/>
                <w:szCs w:val="11"/>
                <w:color w:val="auto"/>
              </w:rPr>
              <w:t>Dubai, United Arab Emirates</w:t>
            </w:r>
          </w:p>
        </w:tc>
        <w:tc>
          <w:tcPr>
            <w:tcW w:w="7380" w:type="dxa"/>
            <w:vAlign w:val="bottom"/>
            <w:tcBorders>
              <w:right w:val="single" w:sz="8" w:color="auto"/>
            </w:tcBorders>
            <w:gridSpan w:val="5"/>
          </w:tcPr>
          <w:p>
            <w:pPr>
              <w:ind w:left="40"/>
              <w:spacing w:after="0"/>
              <w:rPr>
                <w:sz w:val="20"/>
                <w:szCs w:val="20"/>
                <w:color w:val="auto"/>
              </w:rPr>
            </w:pPr>
            <w:r>
              <w:rPr>
                <w:rFonts w:ascii="Times New Roman" w:cs="Times New Roman" w:eastAsia="Times New Roman" w:hAnsi="Times New Roman"/>
                <w:sz w:val="11"/>
                <w:szCs w:val="11"/>
                <w:color w:val="auto"/>
                <w:w w:val="99"/>
              </w:rPr>
              <w:t>Paul Glavine is a Co-founder, the Chief Growth Officer, and a Director of the Corporation with extensive expertise as a serial entrepreneur and investor in the biotech</w:t>
            </w:r>
          </w:p>
        </w:tc>
        <w:tc>
          <w:tcPr>
            <w:tcW w:w="0" w:type="dxa"/>
            <w:vAlign w:val="bottom"/>
          </w:tcPr>
          <w:p>
            <w:pPr>
              <w:spacing w:after="0"/>
              <w:rPr>
                <w:sz w:val="1"/>
                <w:szCs w:val="1"/>
                <w:color w:val="auto"/>
              </w:rPr>
            </w:pPr>
          </w:p>
        </w:tc>
      </w:tr>
      <w:tr>
        <w:trPr>
          <w:trHeight w:val="126"/>
        </w:trPr>
        <w:tc>
          <w:tcPr>
            <w:tcW w:w="3940" w:type="dxa"/>
            <w:vAlign w:val="bottom"/>
            <w:tcBorders>
              <w:left w:val="single" w:sz="8" w:color="auto"/>
              <w:right w:val="single" w:sz="8" w:color="auto"/>
            </w:tcBorders>
            <w:vMerge w:val="restart"/>
          </w:tcPr>
          <w:p>
            <w:pPr>
              <w:ind w:left="40"/>
              <w:spacing w:after="0"/>
              <w:rPr>
                <w:sz w:val="20"/>
                <w:szCs w:val="20"/>
                <w:color w:val="auto"/>
              </w:rPr>
            </w:pPr>
            <w:r>
              <w:rPr>
                <w:rFonts w:ascii="Times New Roman" w:cs="Times New Roman" w:eastAsia="Times New Roman" w:hAnsi="Times New Roman"/>
                <w:sz w:val="11"/>
                <w:szCs w:val="11"/>
                <w:color w:val="auto"/>
              </w:rPr>
              <w:t>Director Since: November 5, 2020</w:t>
            </w:r>
          </w:p>
        </w:tc>
        <w:tc>
          <w:tcPr>
            <w:tcW w:w="7380" w:type="dxa"/>
            <w:vAlign w:val="bottom"/>
            <w:tcBorders>
              <w:right w:val="single" w:sz="8" w:color="auto"/>
            </w:tcBorders>
            <w:gridSpan w:val="5"/>
          </w:tcPr>
          <w:p>
            <w:pPr>
              <w:jc w:val="right"/>
              <w:ind w:right="26"/>
              <w:spacing w:after="0"/>
              <w:rPr>
                <w:sz w:val="20"/>
                <w:szCs w:val="20"/>
                <w:color w:val="auto"/>
              </w:rPr>
            </w:pPr>
            <w:r>
              <w:rPr>
                <w:rFonts w:ascii="Times New Roman" w:cs="Times New Roman" w:eastAsia="Times New Roman" w:hAnsi="Times New Roman"/>
                <w:sz w:val="11"/>
                <w:szCs w:val="11"/>
                <w:color w:val="auto"/>
              </w:rPr>
              <w:t>and life sciences sectors. As the founding CEO of the Corporation, he has been instrumental in advancing psychedelic therapeutics. Additionally, he co-founded</w:t>
            </w:r>
          </w:p>
        </w:tc>
        <w:tc>
          <w:tcPr>
            <w:tcW w:w="0" w:type="dxa"/>
            <w:vAlign w:val="bottom"/>
          </w:tcPr>
          <w:p>
            <w:pPr>
              <w:spacing w:after="0"/>
              <w:rPr>
                <w:sz w:val="1"/>
                <w:szCs w:val="1"/>
                <w:color w:val="auto"/>
              </w:rPr>
            </w:pPr>
          </w:p>
        </w:tc>
      </w:tr>
      <w:tr>
        <w:trPr>
          <w:trHeight w:val="59"/>
        </w:trPr>
        <w:tc>
          <w:tcPr>
            <w:tcW w:w="3940" w:type="dxa"/>
            <w:vAlign w:val="bottom"/>
            <w:tcBorders>
              <w:left w:val="single" w:sz="8" w:color="auto"/>
              <w:right w:val="single" w:sz="8" w:color="auto"/>
            </w:tcBorders>
            <w:vMerge w:val="continue"/>
          </w:tcPr>
          <w:p>
            <w:pPr>
              <w:spacing w:after="0"/>
              <w:rPr>
                <w:sz w:val="5"/>
                <w:szCs w:val="5"/>
                <w:color w:val="auto"/>
              </w:rPr>
            </w:pPr>
          </w:p>
        </w:tc>
        <w:tc>
          <w:tcPr>
            <w:tcW w:w="7380" w:type="dxa"/>
            <w:vAlign w:val="bottom"/>
            <w:tcBorders>
              <w:right w:val="single" w:sz="8" w:color="auto"/>
            </w:tcBorders>
            <w:gridSpan w:val="5"/>
            <w:vMerge w:val="restart"/>
          </w:tcPr>
          <w:p>
            <w:pPr>
              <w:jc w:val="right"/>
              <w:ind w:right="26"/>
              <w:spacing w:after="0"/>
              <w:rPr>
                <w:sz w:val="20"/>
                <w:szCs w:val="20"/>
                <w:color w:val="auto"/>
              </w:rPr>
            </w:pPr>
            <w:r>
              <w:rPr>
                <w:rFonts w:ascii="Times New Roman" w:cs="Times New Roman" w:eastAsia="Times New Roman" w:hAnsi="Times New Roman"/>
                <w:sz w:val="11"/>
                <w:szCs w:val="11"/>
                <w:color w:val="auto"/>
                <w:w w:val="99"/>
              </w:rPr>
              <w:t>Truverra, which focuses on cannabinoid-based therapies for pain management, which was acquired by Supreme Cannabis Company. Over the past six years, Paul has</w:t>
            </w:r>
          </w:p>
        </w:tc>
        <w:tc>
          <w:tcPr>
            <w:tcW w:w="0" w:type="dxa"/>
            <w:vAlign w:val="bottom"/>
          </w:tcPr>
          <w:p>
            <w:pPr>
              <w:spacing w:after="0"/>
              <w:rPr>
                <w:sz w:val="1"/>
                <w:szCs w:val="1"/>
                <w:color w:val="auto"/>
              </w:rPr>
            </w:pPr>
          </w:p>
        </w:tc>
      </w:tr>
      <w:tr>
        <w:trPr>
          <w:trHeight w:val="67"/>
        </w:trPr>
        <w:tc>
          <w:tcPr>
            <w:tcW w:w="3940" w:type="dxa"/>
            <w:vAlign w:val="bottom"/>
            <w:tcBorders>
              <w:left w:val="single" w:sz="8" w:color="auto"/>
              <w:right w:val="single" w:sz="8" w:color="auto"/>
            </w:tcBorders>
            <w:vMerge w:val="restart"/>
          </w:tcPr>
          <w:p>
            <w:pPr>
              <w:ind w:left="40"/>
              <w:spacing w:after="0"/>
              <w:rPr>
                <w:sz w:val="20"/>
                <w:szCs w:val="20"/>
                <w:color w:val="auto"/>
              </w:rPr>
            </w:pPr>
            <w:r>
              <w:rPr>
                <w:rFonts w:ascii="Times New Roman" w:cs="Times New Roman" w:eastAsia="Times New Roman" w:hAnsi="Times New Roman"/>
                <w:sz w:val="11"/>
                <w:szCs w:val="11"/>
                <w:b w:val="1"/>
                <w:bCs w:val="1"/>
                <w:color w:val="auto"/>
              </w:rPr>
              <w:t>NOT INDEPENDENT</w:t>
            </w:r>
          </w:p>
        </w:tc>
        <w:tc>
          <w:tcPr>
            <w:tcW w:w="7380" w:type="dxa"/>
            <w:vAlign w:val="bottom"/>
            <w:tcBorders>
              <w:right w:val="single" w:sz="8" w:color="auto"/>
            </w:tcBorders>
            <w:gridSpan w:val="5"/>
            <w:vMerge w:val="continue"/>
          </w:tcPr>
          <w:p>
            <w:pPr>
              <w:spacing w:after="0"/>
              <w:rPr>
                <w:sz w:val="5"/>
                <w:szCs w:val="5"/>
                <w:color w:val="auto"/>
              </w:rPr>
            </w:pPr>
          </w:p>
        </w:tc>
        <w:tc>
          <w:tcPr>
            <w:tcW w:w="0" w:type="dxa"/>
            <w:vAlign w:val="bottom"/>
          </w:tcPr>
          <w:p>
            <w:pPr>
              <w:spacing w:after="0"/>
              <w:rPr>
                <w:sz w:val="1"/>
                <w:szCs w:val="1"/>
                <w:color w:val="auto"/>
              </w:rPr>
            </w:pPr>
          </w:p>
        </w:tc>
      </w:tr>
      <w:tr>
        <w:trPr>
          <w:trHeight w:val="86"/>
        </w:trPr>
        <w:tc>
          <w:tcPr>
            <w:tcW w:w="3940" w:type="dxa"/>
            <w:vAlign w:val="bottom"/>
            <w:tcBorders>
              <w:left w:val="single" w:sz="8" w:color="auto"/>
              <w:right w:val="single" w:sz="8" w:color="auto"/>
            </w:tcBorders>
            <w:vMerge w:val="continue"/>
          </w:tcPr>
          <w:p>
            <w:pPr>
              <w:spacing w:after="0"/>
              <w:rPr>
                <w:sz w:val="7"/>
                <w:szCs w:val="7"/>
                <w:color w:val="auto"/>
              </w:rPr>
            </w:pPr>
          </w:p>
        </w:tc>
        <w:tc>
          <w:tcPr>
            <w:tcW w:w="7380" w:type="dxa"/>
            <w:vAlign w:val="bottom"/>
            <w:tcBorders>
              <w:right w:val="single" w:sz="8" w:color="auto"/>
            </w:tcBorders>
            <w:gridSpan w:val="5"/>
            <w:vMerge w:val="restart"/>
          </w:tcPr>
          <w:p>
            <w:pPr>
              <w:ind w:left="40"/>
              <w:spacing w:after="0"/>
              <w:rPr>
                <w:sz w:val="20"/>
                <w:szCs w:val="20"/>
                <w:color w:val="auto"/>
              </w:rPr>
            </w:pPr>
            <w:r>
              <w:rPr>
                <w:rFonts w:ascii="Times New Roman" w:cs="Times New Roman" w:eastAsia="Times New Roman" w:hAnsi="Times New Roman"/>
                <w:sz w:val="11"/>
                <w:szCs w:val="11"/>
                <w:color w:val="auto"/>
              </w:rPr>
              <w:t>successfully raised and completed financings and mergers &amp; acquisitions totaling over $450 million.</w:t>
            </w:r>
          </w:p>
        </w:tc>
        <w:tc>
          <w:tcPr>
            <w:tcW w:w="0" w:type="dxa"/>
            <w:vAlign w:val="bottom"/>
          </w:tcPr>
          <w:p>
            <w:pPr>
              <w:spacing w:after="0"/>
              <w:rPr>
                <w:sz w:val="1"/>
                <w:szCs w:val="1"/>
                <w:color w:val="auto"/>
              </w:rPr>
            </w:pPr>
          </w:p>
        </w:tc>
      </w:tr>
      <w:tr>
        <w:trPr>
          <w:trHeight w:val="54"/>
        </w:trPr>
        <w:tc>
          <w:tcPr>
            <w:tcW w:w="3940" w:type="dxa"/>
            <w:vAlign w:val="bottom"/>
            <w:tcBorders>
              <w:left w:val="single" w:sz="8" w:color="auto"/>
              <w:right w:val="single" w:sz="8" w:color="auto"/>
            </w:tcBorders>
          </w:tcPr>
          <w:p>
            <w:pPr>
              <w:spacing w:after="0"/>
              <w:rPr>
                <w:sz w:val="4"/>
                <w:szCs w:val="4"/>
                <w:color w:val="auto"/>
              </w:rPr>
            </w:pPr>
          </w:p>
        </w:tc>
        <w:tc>
          <w:tcPr>
            <w:tcW w:w="7380" w:type="dxa"/>
            <w:vAlign w:val="bottom"/>
            <w:tcBorders>
              <w:right w:val="single" w:sz="8" w:color="auto"/>
            </w:tcBorders>
            <w:gridSpan w:val="5"/>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705"/>
        </w:trPr>
        <w:tc>
          <w:tcPr>
            <w:tcW w:w="3940" w:type="dxa"/>
            <w:vAlign w:val="bottom"/>
            <w:tcBorders>
              <w:left w:val="single" w:sz="8" w:color="auto"/>
              <w:bottom w:val="single" w:sz="8" w:color="auto"/>
              <w:right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82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spacing w:after="0"/>
              <w:rPr>
                <w:sz w:val="24"/>
                <w:szCs w:val="24"/>
                <w:color w:val="auto"/>
              </w:rPr>
            </w:pPr>
          </w:p>
        </w:tc>
        <w:tc>
          <w:tcPr>
            <w:tcW w:w="1280" w:type="dxa"/>
            <w:vAlign w:val="bottom"/>
            <w:tcBorders>
              <w:bottom w:val="single" w:sz="8" w:color="auto"/>
            </w:tcBorders>
          </w:tcPr>
          <w:p>
            <w:pPr>
              <w:spacing w:after="0"/>
              <w:rPr>
                <w:sz w:val="24"/>
                <w:szCs w:val="24"/>
                <w:color w:val="auto"/>
              </w:rPr>
            </w:pPr>
          </w:p>
        </w:tc>
        <w:tc>
          <w:tcPr>
            <w:tcW w:w="332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33"/>
        </w:trPr>
        <w:tc>
          <w:tcPr>
            <w:tcW w:w="3940" w:type="dxa"/>
            <w:vAlign w:val="bottom"/>
            <w:tcBorders>
              <w:left w:val="single" w:sz="8" w:color="auto"/>
              <w:bottom w:val="single" w:sz="8" w:color="auto"/>
              <w:right w:val="single" w:sz="8" w:color="auto"/>
            </w:tcBorders>
            <w:shd w:val="clear" w:color="auto" w:fill="BFBFBF"/>
          </w:tcPr>
          <w:p>
            <w:pPr>
              <w:ind w:left="1040"/>
              <w:spacing w:after="0"/>
              <w:rPr>
                <w:sz w:val="20"/>
                <w:szCs w:val="20"/>
                <w:color w:val="auto"/>
              </w:rPr>
            </w:pPr>
            <w:r>
              <w:rPr>
                <w:rFonts w:ascii="Times New Roman" w:cs="Times New Roman" w:eastAsia="Times New Roman" w:hAnsi="Times New Roman"/>
                <w:sz w:val="11"/>
                <w:szCs w:val="11"/>
                <w:b w:val="1"/>
                <w:bCs w:val="1"/>
                <w:color w:val="auto"/>
              </w:rPr>
              <w:t>Current Board/Committee Membership</w:t>
            </w:r>
          </w:p>
        </w:tc>
        <w:tc>
          <w:tcPr>
            <w:tcW w:w="220" w:type="dxa"/>
            <w:vAlign w:val="bottom"/>
            <w:tcBorders>
              <w:bottom w:val="single" w:sz="8" w:color="auto"/>
              <w:right w:val="single" w:sz="8" w:color="BFBFBF"/>
            </w:tcBorders>
            <w:shd w:val="clear" w:color="auto" w:fill="BFBFBF"/>
          </w:tcPr>
          <w:p>
            <w:pPr>
              <w:spacing w:after="0"/>
              <w:rPr>
                <w:sz w:val="11"/>
                <w:szCs w:val="11"/>
                <w:color w:val="auto"/>
              </w:rPr>
            </w:pPr>
          </w:p>
        </w:tc>
        <w:tc>
          <w:tcPr>
            <w:tcW w:w="2560" w:type="dxa"/>
            <w:vAlign w:val="bottom"/>
            <w:tcBorders>
              <w:bottom w:val="single" w:sz="8" w:color="auto"/>
            </w:tcBorders>
            <w:gridSpan w:val="2"/>
            <w:shd w:val="clear" w:color="auto" w:fill="BFBFBF"/>
          </w:tcPr>
          <w:p>
            <w:pPr>
              <w:ind w:left="1240"/>
              <w:spacing w:after="0"/>
              <w:rPr>
                <w:sz w:val="20"/>
                <w:szCs w:val="20"/>
                <w:color w:val="auto"/>
              </w:rPr>
            </w:pPr>
            <w:r>
              <w:rPr>
                <w:rFonts w:ascii="Times New Roman" w:cs="Times New Roman" w:eastAsia="Times New Roman" w:hAnsi="Times New Roman"/>
                <w:sz w:val="11"/>
                <w:szCs w:val="11"/>
                <w:b w:val="1"/>
                <w:bCs w:val="1"/>
                <w:color w:val="auto"/>
              </w:rPr>
              <w:t>2025 Attendance (Total)</w:t>
            </w:r>
          </w:p>
        </w:tc>
        <w:tc>
          <w:tcPr>
            <w:tcW w:w="1280" w:type="dxa"/>
            <w:vAlign w:val="bottom"/>
            <w:tcBorders>
              <w:bottom w:val="single" w:sz="8" w:color="auto"/>
              <w:right w:val="single" w:sz="8" w:color="auto"/>
            </w:tcBorders>
            <w:shd w:val="clear" w:color="auto" w:fill="BFBFBF"/>
          </w:tcPr>
          <w:p>
            <w:pPr>
              <w:spacing w:after="0"/>
              <w:rPr>
                <w:sz w:val="11"/>
                <w:szCs w:val="11"/>
                <w:color w:val="auto"/>
              </w:rPr>
            </w:pPr>
          </w:p>
        </w:tc>
        <w:tc>
          <w:tcPr>
            <w:tcW w:w="3320" w:type="dxa"/>
            <w:vAlign w:val="bottom"/>
            <w:tcBorders>
              <w:bottom w:val="single" w:sz="8" w:color="auto"/>
              <w:right w:val="single" w:sz="8" w:color="auto"/>
            </w:tcBorders>
            <w:shd w:val="clear" w:color="auto" w:fill="BFBFBF"/>
          </w:tcPr>
          <w:p>
            <w:pPr>
              <w:jc w:val="center"/>
              <w:ind w:right="6"/>
              <w:spacing w:after="0"/>
              <w:rPr>
                <w:sz w:val="20"/>
                <w:szCs w:val="20"/>
                <w:color w:val="auto"/>
              </w:rPr>
            </w:pPr>
            <w:r>
              <w:rPr>
                <w:rFonts w:ascii="Times New Roman" w:cs="Times New Roman" w:eastAsia="Times New Roman" w:hAnsi="Times New Roman"/>
                <w:sz w:val="11"/>
                <w:szCs w:val="11"/>
                <w:b w:val="1"/>
                <w:bCs w:val="1"/>
                <w:color w:val="auto"/>
                <w:w w:val="98"/>
              </w:rPr>
              <w:t>Other Public Board Memberships</w:t>
            </w:r>
          </w:p>
        </w:tc>
        <w:tc>
          <w:tcPr>
            <w:tcW w:w="0" w:type="dxa"/>
            <w:vAlign w:val="bottom"/>
          </w:tcPr>
          <w:p>
            <w:pPr>
              <w:spacing w:after="0"/>
              <w:rPr>
                <w:sz w:val="1"/>
                <w:szCs w:val="1"/>
                <w:color w:val="auto"/>
              </w:rPr>
            </w:pPr>
          </w:p>
        </w:tc>
      </w:tr>
      <w:tr>
        <w:trPr>
          <w:trHeight w:val="132"/>
        </w:trPr>
        <w:tc>
          <w:tcPr>
            <w:tcW w:w="394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1"/>
                <w:szCs w:val="11"/>
                <w:color w:val="auto"/>
              </w:rPr>
              <w:t>Member of the Board</w:t>
            </w:r>
          </w:p>
        </w:tc>
        <w:tc>
          <w:tcPr>
            <w:tcW w:w="220" w:type="dxa"/>
            <w:vAlign w:val="bottom"/>
            <w:tcBorders>
              <w:bottom w:val="single" w:sz="8" w:color="auto"/>
            </w:tcBorders>
          </w:tcPr>
          <w:p>
            <w:pPr>
              <w:spacing w:after="0"/>
              <w:rPr>
                <w:sz w:val="11"/>
                <w:szCs w:val="11"/>
                <w:color w:val="auto"/>
              </w:rPr>
            </w:pPr>
          </w:p>
        </w:tc>
        <w:tc>
          <w:tcPr>
            <w:tcW w:w="1820" w:type="dxa"/>
            <w:vAlign w:val="bottom"/>
            <w:tcBorders>
              <w:bottom w:val="single" w:sz="8" w:color="auto"/>
              <w:right w:val="single" w:sz="8" w:color="auto"/>
            </w:tcBorders>
          </w:tcPr>
          <w:p>
            <w:pPr>
              <w:ind w:left="640"/>
              <w:spacing w:after="0"/>
              <w:rPr>
                <w:sz w:val="20"/>
                <w:szCs w:val="20"/>
                <w:color w:val="auto"/>
              </w:rPr>
            </w:pPr>
            <w:r>
              <w:rPr>
                <w:rFonts w:ascii="Times New Roman" w:cs="Times New Roman" w:eastAsia="Times New Roman" w:hAnsi="Times New Roman"/>
                <w:sz w:val="11"/>
                <w:szCs w:val="11"/>
                <w:color w:val="auto"/>
              </w:rPr>
              <w:t>4 of 4</w:t>
            </w:r>
          </w:p>
        </w:tc>
        <w:tc>
          <w:tcPr>
            <w:tcW w:w="740" w:type="dxa"/>
            <w:vAlign w:val="bottom"/>
            <w:tcBorders>
              <w:bottom w:val="single" w:sz="8" w:color="auto"/>
            </w:tcBorders>
          </w:tcPr>
          <w:p>
            <w:pPr>
              <w:spacing w:after="0"/>
              <w:rPr>
                <w:sz w:val="11"/>
                <w:szCs w:val="11"/>
                <w:color w:val="auto"/>
              </w:rPr>
            </w:pPr>
          </w:p>
        </w:tc>
        <w:tc>
          <w:tcPr>
            <w:tcW w:w="1280" w:type="dxa"/>
            <w:vAlign w:val="bottom"/>
            <w:tcBorders>
              <w:bottom w:val="single" w:sz="8" w:color="auto"/>
              <w:right w:val="single" w:sz="8" w:color="auto"/>
            </w:tcBorders>
          </w:tcPr>
          <w:p>
            <w:pPr>
              <w:jc w:val="center"/>
              <w:ind w:right="766"/>
              <w:spacing w:after="0"/>
              <w:rPr>
                <w:sz w:val="20"/>
                <w:szCs w:val="20"/>
                <w:color w:val="auto"/>
              </w:rPr>
            </w:pPr>
            <w:r>
              <w:rPr>
                <w:rFonts w:ascii="Times New Roman" w:cs="Times New Roman" w:eastAsia="Times New Roman" w:hAnsi="Times New Roman"/>
                <w:sz w:val="11"/>
                <w:szCs w:val="11"/>
                <w:color w:val="auto"/>
              </w:rPr>
              <w:t>100%</w:t>
            </w:r>
          </w:p>
        </w:tc>
        <w:tc>
          <w:tcPr>
            <w:tcW w:w="3320" w:type="dxa"/>
            <w:vAlign w:val="bottom"/>
            <w:tcBorders>
              <w:bottom w:val="single" w:sz="8" w:color="auto"/>
              <w:right w:val="single" w:sz="8" w:color="auto"/>
            </w:tcBorders>
          </w:tcPr>
          <w:p>
            <w:pPr>
              <w:jc w:val="center"/>
              <w:ind w:right="6"/>
              <w:spacing w:after="0"/>
              <w:rPr>
                <w:sz w:val="20"/>
                <w:szCs w:val="20"/>
                <w:color w:val="auto"/>
              </w:rPr>
            </w:pPr>
            <w:r>
              <w:rPr>
                <w:rFonts w:ascii="Times New Roman" w:cs="Times New Roman" w:eastAsia="Times New Roman" w:hAnsi="Times New Roman"/>
                <w:sz w:val="11"/>
                <w:szCs w:val="11"/>
                <w:color w:val="auto"/>
                <w:w w:val="97"/>
              </w:rPr>
              <w:t>None.</w:t>
            </w:r>
          </w:p>
        </w:tc>
        <w:tc>
          <w:tcPr>
            <w:tcW w:w="0" w:type="dxa"/>
            <w:vAlign w:val="bottom"/>
          </w:tcPr>
          <w:p>
            <w:pPr>
              <w:spacing w:after="0"/>
              <w:rPr>
                <w:sz w:val="1"/>
                <w:szCs w:val="1"/>
                <w:color w:val="auto"/>
              </w:rPr>
            </w:pPr>
          </w:p>
        </w:tc>
      </w:tr>
      <w:tr>
        <w:trPr>
          <w:trHeight w:val="134"/>
        </w:trPr>
        <w:tc>
          <w:tcPr>
            <w:tcW w:w="6720" w:type="dxa"/>
            <w:vAlign w:val="bottom"/>
            <w:tcBorders>
              <w:left w:val="single" w:sz="8" w:color="auto"/>
              <w:bottom w:val="single" w:sz="8" w:color="auto"/>
            </w:tcBorders>
            <w:gridSpan w:val="4"/>
          </w:tcPr>
          <w:p>
            <w:pPr>
              <w:ind w:left="2320"/>
              <w:spacing w:after="0"/>
              <w:rPr>
                <w:sz w:val="20"/>
                <w:szCs w:val="20"/>
                <w:color w:val="auto"/>
              </w:rPr>
            </w:pPr>
            <w:r>
              <w:rPr>
                <w:rFonts w:ascii="Times New Roman" w:cs="Times New Roman" w:eastAsia="Times New Roman" w:hAnsi="Times New Roman"/>
                <w:sz w:val="11"/>
                <w:szCs w:val="11"/>
                <w:b w:val="1"/>
                <w:bCs w:val="1"/>
                <w:color w:val="auto"/>
              </w:rPr>
              <w:t>Number of Common Shares Beneficially Owned, Controlled or Directed</w:t>
            </w:r>
          </w:p>
        </w:tc>
        <w:tc>
          <w:tcPr>
            <w:tcW w:w="1280" w:type="dxa"/>
            <w:vAlign w:val="bottom"/>
            <w:tcBorders>
              <w:bottom w:val="single" w:sz="8" w:color="auto"/>
              <w:right w:val="single" w:sz="8" w:color="auto"/>
            </w:tcBorders>
          </w:tcPr>
          <w:p>
            <w:pPr>
              <w:spacing w:after="0"/>
              <w:rPr>
                <w:sz w:val="11"/>
                <w:szCs w:val="11"/>
                <w:color w:val="auto"/>
              </w:rPr>
            </w:pPr>
          </w:p>
        </w:tc>
        <w:tc>
          <w:tcPr>
            <w:tcW w:w="3320" w:type="dxa"/>
            <w:vAlign w:val="bottom"/>
            <w:tcBorders>
              <w:bottom w:val="single" w:sz="8" w:color="auto"/>
              <w:right w:val="single" w:sz="8" w:color="auto"/>
            </w:tcBorders>
          </w:tcPr>
          <w:p>
            <w:pPr>
              <w:jc w:val="center"/>
              <w:ind w:right="6"/>
              <w:spacing w:after="0"/>
              <w:rPr>
                <w:sz w:val="20"/>
                <w:szCs w:val="20"/>
                <w:color w:val="auto"/>
              </w:rPr>
            </w:pPr>
            <w:r>
              <w:rPr>
                <w:rFonts w:ascii="Times New Roman" w:cs="Times New Roman" w:eastAsia="Times New Roman" w:hAnsi="Times New Roman"/>
                <w:sz w:val="11"/>
                <w:szCs w:val="11"/>
                <w:color w:val="auto"/>
                <w:w w:val="94"/>
              </w:rPr>
              <w:t>299,674</w:t>
            </w:r>
          </w:p>
        </w:tc>
        <w:tc>
          <w:tcPr>
            <w:tcW w:w="0" w:type="dxa"/>
            <w:vAlign w:val="bottom"/>
          </w:tcPr>
          <w:p>
            <w:pPr>
              <w:spacing w:after="0"/>
              <w:rPr>
                <w:sz w:val="1"/>
                <w:szCs w:val="1"/>
                <w:color w:val="auto"/>
              </w:rPr>
            </w:pPr>
          </w:p>
        </w:tc>
      </w:tr>
      <w:tr>
        <w:trPr>
          <w:trHeight w:val="233"/>
        </w:trPr>
        <w:tc>
          <w:tcPr>
            <w:tcW w:w="394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820" w:type="dxa"/>
            <w:vAlign w:val="bottom"/>
            <w:tcBorders>
              <w:bottom w:val="single" w:sz="8" w:color="auto"/>
            </w:tcBorders>
          </w:tcPr>
          <w:p>
            <w:pPr>
              <w:spacing w:after="0"/>
              <w:rPr>
                <w:sz w:val="20"/>
                <w:szCs w:val="20"/>
                <w:color w:val="auto"/>
              </w:rPr>
            </w:pPr>
          </w:p>
        </w:tc>
        <w:tc>
          <w:tcPr>
            <w:tcW w:w="2020" w:type="dxa"/>
            <w:vAlign w:val="bottom"/>
            <w:tcBorders>
              <w:bottom w:val="single" w:sz="8" w:color="auto"/>
            </w:tcBorders>
            <w:gridSpan w:val="2"/>
          </w:tcPr>
          <w:p>
            <w:pPr>
              <w:spacing w:after="0"/>
              <w:rPr>
                <w:sz w:val="20"/>
                <w:szCs w:val="20"/>
                <w:color w:val="auto"/>
              </w:rPr>
            </w:pPr>
          </w:p>
        </w:tc>
        <w:tc>
          <w:tcPr>
            <w:tcW w:w="332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32"/>
        </w:trPr>
        <w:tc>
          <w:tcPr>
            <w:tcW w:w="3940" w:type="dxa"/>
            <w:vAlign w:val="bottom"/>
            <w:tcBorders>
              <w:left w:val="single" w:sz="8" w:color="auto"/>
              <w:bottom w:val="single" w:sz="8" w:color="auto"/>
              <w:right w:val="single" w:sz="8" w:color="D9D9D9"/>
            </w:tcBorders>
            <w:shd w:val="clear" w:color="auto" w:fill="D9D9D9"/>
          </w:tcPr>
          <w:p>
            <w:pPr>
              <w:ind w:left="40"/>
              <w:spacing w:after="0"/>
              <w:rPr>
                <w:sz w:val="20"/>
                <w:szCs w:val="20"/>
                <w:color w:val="auto"/>
              </w:rPr>
            </w:pPr>
            <w:r>
              <w:rPr>
                <w:rFonts w:ascii="Times New Roman" w:cs="Times New Roman" w:eastAsia="Times New Roman" w:hAnsi="Times New Roman"/>
                <w:sz w:val="11"/>
                <w:szCs w:val="11"/>
                <w:b w:val="1"/>
                <w:bCs w:val="1"/>
                <w:color w:val="auto"/>
              </w:rPr>
              <w:t>ERIC HOSKINS</w:t>
            </w:r>
          </w:p>
        </w:tc>
        <w:tc>
          <w:tcPr>
            <w:tcW w:w="220" w:type="dxa"/>
            <w:vAlign w:val="bottom"/>
            <w:tcBorders>
              <w:bottom w:val="single" w:sz="8" w:color="auto"/>
              <w:right w:val="single" w:sz="8" w:color="D9D9D9"/>
            </w:tcBorders>
            <w:shd w:val="clear" w:color="auto" w:fill="D9D9D9"/>
          </w:tcPr>
          <w:p>
            <w:pPr>
              <w:spacing w:after="0"/>
              <w:rPr>
                <w:sz w:val="11"/>
                <w:szCs w:val="11"/>
                <w:color w:val="auto"/>
              </w:rPr>
            </w:pPr>
          </w:p>
        </w:tc>
        <w:tc>
          <w:tcPr>
            <w:tcW w:w="1820" w:type="dxa"/>
            <w:vAlign w:val="bottom"/>
            <w:tcBorders>
              <w:bottom w:val="single" w:sz="8" w:color="auto"/>
              <w:right w:val="single" w:sz="8" w:color="D9D9D9"/>
            </w:tcBorders>
            <w:shd w:val="clear" w:color="auto" w:fill="D9D9D9"/>
          </w:tcPr>
          <w:p>
            <w:pPr>
              <w:spacing w:after="0"/>
              <w:rPr>
                <w:sz w:val="11"/>
                <w:szCs w:val="11"/>
                <w:color w:val="auto"/>
              </w:rPr>
            </w:pPr>
          </w:p>
        </w:tc>
        <w:tc>
          <w:tcPr>
            <w:tcW w:w="5340" w:type="dxa"/>
            <w:vAlign w:val="bottom"/>
            <w:tcBorders>
              <w:bottom w:val="single" w:sz="8" w:color="auto"/>
              <w:right w:val="single" w:sz="8" w:color="auto"/>
            </w:tcBorders>
            <w:gridSpan w:val="3"/>
            <w:shd w:val="clear" w:color="auto" w:fill="D9D9D9"/>
          </w:tcPr>
          <w:p>
            <w:pPr>
              <w:jc w:val="right"/>
              <w:ind w:right="2346"/>
              <w:spacing w:after="0"/>
              <w:rPr>
                <w:sz w:val="20"/>
                <w:szCs w:val="20"/>
                <w:color w:val="auto"/>
              </w:rPr>
            </w:pPr>
            <w:r>
              <w:rPr>
                <w:rFonts w:ascii="Times New Roman" w:cs="Times New Roman" w:eastAsia="Times New Roman" w:hAnsi="Times New Roman"/>
                <w:sz w:val="11"/>
                <w:szCs w:val="11"/>
                <w:b w:val="1"/>
                <w:bCs w:val="1"/>
                <w:color w:val="auto"/>
              </w:rPr>
              <w:t>Principal Occupation and Biographical Information</w:t>
            </w:r>
          </w:p>
        </w:tc>
        <w:tc>
          <w:tcPr>
            <w:tcW w:w="0" w:type="dxa"/>
            <w:vAlign w:val="bottom"/>
          </w:tcPr>
          <w:p>
            <w:pPr>
              <w:spacing w:after="0"/>
              <w:rPr>
                <w:sz w:val="1"/>
                <w:szCs w:val="1"/>
                <w:color w:val="auto"/>
              </w:rPr>
            </w:pPr>
          </w:p>
        </w:tc>
      </w:tr>
      <w:tr>
        <w:trPr>
          <w:trHeight w:val="125"/>
        </w:trPr>
        <w:tc>
          <w:tcPr>
            <w:tcW w:w="3940" w:type="dxa"/>
            <w:vAlign w:val="bottom"/>
            <w:tcBorders>
              <w:left w:val="single" w:sz="8" w:color="auto"/>
            </w:tcBorders>
          </w:tcPr>
          <w:p>
            <w:pPr>
              <w:ind w:left="40"/>
              <w:spacing w:after="0" w:line="125" w:lineRule="exact"/>
              <w:rPr>
                <w:sz w:val="20"/>
                <w:szCs w:val="20"/>
                <w:color w:val="auto"/>
              </w:rPr>
            </w:pPr>
            <w:r>
              <w:rPr>
                <w:rFonts w:ascii="Times New Roman" w:cs="Times New Roman" w:eastAsia="Times New Roman" w:hAnsi="Times New Roman"/>
                <w:sz w:val="11"/>
                <w:szCs w:val="11"/>
                <w:color w:val="auto"/>
              </w:rPr>
              <w:t>Ontario, Canada</w:t>
            </w:r>
          </w:p>
        </w:tc>
        <w:tc>
          <w:tcPr>
            <w:tcW w:w="220" w:type="dxa"/>
            <w:vAlign w:val="bottom"/>
            <w:tcBorders>
              <w:right w:val="single" w:sz="8" w:color="auto"/>
            </w:tcBorders>
          </w:tcPr>
          <w:p>
            <w:pPr>
              <w:spacing w:after="0"/>
              <w:rPr>
                <w:sz w:val="10"/>
                <w:szCs w:val="10"/>
                <w:color w:val="auto"/>
              </w:rPr>
            </w:pPr>
          </w:p>
        </w:tc>
        <w:tc>
          <w:tcPr>
            <w:tcW w:w="7160" w:type="dxa"/>
            <w:vAlign w:val="bottom"/>
            <w:tcBorders>
              <w:right w:val="single" w:sz="8" w:color="auto"/>
            </w:tcBorders>
            <w:gridSpan w:val="4"/>
          </w:tcPr>
          <w:p>
            <w:pPr>
              <w:jc w:val="right"/>
              <w:ind w:right="26"/>
              <w:spacing w:after="0" w:line="125" w:lineRule="exact"/>
              <w:rPr>
                <w:sz w:val="20"/>
                <w:szCs w:val="20"/>
                <w:color w:val="auto"/>
              </w:rPr>
            </w:pPr>
            <w:r>
              <w:rPr>
                <w:rFonts w:ascii="Times New Roman" w:cs="Times New Roman" w:eastAsia="Times New Roman" w:hAnsi="Times New Roman"/>
                <w:sz w:val="11"/>
                <w:szCs w:val="11"/>
                <w:color w:val="auto"/>
              </w:rPr>
              <w:t>Dr. Eric Hoskins is a Partner at Maverix Private Equity. He is the former Ontario Health Minister (2014-2018) responsible for one of the largest health care</w:t>
            </w:r>
          </w:p>
        </w:tc>
        <w:tc>
          <w:tcPr>
            <w:tcW w:w="0" w:type="dxa"/>
            <w:vAlign w:val="bottom"/>
          </w:tcPr>
          <w:p>
            <w:pPr>
              <w:spacing w:after="0"/>
              <w:rPr>
                <w:sz w:val="1"/>
                <w:szCs w:val="1"/>
                <w:color w:val="auto"/>
              </w:rPr>
            </w:pPr>
          </w:p>
        </w:tc>
      </w:tr>
      <w:tr>
        <w:trPr>
          <w:trHeight w:val="126"/>
        </w:trPr>
        <w:tc>
          <w:tcPr>
            <w:tcW w:w="3940" w:type="dxa"/>
            <w:vAlign w:val="bottom"/>
            <w:tcBorders>
              <w:left w:val="single" w:sz="8" w:color="auto"/>
            </w:tcBorders>
            <w:vMerge w:val="restart"/>
          </w:tcPr>
          <w:p>
            <w:pPr>
              <w:ind w:left="40"/>
              <w:spacing w:after="0"/>
              <w:rPr>
                <w:sz w:val="20"/>
                <w:szCs w:val="20"/>
                <w:color w:val="auto"/>
              </w:rPr>
            </w:pPr>
            <w:r>
              <w:rPr>
                <w:rFonts w:ascii="Times New Roman" w:cs="Times New Roman" w:eastAsia="Times New Roman" w:hAnsi="Times New Roman"/>
                <w:sz w:val="11"/>
                <w:szCs w:val="11"/>
                <w:color w:val="auto"/>
              </w:rPr>
              <w:t>Director Since: November 5, 2020</w:t>
            </w:r>
          </w:p>
        </w:tc>
        <w:tc>
          <w:tcPr>
            <w:tcW w:w="220" w:type="dxa"/>
            <w:vAlign w:val="bottom"/>
            <w:tcBorders>
              <w:right w:val="single" w:sz="8" w:color="auto"/>
            </w:tcBorders>
          </w:tcPr>
          <w:p>
            <w:pPr>
              <w:spacing w:after="0"/>
              <w:rPr>
                <w:sz w:val="10"/>
                <w:szCs w:val="10"/>
                <w:color w:val="auto"/>
              </w:rPr>
            </w:pPr>
          </w:p>
        </w:tc>
        <w:tc>
          <w:tcPr>
            <w:tcW w:w="7160" w:type="dxa"/>
            <w:vAlign w:val="bottom"/>
            <w:tcBorders>
              <w:right w:val="single" w:sz="8" w:color="auto"/>
            </w:tcBorders>
            <w:gridSpan w:val="4"/>
          </w:tcPr>
          <w:p>
            <w:pPr>
              <w:jc w:val="right"/>
              <w:ind w:right="26"/>
              <w:spacing w:after="0"/>
              <w:rPr>
                <w:sz w:val="20"/>
                <w:szCs w:val="20"/>
                <w:color w:val="auto"/>
              </w:rPr>
            </w:pPr>
            <w:r>
              <w:rPr>
                <w:rFonts w:ascii="Times New Roman" w:cs="Times New Roman" w:eastAsia="Times New Roman" w:hAnsi="Times New Roman"/>
                <w:sz w:val="11"/>
                <w:szCs w:val="11"/>
                <w:color w:val="auto"/>
              </w:rPr>
              <w:t>systems in North America. He is a former elected Member of Ontario Provincial Parliament holding Cabinet positions in Health, Economic Development and</w:t>
            </w:r>
          </w:p>
        </w:tc>
        <w:tc>
          <w:tcPr>
            <w:tcW w:w="0" w:type="dxa"/>
            <w:vAlign w:val="bottom"/>
          </w:tcPr>
          <w:p>
            <w:pPr>
              <w:spacing w:after="0"/>
              <w:rPr>
                <w:sz w:val="1"/>
                <w:szCs w:val="1"/>
                <w:color w:val="auto"/>
              </w:rPr>
            </w:pPr>
          </w:p>
        </w:tc>
      </w:tr>
      <w:tr>
        <w:trPr>
          <w:trHeight w:val="59"/>
        </w:trPr>
        <w:tc>
          <w:tcPr>
            <w:tcW w:w="3940" w:type="dxa"/>
            <w:vAlign w:val="bottom"/>
            <w:tcBorders>
              <w:left w:val="single" w:sz="8" w:color="auto"/>
            </w:tcBorders>
            <w:vMerge w:val="continue"/>
          </w:tcPr>
          <w:p>
            <w:pPr>
              <w:spacing w:after="0"/>
              <w:rPr>
                <w:sz w:val="5"/>
                <w:szCs w:val="5"/>
                <w:color w:val="auto"/>
              </w:rPr>
            </w:pPr>
          </w:p>
        </w:tc>
        <w:tc>
          <w:tcPr>
            <w:tcW w:w="220" w:type="dxa"/>
            <w:vAlign w:val="bottom"/>
            <w:tcBorders>
              <w:right w:val="single" w:sz="8" w:color="auto"/>
            </w:tcBorders>
          </w:tcPr>
          <w:p>
            <w:pPr>
              <w:spacing w:after="0"/>
              <w:rPr>
                <w:sz w:val="5"/>
                <w:szCs w:val="5"/>
                <w:color w:val="auto"/>
              </w:rPr>
            </w:pPr>
          </w:p>
        </w:tc>
        <w:tc>
          <w:tcPr>
            <w:tcW w:w="7160" w:type="dxa"/>
            <w:vAlign w:val="bottom"/>
            <w:tcBorders>
              <w:right w:val="single" w:sz="8" w:color="auto"/>
            </w:tcBorders>
            <w:gridSpan w:val="4"/>
            <w:vMerge w:val="restart"/>
          </w:tcPr>
          <w:p>
            <w:pPr>
              <w:jc w:val="right"/>
              <w:ind w:right="26"/>
              <w:spacing w:after="0"/>
              <w:rPr>
                <w:sz w:val="20"/>
                <w:szCs w:val="20"/>
                <w:color w:val="auto"/>
              </w:rPr>
            </w:pPr>
            <w:r>
              <w:rPr>
                <w:rFonts w:ascii="Times New Roman" w:cs="Times New Roman" w:eastAsia="Times New Roman" w:hAnsi="Times New Roman"/>
                <w:sz w:val="11"/>
                <w:szCs w:val="11"/>
                <w:color w:val="auto"/>
                <w:w w:val="98"/>
              </w:rPr>
              <w:t>Trade, Children and Youth Services, and Immigration. Dr. Hoskins is a physician and public health specialist with more than thirty years’ experience in health care</w:t>
            </w:r>
          </w:p>
        </w:tc>
        <w:tc>
          <w:tcPr>
            <w:tcW w:w="0" w:type="dxa"/>
            <w:vAlign w:val="bottom"/>
          </w:tcPr>
          <w:p>
            <w:pPr>
              <w:spacing w:after="0"/>
              <w:rPr>
                <w:sz w:val="1"/>
                <w:szCs w:val="1"/>
                <w:color w:val="auto"/>
              </w:rPr>
            </w:pPr>
          </w:p>
        </w:tc>
      </w:tr>
      <w:tr>
        <w:trPr>
          <w:trHeight w:val="76"/>
        </w:trPr>
        <w:tc>
          <w:tcPr>
            <w:tcW w:w="3940" w:type="dxa"/>
            <w:vAlign w:val="bottom"/>
            <w:tcBorders>
              <w:left w:val="single" w:sz="8" w:color="auto"/>
            </w:tcBorders>
            <w:vMerge w:val="restart"/>
          </w:tcPr>
          <w:p>
            <w:pPr>
              <w:ind w:left="40"/>
              <w:spacing w:after="0"/>
              <w:rPr>
                <w:sz w:val="20"/>
                <w:szCs w:val="20"/>
                <w:color w:val="auto"/>
              </w:rPr>
            </w:pPr>
            <w:r>
              <w:rPr>
                <w:rFonts w:ascii="Times New Roman" w:cs="Times New Roman" w:eastAsia="Times New Roman" w:hAnsi="Times New Roman"/>
                <w:sz w:val="11"/>
                <w:szCs w:val="11"/>
                <w:b w:val="1"/>
                <w:bCs w:val="1"/>
                <w:color w:val="auto"/>
              </w:rPr>
              <w:t>INDEPENDENT</w:t>
            </w:r>
          </w:p>
        </w:tc>
        <w:tc>
          <w:tcPr>
            <w:tcW w:w="220" w:type="dxa"/>
            <w:vAlign w:val="bottom"/>
            <w:tcBorders>
              <w:right w:val="single" w:sz="8" w:color="auto"/>
            </w:tcBorders>
          </w:tcPr>
          <w:p>
            <w:pPr>
              <w:spacing w:after="0"/>
              <w:rPr>
                <w:sz w:val="6"/>
                <w:szCs w:val="6"/>
                <w:color w:val="auto"/>
              </w:rPr>
            </w:pPr>
          </w:p>
        </w:tc>
        <w:tc>
          <w:tcPr>
            <w:tcW w:w="7160" w:type="dxa"/>
            <w:vAlign w:val="bottom"/>
            <w:tcBorders>
              <w:right w:val="single" w:sz="8" w:color="auto"/>
            </w:tcBorders>
            <w:gridSpan w:val="4"/>
            <w:vMerge w:val="continue"/>
          </w:tcPr>
          <w:p>
            <w:pPr>
              <w:spacing w:after="0"/>
              <w:rPr>
                <w:sz w:val="6"/>
                <w:szCs w:val="6"/>
                <w:color w:val="auto"/>
              </w:rPr>
            </w:pPr>
          </w:p>
        </w:tc>
        <w:tc>
          <w:tcPr>
            <w:tcW w:w="0" w:type="dxa"/>
            <w:vAlign w:val="bottom"/>
          </w:tcPr>
          <w:p>
            <w:pPr>
              <w:spacing w:after="0"/>
              <w:rPr>
                <w:sz w:val="1"/>
                <w:szCs w:val="1"/>
                <w:color w:val="auto"/>
              </w:rPr>
            </w:pPr>
          </w:p>
        </w:tc>
      </w:tr>
      <w:tr>
        <w:trPr>
          <w:trHeight w:val="77"/>
        </w:trPr>
        <w:tc>
          <w:tcPr>
            <w:tcW w:w="3940" w:type="dxa"/>
            <w:vAlign w:val="bottom"/>
            <w:tcBorders>
              <w:left w:val="single" w:sz="8" w:color="auto"/>
            </w:tcBorders>
            <w:vMerge w:val="continue"/>
          </w:tcPr>
          <w:p>
            <w:pPr>
              <w:spacing w:after="0"/>
              <w:rPr>
                <w:sz w:val="6"/>
                <w:szCs w:val="6"/>
                <w:color w:val="auto"/>
              </w:rPr>
            </w:pPr>
          </w:p>
        </w:tc>
        <w:tc>
          <w:tcPr>
            <w:tcW w:w="220" w:type="dxa"/>
            <w:vAlign w:val="bottom"/>
            <w:tcBorders>
              <w:right w:val="single" w:sz="8" w:color="auto"/>
            </w:tcBorders>
          </w:tcPr>
          <w:p>
            <w:pPr>
              <w:spacing w:after="0"/>
              <w:rPr>
                <w:sz w:val="6"/>
                <w:szCs w:val="6"/>
                <w:color w:val="auto"/>
              </w:rPr>
            </w:pPr>
          </w:p>
        </w:tc>
        <w:tc>
          <w:tcPr>
            <w:tcW w:w="2560" w:type="dxa"/>
            <w:vAlign w:val="bottom"/>
            <w:gridSpan w:val="2"/>
            <w:vMerge w:val="restart"/>
          </w:tcPr>
          <w:p>
            <w:pPr>
              <w:ind w:left="20"/>
              <w:spacing w:after="0"/>
              <w:rPr>
                <w:sz w:val="20"/>
                <w:szCs w:val="20"/>
                <w:color w:val="auto"/>
              </w:rPr>
            </w:pPr>
            <w:r>
              <w:rPr>
                <w:rFonts w:ascii="Times New Roman" w:cs="Times New Roman" w:eastAsia="Times New Roman" w:hAnsi="Times New Roman"/>
                <w:sz w:val="11"/>
                <w:szCs w:val="11"/>
                <w:color w:val="auto"/>
              </w:rPr>
              <w:t>and public policy.</w:t>
            </w:r>
          </w:p>
        </w:tc>
        <w:tc>
          <w:tcPr>
            <w:tcW w:w="1280" w:type="dxa"/>
            <w:vAlign w:val="bottom"/>
          </w:tcPr>
          <w:p>
            <w:pPr>
              <w:spacing w:after="0"/>
              <w:rPr>
                <w:sz w:val="6"/>
                <w:szCs w:val="6"/>
                <w:color w:val="auto"/>
              </w:rPr>
            </w:pPr>
          </w:p>
        </w:tc>
        <w:tc>
          <w:tcPr>
            <w:tcW w:w="3320" w:type="dxa"/>
            <w:vAlign w:val="bottom"/>
            <w:tcBorders>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63"/>
        </w:trPr>
        <w:tc>
          <w:tcPr>
            <w:tcW w:w="3940" w:type="dxa"/>
            <w:vAlign w:val="bottom"/>
            <w:tcBorders>
              <w:left w:val="single" w:sz="8" w:color="auto"/>
            </w:tcBorders>
          </w:tcPr>
          <w:p>
            <w:pPr>
              <w:spacing w:after="0"/>
              <w:rPr>
                <w:sz w:val="5"/>
                <w:szCs w:val="5"/>
                <w:color w:val="auto"/>
              </w:rPr>
            </w:pPr>
          </w:p>
        </w:tc>
        <w:tc>
          <w:tcPr>
            <w:tcW w:w="220" w:type="dxa"/>
            <w:vAlign w:val="bottom"/>
            <w:tcBorders>
              <w:right w:val="single" w:sz="8" w:color="auto"/>
            </w:tcBorders>
          </w:tcPr>
          <w:p>
            <w:pPr>
              <w:spacing w:after="0"/>
              <w:rPr>
                <w:sz w:val="5"/>
                <w:szCs w:val="5"/>
                <w:color w:val="auto"/>
              </w:rPr>
            </w:pPr>
          </w:p>
        </w:tc>
        <w:tc>
          <w:tcPr>
            <w:tcW w:w="2560" w:type="dxa"/>
            <w:vAlign w:val="bottom"/>
            <w:gridSpan w:val="2"/>
            <w:vMerge w:val="continue"/>
          </w:tcPr>
          <w:p>
            <w:pPr>
              <w:spacing w:after="0"/>
              <w:rPr>
                <w:sz w:val="5"/>
                <w:szCs w:val="5"/>
                <w:color w:val="auto"/>
              </w:rPr>
            </w:pPr>
          </w:p>
        </w:tc>
        <w:tc>
          <w:tcPr>
            <w:tcW w:w="1280" w:type="dxa"/>
            <w:vAlign w:val="bottom"/>
          </w:tcPr>
          <w:p>
            <w:pPr>
              <w:spacing w:after="0"/>
              <w:rPr>
                <w:sz w:val="5"/>
                <w:szCs w:val="5"/>
                <w:color w:val="auto"/>
              </w:rPr>
            </w:pPr>
          </w:p>
        </w:tc>
        <w:tc>
          <w:tcPr>
            <w:tcW w:w="3320" w:type="dxa"/>
            <w:vAlign w:val="bottom"/>
            <w:tcBorders>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705"/>
        </w:trPr>
        <w:tc>
          <w:tcPr>
            <w:tcW w:w="3940" w:type="dxa"/>
            <w:vAlign w:val="bottom"/>
            <w:tcBorders>
              <w:left w:val="single" w:sz="8" w:color="auto"/>
              <w:bottom w:val="single" w:sz="8" w:color="auto"/>
            </w:tcBorders>
          </w:tcPr>
          <w:p>
            <w:pPr>
              <w:spacing w:after="0"/>
              <w:rPr>
                <w:sz w:val="24"/>
                <w:szCs w:val="24"/>
                <w:color w:val="auto"/>
              </w:rPr>
            </w:pPr>
          </w:p>
        </w:tc>
        <w:tc>
          <w:tcPr>
            <w:tcW w:w="220" w:type="dxa"/>
            <w:vAlign w:val="bottom"/>
            <w:tcBorders>
              <w:bottom w:val="single" w:sz="8" w:color="auto"/>
              <w:right w:val="single" w:sz="8" w:color="auto"/>
            </w:tcBorders>
          </w:tcPr>
          <w:p>
            <w:pPr>
              <w:spacing w:after="0"/>
              <w:rPr>
                <w:sz w:val="24"/>
                <w:szCs w:val="24"/>
                <w:color w:val="auto"/>
              </w:rPr>
            </w:pPr>
          </w:p>
        </w:tc>
        <w:tc>
          <w:tcPr>
            <w:tcW w:w="182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spacing w:after="0"/>
              <w:rPr>
                <w:sz w:val="24"/>
                <w:szCs w:val="24"/>
                <w:color w:val="auto"/>
              </w:rPr>
            </w:pPr>
          </w:p>
        </w:tc>
        <w:tc>
          <w:tcPr>
            <w:tcW w:w="1280" w:type="dxa"/>
            <w:vAlign w:val="bottom"/>
            <w:tcBorders>
              <w:bottom w:val="single" w:sz="8" w:color="auto"/>
            </w:tcBorders>
          </w:tcPr>
          <w:p>
            <w:pPr>
              <w:spacing w:after="0"/>
              <w:rPr>
                <w:sz w:val="24"/>
                <w:szCs w:val="24"/>
                <w:color w:val="auto"/>
              </w:rPr>
            </w:pPr>
          </w:p>
        </w:tc>
        <w:tc>
          <w:tcPr>
            <w:tcW w:w="332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32"/>
        </w:trPr>
        <w:tc>
          <w:tcPr>
            <w:tcW w:w="3940" w:type="dxa"/>
            <w:vAlign w:val="bottom"/>
            <w:tcBorders>
              <w:left w:val="single" w:sz="8" w:color="auto"/>
              <w:bottom w:val="single" w:sz="8" w:color="auto"/>
              <w:right w:val="single" w:sz="8" w:color="BFBFBF"/>
            </w:tcBorders>
            <w:shd w:val="clear" w:color="auto" w:fill="BFBFBF"/>
          </w:tcPr>
          <w:p>
            <w:pPr>
              <w:ind w:left="1140"/>
              <w:spacing w:after="0"/>
              <w:rPr>
                <w:sz w:val="20"/>
                <w:szCs w:val="20"/>
                <w:color w:val="auto"/>
              </w:rPr>
            </w:pPr>
            <w:r>
              <w:rPr>
                <w:rFonts w:ascii="Times New Roman" w:cs="Times New Roman" w:eastAsia="Times New Roman" w:hAnsi="Times New Roman"/>
                <w:sz w:val="11"/>
                <w:szCs w:val="11"/>
                <w:b w:val="1"/>
                <w:bCs w:val="1"/>
                <w:color w:val="auto"/>
              </w:rPr>
              <w:t>Current Board/Committee Membership</w:t>
            </w:r>
          </w:p>
        </w:tc>
        <w:tc>
          <w:tcPr>
            <w:tcW w:w="220" w:type="dxa"/>
            <w:vAlign w:val="bottom"/>
            <w:tcBorders>
              <w:bottom w:val="single" w:sz="8" w:color="auto"/>
              <w:right w:val="single" w:sz="8" w:color="auto"/>
            </w:tcBorders>
            <w:shd w:val="clear" w:color="auto" w:fill="BFBFBF"/>
          </w:tcPr>
          <w:p>
            <w:pPr>
              <w:spacing w:after="0"/>
              <w:rPr>
                <w:sz w:val="11"/>
                <w:szCs w:val="11"/>
                <w:color w:val="auto"/>
              </w:rPr>
            </w:pPr>
          </w:p>
        </w:tc>
        <w:tc>
          <w:tcPr>
            <w:tcW w:w="2560" w:type="dxa"/>
            <w:vAlign w:val="bottom"/>
            <w:tcBorders>
              <w:bottom w:val="single" w:sz="8" w:color="auto"/>
            </w:tcBorders>
            <w:gridSpan w:val="2"/>
            <w:shd w:val="clear" w:color="auto" w:fill="BFBFBF"/>
          </w:tcPr>
          <w:p>
            <w:pPr>
              <w:ind w:left="1340"/>
              <w:spacing w:after="0"/>
              <w:rPr>
                <w:sz w:val="20"/>
                <w:szCs w:val="20"/>
                <w:color w:val="auto"/>
              </w:rPr>
            </w:pPr>
            <w:r>
              <w:rPr>
                <w:rFonts w:ascii="Times New Roman" w:cs="Times New Roman" w:eastAsia="Times New Roman" w:hAnsi="Times New Roman"/>
                <w:sz w:val="11"/>
                <w:szCs w:val="11"/>
                <w:b w:val="1"/>
                <w:bCs w:val="1"/>
                <w:color w:val="auto"/>
              </w:rPr>
              <w:t>2025 Attendance (Total)</w:t>
            </w:r>
          </w:p>
        </w:tc>
        <w:tc>
          <w:tcPr>
            <w:tcW w:w="1280" w:type="dxa"/>
            <w:vAlign w:val="bottom"/>
            <w:tcBorders>
              <w:bottom w:val="single" w:sz="8" w:color="auto"/>
              <w:right w:val="single" w:sz="8" w:color="auto"/>
            </w:tcBorders>
            <w:shd w:val="clear" w:color="auto" w:fill="BFBFBF"/>
          </w:tcPr>
          <w:p>
            <w:pPr>
              <w:spacing w:after="0"/>
              <w:rPr>
                <w:sz w:val="11"/>
                <w:szCs w:val="11"/>
                <w:color w:val="auto"/>
              </w:rPr>
            </w:pPr>
          </w:p>
        </w:tc>
        <w:tc>
          <w:tcPr>
            <w:tcW w:w="3320" w:type="dxa"/>
            <w:vAlign w:val="bottom"/>
            <w:tcBorders>
              <w:bottom w:val="single" w:sz="8" w:color="auto"/>
              <w:right w:val="single" w:sz="8" w:color="auto"/>
            </w:tcBorders>
            <w:shd w:val="clear" w:color="auto" w:fill="BFBFBF"/>
          </w:tcPr>
          <w:p>
            <w:pPr>
              <w:jc w:val="center"/>
              <w:spacing w:after="0"/>
              <w:rPr>
                <w:sz w:val="20"/>
                <w:szCs w:val="20"/>
                <w:color w:val="auto"/>
              </w:rPr>
            </w:pPr>
            <w:r>
              <w:rPr>
                <w:rFonts w:ascii="Times New Roman" w:cs="Times New Roman" w:eastAsia="Times New Roman" w:hAnsi="Times New Roman"/>
                <w:sz w:val="11"/>
                <w:szCs w:val="11"/>
                <w:b w:val="1"/>
                <w:bCs w:val="1"/>
                <w:color w:val="auto"/>
                <w:w w:val="97"/>
              </w:rPr>
              <w:t>Other Public Board Memberships</w:t>
            </w:r>
          </w:p>
        </w:tc>
        <w:tc>
          <w:tcPr>
            <w:tcW w:w="0" w:type="dxa"/>
            <w:vAlign w:val="bottom"/>
          </w:tcPr>
          <w:p>
            <w:pPr>
              <w:spacing w:after="0"/>
              <w:rPr>
                <w:sz w:val="1"/>
                <w:szCs w:val="1"/>
                <w:color w:val="auto"/>
              </w:rPr>
            </w:pPr>
          </w:p>
        </w:tc>
      </w:tr>
      <w:tr>
        <w:trPr>
          <w:trHeight w:val="157"/>
        </w:trPr>
        <w:tc>
          <w:tcPr>
            <w:tcW w:w="3940" w:type="dxa"/>
            <w:vAlign w:val="bottom"/>
            <w:tcBorders>
              <w:left w:val="single" w:sz="8" w:color="auto"/>
            </w:tcBorders>
          </w:tcPr>
          <w:p>
            <w:pPr>
              <w:ind w:left="40"/>
              <w:spacing w:after="0"/>
              <w:rPr>
                <w:sz w:val="20"/>
                <w:szCs w:val="20"/>
                <w:color w:val="auto"/>
              </w:rPr>
            </w:pPr>
            <w:r>
              <w:rPr>
                <w:rFonts w:ascii="Times New Roman" w:cs="Times New Roman" w:eastAsia="Times New Roman" w:hAnsi="Times New Roman"/>
                <w:sz w:val="11"/>
                <w:szCs w:val="11"/>
                <w:color w:val="auto"/>
              </w:rPr>
              <w:t>Member of the Board</w:t>
            </w:r>
          </w:p>
        </w:tc>
        <w:tc>
          <w:tcPr>
            <w:tcW w:w="220" w:type="dxa"/>
            <w:vAlign w:val="bottom"/>
            <w:tcBorders>
              <w:right w:val="single" w:sz="8" w:color="auto"/>
            </w:tcBorders>
          </w:tcPr>
          <w:p>
            <w:pPr>
              <w:spacing w:after="0"/>
              <w:rPr>
                <w:sz w:val="13"/>
                <w:szCs w:val="13"/>
                <w:color w:val="auto"/>
              </w:rPr>
            </w:pPr>
          </w:p>
        </w:tc>
        <w:tc>
          <w:tcPr>
            <w:tcW w:w="1820" w:type="dxa"/>
            <w:vAlign w:val="bottom"/>
            <w:tcBorders>
              <w:right w:val="single" w:sz="8" w:color="auto"/>
            </w:tcBorders>
          </w:tcPr>
          <w:p>
            <w:pPr>
              <w:ind w:left="760"/>
              <w:spacing w:after="0"/>
              <w:rPr>
                <w:sz w:val="20"/>
                <w:szCs w:val="20"/>
                <w:color w:val="auto"/>
              </w:rPr>
            </w:pPr>
            <w:r>
              <w:rPr>
                <w:rFonts w:ascii="Times New Roman" w:cs="Times New Roman" w:eastAsia="Times New Roman" w:hAnsi="Times New Roman"/>
                <w:sz w:val="11"/>
                <w:szCs w:val="11"/>
                <w:color w:val="auto"/>
              </w:rPr>
              <w:t>4 of 4</w:t>
            </w:r>
          </w:p>
        </w:tc>
        <w:tc>
          <w:tcPr>
            <w:tcW w:w="740" w:type="dxa"/>
            <w:vAlign w:val="bottom"/>
          </w:tcPr>
          <w:p>
            <w:pPr>
              <w:spacing w:after="0"/>
              <w:rPr>
                <w:sz w:val="13"/>
                <w:szCs w:val="13"/>
                <w:color w:val="auto"/>
              </w:rPr>
            </w:pPr>
          </w:p>
        </w:tc>
        <w:tc>
          <w:tcPr>
            <w:tcW w:w="1280" w:type="dxa"/>
            <w:vAlign w:val="bottom"/>
            <w:tcBorders>
              <w:right w:val="single" w:sz="8" w:color="auto"/>
            </w:tcBorders>
          </w:tcPr>
          <w:p>
            <w:pPr>
              <w:jc w:val="center"/>
              <w:ind w:right="746"/>
              <w:spacing w:after="0"/>
              <w:rPr>
                <w:sz w:val="20"/>
                <w:szCs w:val="20"/>
                <w:color w:val="auto"/>
              </w:rPr>
            </w:pPr>
            <w:r>
              <w:rPr>
                <w:rFonts w:ascii="Times New Roman" w:cs="Times New Roman" w:eastAsia="Times New Roman" w:hAnsi="Times New Roman"/>
                <w:sz w:val="11"/>
                <w:szCs w:val="11"/>
                <w:color w:val="auto"/>
                <w:w w:val="93"/>
              </w:rPr>
              <w:t>100%</w:t>
            </w:r>
          </w:p>
        </w:tc>
        <w:tc>
          <w:tcPr>
            <w:tcW w:w="33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1"/>
                <w:szCs w:val="11"/>
                <w:color w:val="auto"/>
                <w:w w:val="98"/>
              </w:rPr>
              <w:t>Quantum BioPharma Ltd. (NASDAQ:QNTM, CSE: QNTM)</w:t>
            </w:r>
          </w:p>
        </w:tc>
        <w:tc>
          <w:tcPr>
            <w:tcW w:w="0" w:type="dxa"/>
            <w:vAlign w:val="bottom"/>
          </w:tcPr>
          <w:p>
            <w:pPr>
              <w:spacing w:after="0"/>
              <w:rPr>
                <w:sz w:val="1"/>
                <w:szCs w:val="1"/>
                <w:color w:val="auto"/>
              </w:rPr>
            </w:pPr>
          </w:p>
        </w:tc>
      </w:tr>
      <w:tr>
        <w:trPr>
          <w:trHeight w:val="153"/>
        </w:trPr>
        <w:tc>
          <w:tcPr>
            <w:tcW w:w="3940" w:type="dxa"/>
            <w:vAlign w:val="bottom"/>
            <w:tcBorders>
              <w:left w:val="single" w:sz="8" w:color="auto"/>
            </w:tcBorders>
          </w:tcPr>
          <w:p>
            <w:pPr>
              <w:ind w:left="40"/>
              <w:spacing w:after="0"/>
              <w:rPr>
                <w:sz w:val="20"/>
                <w:szCs w:val="20"/>
                <w:color w:val="auto"/>
              </w:rPr>
            </w:pPr>
            <w:r>
              <w:rPr>
                <w:rFonts w:ascii="Times New Roman" w:cs="Times New Roman" w:eastAsia="Times New Roman" w:hAnsi="Times New Roman"/>
                <w:sz w:val="11"/>
                <w:szCs w:val="11"/>
                <w:color w:val="auto"/>
              </w:rPr>
              <w:t>Member of the Audit Committee</w:t>
            </w:r>
          </w:p>
        </w:tc>
        <w:tc>
          <w:tcPr>
            <w:tcW w:w="220" w:type="dxa"/>
            <w:vAlign w:val="bottom"/>
            <w:tcBorders>
              <w:right w:val="single" w:sz="8" w:color="auto"/>
            </w:tcBorders>
          </w:tcPr>
          <w:p>
            <w:pPr>
              <w:spacing w:after="0"/>
              <w:rPr>
                <w:sz w:val="13"/>
                <w:szCs w:val="13"/>
                <w:color w:val="auto"/>
              </w:rPr>
            </w:pPr>
          </w:p>
        </w:tc>
        <w:tc>
          <w:tcPr>
            <w:tcW w:w="1820" w:type="dxa"/>
            <w:vAlign w:val="bottom"/>
            <w:tcBorders>
              <w:right w:val="single" w:sz="8" w:color="auto"/>
            </w:tcBorders>
          </w:tcPr>
          <w:p>
            <w:pPr>
              <w:ind w:left="760"/>
              <w:spacing w:after="0"/>
              <w:rPr>
                <w:sz w:val="20"/>
                <w:szCs w:val="20"/>
                <w:color w:val="auto"/>
              </w:rPr>
            </w:pPr>
            <w:r>
              <w:rPr>
                <w:rFonts w:ascii="Times New Roman" w:cs="Times New Roman" w:eastAsia="Times New Roman" w:hAnsi="Times New Roman"/>
                <w:sz w:val="11"/>
                <w:szCs w:val="11"/>
                <w:color w:val="auto"/>
              </w:rPr>
              <w:t>4 of 4</w:t>
            </w:r>
          </w:p>
        </w:tc>
        <w:tc>
          <w:tcPr>
            <w:tcW w:w="740" w:type="dxa"/>
            <w:vAlign w:val="bottom"/>
          </w:tcPr>
          <w:p>
            <w:pPr>
              <w:spacing w:after="0"/>
              <w:rPr>
                <w:sz w:val="13"/>
                <w:szCs w:val="13"/>
                <w:color w:val="auto"/>
              </w:rPr>
            </w:pPr>
          </w:p>
        </w:tc>
        <w:tc>
          <w:tcPr>
            <w:tcW w:w="1280" w:type="dxa"/>
            <w:vAlign w:val="bottom"/>
            <w:tcBorders>
              <w:right w:val="single" w:sz="8" w:color="auto"/>
            </w:tcBorders>
          </w:tcPr>
          <w:p>
            <w:pPr>
              <w:jc w:val="center"/>
              <w:ind w:right="746"/>
              <w:spacing w:after="0"/>
              <w:rPr>
                <w:sz w:val="20"/>
                <w:szCs w:val="20"/>
                <w:color w:val="auto"/>
              </w:rPr>
            </w:pPr>
            <w:r>
              <w:rPr>
                <w:rFonts w:ascii="Times New Roman" w:cs="Times New Roman" w:eastAsia="Times New Roman" w:hAnsi="Times New Roman"/>
                <w:sz w:val="11"/>
                <w:szCs w:val="11"/>
                <w:color w:val="auto"/>
                <w:w w:val="93"/>
              </w:rPr>
              <w:t>100%</w:t>
            </w:r>
          </w:p>
        </w:tc>
        <w:tc>
          <w:tcPr>
            <w:tcW w:w="3320" w:type="dxa"/>
            <w:vAlign w:val="bottom"/>
            <w:tcBorders>
              <w:right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3940" w:type="dxa"/>
            <w:vAlign w:val="bottom"/>
            <w:tcBorders>
              <w:left w:val="single" w:sz="8" w:color="auto"/>
            </w:tcBorders>
          </w:tcPr>
          <w:p>
            <w:pPr>
              <w:ind w:left="40"/>
              <w:spacing w:after="0"/>
              <w:rPr>
                <w:sz w:val="20"/>
                <w:szCs w:val="20"/>
                <w:color w:val="auto"/>
              </w:rPr>
            </w:pPr>
            <w:r>
              <w:rPr>
                <w:rFonts w:ascii="Times New Roman" w:cs="Times New Roman" w:eastAsia="Times New Roman" w:hAnsi="Times New Roman"/>
                <w:sz w:val="11"/>
                <w:szCs w:val="11"/>
                <w:color w:val="auto"/>
              </w:rPr>
              <w:t>Member of the Governance and Nominating Committee</w:t>
            </w:r>
          </w:p>
        </w:tc>
        <w:tc>
          <w:tcPr>
            <w:tcW w:w="220" w:type="dxa"/>
            <w:vAlign w:val="bottom"/>
            <w:tcBorders>
              <w:right w:val="single" w:sz="8" w:color="auto"/>
            </w:tcBorders>
          </w:tcPr>
          <w:p>
            <w:pPr>
              <w:spacing w:after="0"/>
              <w:rPr>
                <w:sz w:val="13"/>
                <w:szCs w:val="13"/>
                <w:color w:val="auto"/>
              </w:rPr>
            </w:pPr>
          </w:p>
        </w:tc>
        <w:tc>
          <w:tcPr>
            <w:tcW w:w="1820" w:type="dxa"/>
            <w:vAlign w:val="bottom"/>
            <w:tcBorders>
              <w:right w:val="single" w:sz="8" w:color="auto"/>
            </w:tcBorders>
          </w:tcPr>
          <w:p>
            <w:pPr>
              <w:ind w:left="760"/>
              <w:spacing w:after="0"/>
              <w:rPr>
                <w:sz w:val="20"/>
                <w:szCs w:val="20"/>
                <w:color w:val="auto"/>
              </w:rPr>
            </w:pPr>
            <w:r>
              <w:rPr>
                <w:rFonts w:ascii="Times New Roman" w:cs="Times New Roman" w:eastAsia="Times New Roman" w:hAnsi="Times New Roman"/>
                <w:sz w:val="11"/>
                <w:szCs w:val="11"/>
                <w:color w:val="auto"/>
              </w:rPr>
              <w:t>0 of 0</w:t>
            </w:r>
          </w:p>
        </w:tc>
        <w:tc>
          <w:tcPr>
            <w:tcW w:w="740" w:type="dxa"/>
            <w:vAlign w:val="bottom"/>
          </w:tcPr>
          <w:p>
            <w:pPr>
              <w:spacing w:after="0"/>
              <w:rPr>
                <w:sz w:val="13"/>
                <w:szCs w:val="13"/>
                <w:color w:val="auto"/>
              </w:rPr>
            </w:pPr>
          </w:p>
        </w:tc>
        <w:tc>
          <w:tcPr>
            <w:tcW w:w="1280" w:type="dxa"/>
            <w:vAlign w:val="bottom"/>
            <w:tcBorders>
              <w:right w:val="single" w:sz="8" w:color="auto"/>
            </w:tcBorders>
          </w:tcPr>
          <w:p>
            <w:pPr>
              <w:jc w:val="center"/>
              <w:ind w:right="746"/>
              <w:spacing w:after="0"/>
              <w:rPr>
                <w:sz w:val="20"/>
                <w:szCs w:val="20"/>
                <w:color w:val="auto"/>
              </w:rPr>
            </w:pPr>
            <w:r>
              <w:rPr>
                <w:rFonts w:ascii="Times New Roman" w:cs="Times New Roman" w:eastAsia="Times New Roman" w:hAnsi="Times New Roman"/>
                <w:sz w:val="11"/>
                <w:szCs w:val="11"/>
                <w:color w:val="auto"/>
              </w:rPr>
              <w:t>N/A</w:t>
            </w:r>
          </w:p>
        </w:tc>
        <w:tc>
          <w:tcPr>
            <w:tcW w:w="3320" w:type="dxa"/>
            <w:vAlign w:val="bottom"/>
            <w:tcBorders>
              <w:right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49"/>
        </w:trPr>
        <w:tc>
          <w:tcPr>
            <w:tcW w:w="4160" w:type="dxa"/>
            <w:vAlign w:val="bottom"/>
            <w:tcBorders>
              <w:left w:val="single" w:sz="8" w:color="auto"/>
              <w:bottom w:val="single" w:sz="8" w:color="auto"/>
              <w:right w:val="single" w:sz="8" w:color="auto"/>
            </w:tcBorders>
            <w:gridSpan w:val="2"/>
          </w:tcPr>
          <w:p>
            <w:pPr>
              <w:spacing w:after="0"/>
              <w:rPr>
                <w:sz w:val="4"/>
                <w:szCs w:val="4"/>
                <w:color w:val="auto"/>
              </w:rPr>
            </w:pPr>
          </w:p>
        </w:tc>
        <w:tc>
          <w:tcPr>
            <w:tcW w:w="1820" w:type="dxa"/>
            <w:vAlign w:val="bottom"/>
            <w:tcBorders>
              <w:bottom w:val="single" w:sz="8" w:color="auto"/>
              <w:right w:val="single" w:sz="8" w:color="auto"/>
            </w:tcBorders>
          </w:tcPr>
          <w:p>
            <w:pPr>
              <w:spacing w:after="0"/>
              <w:rPr>
                <w:sz w:val="4"/>
                <w:szCs w:val="4"/>
                <w:color w:val="auto"/>
              </w:rPr>
            </w:pPr>
          </w:p>
        </w:tc>
        <w:tc>
          <w:tcPr>
            <w:tcW w:w="740" w:type="dxa"/>
            <w:vAlign w:val="bottom"/>
            <w:tcBorders>
              <w:bottom w:val="single" w:sz="8" w:color="auto"/>
            </w:tcBorders>
          </w:tcPr>
          <w:p>
            <w:pPr>
              <w:spacing w:after="0"/>
              <w:rPr>
                <w:sz w:val="4"/>
                <w:szCs w:val="4"/>
                <w:color w:val="auto"/>
              </w:rPr>
            </w:pPr>
          </w:p>
        </w:tc>
        <w:tc>
          <w:tcPr>
            <w:tcW w:w="1280" w:type="dxa"/>
            <w:vAlign w:val="bottom"/>
            <w:tcBorders>
              <w:bottom w:val="single" w:sz="8" w:color="auto"/>
              <w:right w:val="single" w:sz="8" w:color="auto"/>
            </w:tcBorders>
          </w:tcPr>
          <w:p>
            <w:pPr>
              <w:spacing w:after="0"/>
              <w:rPr>
                <w:sz w:val="4"/>
                <w:szCs w:val="4"/>
                <w:color w:val="auto"/>
              </w:rPr>
            </w:pPr>
          </w:p>
        </w:tc>
        <w:tc>
          <w:tcPr>
            <w:tcW w:w="332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132"/>
        </w:trPr>
        <w:tc>
          <w:tcPr>
            <w:tcW w:w="6720" w:type="dxa"/>
            <w:vAlign w:val="bottom"/>
            <w:tcBorders>
              <w:left w:val="single" w:sz="8" w:color="auto"/>
              <w:bottom w:val="single" w:sz="8" w:color="auto"/>
            </w:tcBorders>
            <w:gridSpan w:val="4"/>
          </w:tcPr>
          <w:p>
            <w:pPr>
              <w:ind w:left="2320"/>
              <w:spacing w:after="0"/>
              <w:rPr>
                <w:sz w:val="20"/>
                <w:szCs w:val="20"/>
                <w:color w:val="auto"/>
              </w:rPr>
            </w:pPr>
            <w:r>
              <w:rPr>
                <w:rFonts w:ascii="Times New Roman" w:cs="Times New Roman" w:eastAsia="Times New Roman" w:hAnsi="Times New Roman"/>
                <w:sz w:val="11"/>
                <w:szCs w:val="11"/>
                <w:b w:val="1"/>
                <w:bCs w:val="1"/>
                <w:color w:val="auto"/>
              </w:rPr>
              <w:t>Number of Common Shares Beneficially Owned, Controlled or Directed</w:t>
            </w:r>
          </w:p>
        </w:tc>
        <w:tc>
          <w:tcPr>
            <w:tcW w:w="1280" w:type="dxa"/>
            <w:vAlign w:val="bottom"/>
            <w:tcBorders>
              <w:bottom w:val="single" w:sz="8" w:color="auto"/>
              <w:right w:val="single" w:sz="8" w:color="auto"/>
            </w:tcBorders>
          </w:tcPr>
          <w:p>
            <w:pPr>
              <w:spacing w:after="0"/>
              <w:rPr>
                <w:sz w:val="11"/>
                <w:szCs w:val="11"/>
                <w:color w:val="auto"/>
              </w:rPr>
            </w:pPr>
          </w:p>
        </w:tc>
        <w:tc>
          <w:tcPr>
            <w:tcW w:w="33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1"/>
                <w:szCs w:val="11"/>
                <w:color w:val="auto"/>
                <w:w w:val="96"/>
              </w:rPr>
              <w:t>2,632</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29210</wp:posOffset>
            </wp:positionH>
            <wp:positionV relativeFrom="paragraph">
              <wp:posOffset>-3531235</wp:posOffset>
            </wp:positionV>
            <wp:extent cx="965835" cy="96583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3">
                      <a:extLst>
                        <a:ext uri="{28A0092B-C50C-407E-A947-70E740481C1C}"/>
                      </a:extLst>
                    </a:blip>
                    <a:srcRect/>
                    <a:stretch>
                      <a:fillRect/>
                    </a:stretch>
                  </pic:blipFill>
                  <pic:spPr bwMode="auto">
                    <a:xfrm>
                      <a:off x="0" y="0"/>
                      <a:ext cx="965835" cy="965835"/>
                    </a:xfrm>
                    <a:prstGeom prst="rect">
                      <a:avLst/>
                    </a:prstGeom>
                    <a:noFill/>
                  </pic:spPr>
                </pic:pic>
              </a:graphicData>
            </a:graphic>
          </wp:anchor>
        </w:drawing>
        <w:drawing>
          <wp:anchor simplePos="0" relativeHeight="251657728" behindDoc="1" locked="0" layoutInCell="0" allowOverlap="1">
            <wp:simplePos x="0" y="0"/>
            <wp:positionH relativeFrom="column">
              <wp:posOffset>800735</wp:posOffset>
            </wp:positionH>
            <wp:positionV relativeFrom="paragraph">
              <wp:posOffset>-1633855</wp:posOffset>
            </wp:positionV>
            <wp:extent cx="1022985" cy="102298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4">
                      <a:extLst>
                        <a:ext uri="{28A0092B-C50C-407E-A947-70E740481C1C}"/>
                      </a:extLst>
                    </a:blip>
                    <a:srcRect/>
                    <a:stretch>
                      <a:fillRect/>
                    </a:stretch>
                  </pic:blipFill>
                  <pic:spPr bwMode="auto">
                    <a:xfrm>
                      <a:off x="0" y="0"/>
                      <a:ext cx="1022985" cy="1022985"/>
                    </a:xfrm>
                    <a:prstGeom prst="rect">
                      <a:avLst/>
                    </a:prstGeom>
                    <a:noFill/>
                  </pic:spPr>
                </pic:pic>
              </a:graphicData>
            </a:graphic>
          </wp:anchor>
        </w:drawing>
      </w:r>
    </w:p>
    <w:p>
      <w:pPr>
        <w:sectPr>
          <w:pgSz w:w="11900" w:h="16838" w:orient="portrait"/>
          <w:cols w:equalWidth="0" w:num="1">
            <w:col w:w="11300"/>
          </w:cols>
          <w:pgMar w:left="300" w:top="125" w:right="299" w:bottom="1440" w:gutter="0" w:footer="0" w:header="0"/>
        </w:sectPr>
      </w:pPr>
    </w:p>
    <w:bookmarkStart w:id="32" w:name="page33"/>
    <w:bookmarkEnd w:id="32"/>
    <w:tbl>
      <w:tblPr>
        <w:tblLayout w:type="fixed"/>
        <w:tblInd w:w="10" w:type="dxa"/>
        <w:tblCellMar>
          <w:top w:w="0" w:type="dxa"/>
          <w:left w:w="0" w:type="dxa"/>
          <w:bottom w:w="0" w:type="dxa"/>
          <w:right w:w="0" w:type="dxa"/>
        </w:tblCellMar>
      </w:tblPr>
      <w:tr>
        <w:trPr>
          <w:trHeight w:val="171"/>
        </w:trPr>
        <w:tc>
          <w:tcPr>
            <w:tcW w:w="3840" w:type="dxa"/>
            <w:vAlign w:val="bottom"/>
          </w:tcPr>
          <w:p>
            <w:pPr>
              <w:spacing w:after="0"/>
              <w:rPr>
                <w:sz w:val="14"/>
                <w:szCs w:val="14"/>
                <w:color w:val="auto"/>
              </w:rPr>
            </w:pPr>
          </w:p>
        </w:tc>
        <w:tc>
          <w:tcPr>
            <w:tcW w:w="2100" w:type="dxa"/>
            <w:vAlign w:val="bottom"/>
            <w:gridSpan w:val="2"/>
          </w:tcPr>
          <w:p>
            <w:pPr>
              <w:ind w:left="1660"/>
              <w:spacing w:after="0"/>
              <w:rPr>
                <w:sz w:val="20"/>
                <w:szCs w:val="20"/>
                <w:color w:val="auto"/>
              </w:rPr>
            </w:pPr>
            <w:r>
              <w:rPr>
                <w:rFonts w:ascii="Times New Roman" w:cs="Times New Roman" w:eastAsia="Times New Roman" w:hAnsi="Times New Roman"/>
                <w:sz w:val="13"/>
                <w:szCs w:val="13"/>
                <w:color w:val="auto"/>
              </w:rPr>
              <w:t>- 29 -</w:t>
            </w:r>
          </w:p>
        </w:tc>
        <w:tc>
          <w:tcPr>
            <w:tcW w:w="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5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725"/>
        </w:trPr>
        <w:tc>
          <w:tcPr>
            <w:tcW w:w="384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80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000" w:type="dxa"/>
            <w:vAlign w:val="bottom"/>
            <w:tcBorders>
              <w:bottom w:val="single" w:sz="8" w:color="auto"/>
            </w:tcBorders>
            <w:gridSpan w:val="2"/>
          </w:tcPr>
          <w:p>
            <w:pPr>
              <w:spacing w:after="0"/>
              <w:rPr>
                <w:sz w:val="24"/>
                <w:szCs w:val="24"/>
                <w:color w:val="auto"/>
              </w:rPr>
            </w:pPr>
          </w:p>
        </w:tc>
        <w:tc>
          <w:tcPr>
            <w:tcW w:w="3300" w:type="dxa"/>
            <w:vAlign w:val="bottom"/>
            <w:tcBorders>
              <w:bottom w:val="single" w:sz="8" w:color="auto"/>
            </w:tcBorders>
            <w:gridSpan w:val="2"/>
          </w:tcPr>
          <w:p>
            <w:pPr>
              <w:spacing w:after="0"/>
              <w:rPr>
                <w:sz w:val="24"/>
                <w:szCs w:val="24"/>
                <w:color w:val="auto"/>
              </w:rPr>
            </w:pPr>
          </w:p>
        </w:tc>
        <w:tc>
          <w:tcPr>
            <w:tcW w:w="0" w:type="dxa"/>
            <w:vAlign w:val="bottom"/>
          </w:tcPr>
          <w:p>
            <w:pPr>
              <w:spacing w:after="0"/>
              <w:rPr>
                <w:sz w:val="1"/>
                <w:szCs w:val="1"/>
                <w:color w:val="auto"/>
              </w:rPr>
            </w:pPr>
          </w:p>
        </w:tc>
      </w:tr>
      <w:tr>
        <w:trPr>
          <w:trHeight w:val="132"/>
        </w:trPr>
        <w:tc>
          <w:tcPr>
            <w:tcW w:w="3840" w:type="dxa"/>
            <w:vAlign w:val="bottom"/>
            <w:tcBorders>
              <w:left w:val="single" w:sz="8" w:color="auto"/>
              <w:bottom w:val="single" w:sz="8" w:color="auto"/>
              <w:right w:val="single" w:sz="8" w:color="D9D9D9"/>
            </w:tcBorders>
            <w:shd w:val="clear" w:color="auto" w:fill="D9D9D9"/>
          </w:tcPr>
          <w:p>
            <w:pPr>
              <w:ind w:left="40"/>
              <w:spacing w:after="0"/>
              <w:rPr>
                <w:sz w:val="20"/>
                <w:szCs w:val="20"/>
                <w:color w:val="auto"/>
              </w:rPr>
            </w:pPr>
            <w:r>
              <w:rPr>
                <w:rFonts w:ascii="Times New Roman" w:cs="Times New Roman" w:eastAsia="Times New Roman" w:hAnsi="Times New Roman"/>
                <w:sz w:val="11"/>
                <w:szCs w:val="11"/>
                <w:b w:val="1"/>
                <w:bCs w:val="1"/>
                <w:color w:val="auto"/>
              </w:rPr>
              <w:t>MARK LAWSON</w:t>
            </w:r>
          </w:p>
        </w:tc>
        <w:tc>
          <w:tcPr>
            <w:tcW w:w="300" w:type="dxa"/>
            <w:vAlign w:val="bottom"/>
            <w:tcBorders>
              <w:bottom w:val="single" w:sz="8" w:color="auto"/>
              <w:right w:val="single" w:sz="8" w:color="D9D9D9"/>
            </w:tcBorders>
            <w:shd w:val="clear" w:color="auto" w:fill="D9D9D9"/>
          </w:tcPr>
          <w:p>
            <w:pPr>
              <w:spacing w:after="0"/>
              <w:rPr>
                <w:sz w:val="11"/>
                <w:szCs w:val="11"/>
                <w:color w:val="auto"/>
              </w:rPr>
            </w:pPr>
          </w:p>
        </w:tc>
        <w:tc>
          <w:tcPr>
            <w:tcW w:w="1800" w:type="dxa"/>
            <w:vAlign w:val="bottom"/>
            <w:tcBorders>
              <w:bottom w:val="single" w:sz="8" w:color="auto"/>
              <w:right w:val="single" w:sz="8" w:color="D9D9D9"/>
            </w:tcBorders>
            <w:shd w:val="clear" w:color="auto" w:fill="D9D9D9"/>
          </w:tcPr>
          <w:p>
            <w:pPr>
              <w:spacing w:after="0"/>
              <w:rPr>
                <w:sz w:val="11"/>
                <w:szCs w:val="11"/>
                <w:color w:val="auto"/>
              </w:rPr>
            </w:pPr>
          </w:p>
        </w:tc>
        <w:tc>
          <w:tcPr>
            <w:tcW w:w="80" w:type="dxa"/>
            <w:vAlign w:val="bottom"/>
            <w:tcBorders>
              <w:bottom w:val="single" w:sz="8" w:color="auto"/>
              <w:right w:val="single" w:sz="8" w:color="D9D9D9"/>
            </w:tcBorders>
            <w:shd w:val="clear" w:color="auto" w:fill="D9D9D9"/>
          </w:tcPr>
          <w:p>
            <w:pPr>
              <w:spacing w:after="0"/>
              <w:rPr>
                <w:sz w:val="11"/>
                <w:szCs w:val="11"/>
                <w:color w:val="auto"/>
              </w:rPr>
            </w:pPr>
          </w:p>
        </w:tc>
        <w:tc>
          <w:tcPr>
            <w:tcW w:w="5300" w:type="dxa"/>
            <w:vAlign w:val="bottom"/>
            <w:tcBorders>
              <w:bottom w:val="single" w:sz="8" w:color="auto"/>
              <w:right w:val="single" w:sz="8" w:color="auto"/>
            </w:tcBorders>
            <w:gridSpan w:val="4"/>
            <w:shd w:val="clear" w:color="auto" w:fill="D9D9D9"/>
          </w:tcPr>
          <w:p>
            <w:pPr>
              <w:jc w:val="right"/>
              <w:ind w:right="2366"/>
              <w:spacing w:after="0"/>
              <w:rPr>
                <w:sz w:val="20"/>
                <w:szCs w:val="20"/>
                <w:color w:val="auto"/>
              </w:rPr>
            </w:pPr>
            <w:r>
              <w:rPr>
                <w:rFonts w:ascii="Times New Roman" w:cs="Times New Roman" w:eastAsia="Times New Roman" w:hAnsi="Times New Roman"/>
                <w:sz w:val="11"/>
                <w:szCs w:val="11"/>
                <w:b w:val="1"/>
                <w:bCs w:val="1"/>
                <w:color w:val="auto"/>
              </w:rPr>
              <w:t>Principal Occupation and Biographical Information</w:t>
            </w:r>
          </w:p>
        </w:tc>
        <w:tc>
          <w:tcPr>
            <w:tcW w:w="0" w:type="dxa"/>
            <w:vAlign w:val="bottom"/>
          </w:tcPr>
          <w:p>
            <w:pPr>
              <w:spacing w:after="0"/>
              <w:rPr>
                <w:sz w:val="1"/>
                <w:szCs w:val="1"/>
                <w:color w:val="auto"/>
              </w:rPr>
            </w:pPr>
          </w:p>
        </w:tc>
      </w:tr>
      <w:tr>
        <w:trPr>
          <w:trHeight w:val="134"/>
        </w:trPr>
        <w:tc>
          <w:tcPr>
            <w:tcW w:w="3840" w:type="dxa"/>
            <w:vAlign w:val="bottom"/>
            <w:tcBorders>
              <w:left w:val="single" w:sz="8" w:color="auto"/>
            </w:tcBorders>
          </w:tcPr>
          <w:p>
            <w:pPr>
              <w:ind w:left="40"/>
              <w:spacing w:after="0"/>
              <w:rPr>
                <w:sz w:val="20"/>
                <w:szCs w:val="20"/>
                <w:color w:val="auto"/>
              </w:rPr>
            </w:pPr>
            <w:r>
              <w:rPr>
                <w:rFonts w:ascii="Times New Roman" w:cs="Times New Roman" w:eastAsia="Times New Roman" w:hAnsi="Times New Roman"/>
                <w:sz w:val="11"/>
                <w:szCs w:val="11"/>
                <w:color w:val="auto"/>
              </w:rPr>
              <w:t>Ontario, Canada</w:t>
            </w:r>
          </w:p>
        </w:tc>
        <w:tc>
          <w:tcPr>
            <w:tcW w:w="300" w:type="dxa"/>
            <w:vAlign w:val="bottom"/>
            <w:tcBorders>
              <w:right w:val="single" w:sz="8" w:color="auto"/>
            </w:tcBorders>
          </w:tcPr>
          <w:p>
            <w:pPr>
              <w:spacing w:after="0"/>
              <w:rPr>
                <w:sz w:val="11"/>
                <w:szCs w:val="11"/>
                <w:color w:val="auto"/>
              </w:rPr>
            </w:pPr>
          </w:p>
        </w:tc>
        <w:tc>
          <w:tcPr>
            <w:tcW w:w="7180" w:type="dxa"/>
            <w:vAlign w:val="bottom"/>
            <w:tcBorders>
              <w:right w:val="single" w:sz="8" w:color="auto"/>
            </w:tcBorders>
            <w:gridSpan w:val="6"/>
          </w:tcPr>
          <w:p>
            <w:pPr>
              <w:jc w:val="right"/>
              <w:ind w:right="6"/>
              <w:spacing w:after="0"/>
              <w:rPr>
                <w:sz w:val="20"/>
                <w:szCs w:val="20"/>
                <w:color w:val="auto"/>
              </w:rPr>
            </w:pPr>
            <w:r>
              <w:rPr>
                <w:rFonts w:ascii="Times New Roman" w:cs="Times New Roman" w:eastAsia="Times New Roman" w:hAnsi="Times New Roman"/>
                <w:sz w:val="11"/>
                <w:szCs w:val="11"/>
                <w:color w:val="auto"/>
                <w:w w:val="98"/>
              </w:rPr>
              <w:t>Mark Lawson is a private equity and investment banking executive with over 20 years of experience in Canada, the United States, and in the emerging markets. He</w:t>
            </w:r>
          </w:p>
        </w:tc>
        <w:tc>
          <w:tcPr>
            <w:tcW w:w="0" w:type="dxa"/>
            <w:vAlign w:val="bottom"/>
          </w:tcPr>
          <w:p>
            <w:pPr>
              <w:spacing w:after="0"/>
              <w:rPr>
                <w:sz w:val="1"/>
                <w:szCs w:val="1"/>
                <w:color w:val="auto"/>
              </w:rPr>
            </w:pPr>
          </w:p>
        </w:tc>
      </w:tr>
      <w:tr>
        <w:trPr>
          <w:trHeight w:val="126"/>
        </w:trPr>
        <w:tc>
          <w:tcPr>
            <w:tcW w:w="3840" w:type="dxa"/>
            <w:vAlign w:val="bottom"/>
            <w:tcBorders>
              <w:left w:val="single" w:sz="8" w:color="auto"/>
            </w:tcBorders>
            <w:vMerge w:val="restart"/>
          </w:tcPr>
          <w:p>
            <w:pPr>
              <w:ind w:left="40"/>
              <w:spacing w:after="0"/>
              <w:rPr>
                <w:sz w:val="20"/>
                <w:szCs w:val="20"/>
                <w:color w:val="auto"/>
              </w:rPr>
            </w:pPr>
            <w:r>
              <w:rPr>
                <w:rFonts w:ascii="Times New Roman" w:cs="Times New Roman" w:eastAsia="Times New Roman" w:hAnsi="Times New Roman"/>
                <w:sz w:val="11"/>
                <w:szCs w:val="11"/>
                <w:color w:val="auto"/>
              </w:rPr>
              <w:t>Director Since: November 5, 2020</w:t>
            </w:r>
          </w:p>
        </w:tc>
        <w:tc>
          <w:tcPr>
            <w:tcW w:w="300" w:type="dxa"/>
            <w:vAlign w:val="bottom"/>
            <w:tcBorders>
              <w:right w:val="single" w:sz="8" w:color="auto"/>
            </w:tcBorders>
          </w:tcPr>
          <w:p>
            <w:pPr>
              <w:spacing w:after="0"/>
              <w:rPr>
                <w:sz w:val="10"/>
                <w:szCs w:val="10"/>
                <w:color w:val="auto"/>
              </w:rPr>
            </w:pPr>
          </w:p>
        </w:tc>
        <w:tc>
          <w:tcPr>
            <w:tcW w:w="7180" w:type="dxa"/>
            <w:vAlign w:val="bottom"/>
            <w:tcBorders>
              <w:right w:val="single" w:sz="8" w:color="auto"/>
            </w:tcBorders>
            <w:gridSpan w:val="6"/>
          </w:tcPr>
          <w:p>
            <w:pPr>
              <w:jc w:val="right"/>
              <w:ind w:right="26"/>
              <w:spacing w:after="0"/>
              <w:rPr>
                <w:sz w:val="20"/>
                <w:szCs w:val="20"/>
                <w:color w:val="auto"/>
              </w:rPr>
            </w:pPr>
            <w:r>
              <w:rPr>
                <w:rFonts w:ascii="Times New Roman" w:cs="Times New Roman" w:eastAsia="Times New Roman" w:hAnsi="Times New Roman"/>
                <w:sz w:val="11"/>
                <w:szCs w:val="11"/>
                <w:color w:val="auto"/>
              </w:rPr>
              <w:t>is currently the Head of Carbon Acquisition for Invert, a company that funds global carbon reduction and removal projects. From 2009 to 2023 Mr. Lawson was</w:t>
            </w:r>
          </w:p>
        </w:tc>
        <w:tc>
          <w:tcPr>
            <w:tcW w:w="0" w:type="dxa"/>
            <w:vAlign w:val="bottom"/>
          </w:tcPr>
          <w:p>
            <w:pPr>
              <w:spacing w:after="0"/>
              <w:rPr>
                <w:sz w:val="1"/>
                <w:szCs w:val="1"/>
                <w:color w:val="auto"/>
              </w:rPr>
            </w:pPr>
          </w:p>
        </w:tc>
      </w:tr>
      <w:tr>
        <w:trPr>
          <w:trHeight w:val="59"/>
        </w:trPr>
        <w:tc>
          <w:tcPr>
            <w:tcW w:w="3840" w:type="dxa"/>
            <w:vAlign w:val="bottom"/>
            <w:tcBorders>
              <w:left w:val="single" w:sz="8" w:color="auto"/>
            </w:tcBorders>
            <w:vMerge w:val="continue"/>
          </w:tcPr>
          <w:p>
            <w:pPr>
              <w:spacing w:after="0"/>
              <w:rPr>
                <w:sz w:val="5"/>
                <w:szCs w:val="5"/>
                <w:color w:val="auto"/>
              </w:rPr>
            </w:pPr>
          </w:p>
        </w:tc>
        <w:tc>
          <w:tcPr>
            <w:tcW w:w="300" w:type="dxa"/>
            <w:vAlign w:val="bottom"/>
            <w:tcBorders>
              <w:right w:val="single" w:sz="8" w:color="auto"/>
            </w:tcBorders>
          </w:tcPr>
          <w:p>
            <w:pPr>
              <w:spacing w:after="0"/>
              <w:rPr>
                <w:sz w:val="5"/>
                <w:szCs w:val="5"/>
                <w:color w:val="auto"/>
              </w:rPr>
            </w:pPr>
          </w:p>
        </w:tc>
        <w:tc>
          <w:tcPr>
            <w:tcW w:w="7180" w:type="dxa"/>
            <w:vAlign w:val="bottom"/>
            <w:tcBorders>
              <w:right w:val="single" w:sz="8" w:color="auto"/>
            </w:tcBorders>
            <w:gridSpan w:val="6"/>
            <w:vMerge w:val="restart"/>
          </w:tcPr>
          <w:p>
            <w:pPr>
              <w:jc w:val="right"/>
              <w:ind w:right="26"/>
              <w:spacing w:after="0"/>
              <w:rPr>
                <w:sz w:val="20"/>
                <w:szCs w:val="20"/>
                <w:color w:val="auto"/>
              </w:rPr>
            </w:pPr>
            <w:r>
              <w:rPr>
                <w:rFonts w:ascii="Times New Roman" w:cs="Times New Roman" w:eastAsia="Times New Roman" w:hAnsi="Times New Roman"/>
                <w:sz w:val="11"/>
                <w:szCs w:val="11"/>
                <w:color w:val="auto"/>
              </w:rPr>
              <w:t>the Managing Partner of Clermont Capital Partners, a Toronto based merchant bank and advisory firm focused on the technology and healthcare sectors. From</w:t>
            </w:r>
          </w:p>
        </w:tc>
        <w:tc>
          <w:tcPr>
            <w:tcW w:w="0" w:type="dxa"/>
            <w:vAlign w:val="bottom"/>
          </w:tcPr>
          <w:p>
            <w:pPr>
              <w:spacing w:after="0"/>
              <w:rPr>
                <w:sz w:val="1"/>
                <w:szCs w:val="1"/>
                <w:color w:val="auto"/>
              </w:rPr>
            </w:pPr>
          </w:p>
        </w:tc>
      </w:tr>
      <w:tr>
        <w:trPr>
          <w:trHeight w:val="67"/>
        </w:trPr>
        <w:tc>
          <w:tcPr>
            <w:tcW w:w="3840" w:type="dxa"/>
            <w:vAlign w:val="bottom"/>
            <w:tcBorders>
              <w:left w:val="single" w:sz="8" w:color="auto"/>
            </w:tcBorders>
            <w:vMerge w:val="restart"/>
          </w:tcPr>
          <w:p>
            <w:pPr>
              <w:ind w:left="40"/>
              <w:spacing w:after="0"/>
              <w:rPr>
                <w:sz w:val="20"/>
                <w:szCs w:val="20"/>
                <w:color w:val="auto"/>
              </w:rPr>
            </w:pPr>
            <w:r>
              <w:rPr>
                <w:rFonts w:ascii="Times New Roman" w:cs="Times New Roman" w:eastAsia="Times New Roman" w:hAnsi="Times New Roman"/>
                <w:sz w:val="11"/>
                <w:szCs w:val="11"/>
                <w:b w:val="1"/>
                <w:bCs w:val="1"/>
                <w:color w:val="auto"/>
              </w:rPr>
              <w:t>INDEPENDENT</w:t>
            </w:r>
          </w:p>
        </w:tc>
        <w:tc>
          <w:tcPr>
            <w:tcW w:w="300" w:type="dxa"/>
            <w:vAlign w:val="bottom"/>
            <w:tcBorders>
              <w:right w:val="single" w:sz="8" w:color="auto"/>
            </w:tcBorders>
          </w:tcPr>
          <w:p>
            <w:pPr>
              <w:spacing w:after="0"/>
              <w:rPr>
                <w:sz w:val="5"/>
                <w:szCs w:val="5"/>
                <w:color w:val="auto"/>
              </w:rPr>
            </w:pPr>
          </w:p>
        </w:tc>
        <w:tc>
          <w:tcPr>
            <w:tcW w:w="7180" w:type="dxa"/>
            <w:vAlign w:val="bottom"/>
            <w:tcBorders>
              <w:right w:val="single" w:sz="8" w:color="auto"/>
            </w:tcBorders>
            <w:gridSpan w:val="6"/>
            <w:vMerge w:val="continue"/>
          </w:tcPr>
          <w:p>
            <w:pPr>
              <w:spacing w:after="0"/>
              <w:rPr>
                <w:sz w:val="5"/>
                <w:szCs w:val="5"/>
                <w:color w:val="auto"/>
              </w:rPr>
            </w:pPr>
          </w:p>
        </w:tc>
        <w:tc>
          <w:tcPr>
            <w:tcW w:w="0" w:type="dxa"/>
            <w:vAlign w:val="bottom"/>
          </w:tcPr>
          <w:p>
            <w:pPr>
              <w:spacing w:after="0"/>
              <w:rPr>
                <w:sz w:val="1"/>
                <w:szCs w:val="1"/>
                <w:color w:val="auto"/>
              </w:rPr>
            </w:pPr>
          </w:p>
        </w:tc>
      </w:tr>
      <w:tr>
        <w:trPr>
          <w:trHeight w:val="86"/>
        </w:trPr>
        <w:tc>
          <w:tcPr>
            <w:tcW w:w="3840" w:type="dxa"/>
            <w:vAlign w:val="bottom"/>
            <w:tcBorders>
              <w:left w:val="single" w:sz="8" w:color="auto"/>
            </w:tcBorders>
            <w:vMerge w:val="continue"/>
          </w:tcPr>
          <w:p>
            <w:pPr>
              <w:spacing w:after="0"/>
              <w:rPr>
                <w:sz w:val="7"/>
                <w:szCs w:val="7"/>
                <w:color w:val="auto"/>
              </w:rPr>
            </w:pPr>
          </w:p>
        </w:tc>
        <w:tc>
          <w:tcPr>
            <w:tcW w:w="300" w:type="dxa"/>
            <w:vAlign w:val="bottom"/>
            <w:tcBorders>
              <w:right w:val="single" w:sz="8" w:color="auto"/>
            </w:tcBorders>
          </w:tcPr>
          <w:p>
            <w:pPr>
              <w:spacing w:after="0"/>
              <w:rPr>
                <w:sz w:val="7"/>
                <w:szCs w:val="7"/>
                <w:color w:val="auto"/>
              </w:rPr>
            </w:pPr>
          </w:p>
        </w:tc>
        <w:tc>
          <w:tcPr>
            <w:tcW w:w="7180" w:type="dxa"/>
            <w:vAlign w:val="bottom"/>
            <w:tcBorders>
              <w:right w:val="single" w:sz="8" w:color="auto"/>
            </w:tcBorders>
            <w:gridSpan w:val="6"/>
            <w:vMerge w:val="restart"/>
          </w:tcPr>
          <w:p>
            <w:pPr>
              <w:jc w:val="right"/>
              <w:ind w:right="26"/>
              <w:spacing w:after="0"/>
              <w:rPr>
                <w:sz w:val="20"/>
                <w:szCs w:val="20"/>
                <w:color w:val="auto"/>
              </w:rPr>
            </w:pPr>
            <w:r>
              <w:rPr>
                <w:rFonts w:ascii="Times New Roman" w:cs="Times New Roman" w:eastAsia="Times New Roman" w:hAnsi="Times New Roman"/>
                <w:sz w:val="11"/>
                <w:szCs w:val="11"/>
                <w:color w:val="auto"/>
              </w:rPr>
              <w:t>2004 to 2008 he was an investment banker with Morgan Stanley in New York, where he was involved in the execution of over $6 billion worth of mergers and</w:t>
            </w:r>
          </w:p>
        </w:tc>
        <w:tc>
          <w:tcPr>
            <w:tcW w:w="0" w:type="dxa"/>
            <w:vAlign w:val="bottom"/>
          </w:tcPr>
          <w:p>
            <w:pPr>
              <w:spacing w:after="0"/>
              <w:rPr>
                <w:sz w:val="1"/>
                <w:szCs w:val="1"/>
                <w:color w:val="auto"/>
              </w:rPr>
            </w:pPr>
          </w:p>
        </w:tc>
      </w:tr>
      <w:tr>
        <w:trPr>
          <w:trHeight w:val="49"/>
        </w:trPr>
        <w:tc>
          <w:tcPr>
            <w:tcW w:w="3840" w:type="dxa"/>
            <w:vAlign w:val="bottom"/>
            <w:tcBorders>
              <w:left w:val="single" w:sz="8" w:color="auto"/>
            </w:tcBorders>
          </w:tcPr>
          <w:p>
            <w:pPr>
              <w:spacing w:after="0"/>
              <w:rPr>
                <w:sz w:val="4"/>
                <w:szCs w:val="4"/>
                <w:color w:val="auto"/>
              </w:rPr>
            </w:pPr>
          </w:p>
        </w:tc>
        <w:tc>
          <w:tcPr>
            <w:tcW w:w="300" w:type="dxa"/>
            <w:vAlign w:val="bottom"/>
            <w:tcBorders>
              <w:right w:val="single" w:sz="8" w:color="auto"/>
            </w:tcBorders>
          </w:tcPr>
          <w:p>
            <w:pPr>
              <w:spacing w:after="0"/>
              <w:rPr>
                <w:sz w:val="4"/>
                <w:szCs w:val="4"/>
                <w:color w:val="auto"/>
              </w:rPr>
            </w:pPr>
          </w:p>
        </w:tc>
        <w:tc>
          <w:tcPr>
            <w:tcW w:w="7180" w:type="dxa"/>
            <w:vAlign w:val="bottom"/>
            <w:tcBorders>
              <w:right w:val="single" w:sz="8" w:color="auto"/>
            </w:tcBorders>
            <w:gridSpan w:val="6"/>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26"/>
        </w:trPr>
        <w:tc>
          <w:tcPr>
            <w:tcW w:w="3840" w:type="dxa"/>
            <w:vAlign w:val="bottom"/>
            <w:tcBorders>
              <w:left w:val="single" w:sz="8" w:color="auto"/>
            </w:tcBorders>
          </w:tcPr>
          <w:p>
            <w:pPr>
              <w:spacing w:after="0"/>
              <w:rPr>
                <w:sz w:val="10"/>
                <w:szCs w:val="10"/>
                <w:color w:val="auto"/>
              </w:rPr>
            </w:pPr>
          </w:p>
        </w:tc>
        <w:tc>
          <w:tcPr>
            <w:tcW w:w="300" w:type="dxa"/>
            <w:vAlign w:val="bottom"/>
            <w:tcBorders>
              <w:right w:val="single" w:sz="8" w:color="auto"/>
            </w:tcBorders>
          </w:tcPr>
          <w:p>
            <w:pPr>
              <w:spacing w:after="0"/>
              <w:rPr>
                <w:sz w:val="10"/>
                <w:szCs w:val="10"/>
                <w:color w:val="auto"/>
              </w:rPr>
            </w:pPr>
          </w:p>
        </w:tc>
        <w:tc>
          <w:tcPr>
            <w:tcW w:w="7180" w:type="dxa"/>
            <w:vAlign w:val="bottom"/>
            <w:tcBorders>
              <w:right w:val="single" w:sz="8" w:color="auto"/>
            </w:tcBorders>
            <w:gridSpan w:val="6"/>
          </w:tcPr>
          <w:p>
            <w:pPr>
              <w:jc w:val="right"/>
              <w:ind w:right="26"/>
              <w:spacing w:after="0"/>
              <w:rPr>
                <w:sz w:val="20"/>
                <w:szCs w:val="20"/>
                <w:color w:val="auto"/>
              </w:rPr>
            </w:pPr>
            <w:r>
              <w:rPr>
                <w:rFonts w:ascii="Times New Roman" w:cs="Times New Roman" w:eastAsia="Times New Roman" w:hAnsi="Times New Roman"/>
                <w:sz w:val="11"/>
                <w:szCs w:val="11"/>
                <w:color w:val="auto"/>
              </w:rPr>
              <w:t>acquisitions, $8 billion worth of debt offerings and $500 million of equity financings in the healthcare, technology, and telecom sectors. Mr. Lawson is also</w:t>
            </w:r>
          </w:p>
        </w:tc>
        <w:tc>
          <w:tcPr>
            <w:tcW w:w="0" w:type="dxa"/>
            <w:vAlign w:val="bottom"/>
          </w:tcPr>
          <w:p>
            <w:pPr>
              <w:spacing w:after="0"/>
              <w:rPr>
                <w:sz w:val="1"/>
                <w:szCs w:val="1"/>
                <w:color w:val="auto"/>
              </w:rPr>
            </w:pPr>
          </w:p>
        </w:tc>
      </w:tr>
      <w:tr>
        <w:trPr>
          <w:trHeight w:val="126"/>
        </w:trPr>
        <w:tc>
          <w:tcPr>
            <w:tcW w:w="3840" w:type="dxa"/>
            <w:vAlign w:val="bottom"/>
            <w:tcBorders>
              <w:left w:val="single" w:sz="8" w:color="auto"/>
            </w:tcBorders>
          </w:tcPr>
          <w:p>
            <w:pPr>
              <w:spacing w:after="0"/>
              <w:rPr>
                <w:sz w:val="10"/>
                <w:szCs w:val="10"/>
                <w:color w:val="auto"/>
              </w:rPr>
            </w:pPr>
          </w:p>
        </w:tc>
        <w:tc>
          <w:tcPr>
            <w:tcW w:w="300" w:type="dxa"/>
            <w:vAlign w:val="bottom"/>
            <w:tcBorders>
              <w:right w:val="single" w:sz="8" w:color="auto"/>
            </w:tcBorders>
          </w:tcPr>
          <w:p>
            <w:pPr>
              <w:spacing w:after="0"/>
              <w:rPr>
                <w:sz w:val="10"/>
                <w:szCs w:val="10"/>
                <w:color w:val="auto"/>
              </w:rPr>
            </w:pPr>
          </w:p>
        </w:tc>
        <w:tc>
          <w:tcPr>
            <w:tcW w:w="7180" w:type="dxa"/>
            <w:vAlign w:val="bottom"/>
            <w:tcBorders>
              <w:right w:val="single" w:sz="8" w:color="auto"/>
            </w:tcBorders>
            <w:gridSpan w:val="6"/>
          </w:tcPr>
          <w:p>
            <w:pPr>
              <w:jc w:val="right"/>
              <w:ind w:right="26"/>
              <w:spacing w:after="0"/>
              <w:rPr>
                <w:sz w:val="20"/>
                <w:szCs w:val="20"/>
                <w:color w:val="auto"/>
              </w:rPr>
            </w:pPr>
            <w:r>
              <w:rPr>
                <w:rFonts w:ascii="Times New Roman" w:cs="Times New Roman" w:eastAsia="Times New Roman" w:hAnsi="Times New Roman"/>
                <w:sz w:val="11"/>
                <w:szCs w:val="11"/>
                <w:color w:val="auto"/>
                <w:w w:val="99"/>
              </w:rPr>
              <w:t>currently a director of various publicly traded companies in North America. Mr. Lawson received his Bachelor of Arts in Statistical Sciences from The University</w:t>
            </w:r>
          </w:p>
        </w:tc>
        <w:tc>
          <w:tcPr>
            <w:tcW w:w="0" w:type="dxa"/>
            <w:vAlign w:val="bottom"/>
          </w:tcPr>
          <w:p>
            <w:pPr>
              <w:spacing w:after="0"/>
              <w:rPr>
                <w:sz w:val="1"/>
                <w:szCs w:val="1"/>
                <w:color w:val="auto"/>
              </w:rPr>
            </w:pPr>
          </w:p>
        </w:tc>
      </w:tr>
      <w:tr>
        <w:trPr>
          <w:trHeight w:val="135"/>
        </w:trPr>
        <w:tc>
          <w:tcPr>
            <w:tcW w:w="3840" w:type="dxa"/>
            <w:vAlign w:val="bottom"/>
            <w:tcBorders>
              <w:left w:val="single" w:sz="8" w:color="auto"/>
            </w:tcBorders>
          </w:tcPr>
          <w:p>
            <w:pPr>
              <w:spacing w:after="0"/>
              <w:rPr>
                <w:sz w:val="11"/>
                <w:szCs w:val="11"/>
                <w:color w:val="auto"/>
              </w:rPr>
            </w:pPr>
          </w:p>
        </w:tc>
        <w:tc>
          <w:tcPr>
            <w:tcW w:w="300" w:type="dxa"/>
            <w:vAlign w:val="bottom"/>
            <w:tcBorders>
              <w:right w:val="single" w:sz="8" w:color="auto"/>
            </w:tcBorders>
          </w:tcPr>
          <w:p>
            <w:pPr>
              <w:spacing w:after="0"/>
              <w:rPr>
                <w:sz w:val="11"/>
                <w:szCs w:val="11"/>
                <w:color w:val="auto"/>
              </w:rPr>
            </w:pPr>
          </w:p>
        </w:tc>
        <w:tc>
          <w:tcPr>
            <w:tcW w:w="7180" w:type="dxa"/>
            <w:vAlign w:val="bottom"/>
            <w:tcBorders>
              <w:right w:val="single" w:sz="8" w:color="auto"/>
            </w:tcBorders>
            <w:gridSpan w:val="6"/>
          </w:tcPr>
          <w:p>
            <w:pPr>
              <w:jc w:val="right"/>
              <w:ind w:right="26"/>
              <w:spacing w:after="0"/>
              <w:rPr>
                <w:sz w:val="20"/>
                <w:szCs w:val="20"/>
                <w:color w:val="auto"/>
              </w:rPr>
            </w:pPr>
            <w:r>
              <w:rPr>
                <w:rFonts w:ascii="Times New Roman" w:cs="Times New Roman" w:eastAsia="Times New Roman" w:hAnsi="Times New Roman"/>
                <w:sz w:val="11"/>
                <w:szCs w:val="11"/>
                <w:color w:val="auto"/>
              </w:rPr>
              <w:t>of Western Ontario, Canada and his MBA from The Richard Ivey School of Business, University of Western Ontario, Canada. Mr. Lawson is a member of the</w:t>
            </w:r>
          </w:p>
        </w:tc>
        <w:tc>
          <w:tcPr>
            <w:tcW w:w="0" w:type="dxa"/>
            <w:vAlign w:val="bottom"/>
          </w:tcPr>
          <w:p>
            <w:pPr>
              <w:spacing w:after="0"/>
              <w:rPr>
                <w:sz w:val="1"/>
                <w:szCs w:val="1"/>
                <w:color w:val="auto"/>
              </w:rPr>
            </w:pPr>
          </w:p>
        </w:tc>
      </w:tr>
      <w:tr>
        <w:trPr>
          <w:trHeight w:val="140"/>
        </w:trPr>
        <w:tc>
          <w:tcPr>
            <w:tcW w:w="3840" w:type="dxa"/>
            <w:vAlign w:val="bottom"/>
            <w:tcBorders>
              <w:left w:val="single" w:sz="8" w:color="auto"/>
            </w:tcBorders>
          </w:tcPr>
          <w:p>
            <w:pPr>
              <w:spacing w:after="0"/>
              <w:rPr>
                <w:sz w:val="12"/>
                <w:szCs w:val="12"/>
                <w:color w:val="auto"/>
              </w:rPr>
            </w:pPr>
          </w:p>
        </w:tc>
        <w:tc>
          <w:tcPr>
            <w:tcW w:w="300" w:type="dxa"/>
            <w:vAlign w:val="bottom"/>
            <w:tcBorders>
              <w:right w:val="single" w:sz="8" w:color="auto"/>
            </w:tcBorders>
          </w:tcPr>
          <w:p>
            <w:pPr>
              <w:spacing w:after="0"/>
              <w:rPr>
                <w:sz w:val="12"/>
                <w:szCs w:val="12"/>
                <w:color w:val="auto"/>
              </w:rPr>
            </w:pPr>
          </w:p>
        </w:tc>
        <w:tc>
          <w:tcPr>
            <w:tcW w:w="4660" w:type="dxa"/>
            <w:vAlign w:val="bottom"/>
            <w:gridSpan w:val="5"/>
          </w:tcPr>
          <w:p>
            <w:pPr>
              <w:ind w:left="40"/>
              <w:spacing w:after="0"/>
              <w:rPr>
                <w:sz w:val="20"/>
                <w:szCs w:val="20"/>
                <w:color w:val="auto"/>
              </w:rPr>
            </w:pPr>
            <w:r>
              <w:rPr>
                <w:rFonts w:ascii="Times New Roman" w:cs="Times New Roman" w:eastAsia="Times New Roman" w:hAnsi="Times New Roman"/>
                <w:sz w:val="11"/>
                <w:szCs w:val="11"/>
                <w:color w:val="auto"/>
              </w:rPr>
              <w:t>Economic Club of New York and is a Director of the Hugh and Ilene Lawson Charitable Organization.</w:t>
            </w:r>
          </w:p>
        </w:tc>
        <w:tc>
          <w:tcPr>
            <w:tcW w:w="252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156"/>
        </w:trPr>
        <w:tc>
          <w:tcPr>
            <w:tcW w:w="3840" w:type="dxa"/>
            <w:vAlign w:val="bottom"/>
            <w:tcBorders>
              <w:left w:val="single" w:sz="8" w:color="auto"/>
              <w:bottom w:val="single" w:sz="8" w:color="auto"/>
            </w:tcBorders>
          </w:tcPr>
          <w:p>
            <w:pPr>
              <w:spacing w:after="0"/>
              <w:rPr>
                <w:sz w:val="24"/>
                <w:szCs w:val="24"/>
                <w:color w:val="auto"/>
              </w:rPr>
            </w:pPr>
          </w:p>
        </w:tc>
        <w:tc>
          <w:tcPr>
            <w:tcW w:w="300" w:type="dxa"/>
            <w:vAlign w:val="bottom"/>
            <w:tcBorders>
              <w:bottom w:val="single" w:sz="8" w:color="auto"/>
              <w:right w:val="single" w:sz="8" w:color="auto"/>
            </w:tcBorders>
          </w:tcPr>
          <w:p>
            <w:pPr>
              <w:spacing w:after="0"/>
              <w:rPr>
                <w:sz w:val="24"/>
                <w:szCs w:val="24"/>
                <w:color w:val="auto"/>
              </w:rPr>
            </w:pPr>
          </w:p>
        </w:tc>
        <w:tc>
          <w:tcPr>
            <w:tcW w:w="180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spacing w:after="0"/>
              <w:rPr>
                <w:sz w:val="24"/>
                <w:szCs w:val="24"/>
                <w:color w:val="auto"/>
              </w:rPr>
            </w:pPr>
          </w:p>
        </w:tc>
        <w:tc>
          <w:tcPr>
            <w:tcW w:w="130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252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32"/>
        </w:trPr>
        <w:tc>
          <w:tcPr>
            <w:tcW w:w="3840" w:type="dxa"/>
            <w:vAlign w:val="bottom"/>
            <w:tcBorders>
              <w:left w:val="single" w:sz="8" w:color="auto"/>
              <w:bottom w:val="single" w:sz="8" w:color="auto"/>
              <w:right w:val="single" w:sz="8" w:color="BFBFBF"/>
            </w:tcBorders>
            <w:shd w:val="clear" w:color="auto" w:fill="BFBFBF"/>
          </w:tcPr>
          <w:p>
            <w:pPr>
              <w:ind w:left="1140"/>
              <w:spacing w:after="0"/>
              <w:rPr>
                <w:sz w:val="20"/>
                <w:szCs w:val="20"/>
                <w:color w:val="auto"/>
              </w:rPr>
            </w:pPr>
            <w:r>
              <w:rPr>
                <w:rFonts w:ascii="Times New Roman" w:cs="Times New Roman" w:eastAsia="Times New Roman" w:hAnsi="Times New Roman"/>
                <w:sz w:val="11"/>
                <w:szCs w:val="11"/>
                <w:b w:val="1"/>
                <w:bCs w:val="1"/>
                <w:color w:val="auto"/>
              </w:rPr>
              <w:t>Current Board/Committee Membership</w:t>
            </w:r>
          </w:p>
        </w:tc>
        <w:tc>
          <w:tcPr>
            <w:tcW w:w="300" w:type="dxa"/>
            <w:vAlign w:val="bottom"/>
            <w:tcBorders>
              <w:bottom w:val="single" w:sz="8" w:color="auto"/>
              <w:right w:val="single" w:sz="8" w:color="auto"/>
            </w:tcBorders>
            <w:shd w:val="clear" w:color="auto" w:fill="BFBFBF"/>
          </w:tcPr>
          <w:p>
            <w:pPr>
              <w:spacing w:after="0"/>
              <w:rPr>
                <w:sz w:val="11"/>
                <w:szCs w:val="11"/>
                <w:color w:val="auto"/>
              </w:rPr>
            </w:pPr>
          </w:p>
        </w:tc>
        <w:tc>
          <w:tcPr>
            <w:tcW w:w="2580" w:type="dxa"/>
            <w:vAlign w:val="bottom"/>
            <w:tcBorders>
              <w:bottom w:val="single" w:sz="8" w:color="auto"/>
            </w:tcBorders>
            <w:gridSpan w:val="3"/>
            <w:shd w:val="clear" w:color="auto" w:fill="BFBFBF"/>
          </w:tcPr>
          <w:p>
            <w:pPr>
              <w:ind w:left="1360"/>
              <w:spacing w:after="0"/>
              <w:rPr>
                <w:sz w:val="20"/>
                <w:szCs w:val="20"/>
                <w:color w:val="auto"/>
              </w:rPr>
            </w:pPr>
            <w:r>
              <w:rPr>
                <w:rFonts w:ascii="Times New Roman" w:cs="Times New Roman" w:eastAsia="Times New Roman" w:hAnsi="Times New Roman"/>
                <w:sz w:val="11"/>
                <w:szCs w:val="11"/>
                <w:b w:val="1"/>
                <w:bCs w:val="1"/>
                <w:color w:val="auto"/>
              </w:rPr>
              <w:t>2025 Attendance (Total)</w:t>
            </w:r>
          </w:p>
        </w:tc>
        <w:tc>
          <w:tcPr>
            <w:tcW w:w="1300" w:type="dxa"/>
            <w:vAlign w:val="bottom"/>
            <w:tcBorders>
              <w:bottom w:val="single" w:sz="8" w:color="auto"/>
              <w:right w:val="single" w:sz="8" w:color="auto"/>
            </w:tcBorders>
            <w:shd w:val="clear" w:color="auto" w:fill="BFBFBF"/>
          </w:tcPr>
          <w:p>
            <w:pPr>
              <w:spacing w:after="0"/>
              <w:rPr>
                <w:sz w:val="11"/>
                <w:szCs w:val="11"/>
                <w:color w:val="auto"/>
              </w:rPr>
            </w:pPr>
          </w:p>
        </w:tc>
        <w:tc>
          <w:tcPr>
            <w:tcW w:w="780" w:type="dxa"/>
            <w:vAlign w:val="bottom"/>
            <w:tcBorders>
              <w:bottom w:val="single" w:sz="8" w:color="auto"/>
            </w:tcBorders>
            <w:shd w:val="clear" w:color="auto" w:fill="BFBFBF"/>
          </w:tcPr>
          <w:p>
            <w:pPr>
              <w:spacing w:after="0"/>
              <w:rPr>
                <w:sz w:val="11"/>
                <w:szCs w:val="11"/>
                <w:color w:val="auto"/>
              </w:rPr>
            </w:pPr>
          </w:p>
        </w:tc>
        <w:tc>
          <w:tcPr>
            <w:tcW w:w="2520" w:type="dxa"/>
            <w:vAlign w:val="bottom"/>
            <w:tcBorders>
              <w:bottom w:val="single" w:sz="8" w:color="auto"/>
              <w:right w:val="single" w:sz="8" w:color="auto"/>
            </w:tcBorders>
            <w:shd w:val="clear" w:color="auto" w:fill="BFBFBF"/>
          </w:tcPr>
          <w:p>
            <w:pPr>
              <w:jc w:val="center"/>
              <w:ind w:right="766"/>
              <w:spacing w:after="0"/>
              <w:rPr>
                <w:sz w:val="20"/>
                <w:szCs w:val="20"/>
                <w:color w:val="auto"/>
              </w:rPr>
            </w:pPr>
            <w:r>
              <w:rPr>
                <w:rFonts w:ascii="Times New Roman" w:cs="Times New Roman" w:eastAsia="Times New Roman" w:hAnsi="Times New Roman"/>
                <w:sz w:val="11"/>
                <w:szCs w:val="11"/>
                <w:b w:val="1"/>
                <w:bCs w:val="1"/>
                <w:color w:val="auto"/>
                <w:w w:val="98"/>
              </w:rPr>
              <w:t>Other Public Board Memberships</w:t>
            </w:r>
          </w:p>
        </w:tc>
        <w:tc>
          <w:tcPr>
            <w:tcW w:w="0" w:type="dxa"/>
            <w:vAlign w:val="bottom"/>
          </w:tcPr>
          <w:p>
            <w:pPr>
              <w:spacing w:after="0"/>
              <w:rPr>
                <w:sz w:val="1"/>
                <w:szCs w:val="1"/>
                <w:color w:val="auto"/>
              </w:rPr>
            </w:pPr>
          </w:p>
        </w:tc>
      </w:tr>
      <w:tr>
        <w:trPr>
          <w:trHeight w:val="130"/>
        </w:trPr>
        <w:tc>
          <w:tcPr>
            <w:tcW w:w="3840" w:type="dxa"/>
            <w:vAlign w:val="bottom"/>
            <w:tcBorders>
              <w:left w:val="single" w:sz="8" w:color="auto"/>
            </w:tcBorders>
            <w:vMerge w:val="restart"/>
          </w:tcPr>
          <w:p>
            <w:pPr>
              <w:ind w:left="40"/>
              <w:spacing w:after="0"/>
              <w:rPr>
                <w:sz w:val="20"/>
                <w:szCs w:val="20"/>
                <w:color w:val="auto"/>
              </w:rPr>
            </w:pPr>
            <w:r>
              <w:rPr>
                <w:rFonts w:ascii="Times New Roman" w:cs="Times New Roman" w:eastAsia="Times New Roman" w:hAnsi="Times New Roman"/>
                <w:sz w:val="11"/>
                <w:szCs w:val="11"/>
                <w:color w:val="auto"/>
              </w:rPr>
              <w:t>Member of the Board</w:t>
            </w:r>
          </w:p>
        </w:tc>
        <w:tc>
          <w:tcPr>
            <w:tcW w:w="300" w:type="dxa"/>
            <w:vAlign w:val="bottom"/>
            <w:tcBorders>
              <w:right w:val="single" w:sz="8" w:color="auto"/>
            </w:tcBorders>
          </w:tcPr>
          <w:p>
            <w:pPr>
              <w:spacing w:after="0"/>
              <w:rPr>
                <w:sz w:val="11"/>
                <w:szCs w:val="11"/>
                <w:color w:val="auto"/>
              </w:rPr>
            </w:pPr>
          </w:p>
        </w:tc>
        <w:tc>
          <w:tcPr>
            <w:tcW w:w="1800" w:type="dxa"/>
            <w:vAlign w:val="bottom"/>
            <w:tcBorders>
              <w:right w:val="single" w:sz="8" w:color="auto"/>
            </w:tcBorders>
            <w:vMerge w:val="restart"/>
          </w:tcPr>
          <w:p>
            <w:pPr>
              <w:ind w:left="760"/>
              <w:spacing w:after="0"/>
              <w:rPr>
                <w:sz w:val="20"/>
                <w:szCs w:val="20"/>
                <w:color w:val="auto"/>
              </w:rPr>
            </w:pPr>
            <w:r>
              <w:rPr>
                <w:rFonts w:ascii="Times New Roman" w:cs="Times New Roman" w:eastAsia="Times New Roman" w:hAnsi="Times New Roman"/>
                <w:sz w:val="11"/>
                <w:szCs w:val="11"/>
                <w:color w:val="auto"/>
              </w:rPr>
              <w:t>4 of 4</w:t>
            </w:r>
          </w:p>
        </w:tc>
        <w:tc>
          <w:tcPr>
            <w:tcW w:w="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300" w:type="dxa"/>
            <w:vAlign w:val="bottom"/>
            <w:tcBorders>
              <w:right w:val="single" w:sz="8" w:color="auto"/>
            </w:tcBorders>
            <w:vMerge w:val="restart"/>
          </w:tcPr>
          <w:p>
            <w:pPr>
              <w:jc w:val="center"/>
              <w:ind w:right="766"/>
              <w:spacing w:after="0"/>
              <w:rPr>
                <w:sz w:val="20"/>
                <w:szCs w:val="20"/>
                <w:color w:val="auto"/>
              </w:rPr>
            </w:pPr>
            <w:r>
              <w:rPr>
                <w:rFonts w:ascii="Times New Roman" w:cs="Times New Roman" w:eastAsia="Times New Roman" w:hAnsi="Times New Roman"/>
                <w:sz w:val="11"/>
                <w:szCs w:val="11"/>
                <w:color w:val="auto"/>
                <w:w w:val="93"/>
              </w:rPr>
              <w:t>100%</w:t>
            </w:r>
          </w:p>
        </w:tc>
        <w:tc>
          <w:tcPr>
            <w:tcW w:w="780" w:type="dxa"/>
            <w:vAlign w:val="bottom"/>
          </w:tcPr>
          <w:p>
            <w:pPr>
              <w:spacing w:after="0"/>
              <w:rPr>
                <w:sz w:val="11"/>
                <w:szCs w:val="11"/>
                <w:color w:val="auto"/>
              </w:rPr>
            </w:pPr>
          </w:p>
        </w:tc>
        <w:tc>
          <w:tcPr>
            <w:tcW w:w="2520" w:type="dxa"/>
            <w:vAlign w:val="bottom"/>
            <w:tcBorders>
              <w:right w:val="single" w:sz="8" w:color="auto"/>
            </w:tcBorders>
          </w:tcPr>
          <w:p>
            <w:pPr>
              <w:jc w:val="center"/>
              <w:ind w:right="766"/>
              <w:spacing w:after="0"/>
              <w:rPr>
                <w:sz w:val="20"/>
                <w:szCs w:val="20"/>
                <w:color w:val="auto"/>
              </w:rPr>
            </w:pPr>
            <w:r>
              <w:rPr>
                <w:rFonts w:ascii="Times New Roman" w:cs="Times New Roman" w:eastAsia="Times New Roman" w:hAnsi="Times New Roman"/>
                <w:sz w:val="11"/>
                <w:szCs w:val="11"/>
                <w:color w:val="auto"/>
                <w:w w:val="98"/>
              </w:rPr>
              <w:t>Claren Energy Corp. (CEN-TSXV)</w:t>
            </w:r>
          </w:p>
        </w:tc>
        <w:tc>
          <w:tcPr>
            <w:tcW w:w="0" w:type="dxa"/>
            <w:vAlign w:val="bottom"/>
          </w:tcPr>
          <w:p>
            <w:pPr>
              <w:spacing w:after="0"/>
              <w:rPr>
                <w:sz w:val="1"/>
                <w:szCs w:val="1"/>
                <w:color w:val="auto"/>
              </w:rPr>
            </w:pPr>
          </w:p>
        </w:tc>
      </w:tr>
      <w:tr>
        <w:trPr>
          <w:trHeight w:val="36"/>
        </w:trPr>
        <w:tc>
          <w:tcPr>
            <w:tcW w:w="3840" w:type="dxa"/>
            <w:vAlign w:val="bottom"/>
            <w:tcBorders>
              <w:left w:val="single" w:sz="8" w:color="auto"/>
            </w:tcBorders>
            <w:vMerge w:val="continue"/>
          </w:tcPr>
          <w:p>
            <w:pPr>
              <w:spacing w:after="0"/>
              <w:rPr>
                <w:sz w:val="3"/>
                <w:szCs w:val="3"/>
                <w:color w:val="auto"/>
              </w:rPr>
            </w:pPr>
          </w:p>
        </w:tc>
        <w:tc>
          <w:tcPr>
            <w:tcW w:w="300" w:type="dxa"/>
            <w:vAlign w:val="bottom"/>
            <w:tcBorders>
              <w:right w:val="single" w:sz="8" w:color="auto"/>
            </w:tcBorders>
          </w:tcPr>
          <w:p>
            <w:pPr>
              <w:spacing w:after="0"/>
              <w:rPr>
                <w:sz w:val="3"/>
                <w:szCs w:val="3"/>
                <w:color w:val="auto"/>
              </w:rPr>
            </w:pPr>
          </w:p>
        </w:tc>
        <w:tc>
          <w:tcPr>
            <w:tcW w:w="1800" w:type="dxa"/>
            <w:vAlign w:val="bottom"/>
            <w:tcBorders>
              <w:right w:val="single" w:sz="8" w:color="auto"/>
            </w:tcBorders>
            <w:vMerge w:val="continue"/>
          </w:tcPr>
          <w:p>
            <w:pPr>
              <w:spacing w:after="0"/>
              <w:rPr>
                <w:sz w:val="3"/>
                <w:szCs w:val="3"/>
                <w:color w:val="auto"/>
              </w:rPr>
            </w:pPr>
          </w:p>
        </w:tc>
        <w:tc>
          <w:tcPr>
            <w:tcW w:w="780" w:type="dxa"/>
            <w:vAlign w:val="bottom"/>
            <w:gridSpan w:val="2"/>
          </w:tcPr>
          <w:p>
            <w:pPr>
              <w:spacing w:after="0"/>
              <w:rPr>
                <w:sz w:val="3"/>
                <w:szCs w:val="3"/>
                <w:color w:val="auto"/>
              </w:rPr>
            </w:pPr>
          </w:p>
        </w:tc>
        <w:tc>
          <w:tcPr>
            <w:tcW w:w="1300" w:type="dxa"/>
            <w:vAlign w:val="bottom"/>
            <w:tcBorders>
              <w:right w:val="single" w:sz="8" w:color="auto"/>
            </w:tcBorders>
            <w:vMerge w:val="continue"/>
          </w:tcPr>
          <w:p>
            <w:pPr>
              <w:spacing w:after="0"/>
              <w:rPr>
                <w:sz w:val="3"/>
                <w:szCs w:val="3"/>
                <w:color w:val="auto"/>
              </w:rPr>
            </w:pPr>
          </w:p>
        </w:tc>
        <w:tc>
          <w:tcPr>
            <w:tcW w:w="780" w:type="dxa"/>
            <w:vAlign w:val="bottom"/>
          </w:tcPr>
          <w:p>
            <w:pPr>
              <w:spacing w:after="0"/>
              <w:rPr>
                <w:sz w:val="3"/>
                <w:szCs w:val="3"/>
                <w:color w:val="auto"/>
              </w:rPr>
            </w:pPr>
          </w:p>
        </w:tc>
        <w:tc>
          <w:tcPr>
            <w:tcW w:w="2520" w:type="dxa"/>
            <w:vAlign w:val="bottom"/>
            <w:tcBorders>
              <w:right w:val="single" w:sz="8" w:color="auto"/>
            </w:tcBorders>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53"/>
        </w:trPr>
        <w:tc>
          <w:tcPr>
            <w:tcW w:w="3840" w:type="dxa"/>
            <w:vAlign w:val="bottom"/>
            <w:tcBorders>
              <w:left w:val="single" w:sz="8" w:color="auto"/>
            </w:tcBorders>
          </w:tcPr>
          <w:p>
            <w:pPr>
              <w:ind w:left="40"/>
              <w:spacing w:after="0"/>
              <w:rPr>
                <w:sz w:val="20"/>
                <w:szCs w:val="20"/>
                <w:color w:val="auto"/>
              </w:rPr>
            </w:pPr>
            <w:r>
              <w:rPr>
                <w:rFonts w:ascii="Times New Roman" w:cs="Times New Roman" w:eastAsia="Times New Roman" w:hAnsi="Times New Roman"/>
                <w:sz w:val="11"/>
                <w:szCs w:val="11"/>
                <w:color w:val="auto"/>
              </w:rPr>
              <w:t>Member of the Audit Committee</w:t>
            </w:r>
          </w:p>
        </w:tc>
        <w:tc>
          <w:tcPr>
            <w:tcW w:w="300" w:type="dxa"/>
            <w:vAlign w:val="bottom"/>
            <w:tcBorders>
              <w:right w:val="single" w:sz="8" w:color="auto"/>
            </w:tcBorders>
          </w:tcPr>
          <w:p>
            <w:pPr>
              <w:spacing w:after="0"/>
              <w:rPr>
                <w:sz w:val="13"/>
                <w:szCs w:val="13"/>
                <w:color w:val="auto"/>
              </w:rPr>
            </w:pPr>
          </w:p>
        </w:tc>
        <w:tc>
          <w:tcPr>
            <w:tcW w:w="1800" w:type="dxa"/>
            <w:vAlign w:val="bottom"/>
            <w:tcBorders>
              <w:right w:val="single" w:sz="8" w:color="auto"/>
            </w:tcBorders>
          </w:tcPr>
          <w:p>
            <w:pPr>
              <w:ind w:left="760"/>
              <w:spacing w:after="0"/>
              <w:rPr>
                <w:sz w:val="20"/>
                <w:szCs w:val="20"/>
                <w:color w:val="auto"/>
              </w:rPr>
            </w:pPr>
            <w:r>
              <w:rPr>
                <w:rFonts w:ascii="Times New Roman" w:cs="Times New Roman" w:eastAsia="Times New Roman" w:hAnsi="Times New Roman"/>
                <w:sz w:val="11"/>
                <w:szCs w:val="11"/>
                <w:color w:val="auto"/>
              </w:rPr>
              <w:t>4 of 4</w:t>
            </w:r>
          </w:p>
        </w:tc>
        <w:tc>
          <w:tcPr>
            <w:tcW w:w="780" w:type="dxa"/>
            <w:vAlign w:val="bottom"/>
            <w:gridSpan w:val="2"/>
          </w:tcPr>
          <w:p>
            <w:pPr>
              <w:spacing w:after="0"/>
              <w:rPr>
                <w:sz w:val="13"/>
                <w:szCs w:val="13"/>
                <w:color w:val="auto"/>
              </w:rPr>
            </w:pPr>
          </w:p>
        </w:tc>
        <w:tc>
          <w:tcPr>
            <w:tcW w:w="1300" w:type="dxa"/>
            <w:vAlign w:val="bottom"/>
            <w:tcBorders>
              <w:right w:val="single" w:sz="8" w:color="auto"/>
            </w:tcBorders>
          </w:tcPr>
          <w:p>
            <w:pPr>
              <w:jc w:val="center"/>
              <w:ind w:right="766"/>
              <w:spacing w:after="0"/>
              <w:rPr>
                <w:sz w:val="20"/>
                <w:szCs w:val="20"/>
                <w:color w:val="auto"/>
              </w:rPr>
            </w:pPr>
            <w:r>
              <w:rPr>
                <w:rFonts w:ascii="Times New Roman" w:cs="Times New Roman" w:eastAsia="Times New Roman" w:hAnsi="Times New Roman"/>
                <w:sz w:val="11"/>
                <w:szCs w:val="11"/>
                <w:color w:val="auto"/>
                <w:w w:val="93"/>
              </w:rPr>
              <w:t>100%</w:t>
            </w:r>
          </w:p>
        </w:tc>
        <w:tc>
          <w:tcPr>
            <w:tcW w:w="780" w:type="dxa"/>
            <w:vAlign w:val="bottom"/>
          </w:tcPr>
          <w:p>
            <w:pPr>
              <w:spacing w:after="0"/>
              <w:rPr>
                <w:sz w:val="13"/>
                <w:szCs w:val="13"/>
                <w:color w:val="auto"/>
              </w:rPr>
            </w:pPr>
          </w:p>
        </w:tc>
        <w:tc>
          <w:tcPr>
            <w:tcW w:w="2520" w:type="dxa"/>
            <w:vAlign w:val="bottom"/>
            <w:tcBorders>
              <w:right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3840" w:type="dxa"/>
            <w:vAlign w:val="bottom"/>
            <w:tcBorders>
              <w:left w:val="single" w:sz="8" w:color="auto"/>
            </w:tcBorders>
          </w:tcPr>
          <w:p>
            <w:pPr>
              <w:ind w:left="40"/>
              <w:spacing w:after="0"/>
              <w:rPr>
                <w:sz w:val="20"/>
                <w:szCs w:val="20"/>
                <w:color w:val="auto"/>
              </w:rPr>
            </w:pPr>
            <w:r>
              <w:rPr>
                <w:rFonts w:ascii="Times New Roman" w:cs="Times New Roman" w:eastAsia="Times New Roman" w:hAnsi="Times New Roman"/>
                <w:sz w:val="11"/>
                <w:szCs w:val="11"/>
                <w:color w:val="auto"/>
              </w:rPr>
              <w:t>Member of the Compensation Committee</w:t>
            </w:r>
          </w:p>
        </w:tc>
        <w:tc>
          <w:tcPr>
            <w:tcW w:w="300" w:type="dxa"/>
            <w:vAlign w:val="bottom"/>
            <w:tcBorders>
              <w:right w:val="single" w:sz="8" w:color="auto"/>
            </w:tcBorders>
          </w:tcPr>
          <w:p>
            <w:pPr>
              <w:spacing w:after="0"/>
              <w:rPr>
                <w:sz w:val="13"/>
                <w:szCs w:val="13"/>
                <w:color w:val="auto"/>
              </w:rPr>
            </w:pPr>
          </w:p>
        </w:tc>
        <w:tc>
          <w:tcPr>
            <w:tcW w:w="1800" w:type="dxa"/>
            <w:vAlign w:val="bottom"/>
            <w:tcBorders>
              <w:right w:val="single" w:sz="8" w:color="auto"/>
            </w:tcBorders>
          </w:tcPr>
          <w:p>
            <w:pPr>
              <w:ind w:left="760"/>
              <w:spacing w:after="0"/>
              <w:rPr>
                <w:sz w:val="20"/>
                <w:szCs w:val="20"/>
                <w:color w:val="auto"/>
              </w:rPr>
            </w:pPr>
            <w:r>
              <w:rPr>
                <w:rFonts w:ascii="Times New Roman" w:cs="Times New Roman" w:eastAsia="Times New Roman" w:hAnsi="Times New Roman"/>
                <w:sz w:val="11"/>
                <w:szCs w:val="11"/>
                <w:color w:val="auto"/>
              </w:rPr>
              <w:t>3 of 3</w:t>
            </w:r>
          </w:p>
        </w:tc>
        <w:tc>
          <w:tcPr>
            <w:tcW w:w="780" w:type="dxa"/>
            <w:vAlign w:val="bottom"/>
            <w:gridSpan w:val="2"/>
          </w:tcPr>
          <w:p>
            <w:pPr>
              <w:spacing w:after="0"/>
              <w:rPr>
                <w:sz w:val="13"/>
                <w:szCs w:val="13"/>
                <w:color w:val="auto"/>
              </w:rPr>
            </w:pPr>
          </w:p>
        </w:tc>
        <w:tc>
          <w:tcPr>
            <w:tcW w:w="1300" w:type="dxa"/>
            <w:vAlign w:val="bottom"/>
            <w:tcBorders>
              <w:right w:val="single" w:sz="8" w:color="auto"/>
            </w:tcBorders>
          </w:tcPr>
          <w:p>
            <w:pPr>
              <w:jc w:val="center"/>
              <w:ind w:right="766"/>
              <w:spacing w:after="0"/>
              <w:rPr>
                <w:sz w:val="20"/>
                <w:szCs w:val="20"/>
                <w:color w:val="auto"/>
              </w:rPr>
            </w:pPr>
            <w:r>
              <w:rPr>
                <w:rFonts w:ascii="Times New Roman" w:cs="Times New Roman" w:eastAsia="Times New Roman" w:hAnsi="Times New Roman"/>
                <w:sz w:val="11"/>
                <w:szCs w:val="11"/>
                <w:color w:val="auto"/>
                <w:w w:val="93"/>
              </w:rPr>
              <w:t>100%</w:t>
            </w:r>
          </w:p>
        </w:tc>
        <w:tc>
          <w:tcPr>
            <w:tcW w:w="780" w:type="dxa"/>
            <w:vAlign w:val="bottom"/>
          </w:tcPr>
          <w:p>
            <w:pPr>
              <w:spacing w:after="0"/>
              <w:rPr>
                <w:sz w:val="13"/>
                <w:szCs w:val="13"/>
                <w:color w:val="auto"/>
              </w:rPr>
            </w:pPr>
          </w:p>
        </w:tc>
        <w:tc>
          <w:tcPr>
            <w:tcW w:w="2520" w:type="dxa"/>
            <w:vAlign w:val="bottom"/>
            <w:tcBorders>
              <w:right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3840" w:type="dxa"/>
            <w:vAlign w:val="bottom"/>
            <w:tcBorders>
              <w:left w:val="single" w:sz="8" w:color="auto"/>
            </w:tcBorders>
          </w:tcPr>
          <w:p>
            <w:pPr>
              <w:ind w:left="40"/>
              <w:spacing w:after="0"/>
              <w:rPr>
                <w:sz w:val="20"/>
                <w:szCs w:val="20"/>
                <w:color w:val="auto"/>
              </w:rPr>
            </w:pPr>
            <w:r>
              <w:rPr>
                <w:rFonts w:ascii="Times New Roman" w:cs="Times New Roman" w:eastAsia="Times New Roman" w:hAnsi="Times New Roman"/>
                <w:sz w:val="11"/>
                <w:szCs w:val="11"/>
                <w:color w:val="auto"/>
              </w:rPr>
              <w:t>Member of the Corporate Governance and Nominating Committee</w:t>
            </w:r>
          </w:p>
        </w:tc>
        <w:tc>
          <w:tcPr>
            <w:tcW w:w="300" w:type="dxa"/>
            <w:vAlign w:val="bottom"/>
            <w:tcBorders>
              <w:right w:val="single" w:sz="8" w:color="auto"/>
            </w:tcBorders>
          </w:tcPr>
          <w:p>
            <w:pPr>
              <w:spacing w:after="0"/>
              <w:rPr>
                <w:sz w:val="13"/>
                <w:szCs w:val="13"/>
                <w:color w:val="auto"/>
              </w:rPr>
            </w:pPr>
          </w:p>
        </w:tc>
        <w:tc>
          <w:tcPr>
            <w:tcW w:w="1800" w:type="dxa"/>
            <w:vAlign w:val="bottom"/>
            <w:tcBorders>
              <w:right w:val="single" w:sz="8" w:color="auto"/>
            </w:tcBorders>
          </w:tcPr>
          <w:p>
            <w:pPr>
              <w:ind w:left="760"/>
              <w:spacing w:after="0"/>
              <w:rPr>
                <w:sz w:val="20"/>
                <w:szCs w:val="20"/>
                <w:color w:val="auto"/>
              </w:rPr>
            </w:pPr>
            <w:r>
              <w:rPr>
                <w:rFonts w:ascii="Times New Roman" w:cs="Times New Roman" w:eastAsia="Times New Roman" w:hAnsi="Times New Roman"/>
                <w:sz w:val="11"/>
                <w:szCs w:val="11"/>
                <w:color w:val="auto"/>
              </w:rPr>
              <w:t>0 of 0</w:t>
            </w:r>
          </w:p>
        </w:tc>
        <w:tc>
          <w:tcPr>
            <w:tcW w:w="780" w:type="dxa"/>
            <w:vAlign w:val="bottom"/>
            <w:gridSpan w:val="2"/>
          </w:tcPr>
          <w:p>
            <w:pPr>
              <w:spacing w:after="0"/>
              <w:rPr>
                <w:sz w:val="13"/>
                <w:szCs w:val="13"/>
                <w:color w:val="auto"/>
              </w:rPr>
            </w:pPr>
          </w:p>
        </w:tc>
        <w:tc>
          <w:tcPr>
            <w:tcW w:w="1300" w:type="dxa"/>
            <w:vAlign w:val="bottom"/>
            <w:tcBorders>
              <w:right w:val="single" w:sz="8" w:color="auto"/>
            </w:tcBorders>
          </w:tcPr>
          <w:p>
            <w:pPr>
              <w:jc w:val="center"/>
              <w:ind w:right="766"/>
              <w:spacing w:after="0"/>
              <w:rPr>
                <w:sz w:val="20"/>
                <w:szCs w:val="20"/>
                <w:color w:val="auto"/>
              </w:rPr>
            </w:pPr>
            <w:r>
              <w:rPr>
                <w:rFonts w:ascii="Times New Roman" w:cs="Times New Roman" w:eastAsia="Times New Roman" w:hAnsi="Times New Roman"/>
                <w:sz w:val="11"/>
                <w:szCs w:val="11"/>
                <w:color w:val="auto"/>
              </w:rPr>
              <w:t>N/A</w:t>
            </w:r>
          </w:p>
        </w:tc>
        <w:tc>
          <w:tcPr>
            <w:tcW w:w="780" w:type="dxa"/>
            <w:vAlign w:val="bottom"/>
          </w:tcPr>
          <w:p>
            <w:pPr>
              <w:spacing w:after="0"/>
              <w:rPr>
                <w:sz w:val="13"/>
                <w:szCs w:val="13"/>
                <w:color w:val="auto"/>
              </w:rPr>
            </w:pPr>
          </w:p>
        </w:tc>
        <w:tc>
          <w:tcPr>
            <w:tcW w:w="2520" w:type="dxa"/>
            <w:vAlign w:val="bottom"/>
            <w:tcBorders>
              <w:right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40"/>
        </w:trPr>
        <w:tc>
          <w:tcPr>
            <w:tcW w:w="4140" w:type="dxa"/>
            <w:vAlign w:val="bottom"/>
            <w:tcBorders>
              <w:left w:val="single" w:sz="8" w:color="auto"/>
              <w:bottom w:val="single" w:sz="8" w:color="auto"/>
              <w:right w:val="single" w:sz="8" w:color="auto"/>
            </w:tcBorders>
            <w:gridSpan w:val="2"/>
          </w:tcPr>
          <w:p>
            <w:pPr>
              <w:spacing w:after="0"/>
              <w:rPr>
                <w:sz w:val="3"/>
                <w:szCs w:val="3"/>
                <w:color w:val="auto"/>
              </w:rPr>
            </w:pPr>
          </w:p>
        </w:tc>
        <w:tc>
          <w:tcPr>
            <w:tcW w:w="1800" w:type="dxa"/>
            <w:vAlign w:val="bottom"/>
            <w:tcBorders>
              <w:bottom w:val="single" w:sz="8" w:color="auto"/>
              <w:right w:val="single" w:sz="8" w:color="auto"/>
            </w:tcBorders>
          </w:tcPr>
          <w:p>
            <w:pPr>
              <w:spacing w:after="0"/>
              <w:rPr>
                <w:sz w:val="3"/>
                <w:szCs w:val="3"/>
                <w:color w:val="auto"/>
              </w:rPr>
            </w:pPr>
          </w:p>
        </w:tc>
        <w:tc>
          <w:tcPr>
            <w:tcW w:w="780" w:type="dxa"/>
            <w:vAlign w:val="bottom"/>
            <w:tcBorders>
              <w:bottom w:val="single" w:sz="8" w:color="auto"/>
            </w:tcBorders>
            <w:gridSpan w:val="2"/>
          </w:tcPr>
          <w:p>
            <w:pPr>
              <w:spacing w:after="0"/>
              <w:rPr>
                <w:sz w:val="3"/>
                <w:szCs w:val="3"/>
                <w:color w:val="auto"/>
              </w:rPr>
            </w:pPr>
          </w:p>
        </w:tc>
        <w:tc>
          <w:tcPr>
            <w:tcW w:w="1300" w:type="dxa"/>
            <w:vAlign w:val="bottom"/>
            <w:tcBorders>
              <w:bottom w:val="single" w:sz="8" w:color="auto"/>
              <w:right w:val="single" w:sz="8" w:color="auto"/>
            </w:tcBorders>
          </w:tcPr>
          <w:p>
            <w:pPr>
              <w:spacing w:after="0"/>
              <w:rPr>
                <w:sz w:val="3"/>
                <w:szCs w:val="3"/>
                <w:color w:val="auto"/>
              </w:rPr>
            </w:pPr>
          </w:p>
        </w:tc>
        <w:tc>
          <w:tcPr>
            <w:tcW w:w="780" w:type="dxa"/>
            <w:vAlign w:val="bottom"/>
            <w:tcBorders>
              <w:bottom w:val="single" w:sz="8" w:color="auto"/>
            </w:tcBorders>
          </w:tcPr>
          <w:p>
            <w:pPr>
              <w:spacing w:after="0"/>
              <w:rPr>
                <w:sz w:val="3"/>
                <w:szCs w:val="3"/>
                <w:color w:val="auto"/>
              </w:rPr>
            </w:pPr>
          </w:p>
        </w:tc>
        <w:tc>
          <w:tcPr>
            <w:tcW w:w="2520" w:type="dxa"/>
            <w:vAlign w:val="bottom"/>
            <w:tcBorders>
              <w:bottom w:val="single" w:sz="8" w:color="auto"/>
              <w:right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32"/>
        </w:trPr>
        <w:tc>
          <w:tcPr>
            <w:tcW w:w="6720" w:type="dxa"/>
            <w:vAlign w:val="bottom"/>
            <w:tcBorders>
              <w:left w:val="single" w:sz="8" w:color="auto"/>
              <w:bottom w:val="single" w:sz="8" w:color="auto"/>
            </w:tcBorders>
            <w:gridSpan w:val="5"/>
          </w:tcPr>
          <w:p>
            <w:pPr>
              <w:ind w:left="2340"/>
              <w:spacing w:after="0"/>
              <w:rPr>
                <w:sz w:val="20"/>
                <w:szCs w:val="20"/>
                <w:color w:val="auto"/>
              </w:rPr>
            </w:pPr>
            <w:r>
              <w:rPr>
                <w:rFonts w:ascii="Times New Roman" w:cs="Times New Roman" w:eastAsia="Times New Roman" w:hAnsi="Times New Roman"/>
                <w:sz w:val="11"/>
                <w:szCs w:val="11"/>
                <w:b w:val="1"/>
                <w:bCs w:val="1"/>
                <w:color w:val="auto"/>
              </w:rPr>
              <w:t>Number of Common Shares Beneficially Owned, Controlled or Directed</w:t>
            </w:r>
          </w:p>
        </w:tc>
        <w:tc>
          <w:tcPr>
            <w:tcW w:w="1300" w:type="dxa"/>
            <w:vAlign w:val="bottom"/>
            <w:tcBorders>
              <w:bottom w:val="single" w:sz="8" w:color="auto"/>
              <w:right w:val="single" w:sz="8" w:color="auto"/>
            </w:tcBorders>
          </w:tcPr>
          <w:p>
            <w:pPr>
              <w:spacing w:after="0"/>
              <w:rPr>
                <w:sz w:val="11"/>
                <w:szCs w:val="11"/>
                <w:color w:val="auto"/>
              </w:rPr>
            </w:pPr>
          </w:p>
        </w:tc>
        <w:tc>
          <w:tcPr>
            <w:tcW w:w="780" w:type="dxa"/>
            <w:vAlign w:val="bottom"/>
            <w:tcBorders>
              <w:bottom w:val="single" w:sz="8" w:color="auto"/>
            </w:tcBorders>
          </w:tcPr>
          <w:p>
            <w:pPr>
              <w:spacing w:after="0"/>
              <w:rPr>
                <w:sz w:val="11"/>
                <w:szCs w:val="11"/>
                <w:color w:val="auto"/>
              </w:rPr>
            </w:pPr>
          </w:p>
        </w:tc>
        <w:tc>
          <w:tcPr>
            <w:tcW w:w="2520" w:type="dxa"/>
            <w:vAlign w:val="bottom"/>
            <w:tcBorders>
              <w:bottom w:val="single" w:sz="8" w:color="auto"/>
              <w:right w:val="single" w:sz="8" w:color="auto"/>
            </w:tcBorders>
          </w:tcPr>
          <w:p>
            <w:pPr>
              <w:jc w:val="center"/>
              <w:ind w:right="766"/>
              <w:spacing w:after="0"/>
              <w:rPr>
                <w:sz w:val="20"/>
                <w:szCs w:val="20"/>
                <w:color w:val="auto"/>
              </w:rPr>
            </w:pPr>
            <w:r>
              <w:rPr>
                <w:rFonts w:ascii="Times New Roman" w:cs="Times New Roman" w:eastAsia="Times New Roman" w:hAnsi="Times New Roman"/>
                <w:sz w:val="11"/>
                <w:szCs w:val="11"/>
                <w:color w:val="auto"/>
              </w:rPr>
              <w:t>3,026</w:t>
            </w:r>
          </w:p>
        </w:tc>
        <w:tc>
          <w:tcPr>
            <w:tcW w:w="0" w:type="dxa"/>
            <w:vAlign w:val="bottom"/>
          </w:tcPr>
          <w:p>
            <w:pPr>
              <w:spacing w:after="0"/>
              <w:rPr>
                <w:sz w:val="1"/>
                <w:szCs w:val="1"/>
                <w:color w:val="auto"/>
              </w:rPr>
            </w:pPr>
          </w:p>
        </w:tc>
      </w:tr>
      <w:tr>
        <w:trPr>
          <w:trHeight w:val="89"/>
        </w:trPr>
        <w:tc>
          <w:tcPr>
            <w:tcW w:w="3840" w:type="dxa"/>
            <w:vAlign w:val="bottom"/>
            <w:tcBorders>
              <w:bottom w:val="single" w:sz="8" w:color="auto"/>
            </w:tcBorders>
          </w:tcPr>
          <w:p>
            <w:pPr>
              <w:spacing w:after="0"/>
              <w:rPr>
                <w:sz w:val="7"/>
                <w:szCs w:val="7"/>
                <w:color w:val="auto"/>
              </w:rPr>
            </w:pPr>
          </w:p>
        </w:tc>
        <w:tc>
          <w:tcPr>
            <w:tcW w:w="300" w:type="dxa"/>
            <w:vAlign w:val="bottom"/>
            <w:tcBorders>
              <w:bottom w:val="single" w:sz="8" w:color="auto"/>
            </w:tcBorders>
          </w:tcPr>
          <w:p>
            <w:pPr>
              <w:spacing w:after="0"/>
              <w:rPr>
                <w:sz w:val="7"/>
                <w:szCs w:val="7"/>
                <w:color w:val="auto"/>
              </w:rPr>
            </w:pPr>
          </w:p>
        </w:tc>
        <w:tc>
          <w:tcPr>
            <w:tcW w:w="1800" w:type="dxa"/>
            <w:vAlign w:val="bottom"/>
            <w:tcBorders>
              <w:bottom w:val="single" w:sz="8" w:color="auto"/>
            </w:tcBorders>
          </w:tcPr>
          <w:p>
            <w:pPr>
              <w:spacing w:after="0"/>
              <w:rPr>
                <w:sz w:val="7"/>
                <w:szCs w:val="7"/>
                <w:color w:val="auto"/>
              </w:rPr>
            </w:pPr>
          </w:p>
        </w:tc>
        <w:tc>
          <w:tcPr>
            <w:tcW w:w="80" w:type="dxa"/>
            <w:vAlign w:val="bottom"/>
            <w:tcBorders>
              <w:bottom w:val="single" w:sz="8" w:color="auto"/>
            </w:tcBorders>
          </w:tcPr>
          <w:p>
            <w:pPr>
              <w:spacing w:after="0"/>
              <w:rPr>
                <w:sz w:val="7"/>
                <w:szCs w:val="7"/>
                <w:color w:val="auto"/>
              </w:rPr>
            </w:pPr>
          </w:p>
        </w:tc>
        <w:tc>
          <w:tcPr>
            <w:tcW w:w="700" w:type="dxa"/>
            <w:vAlign w:val="bottom"/>
            <w:tcBorders>
              <w:bottom w:val="single" w:sz="8" w:color="auto"/>
            </w:tcBorders>
          </w:tcPr>
          <w:p>
            <w:pPr>
              <w:spacing w:after="0"/>
              <w:rPr>
                <w:sz w:val="7"/>
                <w:szCs w:val="7"/>
                <w:color w:val="auto"/>
              </w:rPr>
            </w:pPr>
          </w:p>
        </w:tc>
        <w:tc>
          <w:tcPr>
            <w:tcW w:w="1300" w:type="dxa"/>
            <w:vAlign w:val="bottom"/>
            <w:tcBorders>
              <w:bottom w:val="single" w:sz="8" w:color="auto"/>
              <w:right w:val="single" w:sz="8" w:color="auto"/>
            </w:tcBorders>
          </w:tcPr>
          <w:p>
            <w:pPr>
              <w:spacing w:after="0"/>
              <w:rPr>
                <w:sz w:val="7"/>
                <w:szCs w:val="7"/>
                <w:color w:val="auto"/>
              </w:rPr>
            </w:pPr>
          </w:p>
        </w:tc>
        <w:tc>
          <w:tcPr>
            <w:tcW w:w="780" w:type="dxa"/>
            <w:vAlign w:val="bottom"/>
            <w:tcBorders>
              <w:bottom w:val="single" w:sz="8" w:color="auto"/>
            </w:tcBorders>
          </w:tcPr>
          <w:p>
            <w:pPr>
              <w:spacing w:after="0"/>
              <w:rPr>
                <w:sz w:val="7"/>
                <w:szCs w:val="7"/>
                <w:color w:val="auto"/>
              </w:rPr>
            </w:pPr>
          </w:p>
        </w:tc>
        <w:tc>
          <w:tcPr>
            <w:tcW w:w="2520" w:type="dxa"/>
            <w:vAlign w:val="bottom"/>
            <w:tcBorders>
              <w:bottom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132"/>
        </w:trPr>
        <w:tc>
          <w:tcPr>
            <w:tcW w:w="3840" w:type="dxa"/>
            <w:vAlign w:val="bottom"/>
            <w:tcBorders>
              <w:left w:val="single" w:sz="8" w:color="auto"/>
              <w:bottom w:val="single" w:sz="8" w:color="auto"/>
              <w:right w:val="single" w:sz="8" w:color="D9D9D9"/>
            </w:tcBorders>
            <w:shd w:val="clear" w:color="auto" w:fill="D9D9D9"/>
          </w:tcPr>
          <w:p>
            <w:pPr>
              <w:ind w:left="40"/>
              <w:spacing w:after="0"/>
              <w:rPr>
                <w:sz w:val="20"/>
                <w:szCs w:val="20"/>
                <w:color w:val="auto"/>
              </w:rPr>
            </w:pPr>
            <w:r>
              <w:rPr>
                <w:rFonts w:ascii="Times New Roman" w:cs="Times New Roman" w:eastAsia="Times New Roman" w:hAnsi="Times New Roman"/>
                <w:sz w:val="11"/>
                <w:szCs w:val="11"/>
                <w:b w:val="1"/>
                <w:bCs w:val="1"/>
                <w:color w:val="auto"/>
              </w:rPr>
              <w:t>ERIC SO</w:t>
            </w:r>
          </w:p>
        </w:tc>
        <w:tc>
          <w:tcPr>
            <w:tcW w:w="300" w:type="dxa"/>
            <w:vAlign w:val="bottom"/>
            <w:tcBorders>
              <w:bottom w:val="single" w:sz="8" w:color="auto"/>
              <w:right w:val="single" w:sz="8" w:color="D9D9D9"/>
            </w:tcBorders>
            <w:shd w:val="clear" w:color="auto" w:fill="D9D9D9"/>
          </w:tcPr>
          <w:p>
            <w:pPr>
              <w:spacing w:after="0"/>
              <w:rPr>
                <w:sz w:val="11"/>
                <w:szCs w:val="11"/>
                <w:color w:val="auto"/>
              </w:rPr>
            </w:pPr>
          </w:p>
        </w:tc>
        <w:tc>
          <w:tcPr>
            <w:tcW w:w="1800" w:type="dxa"/>
            <w:vAlign w:val="bottom"/>
            <w:tcBorders>
              <w:bottom w:val="single" w:sz="8" w:color="auto"/>
              <w:right w:val="single" w:sz="8" w:color="D9D9D9"/>
            </w:tcBorders>
            <w:shd w:val="clear" w:color="auto" w:fill="D9D9D9"/>
          </w:tcPr>
          <w:p>
            <w:pPr>
              <w:spacing w:after="0"/>
              <w:rPr>
                <w:sz w:val="11"/>
                <w:szCs w:val="11"/>
                <w:color w:val="auto"/>
              </w:rPr>
            </w:pPr>
          </w:p>
        </w:tc>
        <w:tc>
          <w:tcPr>
            <w:tcW w:w="80" w:type="dxa"/>
            <w:vAlign w:val="bottom"/>
            <w:tcBorders>
              <w:bottom w:val="single" w:sz="8" w:color="auto"/>
              <w:right w:val="single" w:sz="8" w:color="D9D9D9"/>
            </w:tcBorders>
            <w:shd w:val="clear" w:color="auto" w:fill="D9D9D9"/>
          </w:tcPr>
          <w:p>
            <w:pPr>
              <w:spacing w:after="0"/>
              <w:rPr>
                <w:sz w:val="11"/>
                <w:szCs w:val="11"/>
                <w:color w:val="auto"/>
              </w:rPr>
            </w:pPr>
          </w:p>
        </w:tc>
        <w:tc>
          <w:tcPr>
            <w:tcW w:w="2780" w:type="dxa"/>
            <w:vAlign w:val="bottom"/>
            <w:tcBorders>
              <w:bottom w:val="single" w:sz="8" w:color="auto"/>
            </w:tcBorders>
            <w:gridSpan w:val="3"/>
            <w:shd w:val="clear" w:color="auto" w:fill="D9D9D9"/>
          </w:tcPr>
          <w:p>
            <w:pPr>
              <w:ind w:left="340"/>
              <w:spacing w:after="0"/>
              <w:rPr>
                <w:sz w:val="20"/>
                <w:szCs w:val="20"/>
                <w:color w:val="auto"/>
              </w:rPr>
            </w:pPr>
            <w:r>
              <w:rPr>
                <w:rFonts w:ascii="Times New Roman" w:cs="Times New Roman" w:eastAsia="Times New Roman" w:hAnsi="Times New Roman"/>
                <w:sz w:val="11"/>
                <w:szCs w:val="11"/>
                <w:b w:val="1"/>
                <w:bCs w:val="1"/>
                <w:color w:val="auto"/>
                <w:w w:val="98"/>
              </w:rPr>
              <w:t>Principal Occupation and Biographical Information</w:t>
            </w:r>
          </w:p>
        </w:tc>
        <w:tc>
          <w:tcPr>
            <w:tcW w:w="2520" w:type="dxa"/>
            <w:vAlign w:val="bottom"/>
            <w:tcBorders>
              <w:bottom w:val="single" w:sz="8" w:color="auto"/>
              <w:right w:val="single" w:sz="8" w:color="auto"/>
            </w:tcBorders>
            <w:shd w:val="clear" w:color="auto" w:fill="D9D9D9"/>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3840" w:type="dxa"/>
            <w:vAlign w:val="bottom"/>
            <w:tcBorders>
              <w:left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1"/>
                <w:szCs w:val="11"/>
                <w:color w:val="auto"/>
              </w:rPr>
              <w:t>Dubai, United Arab Emirates</w:t>
            </w:r>
          </w:p>
        </w:tc>
        <w:tc>
          <w:tcPr>
            <w:tcW w:w="7480" w:type="dxa"/>
            <w:vAlign w:val="bottom"/>
            <w:tcBorders>
              <w:right w:val="single" w:sz="8" w:color="auto"/>
            </w:tcBorders>
            <w:gridSpan w:val="7"/>
          </w:tcPr>
          <w:p>
            <w:pPr>
              <w:jc w:val="right"/>
              <w:ind w:right="26"/>
              <w:spacing w:after="0"/>
              <w:rPr>
                <w:sz w:val="20"/>
                <w:szCs w:val="20"/>
                <w:color w:val="auto"/>
              </w:rPr>
            </w:pPr>
            <w:r>
              <w:rPr>
                <w:rFonts w:ascii="Times New Roman" w:cs="Times New Roman" w:eastAsia="Times New Roman" w:hAnsi="Times New Roman"/>
                <w:sz w:val="11"/>
                <w:szCs w:val="11"/>
                <w:color w:val="auto"/>
                <w:w w:val="99"/>
              </w:rPr>
              <w:t>Eric So is a Co-founder and President of the Corporation. He is a veteran founder and operator of various public and private companies over the last 20 years and has led</w:t>
            </w:r>
          </w:p>
        </w:tc>
        <w:tc>
          <w:tcPr>
            <w:tcW w:w="0" w:type="dxa"/>
            <w:vAlign w:val="bottom"/>
          </w:tcPr>
          <w:p>
            <w:pPr>
              <w:spacing w:after="0"/>
              <w:rPr>
                <w:sz w:val="1"/>
                <w:szCs w:val="1"/>
                <w:color w:val="auto"/>
              </w:rPr>
            </w:pPr>
          </w:p>
        </w:tc>
      </w:tr>
      <w:tr>
        <w:trPr>
          <w:trHeight w:val="126"/>
        </w:trPr>
        <w:tc>
          <w:tcPr>
            <w:tcW w:w="3840" w:type="dxa"/>
            <w:vAlign w:val="bottom"/>
            <w:tcBorders>
              <w:left w:val="single" w:sz="8" w:color="auto"/>
              <w:right w:val="single" w:sz="8" w:color="auto"/>
            </w:tcBorders>
            <w:vMerge w:val="restart"/>
          </w:tcPr>
          <w:p>
            <w:pPr>
              <w:ind w:left="40"/>
              <w:spacing w:after="0"/>
              <w:rPr>
                <w:sz w:val="20"/>
                <w:szCs w:val="20"/>
                <w:color w:val="auto"/>
              </w:rPr>
            </w:pPr>
            <w:r>
              <w:rPr>
                <w:rFonts w:ascii="Times New Roman" w:cs="Times New Roman" w:eastAsia="Times New Roman" w:hAnsi="Times New Roman"/>
                <w:sz w:val="11"/>
                <w:szCs w:val="11"/>
                <w:color w:val="auto"/>
              </w:rPr>
              <w:t>Director Since: November 5, 2020</w:t>
            </w:r>
          </w:p>
        </w:tc>
        <w:tc>
          <w:tcPr>
            <w:tcW w:w="7480" w:type="dxa"/>
            <w:vAlign w:val="bottom"/>
            <w:tcBorders>
              <w:right w:val="single" w:sz="8" w:color="auto"/>
            </w:tcBorders>
            <w:gridSpan w:val="7"/>
          </w:tcPr>
          <w:p>
            <w:pPr>
              <w:jc w:val="right"/>
              <w:ind w:right="26"/>
              <w:spacing w:after="0"/>
              <w:rPr>
                <w:sz w:val="20"/>
                <w:szCs w:val="20"/>
                <w:color w:val="auto"/>
              </w:rPr>
            </w:pPr>
            <w:r>
              <w:rPr>
                <w:rFonts w:ascii="Times New Roman" w:cs="Times New Roman" w:eastAsia="Times New Roman" w:hAnsi="Times New Roman"/>
                <w:sz w:val="11"/>
                <w:szCs w:val="11"/>
                <w:color w:val="auto"/>
              </w:rPr>
              <w:t>corporate strategy, development and finance at all stages of the business life cycle from start-up to high growth and large multi-national. A trusted advisor he began his</w:t>
            </w:r>
          </w:p>
        </w:tc>
        <w:tc>
          <w:tcPr>
            <w:tcW w:w="0" w:type="dxa"/>
            <w:vAlign w:val="bottom"/>
          </w:tcPr>
          <w:p>
            <w:pPr>
              <w:spacing w:after="0"/>
              <w:rPr>
                <w:sz w:val="1"/>
                <w:szCs w:val="1"/>
                <w:color w:val="auto"/>
              </w:rPr>
            </w:pPr>
          </w:p>
        </w:tc>
      </w:tr>
      <w:tr>
        <w:trPr>
          <w:trHeight w:val="59"/>
        </w:trPr>
        <w:tc>
          <w:tcPr>
            <w:tcW w:w="3840" w:type="dxa"/>
            <w:vAlign w:val="bottom"/>
            <w:tcBorders>
              <w:left w:val="single" w:sz="8" w:color="auto"/>
              <w:right w:val="single" w:sz="8" w:color="auto"/>
            </w:tcBorders>
            <w:vMerge w:val="continue"/>
          </w:tcPr>
          <w:p>
            <w:pPr>
              <w:spacing w:after="0"/>
              <w:rPr>
                <w:sz w:val="5"/>
                <w:szCs w:val="5"/>
                <w:color w:val="auto"/>
              </w:rPr>
            </w:pPr>
          </w:p>
        </w:tc>
        <w:tc>
          <w:tcPr>
            <w:tcW w:w="7480" w:type="dxa"/>
            <w:vAlign w:val="bottom"/>
            <w:tcBorders>
              <w:right w:val="single" w:sz="8" w:color="auto"/>
            </w:tcBorders>
            <w:gridSpan w:val="7"/>
            <w:vMerge w:val="restart"/>
          </w:tcPr>
          <w:p>
            <w:pPr>
              <w:jc w:val="right"/>
              <w:ind w:right="26"/>
              <w:spacing w:after="0"/>
              <w:rPr>
                <w:sz w:val="20"/>
                <w:szCs w:val="20"/>
                <w:color w:val="auto"/>
              </w:rPr>
            </w:pPr>
            <w:r>
              <w:rPr>
                <w:rFonts w:ascii="Times New Roman" w:cs="Times New Roman" w:eastAsia="Times New Roman" w:hAnsi="Times New Roman"/>
                <w:sz w:val="11"/>
                <w:szCs w:val="11"/>
                <w:color w:val="auto"/>
              </w:rPr>
              <w:t>career practicing in the areas of corporate commercial, securities, finance and mergers and acquisitions at a leading international law firm. He has focused on sectors</w:t>
            </w:r>
          </w:p>
        </w:tc>
        <w:tc>
          <w:tcPr>
            <w:tcW w:w="0" w:type="dxa"/>
            <w:vAlign w:val="bottom"/>
          </w:tcPr>
          <w:p>
            <w:pPr>
              <w:spacing w:after="0"/>
              <w:rPr>
                <w:sz w:val="1"/>
                <w:szCs w:val="1"/>
                <w:color w:val="auto"/>
              </w:rPr>
            </w:pPr>
          </w:p>
        </w:tc>
      </w:tr>
      <w:tr>
        <w:trPr>
          <w:trHeight w:val="67"/>
        </w:trPr>
        <w:tc>
          <w:tcPr>
            <w:tcW w:w="3840" w:type="dxa"/>
            <w:vAlign w:val="bottom"/>
            <w:tcBorders>
              <w:left w:val="single" w:sz="8" w:color="auto"/>
              <w:right w:val="single" w:sz="8" w:color="auto"/>
            </w:tcBorders>
            <w:vMerge w:val="restart"/>
          </w:tcPr>
          <w:p>
            <w:pPr>
              <w:ind w:left="40"/>
              <w:spacing w:after="0"/>
              <w:rPr>
                <w:sz w:val="20"/>
                <w:szCs w:val="20"/>
                <w:color w:val="auto"/>
              </w:rPr>
            </w:pPr>
            <w:r>
              <w:rPr>
                <w:rFonts w:ascii="Times New Roman" w:cs="Times New Roman" w:eastAsia="Times New Roman" w:hAnsi="Times New Roman"/>
                <w:sz w:val="11"/>
                <w:szCs w:val="11"/>
                <w:b w:val="1"/>
                <w:bCs w:val="1"/>
                <w:color w:val="auto"/>
              </w:rPr>
              <w:t>NOT INDEPENDENT</w:t>
            </w:r>
          </w:p>
        </w:tc>
        <w:tc>
          <w:tcPr>
            <w:tcW w:w="7480" w:type="dxa"/>
            <w:vAlign w:val="bottom"/>
            <w:tcBorders>
              <w:right w:val="single" w:sz="8" w:color="auto"/>
            </w:tcBorders>
            <w:gridSpan w:val="7"/>
            <w:vMerge w:val="continue"/>
          </w:tcPr>
          <w:p>
            <w:pPr>
              <w:spacing w:after="0"/>
              <w:rPr>
                <w:sz w:val="5"/>
                <w:szCs w:val="5"/>
                <w:color w:val="auto"/>
              </w:rPr>
            </w:pPr>
          </w:p>
        </w:tc>
        <w:tc>
          <w:tcPr>
            <w:tcW w:w="0" w:type="dxa"/>
            <w:vAlign w:val="bottom"/>
          </w:tcPr>
          <w:p>
            <w:pPr>
              <w:spacing w:after="0"/>
              <w:rPr>
                <w:sz w:val="1"/>
                <w:szCs w:val="1"/>
                <w:color w:val="auto"/>
              </w:rPr>
            </w:pPr>
          </w:p>
        </w:tc>
      </w:tr>
      <w:tr>
        <w:trPr>
          <w:trHeight w:val="86"/>
        </w:trPr>
        <w:tc>
          <w:tcPr>
            <w:tcW w:w="3840" w:type="dxa"/>
            <w:vAlign w:val="bottom"/>
            <w:tcBorders>
              <w:left w:val="single" w:sz="8" w:color="auto"/>
              <w:right w:val="single" w:sz="8" w:color="auto"/>
            </w:tcBorders>
            <w:vMerge w:val="continue"/>
          </w:tcPr>
          <w:p>
            <w:pPr>
              <w:spacing w:after="0"/>
              <w:rPr>
                <w:sz w:val="7"/>
                <w:szCs w:val="7"/>
                <w:color w:val="auto"/>
              </w:rPr>
            </w:pPr>
          </w:p>
        </w:tc>
        <w:tc>
          <w:tcPr>
            <w:tcW w:w="4960" w:type="dxa"/>
            <w:vAlign w:val="bottom"/>
            <w:gridSpan w:val="6"/>
            <w:vMerge w:val="restart"/>
          </w:tcPr>
          <w:p>
            <w:pPr>
              <w:ind w:left="40"/>
              <w:spacing w:after="0"/>
              <w:rPr>
                <w:sz w:val="20"/>
                <w:szCs w:val="20"/>
                <w:color w:val="auto"/>
              </w:rPr>
            </w:pPr>
            <w:r>
              <w:rPr>
                <w:rFonts w:ascii="Times New Roman" w:cs="Times New Roman" w:eastAsia="Times New Roman" w:hAnsi="Times New Roman"/>
                <w:sz w:val="11"/>
                <w:szCs w:val="11"/>
                <w:color w:val="auto"/>
              </w:rPr>
              <w:t>which have profound global impact in critical areas such as mental health and addiction.</w:t>
            </w:r>
          </w:p>
        </w:tc>
        <w:tc>
          <w:tcPr>
            <w:tcW w:w="2520" w:type="dxa"/>
            <w:vAlign w:val="bottom"/>
            <w:tcBorders>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54"/>
        </w:trPr>
        <w:tc>
          <w:tcPr>
            <w:tcW w:w="3840" w:type="dxa"/>
            <w:vAlign w:val="bottom"/>
            <w:tcBorders>
              <w:left w:val="single" w:sz="8" w:color="auto"/>
              <w:right w:val="single" w:sz="8" w:color="auto"/>
            </w:tcBorders>
          </w:tcPr>
          <w:p>
            <w:pPr>
              <w:spacing w:after="0"/>
              <w:rPr>
                <w:sz w:val="4"/>
                <w:szCs w:val="4"/>
                <w:color w:val="auto"/>
              </w:rPr>
            </w:pPr>
          </w:p>
        </w:tc>
        <w:tc>
          <w:tcPr>
            <w:tcW w:w="4960" w:type="dxa"/>
            <w:vAlign w:val="bottom"/>
            <w:gridSpan w:val="6"/>
            <w:vMerge w:val="continue"/>
          </w:tcPr>
          <w:p>
            <w:pPr>
              <w:spacing w:after="0"/>
              <w:rPr>
                <w:sz w:val="4"/>
                <w:szCs w:val="4"/>
                <w:color w:val="auto"/>
              </w:rPr>
            </w:pPr>
          </w:p>
        </w:tc>
        <w:tc>
          <w:tcPr>
            <w:tcW w:w="2520" w:type="dxa"/>
            <w:vAlign w:val="bottom"/>
            <w:tcBorders>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1822"/>
        </w:trPr>
        <w:tc>
          <w:tcPr>
            <w:tcW w:w="3840" w:type="dxa"/>
            <w:vAlign w:val="bottom"/>
            <w:tcBorders>
              <w:left w:val="single" w:sz="8" w:color="auto"/>
              <w:bottom w:val="single" w:sz="8" w:color="auto"/>
              <w:right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80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spacing w:after="0"/>
              <w:rPr>
                <w:sz w:val="24"/>
                <w:szCs w:val="24"/>
                <w:color w:val="auto"/>
              </w:rPr>
            </w:pPr>
          </w:p>
        </w:tc>
        <w:tc>
          <w:tcPr>
            <w:tcW w:w="130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252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32"/>
        </w:trPr>
        <w:tc>
          <w:tcPr>
            <w:tcW w:w="3840" w:type="dxa"/>
            <w:vAlign w:val="bottom"/>
            <w:tcBorders>
              <w:left w:val="single" w:sz="8" w:color="auto"/>
              <w:bottom w:val="single" w:sz="8" w:color="auto"/>
              <w:right w:val="single" w:sz="8" w:color="auto"/>
            </w:tcBorders>
            <w:shd w:val="clear" w:color="auto" w:fill="BFBFBF"/>
          </w:tcPr>
          <w:p>
            <w:pPr>
              <w:ind w:left="1000"/>
              <w:spacing w:after="0"/>
              <w:rPr>
                <w:sz w:val="20"/>
                <w:szCs w:val="20"/>
                <w:color w:val="auto"/>
              </w:rPr>
            </w:pPr>
            <w:r>
              <w:rPr>
                <w:rFonts w:ascii="Times New Roman" w:cs="Times New Roman" w:eastAsia="Times New Roman" w:hAnsi="Times New Roman"/>
                <w:sz w:val="11"/>
                <w:szCs w:val="11"/>
                <w:b w:val="1"/>
                <w:bCs w:val="1"/>
                <w:color w:val="auto"/>
              </w:rPr>
              <w:t>Current Board/Committee Membership</w:t>
            </w:r>
          </w:p>
        </w:tc>
        <w:tc>
          <w:tcPr>
            <w:tcW w:w="300" w:type="dxa"/>
            <w:vAlign w:val="bottom"/>
            <w:tcBorders>
              <w:bottom w:val="single" w:sz="8" w:color="auto"/>
              <w:right w:val="single" w:sz="8" w:color="BFBFBF"/>
            </w:tcBorders>
            <w:shd w:val="clear" w:color="auto" w:fill="BFBFBF"/>
          </w:tcPr>
          <w:p>
            <w:pPr>
              <w:spacing w:after="0"/>
              <w:rPr>
                <w:sz w:val="11"/>
                <w:szCs w:val="11"/>
                <w:color w:val="auto"/>
              </w:rPr>
            </w:pPr>
          </w:p>
        </w:tc>
        <w:tc>
          <w:tcPr>
            <w:tcW w:w="2580" w:type="dxa"/>
            <w:vAlign w:val="bottom"/>
            <w:tcBorders>
              <w:bottom w:val="single" w:sz="8" w:color="auto"/>
            </w:tcBorders>
            <w:gridSpan w:val="3"/>
            <w:shd w:val="clear" w:color="auto" w:fill="BFBFBF"/>
          </w:tcPr>
          <w:p>
            <w:pPr>
              <w:ind w:left="1180"/>
              <w:spacing w:after="0"/>
              <w:rPr>
                <w:sz w:val="20"/>
                <w:szCs w:val="20"/>
                <w:color w:val="auto"/>
              </w:rPr>
            </w:pPr>
            <w:r>
              <w:rPr>
                <w:rFonts w:ascii="Times New Roman" w:cs="Times New Roman" w:eastAsia="Times New Roman" w:hAnsi="Times New Roman"/>
                <w:sz w:val="11"/>
                <w:szCs w:val="11"/>
                <w:b w:val="1"/>
                <w:bCs w:val="1"/>
                <w:color w:val="auto"/>
              </w:rPr>
              <w:t>2025 Attendance (Total)</w:t>
            </w:r>
          </w:p>
        </w:tc>
        <w:tc>
          <w:tcPr>
            <w:tcW w:w="1300" w:type="dxa"/>
            <w:vAlign w:val="bottom"/>
            <w:tcBorders>
              <w:bottom w:val="single" w:sz="8" w:color="auto"/>
              <w:right w:val="single" w:sz="8" w:color="auto"/>
            </w:tcBorders>
            <w:shd w:val="clear" w:color="auto" w:fill="BFBFBF"/>
          </w:tcPr>
          <w:p>
            <w:pPr>
              <w:spacing w:after="0"/>
              <w:rPr>
                <w:sz w:val="11"/>
                <w:szCs w:val="11"/>
                <w:color w:val="auto"/>
              </w:rPr>
            </w:pPr>
          </w:p>
        </w:tc>
        <w:tc>
          <w:tcPr>
            <w:tcW w:w="780" w:type="dxa"/>
            <w:vAlign w:val="bottom"/>
            <w:tcBorders>
              <w:bottom w:val="single" w:sz="8" w:color="auto"/>
            </w:tcBorders>
            <w:shd w:val="clear" w:color="auto" w:fill="BFBFBF"/>
          </w:tcPr>
          <w:p>
            <w:pPr>
              <w:spacing w:after="0"/>
              <w:rPr>
                <w:sz w:val="11"/>
                <w:szCs w:val="11"/>
                <w:color w:val="auto"/>
              </w:rPr>
            </w:pPr>
          </w:p>
        </w:tc>
        <w:tc>
          <w:tcPr>
            <w:tcW w:w="2520" w:type="dxa"/>
            <w:vAlign w:val="bottom"/>
            <w:tcBorders>
              <w:bottom w:val="single" w:sz="8" w:color="auto"/>
              <w:right w:val="single" w:sz="8" w:color="auto"/>
            </w:tcBorders>
            <w:shd w:val="clear" w:color="auto" w:fill="BFBFBF"/>
          </w:tcPr>
          <w:p>
            <w:pPr>
              <w:jc w:val="center"/>
              <w:ind w:right="846"/>
              <w:spacing w:after="0"/>
              <w:rPr>
                <w:sz w:val="20"/>
                <w:szCs w:val="20"/>
                <w:color w:val="auto"/>
              </w:rPr>
            </w:pPr>
            <w:r>
              <w:rPr>
                <w:rFonts w:ascii="Times New Roman" w:cs="Times New Roman" w:eastAsia="Times New Roman" w:hAnsi="Times New Roman"/>
                <w:sz w:val="11"/>
                <w:szCs w:val="11"/>
                <w:b w:val="1"/>
                <w:bCs w:val="1"/>
                <w:color w:val="auto"/>
                <w:w w:val="98"/>
              </w:rPr>
              <w:t>Other Public Board Memberships</w:t>
            </w:r>
          </w:p>
        </w:tc>
        <w:tc>
          <w:tcPr>
            <w:tcW w:w="0" w:type="dxa"/>
            <w:vAlign w:val="bottom"/>
          </w:tcPr>
          <w:p>
            <w:pPr>
              <w:spacing w:after="0"/>
              <w:rPr>
                <w:sz w:val="1"/>
                <w:szCs w:val="1"/>
                <w:color w:val="auto"/>
              </w:rPr>
            </w:pPr>
          </w:p>
        </w:tc>
      </w:tr>
      <w:tr>
        <w:trPr>
          <w:trHeight w:val="130"/>
        </w:trPr>
        <w:tc>
          <w:tcPr>
            <w:tcW w:w="3840" w:type="dxa"/>
            <w:vAlign w:val="bottom"/>
            <w:tcBorders>
              <w:left w:val="single" w:sz="8" w:color="auto"/>
              <w:right w:val="single" w:sz="8" w:color="auto"/>
            </w:tcBorders>
            <w:vMerge w:val="restart"/>
          </w:tcPr>
          <w:p>
            <w:pPr>
              <w:ind w:left="40"/>
              <w:spacing w:after="0"/>
              <w:rPr>
                <w:sz w:val="20"/>
                <w:szCs w:val="20"/>
                <w:color w:val="auto"/>
              </w:rPr>
            </w:pPr>
            <w:r>
              <w:rPr>
                <w:rFonts w:ascii="Times New Roman" w:cs="Times New Roman" w:eastAsia="Times New Roman" w:hAnsi="Times New Roman"/>
                <w:sz w:val="11"/>
                <w:szCs w:val="11"/>
                <w:color w:val="auto"/>
              </w:rPr>
              <w:t>Member of the Board</w:t>
            </w:r>
          </w:p>
        </w:tc>
        <w:tc>
          <w:tcPr>
            <w:tcW w:w="300" w:type="dxa"/>
            <w:vAlign w:val="bottom"/>
          </w:tcPr>
          <w:p>
            <w:pPr>
              <w:spacing w:after="0"/>
              <w:rPr>
                <w:sz w:val="11"/>
                <w:szCs w:val="11"/>
                <w:color w:val="auto"/>
              </w:rPr>
            </w:pPr>
          </w:p>
        </w:tc>
        <w:tc>
          <w:tcPr>
            <w:tcW w:w="1880" w:type="dxa"/>
            <w:vAlign w:val="bottom"/>
            <w:tcBorders>
              <w:right w:val="single" w:sz="8" w:color="auto"/>
            </w:tcBorders>
            <w:gridSpan w:val="2"/>
            <w:vMerge w:val="restart"/>
          </w:tcPr>
          <w:p>
            <w:pPr>
              <w:ind w:left="640"/>
              <w:spacing w:after="0"/>
              <w:rPr>
                <w:sz w:val="20"/>
                <w:szCs w:val="20"/>
                <w:color w:val="auto"/>
              </w:rPr>
            </w:pPr>
            <w:r>
              <w:rPr>
                <w:rFonts w:ascii="Times New Roman" w:cs="Times New Roman" w:eastAsia="Times New Roman" w:hAnsi="Times New Roman"/>
                <w:sz w:val="11"/>
                <w:szCs w:val="11"/>
                <w:color w:val="auto"/>
              </w:rPr>
              <w:t>4 of 4</w:t>
            </w:r>
          </w:p>
        </w:tc>
        <w:tc>
          <w:tcPr>
            <w:tcW w:w="700" w:type="dxa"/>
            <w:vAlign w:val="bottom"/>
          </w:tcPr>
          <w:p>
            <w:pPr>
              <w:spacing w:after="0"/>
              <w:rPr>
                <w:sz w:val="11"/>
                <w:szCs w:val="11"/>
                <w:color w:val="auto"/>
              </w:rPr>
            </w:pPr>
          </w:p>
        </w:tc>
        <w:tc>
          <w:tcPr>
            <w:tcW w:w="1300" w:type="dxa"/>
            <w:vAlign w:val="bottom"/>
            <w:tcBorders>
              <w:right w:val="single" w:sz="8" w:color="auto"/>
            </w:tcBorders>
            <w:vMerge w:val="restart"/>
          </w:tcPr>
          <w:p>
            <w:pPr>
              <w:jc w:val="center"/>
              <w:ind w:right="766"/>
              <w:spacing w:after="0"/>
              <w:rPr>
                <w:sz w:val="20"/>
                <w:szCs w:val="20"/>
                <w:color w:val="auto"/>
              </w:rPr>
            </w:pPr>
            <w:r>
              <w:rPr>
                <w:rFonts w:ascii="Times New Roman" w:cs="Times New Roman" w:eastAsia="Times New Roman" w:hAnsi="Times New Roman"/>
                <w:sz w:val="11"/>
                <w:szCs w:val="11"/>
                <w:color w:val="auto"/>
                <w:w w:val="93"/>
              </w:rPr>
              <w:t>100%</w:t>
            </w:r>
          </w:p>
        </w:tc>
        <w:tc>
          <w:tcPr>
            <w:tcW w:w="780" w:type="dxa"/>
            <w:vAlign w:val="bottom"/>
          </w:tcPr>
          <w:p>
            <w:pPr>
              <w:spacing w:after="0"/>
              <w:rPr>
                <w:sz w:val="11"/>
                <w:szCs w:val="11"/>
                <w:color w:val="auto"/>
              </w:rPr>
            </w:pPr>
          </w:p>
        </w:tc>
        <w:tc>
          <w:tcPr>
            <w:tcW w:w="2520" w:type="dxa"/>
            <w:vAlign w:val="bottom"/>
            <w:tcBorders>
              <w:right w:val="single" w:sz="8" w:color="auto"/>
            </w:tcBorders>
          </w:tcPr>
          <w:p>
            <w:pPr>
              <w:jc w:val="center"/>
              <w:ind w:right="846"/>
              <w:spacing w:after="0"/>
              <w:rPr>
                <w:sz w:val="20"/>
                <w:szCs w:val="20"/>
                <w:color w:val="auto"/>
              </w:rPr>
            </w:pPr>
            <w:r>
              <w:rPr>
                <w:rFonts w:ascii="Times New Roman" w:cs="Times New Roman" w:eastAsia="Times New Roman" w:hAnsi="Times New Roman"/>
                <w:sz w:val="11"/>
                <w:szCs w:val="11"/>
                <w:color w:val="auto"/>
                <w:w w:val="97"/>
              </w:rPr>
              <w:t>None.</w:t>
            </w:r>
          </w:p>
        </w:tc>
        <w:tc>
          <w:tcPr>
            <w:tcW w:w="0" w:type="dxa"/>
            <w:vAlign w:val="bottom"/>
          </w:tcPr>
          <w:p>
            <w:pPr>
              <w:spacing w:after="0"/>
              <w:rPr>
                <w:sz w:val="1"/>
                <w:szCs w:val="1"/>
                <w:color w:val="auto"/>
              </w:rPr>
            </w:pPr>
          </w:p>
        </w:tc>
      </w:tr>
      <w:tr>
        <w:trPr>
          <w:trHeight w:val="36"/>
        </w:trPr>
        <w:tc>
          <w:tcPr>
            <w:tcW w:w="3840" w:type="dxa"/>
            <w:vAlign w:val="bottom"/>
            <w:tcBorders>
              <w:left w:val="single" w:sz="8" w:color="auto"/>
              <w:right w:val="single" w:sz="8" w:color="auto"/>
            </w:tcBorders>
            <w:vMerge w:val="continue"/>
          </w:tcPr>
          <w:p>
            <w:pPr>
              <w:spacing w:after="0"/>
              <w:rPr>
                <w:sz w:val="3"/>
                <w:szCs w:val="3"/>
                <w:color w:val="auto"/>
              </w:rPr>
            </w:pPr>
          </w:p>
        </w:tc>
        <w:tc>
          <w:tcPr>
            <w:tcW w:w="300" w:type="dxa"/>
            <w:vAlign w:val="bottom"/>
          </w:tcPr>
          <w:p>
            <w:pPr>
              <w:spacing w:after="0"/>
              <w:rPr>
                <w:sz w:val="3"/>
                <w:szCs w:val="3"/>
                <w:color w:val="auto"/>
              </w:rPr>
            </w:pPr>
          </w:p>
        </w:tc>
        <w:tc>
          <w:tcPr>
            <w:tcW w:w="1880" w:type="dxa"/>
            <w:vAlign w:val="bottom"/>
            <w:tcBorders>
              <w:right w:val="single" w:sz="8" w:color="auto"/>
            </w:tcBorders>
            <w:gridSpan w:val="2"/>
            <w:vMerge w:val="continue"/>
          </w:tcPr>
          <w:p>
            <w:pPr>
              <w:spacing w:after="0"/>
              <w:rPr>
                <w:sz w:val="3"/>
                <w:szCs w:val="3"/>
                <w:color w:val="auto"/>
              </w:rPr>
            </w:pPr>
          </w:p>
        </w:tc>
        <w:tc>
          <w:tcPr>
            <w:tcW w:w="700" w:type="dxa"/>
            <w:vAlign w:val="bottom"/>
          </w:tcPr>
          <w:p>
            <w:pPr>
              <w:spacing w:after="0"/>
              <w:rPr>
                <w:sz w:val="3"/>
                <w:szCs w:val="3"/>
                <w:color w:val="auto"/>
              </w:rPr>
            </w:pPr>
          </w:p>
        </w:tc>
        <w:tc>
          <w:tcPr>
            <w:tcW w:w="1300" w:type="dxa"/>
            <w:vAlign w:val="bottom"/>
            <w:tcBorders>
              <w:right w:val="single" w:sz="8" w:color="auto"/>
            </w:tcBorders>
            <w:vMerge w:val="continue"/>
          </w:tcPr>
          <w:p>
            <w:pPr>
              <w:spacing w:after="0"/>
              <w:rPr>
                <w:sz w:val="3"/>
                <w:szCs w:val="3"/>
                <w:color w:val="auto"/>
              </w:rPr>
            </w:pPr>
          </w:p>
        </w:tc>
        <w:tc>
          <w:tcPr>
            <w:tcW w:w="780" w:type="dxa"/>
            <w:vAlign w:val="bottom"/>
          </w:tcPr>
          <w:p>
            <w:pPr>
              <w:spacing w:after="0"/>
              <w:rPr>
                <w:sz w:val="3"/>
                <w:szCs w:val="3"/>
                <w:color w:val="auto"/>
              </w:rPr>
            </w:pPr>
          </w:p>
        </w:tc>
        <w:tc>
          <w:tcPr>
            <w:tcW w:w="2520" w:type="dxa"/>
            <w:vAlign w:val="bottom"/>
            <w:tcBorders>
              <w:right w:val="single" w:sz="8" w:color="auto"/>
            </w:tcBorders>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9"/>
        </w:trPr>
        <w:tc>
          <w:tcPr>
            <w:tcW w:w="3840" w:type="dxa"/>
            <w:vAlign w:val="bottom"/>
            <w:tcBorders>
              <w:left w:val="single" w:sz="8" w:color="auto"/>
              <w:right w:val="single" w:sz="8" w:color="auto"/>
            </w:tcBorders>
          </w:tcPr>
          <w:p>
            <w:pPr>
              <w:ind w:left="40"/>
              <w:spacing w:after="0" w:line="139" w:lineRule="exact"/>
              <w:rPr>
                <w:sz w:val="20"/>
                <w:szCs w:val="20"/>
                <w:color w:val="auto"/>
              </w:rPr>
            </w:pPr>
            <w:r>
              <w:rPr>
                <w:rFonts w:ascii="Times New Roman" w:cs="Times New Roman" w:eastAsia="Times New Roman" w:hAnsi="Times New Roman"/>
                <w:sz w:val="11"/>
                <w:szCs w:val="11"/>
                <w:color w:val="auto"/>
              </w:rPr>
              <w:t>Member of the Compensation Committee</w:t>
            </w:r>
            <w:r>
              <w:rPr>
                <w:rFonts w:ascii="Times New Roman" w:cs="Times New Roman" w:eastAsia="Times New Roman" w:hAnsi="Times New Roman"/>
                <w:sz w:val="14"/>
                <w:szCs w:val="14"/>
                <w:color w:val="auto"/>
                <w:vertAlign w:val="superscript"/>
              </w:rPr>
              <w:t>(1)</w:t>
            </w:r>
          </w:p>
        </w:tc>
        <w:tc>
          <w:tcPr>
            <w:tcW w:w="300" w:type="dxa"/>
            <w:vAlign w:val="bottom"/>
          </w:tcPr>
          <w:p>
            <w:pPr>
              <w:spacing w:after="0"/>
              <w:rPr>
                <w:sz w:val="12"/>
                <w:szCs w:val="12"/>
                <w:color w:val="auto"/>
              </w:rPr>
            </w:pPr>
          </w:p>
        </w:tc>
        <w:tc>
          <w:tcPr>
            <w:tcW w:w="1880" w:type="dxa"/>
            <w:vAlign w:val="bottom"/>
            <w:tcBorders>
              <w:right w:val="single" w:sz="8" w:color="auto"/>
            </w:tcBorders>
            <w:gridSpan w:val="2"/>
          </w:tcPr>
          <w:p>
            <w:pPr>
              <w:ind w:left="640"/>
              <w:spacing w:after="0"/>
              <w:rPr>
                <w:sz w:val="20"/>
                <w:szCs w:val="20"/>
                <w:color w:val="auto"/>
              </w:rPr>
            </w:pPr>
            <w:r>
              <w:rPr>
                <w:rFonts w:ascii="Times New Roman" w:cs="Times New Roman" w:eastAsia="Times New Roman" w:hAnsi="Times New Roman"/>
                <w:sz w:val="11"/>
                <w:szCs w:val="11"/>
                <w:color w:val="auto"/>
              </w:rPr>
              <w:t>2 of 2</w:t>
            </w:r>
          </w:p>
        </w:tc>
        <w:tc>
          <w:tcPr>
            <w:tcW w:w="700" w:type="dxa"/>
            <w:vAlign w:val="bottom"/>
          </w:tcPr>
          <w:p>
            <w:pPr>
              <w:spacing w:after="0"/>
              <w:rPr>
                <w:sz w:val="12"/>
                <w:szCs w:val="12"/>
                <w:color w:val="auto"/>
              </w:rPr>
            </w:pPr>
          </w:p>
        </w:tc>
        <w:tc>
          <w:tcPr>
            <w:tcW w:w="1300" w:type="dxa"/>
            <w:vAlign w:val="bottom"/>
            <w:tcBorders>
              <w:right w:val="single" w:sz="8" w:color="auto"/>
            </w:tcBorders>
          </w:tcPr>
          <w:p>
            <w:pPr>
              <w:jc w:val="center"/>
              <w:ind w:right="766"/>
              <w:spacing w:after="0"/>
              <w:rPr>
                <w:sz w:val="20"/>
                <w:szCs w:val="20"/>
                <w:color w:val="auto"/>
              </w:rPr>
            </w:pPr>
            <w:r>
              <w:rPr>
                <w:rFonts w:ascii="Times New Roman" w:cs="Times New Roman" w:eastAsia="Times New Roman" w:hAnsi="Times New Roman"/>
                <w:sz w:val="11"/>
                <w:szCs w:val="11"/>
                <w:color w:val="auto"/>
                <w:w w:val="93"/>
              </w:rPr>
              <w:t>100%</w:t>
            </w:r>
          </w:p>
        </w:tc>
        <w:tc>
          <w:tcPr>
            <w:tcW w:w="780" w:type="dxa"/>
            <w:vAlign w:val="bottom"/>
          </w:tcPr>
          <w:p>
            <w:pPr>
              <w:spacing w:after="0"/>
              <w:rPr>
                <w:sz w:val="12"/>
                <w:szCs w:val="12"/>
                <w:color w:val="auto"/>
              </w:rPr>
            </w:pPr>
          </w:p>
        </w:tc>
        <w:tc>
          <w:tcPr>
            <w:tcW w:w="252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86"/>
        </w:trPr>
        <w:tc>
          <w:tcPr>
            <w:tcW w:w="3840" w:type="dxa"/>
            <w:vAlign w:val="bottom"/>
            <w:tcBorders>
              <w:left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1"/>
                <w:szCs w:val="11"/>
                <w:color w:val="auto"/>
              </w:rPr>
              <w:t>Member of the Corporate Governance and Nominating Committee</w:t>
            </w:r>
            <w:r>
              <w:rPr>
                <w:rFonts w:ascii="Times New Roman" w:cs="Times New Roman" w:eastAsia="Times New Roman" w:hAnsi="Times New Roman"/>
                <w:sz w:val="14"/>
                <w:szCs w:val="14"/>
                <w:color w:val="auto"/>
                <w:vertAlign w:val="superscript"/>
              </w:rPr>
              <w:t>(1)</w:t>
            </w:r>
          </w:p>
        </w:tc>
        <w:tc>
          <w:tcPr>
            <w:tcW w:w="300" w:type="dxa"/>
            <w:vAlign w:val="bottom"/>
          </w:tcPr>
          <w:p>
            <w:pPr>
              <w:spacing w:after="0"/>
              <w:rPr>
                <w:sz w:val="16"/>
                <w:szCs w:val="16"/>
                <w:color w:val="auto"/>
              </w:rPr>
            </w:pPr>
          </w:p>
        </w:tc>
        <w:tc>
          <w:tcPr>
            <w:tcW w:w="1800" w:type="dxa"/>
            <w:vAlign w:val="bottom"/>
          </w:tcPr>
          <w:p>
            <w:pPr>
              <w:spacing w:after="0"/>
              <w:rPr>
                <w:sz w:val="16"/>
                <w:szCs w:val="16"/>
                <w:color w:val="auto"/>
              </w:rPr>
            </w:pPr>
          </w:p>
        </w:tc>
        <w:tc>
          <w:tcPr>
            <w:tcW w:w="80" w:type="dxa"/>
            <w:vAlign w:val="bottom"/>
            <w:tcBorders>
              <w:right w:val="single" w:sz="8" w:color="auto"/>
            </w:tcBorders>
          </w:tcPr>
          <w:p>
            <w:pPr>
              <w:spacing w:after="0"/>
              <w:rPr>
                <w:sz w:val="16"/>
                <w:szCs w:val="16"/>
                <w:color w:val="auto"/>
              </w:rPr>
            </w:pPr>
          </w:p>
        </w:tc>
        <w:tc>
          <w:tcPr>
            <w:tcW w:w="700" w:type="dxa"/>
            <w:vAlign w:val="bottom"/>
          </w:tcPr>
          <w:p>
            <w:pPr>
              <w:spacing w:after="0"/>
              <w:rPr>
                <w:sz w:val="16"/>
                <w:szCs w:val="16"/>
                <w:color w:val="auto"/>
              </w:rPr>
            </w:pPr>
          </w:p>
        </w:tc>
        <w:tc>
          <w:tcPr>
            <w:tcW w:w="1300" w:type="dxa"/>
            <w:vAlign w:val="bottom"/>
            <w:tcBorders>
              <w:right w:val="single" w:sz="8" w:color="auto"/>
            </w:tcBorders>
          </w:tcPr>
          <w:p>
            <w:pPr>
              <w:spacing w:after="0"/>
              <w:rPr>
                <w:sz w:val="16"/>
                <w:szCs w:val="16"/>
                <w:color w:val="auto"/>
              </w:rPr>
            </w:pPr>
          </w:p>
        </w:tc>
        <w:tc>
          <w:tcPr>
            <w:tcW w:w="780" w:type="dxa"/>
            <w:vAlign w:val="bottom"/>
          </w:tcPr>
          <w:p>
            <w:pPr>
              <w:spacing w:after="0"/>
              <w:rPr>
                <w:sz w:val="16"/>
                <w:szCs w:val="16"/>
                <w:color w:val="auto"/>
              </w:rPr>
            </w:pPr>
          </w:p>
        </w:tc>
        <w:tc>
          <w:tcPr>
            <w:tcW w:w="252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61"/>
        </w:trPr>
        <w:tc>
          <w:tcPr>
            <w:tcW w:w="3840" w:type="dxa"/>
            <w:vAlign w:val="bottom"/>
            <w:tcBorders>
              <w:left w:val="single" w:sz="8" w:color="auto"/>
              <w:right w:val="single" w:sz="8" w:color="auto"/>
            </w:tcBorders>
          </w:tcPr>
          <w:p>
            <w:pPr>
              <w:spacing w:after="0"/>
              <w:rPr>
                <w:sz w:val="14"/>
                <w:szCs w:val="14"/>
                <w:color w:val="auto"/>
              </w:rPr>
            </w:pPr>
          </w:p>
        </w:tc>
        <w:tc>
          <w:tcPr>
            <w:tcW w:w="300" w:type="dxa"/>
            <w:vAlign w:val="bottom"/>
          </w:tcPr>
          <w:p>
            <w:pPr>
              <w:spacing w:after="0"/>
              <w:rPr>
                <w:sz w:val="14"/>
                <w:szCs w:val="14"/>
                <w:color w:val="auto"/>
              </w:rPr>
            </w:pPr>
          </w:p>
        </w:tc>
        <w:tc>
          <w:tcPr>
            <w:tcW w:w="1880" w:type="dxa"/>
            <w:vAlign w:val="bottom"/>
            <w:tcBorders>
              <w:right w:val="single" w:sz="8" w:color="auto"/>
            </w:tcBorders>
            <w:gridSpan w:val="2"/>
          </w:tcPr>
          <w:p>
            <w:pPr>
              <w:ind w:left="640"/>
              <w:spacing w:after="0"/>
              <w:rPr>
                <w:sz w:val="20"/>
                <w:szCs w:val="20"/>
                <w:color w:val="auto"/>
              </w:rPr>
            </w:pPr>
            <w:r>
              <w:rPr>
                <w:rFonts w:ascii="Times New Roman" w:cs="Times New Roman" w:eastAsia="Times New Roman" w:hAnsi="Times New Roman"/>
                <w:sz w:val="11"/>
                <w:szCs w:val="11"/>
                <w:color w:val="auto"/>
              </w:rPr>
              <w:t>0 of 0</w:t>
            </w:r>
          </w:p>
        </w:tc>
        <w:tc>
          <w:tcPr>
            <w:tcW w:w="700" w:type="dxa"/>
            <w:vAlign w:val="bottom"/>
          </w:tcPr>
          <w:p>
            <w:pPr>
              <w:spacing w:after="0"/>
              <w:rPr>
                <w:sz w:val="14"/>
                <w:szCs w:val="14"/>
                <w:color w:val="auto"/>
              </w:rPr>
            </w:pPr>
          </w:p>
        </w:tc>
        <w:tc>
          <w:tcPr>
            <w:tcW w:w="1300" w:type="dxa"/>
            <w:vAlign w:val="bottom"/>
            <w:tcBorders>
              <w:right w:val="single" w:sz="8" w:color="auto"/>
            </w:tcBorders>
          </w:tcPr>
          <w:p>
            <w:pPr>
              <w:jc w:val="center"/>
              <w:ind w:right="766"/>
              <w:spacing w:after="0"/>
              <w:rPr>
                <w:sz w:val="20"/>
                <w:szCs w:val="20"/>
                <w:color w:val="auto"/>
              </w:rPr>
            </w:pPr>
            <w:r>
              <w:rPr>
                <w:rFonts w:ascii="Times New Roman" w:cs="Times New Roman" w:eastAsia="Times New Roman" w:hAnsi="Times New Roman"/>
                <w:sz w:val="11"/>
                <w:szCs w:val="11"/>
                <w:color w:val="auto"/>
              </w:rPr>
              <w:t>N/A</w:t>
            </w:r>
          </w:p>
        </w:tc>
        <w:tc>
          <w:tcPr>
            <w:tcW w:w="780" w:type="dxa"/>
            <w:vAlign w:val="bottom"/>
          </w:tcPr>
          <w:p>
            <w:pPr>
              <w:spacing w:after="0"/>
              <w:rPr>
                <w:sz w:val="14"/>
                <w:szCs w:val="14"/>
                <w:color w:val="auto"/>
              </w:rPr>
            </w:pPr>
          </w:p>
        </w:tc>
        <w:tc>
          <w:tcPr>
            <w:tcW w:w="252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40"/>
        </w:trPr>
        <w:tc>
          <w:tcPr>
            <w:tcW w:w="3840" w:type="dxa"/>
            <w:vAlign w:val="bottom"/>
            <w:tcBorders>
              <w:left w:val="single" w:sz="8" w:color="auto"/>
              <w:bottom w:val="single" w:sz="8" w:color="auto"/>
              <w:right w:val="single" w:sz="8" w:color="auto"/>
            </w:tcBorders>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1800" w:type="dxa"/>
            <w:vAlign w:val="bottom"/>
            <w:tcBorders>
              <w:bottom w:val="single" w:sz="8" w:color="auto"/>
            </w:tcBorders>
          </w:tcPr>
          <w:p>
            <w:pPr>
              <w:spacing w:after="0"/>
              <w:rPr>
                <w:sz w:val="3"/>
                <w:szCs w:val="3"/>
                <w:color w:val="auto"/>
              </w:rPr>
            </w:pPr>
          </w:p>
        </w:tc>
        <w:tc>
          <w:tcPr>
            <w:tcW w:w="80" w:type="dxa"/>
            <w:vAlign w:val="bottom"/>
            <w:tcBorders>
              <w:bottom w:val="single" w:sz="8" w:color="auto"/>
              <w:right w:val="single" w:sz="8" w:color="auto"/>
            </w:tcBorders>
          </w:tcPr>
          <w:p>
            <w:pPr>
              <w:spacing w:after="0"/>
              <w:rPr>
                <w:sz w:val="3"/>
                <w:szCs w:val="3"/>
                <w:color w:val="auto"/>
              </w:rPr>
            </w:pPr>
          </w:p>
        </w:tc>
        <w:tc>
          <w:tcPr>
            <w:tcW w:w="700" w:type="dxa"/>
            <w:vAlign w:val="bottom"/>
            <w:tcBorders>
              <w:bottom w:val="single" w:sz="8" w:color="auto"/>
            </w:tcBorders>
          </w:tcPr>
          <w:p>
            <w:pPr>
              <w:spacing w:after="0"/>
              <w:rPr>
                <w:sz w:val="3"/>
                <w:szCs w:val="3"/>
                <w:color w:val="auto"/>
              </w:rPr>
            </w:pPr>
          </w:p>
        </w:tc>
        <w:tc>
          <w:tcPr>
            <w:tcW w:w="1300" w:type="dxa"/>
            <w:vAlign w:val="bottom"/>
            <w:tcBorders>
              <w:bottom w:val="single" w:sz="8" w:color="auto"/>
              <w:right w:val="single" w:sz="8" w:color="auto"/>
            </w:tcBorders>
          </w:tcPr>
          <w:p>
            <w:pPr>
              <w:spacing w:after="0"/>
              <w:rPr>
                <w:sz w:val="3"/>
                <w:szCs w:val="3"/>
                <w:color w:val="auto"/>
              </w:rPr>
            </w:pPr>
          </w:p>
        </w:tc>
        <w:tc>
          <w:tcPr>
            <w:tcW w:w="780" w:type="dxa"/>
            <w:vAlign w:val="bottom"/>
            <w:tcBorders>
              <w:bottom w:val="single" w:sz="8" w:color="auto"/>
            </w:tcBorders>
          </w:tcPr>
          <w:p>
            <w:pPr>
              <w:spacing w:after="0"/>
              <w:rPr>
                <w:sz w:val="3"/>
                <w:szCs w:val="3"/>
                <w:color w:val="auto"/>
              </w:rPr>
            </w:pPr>
          </w:p>
        </w:tc>
        <w:tc>
          <w:tcPr>
            <w:tcW w:w="2520" w:type="dxa"/>
            <w:vAlign w:val="bottom"/>
            <w:tcBorders>
              <w:bottom w:val="single" w:sz="8" w:color="auto"/>
              <w:right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32"/>
        </w:trPr>
        <w:tc>
          <w:tcPr>
            <w:tcW w:w="6720" w:type="dxa"/>
            <w:vAlign w:val="bottom"/>
            <w:tcBorders>
              <w:left w:val="single" w:sz="8" w:color="auto"/>
              <w:bottom w:val="single" w:sz="8" w:color="auto"/>
            </w:tcBorders>
            <w:gridSpan w:val="5"/>
          </w:tcPr>
          <w:p>
            <w:pPr>
              <w:ind w:left="2300"/>
              <w:spacing w:after="0"/>
              <w:rPr>
                <w:sz w:val="20"/>
                <w:szCs w:val="20"/>
                <w:color w:val="auto"/>
              </w:rPr>
            </w:pPr>
            <w:r>
              <w:rPr>
                <w:rFonts w:ascii="Times New Roman" w:cs="Times New Roman" w:eastAsia="Times New Roman" w:hAnsi="Times New Roman"/>
                <w:sz w:val="11"/>
                <w:szCs w:val="11"/>
                <w:b w:val="1"/>
                <w:bCs w:val="1"/>
                <w:color w:val="auto"/>
              </w:rPr>
              <w:t>Number of Common Shares Beneficially Owned, Controlled or Directed</w:t>
            </w:r>
          </w:p>
        </w:tc>
        <w:tc>
          <w:tcPr>
            <w:tcW w:w="1300" w:type="dxa"/>
            <w:vAlign w:val="bottom"/>
            <w:tcBorders>
              <w:bottom w:val="single" w:sz="8" w:color="auto"/>
              <w:right w:val="single" w:sz="8" w:color="auto"/>
            </w:tcBorders>
          </w:tcPr>
          <w:p>
            <w:pPr>
              <w:spacing w:after="0"/>
              <w:rPr>
                <w:sz w:val="11"/>
                <w:szCs w:val="11"/>
                <w:color w:val="auto"/>
              </w:rPr>
            </w:pPr>
          </w:p>
        </w:tc>
        <w:tc>
          <w:tcPr>
            <w:tcW w:w="780" w:type="dxa"/>
            <w:vAlign w:val="bottom"/>
            <w:tcBorders>
              <w:bottom w:val="single" w:sz="8" w:color="auto"/>
            </w:tcBorders>
          </w:tcPr>
          <w:p>
            <w:pPr>
              <w:spacing w:after="0"/>
              <w:rPr>
                <w:sz w:val="11"/>
                <w:szCs w:val="11"/>
                <w:color w:val="auto"/>
              </w:rPr>
            </w:pPr>
          </w:p>
        </w:tc>
        <w:tc>
          <w:tcPr>
            <w:tcW w:w="2520" w:type="dxa"/>
            <w:vAlign w:val="bottom"/>
            <w:tcBorders>
              <w:bottom w:val="single" w:sz="8" w:color="auto"/>
              <w:right w:val="single" w:sz="8" w:color="auto"/>
            </w:tcBorders>
          </w:tcPr>
          <w:p>
            <w:pPr>
              <w:jc w:val="center"/>
              <w:ind w:right="846"/>
              <w:spacing w:after="0"/>
              <w:rPr>
                <w:sz w:val="20"/>
                <w:szCs w:val="20"/>
                <w:color w:val="auto"/>
              </w:rPr>
            </w:pPr>
            <w:r>
              <w:rPr>
                <w:rFonts w:ascii="Times New Roman" w:cs="Times New Roman" w:eastAsia="Times New Roman" w:hAnsi="Times New Roman"/>
                <w:sz w:val="11"/>
                <w:szCs w:val="11"/>
                <w:color w:val="auto"/>
                <w:w w:val="94"/>
              </w:rPr>
              <w:t>311,116</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817880</wp:posOffset>
            </wp:positionH>
            <wp:positionV relativeFrom="paragraph">
              <wp:posOffset>-4028440</wp:posOffset>
            </wp:positionV>
            <wp:extent cx="982980" cy="98298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5">
                      <a:extLst>
                        <a:ext uri="{28A0092B-C50C-407E-A947-70E740481C1C}"/>
                      </a:extLst>
                    </a:blip>
                    <a:srcRect/>
                    <a:stretch>
                      <a:fillRect/>
                    </a:stretch>
                  </pic:blipFill>
                  <pic:spPr bwMode="auto">
                    <a:xfrm>
                      <a:off x="0" y="0"/>
                      <a:ext cx="982980" cy="982980"/>
                    </a:xfrm>
                    <a:prstGeom prst="rect">
                      <a:avLst/>
                    </a:prstGeom>
                    <a:noFill/>
                  </pic:spPr>
                </pic:pic>
              </a:graphicData>
            </a:graphic>
          </wp:anchor>
        </w:drawing>
        <w:drawing>
          <wp:anchor simplePos="0" relativeHeight="251657728" behindDoc="1" locked="0" layoutInCell="0" allowOverlap="1">
            <wp:simplePos x="0" y="0"/>
            <wp:positionH relativeFrom="column">
              <wp:posOffset>749300</wp:posOffset>
            </wp:positionH>
            <wp:positionV relativeFrom="paragraph">
              <wp:posOffset>-1742440</wp:posOffset>
            </wp:positionV>
            <wp:extent cx="937260" cy="93726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6">
                      <a:extLst>
                        <a:ext uri="{28A0092B-C50C-407E-A947-70E740481C1C}"/>
                      </a:extLst>
                    </a:blip>
                    <a:srcRect/>
                    <a:stretch>
                      <a:fillRect/>
                    </a:stretch>
                  </pic:blipFill>
                  <pic:spPr bwMode="auto">
                    <a:xfrm>
                      <a:off x="0" y="0"/>
                      <a:ext cx="937260" cy="937260"/>
                    </a:xfrm>
                    <a:prstGeom prst="rect">
                      <a:avLst/>
                    </a:prstGeom>
                    <a:noFill/>
                  </pic:spPr>
                </pic:pic>
              </a:graphicData>
            </a:graphic>
          </wp:anchor>
        </w:drawing>
      </w:r>
    </w:p>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b w:val="1"/>
          <w:bCs w:val="1"/>
          <w:color w:val="auto"/>
        </w:rPr>
        <w:t>Note:</w:t>
      </w:r>
    </w:p>
    <w:p>
      <w:pPr>
        <w:spacing w:after="0" w:line="36" w:lineRule="exact"/>
        <w:rPr>
          <w:sz w:val="20"/>
          <w:szCs w:val="20"/>
          <w:color w:val="auto"/>
        </w:rPr>
      </w:pPr>
    </w:p>
    <w:p>
      <w:pPr>
        <w:ind w:left="640" w:hanging="432"/>
        <w:spacing w:after="0"/>
        <w:tabs>
          <w:tab w:leader="none" w:pos="640" w:val="left"/>
        </w:tabs>
        <w:numPr>
          <w:ilvl w:val="0"/>
          <w:numId w:val="17"/>
        </w:numPr>
        <w:rPr>
          <w:rFonts w:ascii="Times New Roman" w:cs="Times New Roman" w:eastAsia="Times New Roman" w:hAnsi="Times New Roman"/>
          <w:sz w:val="11"/>
          <w:szCs w:val="11"/>
          <w:color w:val="auto"/>
        </w:rPr>
      </w:pPr>
      <w:r>
        <w:rPr>
          <w:rFonts w:ascii="Times New Roman" w:cs="Times New Roman" w:eastAsia="Times New Roman" w:hAnsi="Times New Roman"/>
          <w:sz w:val="11"/>
          <w:szCs w:val="11"/>
          <w:color w:val="auto"/>
        </w:rPr>
        <w:t>Mr. So ceased to be a member of the Compensation Committee and Corporate Governance and Nominating Committee on October 3, 2024.</w:t>
      </w:r>
    </w:p>
    <w:p>
      <w:pPr>
        <w:sectPr>
          <w:pgSz w:w="11900" w:h="16838" w:orient="portrait"/>
          <w:cols w:equalWidth="0" w:num="1">
            <w:col w:w="11300"/>
          </w:cols>
          <w:pgMar w:left="300" w:top="125" w:right="299" w:bottom="1440" w:gutter="0" w:footer="0" w:header="0"/>
        </w:sectPr>
      </w:pPr>
    </w:p>
    <w:bookmarkStart w:id="33" w:name="page34"/>
    <w:bookmarkEnd w:id="33"/>
    <w:p>
      <w:pPr>
        <w:jc w:val="center"/>
        <w:spacing w:after="0"/>
        <w:rPr>
          <w:sz w:val="20"/>
          <w:szCs w:val="20"/>
          <w:color w:val="auto"/>
        </w:rPr>
      </w:pPr>
      <w:r>
        <w:rPr>
          <w:rFonts w:ascii="Times New Roman" w:cs="Times New Roman" w:eastAsia="Times New Roman" w:hAnsi="Times New Roman"/>
          <w:sz w:val="13"/>
          <w:szCs w:val="13"/>
          <w:color w:val="auto"/>
        </w:rPr>
        <w:t>- 30 -</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i w:val="1"/>
          <w:iCs w:val="1"/>
          <w:color w:val="auto"/>
        </w:rPr>
        <w:t>Corporate Cease Trade Orders</w:t>
      </w:r>
    </w:p>
    <w:p>
      <w:pPr>
        <w:spacing w:after="0" w:line="89" w:lineRule="exact"/>
        <w:rPr>
          <w:sz w:val="20"/>
          <w:szCs w:val="20"/>
          <w:color w:val="auto"/>
        </w:rPr>
      </w:pPr>
    </w:p>
    <w:p>
      <w:pPr>
        <w:ind w:right="20"/>
        <w:spacing w:after="0" w:line="281" w:lineRule="auto"/>
        <w:rPr>
          <w:sz w:val="20"/>
          <w:szCs w:val="20"/>
          <w:color w:val="auto"/>
        </w:rPr>
      </w:pPr>
      <w:r>
        <w:rPr>
          <w:rFonts w:ascii="Times New Roman" w:cs="Times New Roman" w:eastAsia="Times New Roman" w:hAnsi="Times New Roman"/>
          <w:sz w:val="13"/>
          <w:szCs w:val="13"/>
          <w:color w:val="auto"/>
        </w:rPr>
        <w:t>Except as disclosed below, no proposed director is, as at the date of this Circular, or has been, within 10 years before the date of this Circular, a director, chief executive officer or chief financial officer of any company (including the Corporation) that:</w:t>
      </w:r>
    </w:p>
    <w:p>
      <w:pPr>
        <w:spacing w:after="0" w:line="28" w:lineRule="exact"/>
        <w:rPr>
          <w:sz w:val="20"/>
          <w:szCs w:val="20"/>
          <w:color w:val="auto"/>
        </w:rPr>
      </w:pPr>
    </w:p>
    <w:p>
      <w:pPr>
        <w:jc w:val="both"/>
        <w:ind w:left="860" w:hanging="436"/>
        <w:spacing w:after="0" w:line="231" w:lineRule="auto"/>
        <w:tabs>
          <w:tab w:leader="none" w:pos="853" w:val="left"/>
        </w:tabs>
        <w:numPr>
          <w:ilvl w:val="0"/>
          <w:numId w:val="18"/>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was subject to a cease trade order, an order similar to a cease trade order, or an order that denied the relevant company access to any exemption under applicable securities legislation, and which in all cases was in effect for a period of more than 30 consecutive days (an “</w:t>
      </w:r>
      <w:r>
        <w:rPr>
          <w:rFonts w:ascii="Times New Roman" w:cs="Times New Roman" w:eastAsia="Times New Roman" w:hAnsi="Times New Roman"/>
          <w:sz w:val="13"/>
          <w:szCs w:val="13"/>
          <w:b w:val="1"/>
          <w:bCs w:val="1"/>
          <w:color w:val="auto"/>
        </w:rPr>
        <w:t>Order</w:t>
      </w:r>
      <w:r>
        <w:rPr>
          <w:rFonts w:ascii="Times New Roman" w:cs="Times New Roman" w:eastAsia="Times New Roman" w:hAnsi="Times New Roman"/>
          <w:sz w:val="13"/>
          <w:szCs w:val="13"/>
          <w:color w:val="auto"/>
        </w:rPr>
        <w:t>”), which Order was issued while the proposed director was acting in the capacity as director, chief executive officer or chief financial officer of such company; or</w:t>
      </w:r>
    </w:p>
    <w:p>
      <w:pPr>
        <w:spacing w:after="0" w:line="36" w:lineRule="exact"/>
        <w:rPr>
          <w:rFonts w:ascii="Times New Roman" w:cs="Times New Roman" w:eastAsia="Times New Roman" w:hAnsi="Times New Roman"/>
          <w:sz w:val="13"/>
          <w:szCs w:val="13"/>
          <w:color w:val="auto"/>
        </w:rPr>
      </w:pPr>
    </w:p>
    <w:p>
      <w:pPr>
        <w:ind w:left="860" w:hanging="436"/>
        <w:spacing w:after="0" w:line="238" w:lineRule="auto"/>
        <w:tabs>
          <w:tab w:leader="none" w:pos="852" w:val="left"/>
        </w:tabs>
        <w:numPr>
          <w:ilvl w:val="0"/>
          <w:numId w:val="18"/>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was subject to an Order that was issued after the proposed director ceased to be a director, chief executive officer or chief financial officer and which resulted from an event that occurred while that person was acting in the capacity as director, chief executive officer or chief financial officer of such company</w:t>
      </w:r>
    </w:p>
    <w:p>
      <w:pPr>
        <w:spacing w:after="0" w:line="44" w:lineRule="exact"/>
        <w:rPr>
          <w:sz w:val="20"/>
          <w:szCs w:val="20"/>
          <w:color w:val="auto"/>
        </w:rPr>
      </w:pPr>
    </w:p>
    <w:p>
      <w:pPr>
        <w:spacing w:after="0" w:line="265" w:lineRule="auto"/>
        <w:rPr>
          <w:sz w:val="20"/>
          <w:szCs w:val="20"/>
          <w:color w:val="auto"/>
        </w:rPr>
      </w:pPr>
      <w:r>
        <w:rPr>
          <w:rFonts w:ascii="Times New Roman" w:cs="Times New Roman" w:eastAsia="Times New Roman" w:hAnsi="Times New Roman"/>
          <w:sz w:val="13"/>
          <w:szCs w:val="13"/>
          <w:color w:val="auto"/>
        </w:rPr>
        <w:t>Greg Cavers was the interim Chief Financial Officer of LottoGopher Holdings Inc. (“</w:t>
      </w:r>
      <w:r>
        <w:rPr>
          <w:rFonts w:ascii="Times New Roman" w:cs="Times New Roman" w:eastAsia="Times New Roman" w:hAnsi="Times New Roman"/>
          <w:sz w:val="13"/>
          <w:szCs w:val="13"/>
          <w:b w:val="1"/>
          <w:bCs w:val="1"/>
          <w:color w:val="auto"/>
        </w:rPr>
        <w:t>LottoGopher</w:t>
      </w:r>
      <w:r>
        <w:rPr>
          <w:rFonts w:ascii="Times New Roman" w:cs="Times New Roman" w:eastAsia="Times New Roman" w:hAnsi="Times New Roman"/>
          <w:sz w:val="13"/>
          <w:szCs w:val="13"/>
          <w:color w:val="auto"/>
        </w:rPr>
        <w:t xml:space="preserve">”), a CSE-listed company, until January 2020. Preceding his position, LottoGopher had been subject to a cease trade order on December 5, 2018 for failing to file interim financial report, management’s discussion and analysis and certification of the filings pursuant to National Instrument 52-109 – </w:t>
      </w:r>
      <w:r>
        <w:rPr>
          <w:rFonts w:ascii="Times New Roman" w:cs="Times New Roman" w:eastAsia="Times New Roman" w:hAnsi="Times New Roman"/>
          <w:sz w:val="13"/>
          <w:szCs w:val="13"/>
          <w:i w:val="1"/>
          <w:iCs w:val="1"/>
          <w:color w:val="auto"/>
        </w:rPr>
        <w:t>Certification of Disclosure</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i w:val="1"/>
          <w:iCs w:val="1"/>
          <w:color w:val="auto"/>
        </w:rPr>
        <w:t>in Issuers’ Annual and Interim Filings</w:t>
      </w:r>
      <w:r>
        <w:rPr>
          <w:rFonts w:ascii="Times New Roman" w:cs="Times New Roman" w:eastAsia="Times New Roman" w:hAnsi="Times New Roman"/>
          <w:sz w:val="13"/>
          <w:szCs w:val="13"/>
          <w:color w:val="auto"/>
        </w:rPr>
        <w:t>.</w:t>
      </w:r>
    </w:p>
    <w:p>
      <w:pPr>
        <w:spacing w:after="0" w:line="71"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The foregoing information, not being within the knowledge of the Corporation, has been furnished by the proposed directors.</w:t>
      </w:r>
    </w:p>
    <w:p>
      <w:pPr>
        <w:spacing w:after="0" w:line="72"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i w:val="1"/>
          <w:iCs w:val="1"/>
          <w:color w:val="auto"/>
        </w:rPr>
        <w:t>Bankruptcies, or Penalties or Sanctions</w:t>
      </w:r>
    </w:p>
    <w:p>
      <w:pPr>
        <w:spacing w:after="0" w:line="89"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To the knowledge of the Corporation, no proposed director:</w:t>
      </w:r>
    </w:p>
    <w:p>
      <w:pPr>
        <w:spacing w:after="0" w:line="76" w:lineRule="exact"/>
        <w:rPr>
          <w:sz w:val="20"/>
          <w:szCs w:val="20"/>
          <w:color w:val="auto"/>
        </w:rPr>
      </w:pPr>
    </w:p>
    <w:p>
      <w:pPr>
        <w:jc w:val="both"/>
        <w:ind w:left="860" w:hanging="436"/>
        <w:spacing w:after="0" w:line="231" w:lineRule="auto"/>
        <w:tabs>
          <w:tab w:leader="none" w:pos="853" w:val="left"/>
        </w:tabs>
        <w:numPr>
          <w:ilvl w:val="0"/>
          <w:numId w:val="19"/>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is, as at the date of this Circular, or has been within 10 years before the date of this Circular, a director or executive officer of any company (including the Corporation) that, while that person was acting in that capacity, or within a year of that person ceasing to act in that capacity, became bankrupt, made a proposal under any legislation relating to bankruptcy or insolvency or was subject to or instituted any proceedings, arrangement or compromise with creditors or had a receiver, receiver manager or trustee appointed to hold its assets;</w:t>
      </w:r>
    </w:p>
    <w:p>
      <w:pPr>
        <w:spacing w:after="0" w:line="36" w:lineRule="exact"/>
        <w:rPr>
          <w:rFonts w:ascii="Times New Roman" w:cs="Times New Roman" w:eastAsia="Times New Roman" w:hAnsi="Times New Roman"/>
          <w:sz w:val="13"/>
          <w:szCs w:val="13"/>
          <w:color w:val="auto"/>
        </w:rPr>
      </w:pPr>
    </w:p>
    <w:p>
      <w:pPr>
        <w:ind w:left="860" w:hanging="436"/>
        <w:spacing w:after="0" w:line="238" w:lineRule="auto"/>
        <w:tabs>
          <w:tab w:leader="none" w:pos="852" w:val="left"/>
        </w:tabs>
        <w:numPr>
          <w:ilvl w:val="0"/>
          <w:numId w:val="19"/>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has within 10 years before the date of this Circular, become bankrupt, made a proposal under any legislation relating to bankruptcy or insolvency or become subject to or instituted any proceedings, arrangement or compromise with creditors or had a receiver, receiver manager or trustee appointed to hold his assets;</w:t>
      </w:r>
    </w:p>
    <w:p>
      <w:pPr>
        <w:spacing w:after="0" w:line="36" w:lineRule="exact"/>
        <w:rPr>
          <w:rFonts w:ascii="Times New Roman" w:cs="Times New Roman" w:eastAsia="Times New Roman" w:hAnsi="Times New Roman"/>
          <w:sz w:val="13"/>
          <w:szCs w:val="13"/>
          <w:color w:val="auto"/>
        </w:rPr>
      </w:pPr>
    </w:p>
    <w:p>
      <w:pPr>
        <w:ind w:left="860" w:hanging="436"/>
        <w:spacing w:after="0" w:line="252" w:lineRule="auto"/>
        <w:tabs>
          <w:tab w:leader="none" w:pos="853" w:val="left"/>
        </w:tabs>
        <w:numPr>
          <w:ilvl w:val="0"/>
          <w:numId w:val="19"/>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has been subject to any penalties or sanctions imposed by a court relating to securities legislation or by a securities regulatory authority or has entered into a settlement agreement with a securities regulatory authority; or</w:t>
      </w:r>
    </w:p>
    <w:p>
      <w:pPr>
        <w:spacing w:after="0" w:line="19" w:lineRule="exact"/>
        <w:rPr>
          <w:rFonts w:ascii="Times New Roman" w:cs="Times New Roman" w:eastAsia="Times New Roman" w:hAnsi="Times New Roman"/>
          <w:sz w:val="13"/>
          <w:szCs w:val="13"/>
          <w:color w:val="auto"/>
        </w:rPr>
      </w:pPr>
    </w:p>
    <w:p>
      <w:pPr>
        <w:ind w:left="860" w:hanging="436"/>
        <w:spacing w:after="0" w:line="252" w:lineRule="auto"/>
        <w:tabs>
          <w:tab w:leader="none" w:pos="852" w:val="left"/>
        </w:tabs>
        <w:numPr>
          <w:ilvl w:val="0"/>
          <w:numId w:val="19"/>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has been subject to any penalties or sanctions imposed by a court or regulatory body that would likely be considered important to a reasonable securityholder in deciding whether to vote for a proposed director.</w:t>
      </w:r>
    </w:p>
    <w:p>
      <w:pPr>
        <w:spacing w:after="0" w:line="37"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The foregoing information, not being within the knowledge of the Corporation, has been furnished by the proposed directors.</w:t>
      </w:r>
    </w:p>
    <w:p>
      <w:pPr>
        <w:spacing w:after="0" w:line="1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INTEREST OF CERTAIN PERSONS IN MATTERS TO BE ACTED UPON</w:t>
      </w:r>
    </w:p>
    <w:p>
      <w:pPr>
        <w:spacing w:after="0" w:line="151" w:lineRule="exact"/>
        <w:rPr>
          <w:sz w:val="20"/>
          <w:szCs w:val="20"/>
          <w:color w:val="auto"/>
        </w:rPr>
      </w:pPr>
    </w:p>
    <w:p>
      <w:pPr>
        <w:ind w:right="20"/>
        <w:spacing w:after="0" w:line="295" w:lineRule="auto"/>
        <w:rPr>
          <w:sz w:val="20"/>
          <w:szCs w:val="20"/>
          <w:color w:val="auto"/>
        </w:rPr>
      </w:pPr>
      <w:r>
        <w:rPr>
          <w:rFonts w:ascii="Times New Roman" w:cs="Times New Roman" w:eastAsia="Times New Roman" w:hAnsi="Times New Roman"/>
          <w:sz w:val="13"/>
          <w:szCs w:val="13"/>
          <w:color w:val="auto"/>
        </w:rPr>
        <w:t>No person or company who has been a director or executive officer of the Corporation at any time since the beginning of the Corporation’s last completed financial year, no proposed nominee for election as a director of the Corporation and no associate or affiliate of any of the foregoing persons has any material</w:t>
      </w:r>
    </w:p>
    <w:p>
      <w:pPr>
        <w:sectPr>
          <w:pgSz w:w="11900" w:h="16838" w:orient="portrait"/>
          <w:cols w:equalWidth="0" w:num="1">
            <w:col w:w="11300"/>
          </w:cols>
          <w:pgMar w:left="300" w:top="125" w:right="299" w:bottom="1440" w:gutter="0" w:footer="0" w:header="0"/>
        </w:sectPr>
      </w:pPr>
    </w:p>
    <w:bookmarkStart w:id="34" w:name="page35"/>
    <w:bookmarkEnd w:id="34"/>
    <w:p>
      <w:pPr>
        <w:jc w:val="center"/>
        <w:spacing w:after="0"/>
        <w:rPr>
          <w:sz w:val="20"/>
          <w:szCs w:val="20"/>
          <w:color w:val="auto"/>
        </w:rPr>
      </w:pPr>
      <w:r>
        <w:rPr>
          <w:rFonts w:ascii="Times New Roman" w:cs="Times New Roman" w:eastAsia="Times New Roman" w:hAnsi="Times New Roman"/>
          <w:sz w:val="13"/>
          <w:szCs w:val="13"/>
          <w:color w:val="auto"/>
        </w:rPr>
        <w:t>- 31 -</w:t>
      </w: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interest, direct or indirect, by way of beneficial ownership of securities or otherwise, in any matter to be acted upon at the Meeting other than the election of directors.</w:t>
      </w:r>
    </w:p>
    <w:p>
      <w:pPr>
        <w:spacing w:after="0" w:line="1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ADDITIONAL INFORMATION</w:t>
      </w:r>
    </w:p>
    <w:p>
      <w:pPr>
        <w:spacing w:after="0" w:line="151"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3"/>
          <w:szCs w:val="13"/>
          <w:color w:val="auto"/>
        </w:rPr>
        <w:t>Additional information relating to the Corporation is available under the Corporation’s profile on SEDAR+ at www.sedarplus.ca. Financial information is provided in the Corporation’s audited financial statements and Management’s Discussion and Analysis (the “</w:t>
      </w:r>
      <w:r>
        <w:rPr>
          <w:rFonts w:ascii="Times New Roman" w:cs="Times New Roman" w:eastAsia="Times New Roman" w:hAnsi="Times New Roman"/>
          <w:sz w:val="13"/>
          <w:szCs w:val="13"/>
          <w:b w:val="1"/>
          <w:bCs w:val="1"/>
          <w:color w:val="auto"/>
        </w:rPr>
        <w:t>MD&amp;A</w:t>
      </w:r>
      <w:r>
        <w:rPr>
          <w:rFonts w:ascii="Times New Roman" w:cs="Times New Roman" w:eastAsia="Times New Roman" w:hAnsi="Times New Roman"/>
          <w:sz w:val="13"/>
          <w:szCs w:val="13"/>
          <w:color w:val="auto"/>
        </w:rPr>
        <w:t>”) for the year ended March 31, 2025. In addition, copies of the Corporation’s annual financial statements and the MD&amp;A and this Circular may be obtained upon request to the Corporation. The Corporation may require the payment of a reasonable charge if the request is made by a person who is not a shareholder of the Corporation.</w:t>
      </w:r>
    </w:p>
    <w:p>
      <w:pPr>
        <w:spacing w:after="0" w:line="1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APPROVAL OF BOARD OF DIRECTORS</w:t>
      </w:r>
    </w:p>
    <w:p>
      <w:pPr>
        <w:spacing w:after="0" w:line="151" w:lineRule="exact"/>
        <w:rPr>
          <w:sz w:val="20"/>
          <w:szCs w:val="20"/>
          <w:color w:val="auto"/>
        </w:rPr>
      </w:pPr>
    </w:p>
    <w:p>
      <w:pPr>
        <w:jc w:val="both"/>
        <w:ind w:right="20"/>
        <w:spacing w:after="0" w:line="281" w:lineRule="auto"/>
        <w:rPr>
          <w:sz w:val="20"/>
          <w:szCs w:val="20"/>
          <w:color w:val="auto"/>
        </w:rPr>
      </w:pPr>
      <w:r>
        <w:rPr>
          <w:rFonts w:ascii="Times New Roman" w:cs="Times New Roman" w:eastAsia="Times New Roman" w:hAnsi="Times New Roman"/>
          <w:sz w:val="13"/>
          <w:szCs w:val="13"/>
          <w:color w:val="auto"/>
        </w:rPr>
        <w:t>The contents of this Circular and the sending of it to each director of the Corporation, to the auditor of the Corporation, to the Shareholders and to the appropriate governmental agencies, have been approved by the Board.</w:t>
      </w:r>
    </w:p>
    <w:p>
      <w:pPr>
        <w:spacing w:after="0" w:line="109"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Dated: July 14, 2025.</w:t>
      </w:r>
    </w:p>
    <w:p>
      <w:pPr>
        <w:spacing w:after="0" w:line="155" w:lineRule="exact"/>
        <w:rPr>
          <w:sz w:val="20"/>
          <w:szCs w:val="20"/>
          <w:color w:val="auto"/>
        </w:rPr>
      </w:pPr>
    </w:p>
    <w:p>
      <w:pPr>
        <w:ind w:left="2580"/>
        <w:spacing w:after="0"/>
        <w:rPr>
          <w:sz w:val="20"/>
          <w:szCs w:val="20"/>
          <w:color w:val="auto"/>
        </w:rPr>
      </w:pPr>
      <w:r>
        <w:rPr>
          <w:rFonts w:ascii="Times New Roman" w:cs="Times New Roman" w:eastAsia="Times New Roman" w:hAnsi="Times New Roman"/>
          <w:sz w:val="13"/>
          <w:szCs w:val="13"/>
          <w:i w:val="1"/>
          <w:iCs w:val="1"/>
          <w:color w:val="auto"/>
        </w:rPr>
        <w:t>“Eric So”</w:t>
      </w:r>
    </w:p>
    <w:p>
      <w:pPr>
        <w:spacing w:after="0" w:line="168" w:lineRule="exact"/>
        <w:rPr>
          <w:sz w:val="20"/>
          <w:szCs w:val="20"/>
          <w:color w:val="auto"/>
        </w:rPr>
      </w:pPr>
    </w:p>
    <w:p>
      <w:pPr>
        <w:ind w:left="2580"/>
        <w:spacing w:after="0"/>
        <w:rPr>
          <w:sz w:val="20"/>
          <w:szCs w:val="20"/>
          <w:color w:val="auto"/>
        </w:rPr>
      </w:pPr>
      <w:r>
        <w:rPr>
          <w:rFonts w:ascii="Times New Roman" w:cs="Times New Roman" w:eastAsia="Times New Roman" w:hAnsi="Times New Roman"/>
          <w:sz w:val="13"/>
          <w:szCs w:val="13"/>
          <w:color w:val="auto"/>
        </w:rPr>
        <w:t>Eric So</w:t>
      </w:r>
    </w:p>
    <w:p>
      <w:pPr>
        <w:spacing w:after="0" w:line="22" w:lineRule="exact"/>
        <w:rPr>
          <w:sz w:val="20"/>
          <w:szCs w:val="20"/>
          <w:color w:val="auto"/>
        </w:rPr>
      </w:pPr>
    </w:p>
    <w:p>
      <w:pPr>
        <w:ind w:left="2580"/>
        <w:spacing w:after="0"/>
        <w:rPr>
          <w:sz w:val="20"/>
          <w:szCs w:val="20"/>
          <w:color w:val="auto"/>
        </w:rPr>
      </w:pPr>
      <w:r>
        <w:rPr>
          <w:rFonts w:ascii="Times New Roman" w:cs="Times New Roman" w:eastAsia="Times New Roman" w:hAnsi="Times New Roman"/>
          <w:sz w:val="13"/>
          <w:szCs w:val="13"/>
          <w:color w:val="auto"/>
        </w:rPr>
        <w:t>Director and President</w:t>
      </w:r>
    </w:p>
    <w:p>
      <w:pPr>
        <w:sectPr>
          <w:pgSz w:w="11900" w:h="16838" w:orient="portrait"/>
          <w:cols w:equalWidth="0" w:num="1">
            <w:col w:w="11300"/>
          </w:cols>
          <w:pgMar w:left="300" w:top="125" w:right="299" w:bottom="1440" w:gutter="0" w:footer="0" w:header="0"/>
        </w:sectPr>
      </w:pPr>
    </w:p>
    <w:bookmarkStart w:id="35" w:name="page36"/>
    <w:bookmarkEnd w:id="35"/>
    <w:p>
      <w:pPr>
        <w:jc w:val="center"/>
        <w:ind w:right="20"/>
        <w:spacing w:after="0"/>
        <w:rPr>
          <w:sz w:val="20"/>
          <w:szCs w:val="20"/>
          <w:color w:val="auto"/>
        </w:rPr>
      </w:pPr>
      <w:r>
        <w:rPr>
          <w:rFonts w:ascii="Times New Roman" w:cs="Times New Roman" w:eastAsia="Times New Roman" w:hAnsi="Times New Roman"/>
          <w:sz w:val="13"/>
          <w:szCs w:val="13"/>
          <w:color w:val="auto"/>
        </w:rPr>
        <w:t>A - 1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ind w:left="5000"/>
        <w:spacing w:after="0"/>
        <w:rPr>
          <w:sz w:val="20"/>
          <w:szCs w:val="20"/>
          <w:color w:val="auto"/>
        </w:rPr>
      </w:pPr>
      <w:r>
        <w:rPr>
          <w:rFonts w:ascii="Times New Roman" w:cs="Times New Roman" w:eastAsia="Times New Roman" w:hAnsi="Times New Roman"/>
          <w:sz w:val="14"/>
          <w:szCs w:val="14"/>
          <w:b w:val="1"/>
          <w:bCs w:val="1"/>
          <w:color w:val="auto"/>
        </w:rPr>
        <w:t>SCHEDULE "A"</w:t>
      </w:r>
    </w:p>
    <w:p>
      <w:pPr>
        <w:spacing w:after="0" w:line="1" w:lineRule="exact"/>
        <w:rPr>
          <w:sz w:val="20"/>
          <w:szCs w:val="20"/>
          <w:color w:val="auto"/>
        </w:rPr>
      </w:pPr>
    </w:p>
    <w:p>
      <w:pPr>
        <w:ind w:left="4120"/>
        <w:spacing w:after="0"/>
        <w:rPr>
          <w:sz w:val="20"/>
          <w:szCs w:val="20"/>
          <w:color w:val="auto"/>
        </w:rPr>
      </w:pPr>
      <w:r>
        <w:rPr>
          <w:rFonts w:ascii="Times New Roman" w:cs="Times New Roman" w:eastAsia="Times New Roman" w:hAnsi="Times New Roman"/>
          <w:sz w:val="14"/>
          <w:szCs w:val="14"/>
          <w:b w:val="1"/>
          <w:bCs w:val="1"/>
          <w:color w:val="auto"/>
        </w:rPr>
        <w:t>STATEMENT OF GOVERNANCE PRACTICES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7172960</wp:posOffset>
            </wp:positionH>
            <wp:positionV relativeFrom="paragraph">
              <wp:posOffset>99060</wp:posOffset>
            </wp:positionV>
            <wp:extent cx="5715" cy="273748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7">
                      <a:extLst>
                        <a:ext uri="{28A0092B-C50C-407E-A947-70E740481C1C}"/>
                      </a:extLst>
                    </a:blip>
                    <a:srcRect/>
                    <a:stretch>
                      <a:fillRect/>
                    </a:stretch>
                  </pic:blipFill>
                  <pic:spPr bwMode="auto">
                    <a:xfrm>
                      <a:off x="0" y="0"/>
                      <a:ext cx="5715" cy="2737485"/>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99060</wp:posOffset>
            </wp:positionV>
            <wp:extent cx="5715" cy="273748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8">
                      <a:extLst>
                        <a:ext uri="{28A0092B-C50C-407E-A947-70E740481C1C}"/>
                      </a:extLst>
                    </a:blip>
                    <a:srcRect/>
                    <a:stretch>
                      <a:fillRect/>
                    </a:stretch>
                  </pic:blipFill>
                  <pic:spPr bwMode="auto">
                    <a:xfrm>
                      <a:off x="0" y="0"/>
                      <a:ext cx="5715" cy="2737485"/>
                    </a:xfrm>
                    <a:prstGeom prst="rect">
                      <a:avLst/>
                    </a:prstGeom>
                    <a:noFill/>
                  </pic:spPr>
                </pic:pic>
              </a:graphicData>
            </a:graphic>
          </wp:anchor>
        </w:drawing>
      </w:r>
    </w:p>
    <w:p>
      <w:pPr>
        <w:spacing w:after="0" w:line="116" w:lineRule="exact"/>
        <w:rPr>
          <w:sz w:val="20"/>
          <w:szCs w:val="20"/>
          <w:color w:val="auto"/>
        </w:rPr>
      </w:pPr>
    </w:p>
    <w:tbl>
      <w:tblPr>
        <w:tblLayout w:type="fixed"/>
        <w:tblInd w:w="0" w:type="dxa"/>
        <w:tblCellMar>
          <w:top w:w="0" w:type="dxa"/>
          <w:left w:w="0" w:type="dxa"/>
          <w:bottom w:w="0" w:type="dxa"/>
          <w:right w:w="0" w:type="dxa"/>
        </w:tblCellMar>
      </w:tblPr>
      <w:tr>
        <w:trPr>
          <w:trHeight w:val="169"/>
        </w:trPr>
        <w:tc>
          <w:tcPr>
            <w:tcW w:w="5300" w:type="dxa"/>
            <w:vAlign w:val="bottom"/>
            <w:tcBorders>
              <w:top w:val="single" w:sz="8" w:color="auto"/>
              <w:right w:val="single" w:sz="8" w:color="auto"/>
            </w:tcBorders>
            <w:shd w:val="clear" w:color="auto" w:fill="BFBFBF"/>
          </w:tcPr>
          <w:p>
            <w:pPr>
              <w:ind w:left="140"/>
              <w:spacing w:after="0"/>
              <w:rPr>
                <w:sz w:val="20"/>
                <w:szCs w:val="20"/>
                <w:color w:val="auto"/>
              </w:rPr>
            </w:pPr>
            <w:r>
              <w:rPr>
                <w:rFonts w:ascii="Times New Roman" w:cs="Times New Roman" w:eastAsia="Times New Roman" w:hAnsi="Times New Roman"/>
                <w:sz w:val="11"/>
                <w:szCs w:val="11"/>
                <w:b w:val="1"/>
                <w:bCs w:val="1"/>
                <w:color w:val="auto"/>
              </w:rPr>
              <w:t>Governance Disclosure Requirement Under the Corporate Governance National Instrument 58-101 (</w:t>
            </w:r>
            <w:r>
              <w:rPr>
                <w:rFonts w:ascii="Times New Roman" w:cs="Times New Roman" w:eastAsia="Times New Roman" w:hAnsi="Times New Roman"/>
                <w:sz w:val="11"/>
                <w:szCs w:val="11"/>
                <w:color w:val="auto"/>
              </w:rPr>
              <w:t>“</w:t>
            </w:r>
            <w:r>
              <w:rPr>
                <w:rFonts w:ascii="Times New Roman" w:cs="Times New Roman" w:eastAsia="Times New Roman" w:hAnsi="Times New Roman"/>
                <w:sz w:val="11"/>
                <w:szCs w:val="11"/>
                <w:b w:val="1"/>
                <w:bCs w:val="1"/>
                <w:color w:val="auto"/>
              </w:rPr>
              <w:t>NI 58-</w:t>
            </w:r>
          </w:p>
        </w:tc>
        <w:tc>
          <w:tcPr>
            <w:tcW w:w="6000" w:type="dxa"/>
            <w:vAlign w:val="bottom"/>
            <w:tcBorders>
              <w:top w:val="single" w:sz="8" w:color="auto"/>
            </w:tcBorders>
            <w:vMerge w:val="restart"/>
            <w:shd w:val="clear" w:color="auto" w:fill="BFBFBF"/>
          </w:tcPr>
          <w:p>
            <w:pPr>
              <w:ind w:left="2740"/>
              <w:spacing w:after="0"/>
              <w:rPr>
                <w:sz w:val="20"/>
                <w:szCs w:val="20"/>
                <w:color w:val="auto"/>
              </w:rPr>
            </w:pPr>
            <w:r>
              <w:rPr>
                <w:rFonts w:ascii="Times New Roman" w:cs="Times New Roman" w:eastAsia="Times New Roman" w:hAnsi="Times New Roman"/>
                <w:sz w:val="11"/>
                <w:szCs w:val="11"/>
                <w:b w:val="1"/>
                <w:bCs w:val="1"/>
                <w:color w:val="auto"/>
              </w:rPr>
              <w:t>Comments</w:t>
            </w:r>
          </w:p>
        </w:tc>
        <w:tc>
          <w:tcPr>
            <w:tcW w:w="0" w:type="dxa"/>
            <w:vAlign w:val="bottom"/>
          </w:tcPr>
          <w:p>
            <w:pPr>
              <w:spacing w:after="0"/>
              <w:rPr>
                <w:sz w:val="1"/>
                <w:szCs w:val="1"/>
                <w:color w:val="auto"/>
              </w:rPr>
            </w:pPr>
          </w:p>
        </w:tc>
      </w:tr>
      <w:tr>
        <w:trPr>
          <w:trHeight w:val="97"/>
        </w:trPr>
        <w:tc>
          <w:tcPr>
            <w:tcW w:w="5300" w:type="dxa"/>
            <w:vAlign w:val="bottom"/>
            <w:tcBorders>
              <w:right w:val="single" w:sz="8" w:color="auto"/>
            </w:tcBorders>
            <w:vMerge w:val="restart"/>
            <w:shd w:val="clear" w:color="auto" w:fill="BFBFBF"/>
          </w:tcPr>
          <w:p>
            <w:pPr>
              <w:ind w:left="2520"/>
              <w:spacing w:after="0"/>
              <w:rPr>
                <w:sz w:val="20"/>
                <w:szCs w:val="20"/>
                <w:color w:val="auto"/>
              </w:rPr>
            </w:pPr>
            <w:r>
              <w:rPr>
                <w:rFonts w:ascii="Times New Roman" w:cs="Times New Roman" w:eastAsia="Times New Roman" w:hAnsi="Times New Roman"/>
                <w:sz w:val="11"/>
                <w:szCs w:val="11"/>
                <w:b w:val="1"/>
                <w:bCs w:val="1"/>
                <w:color w:val="auto"/>
              </w:rPr>
              <w:t>101</w:t>
            </w:r>
            <w:r>
              <w:rPr>
                <w:rFonts w:ascii="Times New Roman" w:cs="Times New Roman" w:eastAsia="Times New Roman" w:hAnsi="Times New Roman"/>
                <w:sz w:val="11"/>
                <w:szCs w:val="11"/>
                <w:color w:val="auto"/>
              </w:rPr>
              <w:t>”</w:t>
            </w:r>
            <w:r>
              <w:rPr>
                <w:rFonts w:ascii="Times New Roman" w:cs="Times New Roman" w:eastAsia="Times New Roman" w:hAnsi="Times New Roman"/>
                <w:sz w:val="11"/>
                <w:szCs w:val="11"/>
                <w:b w:val="1"/>
                <w:bCs w:val="1"/>
                <w:color w:val="auto"/>
              </w:rPr>
              <w:t>)</w:t>
            </w:r>
          </w:p>
        </w:tc>
        <w:tc>
          <w:tcPr>
            <w:tcW w:w="6000" w:type="dxa"/>
            <w:vAlign w:val="bottom"/>
            <w:vMerge w:val="continue"/>
            <w:shd w:val="clear" w:color="auto" w:fill="BFBFBF"/>
          </w:tcPr>
          <w:p>
            <w:pPr>
              <w:spacing w:after="0"/>
              <w:rPr>
                <w:sz w:val="8"/>
                <w:szCs w:val="8"/>
                <w:color w:val="auto"/>
              </w:rPr>
            </w:pPr>
          </w:p>
        </w:tc>
        <w:tc>
          <w:tcPr>
            <w:tcW w:w="0" w:type="dxa"/>
            <w:vAlign w:val="bottom"/>
          </w:tcPr>
          <w:p>
            <w:pPr>
              <w:spacing w:after="0"/>
              <w:rPr>
                <w:sz w:val="1"/>
                <w:szCs w:val="1"/>
                <w:color w:val="auto"/>
              </w:rPr>
            </w:pPr>
          </w:p>
        </w:tc>
      </w:tr>
      <w:tr>
        <w:trPr>
          <w:trHeight w:val="45"/>
        </w:trPr>
        <w:tc>
          <w:tcPr>
            <w:tcW w:w="5300" w:type="dxa"/>
            <w:vAlign w:val="bottom"/>
            <w:tcBorders>
              <w:right w:val="single" w:sz="8" w:color="auto"/>
            </w:tcBorders>
            <w:vMerge w:val="continue"/>
            <w:shd w:val="clear" w:color="auto" w:fill="BFBFBF"/>
          </w:tcPr>
          <w:p>
            <w:pPr>
              <w:spacing w:after="0"/>
              <w:rPr>
                <w:sz w:val="3"/>
                <w:szCs w:val="3"/>
                <w:color w:val="auto"/>
              </w:rPr>
            </w:pPr>
          </w:p>
        </w:tc>
        <w:tc>
          <w:tcPr>
            <w:tcW w:w="6000" w:type="dxa"/>
            <w:vAlign w:val="bottom"/>
            <w:shd w:val="clear" w:color="auto" w:fill="BFBFBF"/>
          </w:tcPr>
          <w:p>
            <w:pPr>
              <w:spacing w:after="0"/>
              <w:rPr>
                <w:sz w:val="3"/>
                <w:szCs w:val="3"/>
                <w:color w:val="auto"/>
              </w:rPr>
            </w:pPr>
          </w:p>
        </w:tc>
        <w:tc>
          <w:tcPr>
            <w:tcW w:w="0" w:type="dxa"/>
            <w:vAlign w:val="bottom"/>
          </w:tcPr>
          <w:p>
            <w:pPr>
              <w:spacing w:after="0"/>
              <w:rPr>
                <w:sz w:val="1"/>
                <w:szCs w:val="1"/>
                <w:color w:val="auto"/>
              </w:rPr>
            </w:pPr>
          </w:p>
        </w:tc>
      </w:tr>
      <w:tr>
        <w:trPr>
          <w:trHeight w:val="85"/>
        </w:trPr>
        <w:tc>
          <w:tcPr>
            <w:tcW w:w="5300" w:type="dxa"/>
            <w:vAlign w:val="bottom"/>
            <w:tcBorders>
              <w:bottom w:val="single" w:sz="8" w:color="auto"/>
              <w:right w:val="single" w:sz="8" w:color="auto"/>
            </w:tcBorders>
            <w:shd w:val="clear" w:color="auto" w:fill="BFBFBF"/>
          </w:tcPr>
          <w:p>
            <w:pPr>
              <w:spacing w:after="0"/>
              <w:rPr>
                <w:sz w:val="7"/>
                <w:szCs w:val="7"/>
                <w:color w:val="auto"/>
              </w:rPr>
            </w:pPr>
          </w:p>
        </w:tc>
        <w:tc>
          <w:tcPr>
            <w:tcW w:w="6000" w:type="dxa"/>
            <w:vAlign w:val="bottom"/>
            <w:tcBorders>
              <w:bottom w:val="single" w:sz="8" w:color="auto"/>
            </w:tcBorders>
            <w:shd w:val="clear" w:color="auto" w:fill="BFBFBF"/>
          </w:tcPr>
          <w:p>
            <w:pPr>
              <w:spacing w:after="0"/>
              <w:rPr>
                <w:sz w:val="7"/>
                <w:szCs w:val="7"/>
                <w:color w:val="auto"/>
              </w:rPr>
            </w:pPr>
          </w:p>
        </w:tc>
        <w:tc>
          <w:tcPr>
            <w:tcW w:w="0" w:type="dxa"/>
            <w:vAlign w:val="bottom"/>
          </w:tcPr>
          <w:p>
            <w:pPr>
              <w:spacing w:after="0"/>
              <w:rPr>
                <w:sz w:val="1"/>
                <w:szCs w:val="1"/>
                <w:color w:val="auto"/>
              </w:rPr>
            </w:pPr>
          </w:p>
        </w:tc>
      </w:tr>
      <w:tr>
        <w:trPr>
          <w:trHeight w:val="165"/>
        </w:trPr>
        <w:tc>
          <w:tcPr>
            <w:tcW w:w="5300" w:type="dxa"/>
            <w:vAlign w:val="bottom"/>
          </w:tcPr>
          <w:p>
            <w:pPr>
              <w:ind w:left="160"/>
              <w:spacing w:after="0"/>
              <w:rPr>
                <w:sz w:val="20"/>
                <w:szCs w:val="20"/>
                <w:color w:val="auto"/>
              </w:rPr>
            </w:pPr>
            <w:r>
              <w:rPr>
                <w:rFonts w:ascii="Times New Roman" w:cs="Times New Roman" w:eastAsia="Times New Roman" w:hAnsi="Times New Roman"/>
                <w:sz w:val="11"/>
                <w:szCs w:val="11"/>
                <w:b w:val="1"/>
                <w:bCs w:val="1"/>
                <w:color w:val="auto"/>
              </w:rPr>
              <w:t>Board of Directors</w:t>
            </w:r>
          </w:p>
        </w:tc>
        <w:tc>
          <w:tcPr>
            <w:tcW w:w="600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pacing w:after="0" w:line="65" w:lineRule="exact"/>
        <w:rPr>
          <w:sz w:val="20"/>
          <w:szCs w:val="20"/>
          <w:color w:val="auto"/>
        </w:rPr>
      </w:pPr>
    </w:p>
    <w:tbl>
      <w:tblPr>
        <w:tblLayout w:type="fixed"/>
        <w:tblInd w:w="0" w:type="dxa"/>
        <w:tblCellMar>
          <w:top w:w="0" w:type="dxa"/>
          <w:left w:w="0" w:type="dxa"/>
          <w:bottom w:w="0" w:type="dxa"/>
          <w:right w:w="0" w:type="dxa"/>
        </w:tblCellMar>
      </w:tblPr>
      <w:tr>
        <w:trPr>
          <w:trHeight w:val="144"/>
        </w:trPr>
        <w:tc>
          <w:tcPr>
            <w:tcW w:w="140" w:type="dxa"/>
            <w:vAlign w:val="bottom"/>
            <w:tcBorders>
              <w:top w:val="single" w:sz="8" w:color="auto"/>
            </w:tcBorders>
          </w:tcPr>
          <w:p>
            <w:pPr>
              <w:ind w:left="40"/>
              <w:spacing w:after="0"/>
              <w:rPr>
                <w:sz w:val="20"/>
                <w:szCs w:val="20"/>
                <w:color w:val="auto"/>
              </w:rPr>
            </w:pPr>
            <w:r>
              <w:rPr>
                <w:rFonts w:ascii="Times New Roman" w:cs="Times New Roman" w:eastAsia="Times New Roman" w:hAnsi="Times New Roman"/>
                <w:sz w:val="11"/>
                <w:szCs w:val="11"/>
                <w:color w:val="auto"/>
                <w:w w:val="96"/>
              </w:rPr>
              <w:t>1.</w:t>
            </w:r>
          </w:p>
        </w:tc>
        <w:tc>
          <w:tcPr>
            <w:tcW w:w="5160" w:type="dxa"/>
            <w:vAlign w:val="bottom"/>
            <w:tcBorders>
              <w:top w:val="single" w:sz="8" w:color="auto"/>
              <w:right w:val="single" w:sz="8" w:color="auto"/>
            </w:tcBorders>
          </w:tcPr>
          <w:p>
            <w:pPr>
              <w:jc w:val="right"/>
              <w:ind w:right="26"/>
              <w:spacing w:after="0"/>
              <w:rPr>
                <w:sz w:val="20"/>
                <w:szCs w:val="20"/>
                <w:color w:val="auto"/>
              </w:rPr>
            </w:pPr>
            <w:r>
              <w:rPr>
                <w:rFonts w:ascii="Times New Roman" w:cs="Times New Roman" w:eastAsia="Times New Roman" w:hAnsi="Times New Roman"/>
                <w:sz w:val="11"/>
                <w:szCs w:val="11"/>
                <w:color w:val="auto"/>
              </w:rPr>
              <w:t>Board of Directors—Disclose how the board of directors (the “</w:t>
            </w:r>
            <w:r>
              <w:rPr>
                <w:rFonts w:ascii="Times New Roman" w:cs="Times New Roman" w:eastAsia="Times New Roman" w:hAnsi="Times New Roman"/>
                <w:sz w:val="11"/>
                <w:szCs w:val="11"/>
                <w:b w:val="1"/>
                <w:bCs w:val="1"/>
                <w:color w:val="auto"/>
              </w:rPr>
              <w:t>Board</w:t>
            </w:r>
            <w:r>
              <w:rPr>
                <w:rFonts w:ascii="Times New Roman" w:cs="Times New Roman" w:eastAsia="Times New Roman" w:hAnsi="Times New Roman"/>
                <w:sz w:val="11"/>
                <w:szCs w:val="11"/>
                <w:color w:val="auto"/>
              </w:rPr>
              <w:t>”) of Cybin Inc. (the “</w:t>
            </w:r>
            <w:r>
              <w:rPr>
                <w:rFonts w:ascii="Times New Roman" w:cs="Times New Roman" w:eastAsia="Times New Roman" w:hAnsi="Times New Roman"/>
                <w:sz w:val="11"/>
                <w:szCs w:val="11"/>
                <w:b w:val="1"/>
                <w:bCs w:val="1"/>
                <w:color w:val="auto"/>
              </w:rPr>
              <w:t>Corporation</w:t>
            </w:r>
            <w:r>
              <w:rPr>
                <w:rFonts w:ascii="Times New Roman" w:cs="Times New Roman" w:eastAsia="Times New Roman" w:hAnsi="Times New Roman"/>
                <w:sz w:val="11"/>
                <w:szCs w:val="11"/>
                <w:color w:val="auto"/>
              </w:rPr>
              <w:t>”)</w:t>
            </w:r>
          </w:p>
        </w:tc>
        <w:tc>
          <w:tcPr>
            <w:tcW w:w="600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1"/>
                <w:szCs w:val="11"/>
                <w:color w:val="auto"/>
              </w:rPr>
              <w:t>The Board currently consists of a total of seven directors of which Messrs. Eric Hoskins, Grant Froese, Mark Lawson and Ms. Theresa</w:t>
            </w:r>
          </w:p>
        </w:tc>
        <w:tc>
          <w:tcPr>
            <w:tcW w:w="0" w:type="dxa"/>
            <w:vAlign w:val="bottom"/>
          </w:tcPr>
          <w:p>
            <w:pPr>
              <w:spacing w:after="0"/>
              <w:rPr>
                <w:sz w:val="1"/>
                <w:szCs w:val="1"/>
                <w:color w:val="auto"/>
              </w:rPr>
            </w:pPr>
          </w:p>
        </w:tc>
      </w:tr>
      <w:tr>
        <w:trPr>
          <w:trHeight w:val="135"/>
        </w:trPr>
        <w:tc>
          <w:tcPr>
            <w:tcW w:w="140" w:type="dxa"/>
            <w:vAlign w:val="bottom"/>
          </w:tcPr>
          <w:p>
            <w:pPr>
              <w:spacing w:after="0"/>
              <w:rPr>
                <w:sz w:val="11"/>
                <w:szCs w:val="11"/>
                <w:color w:val="auto"/>
              </w:rPr>
            </w:pPr>
          </w:p>
        </w:tc>
        <w:tc>
          <w:tcPr>
            <w:tcW w:w="516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11"/>
                <w:szCs w:val="11"/>
                <w:color w:val="auto"/>
              </w:rPr>
              <w:t>facilitates its exercise of independent supervision over management, including (i) the identity of directors that are</w:t>
            </w:r>
          </w:p>
        </w:tc>
        <w:tc>
          <w:tcPr>
            <w:tcW w:w="600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Firestone are considered “independent” as such term is defined in NI 58-101.</w:t>
            </w:r>
          </w:p>
        </w:tc>
        <w:tc>
          <w:tcPr>
            <w:tcW w:w="0" w:type="dxa"/>
            <w:vAlign w:val="bottom"/>
          </w:tcPr>
          <w:p>
            <w:pPr>
              <w:spacing w:after="0"/>
              <w:rPr>
                <w:sz w:val="1"/>
                <w:szCs w:val="1"/>
                <w:color w:val="auto"/>
              </w:rPr>
            </w:pPr>
          </w:p>
        </w:tc>
      </w:tr>
      <w:tr>
        <w:trPr>
          <w:trHeight w:val="140"/>
        </w:trPr>
        <w:tc>
          <w:tcPr>
            <w:tcW w:w="140" w:type="dxa"/>
            <w:vAlign w:val="bottom"/>
          </w:tcPr>
          <w:p>
            <w:pPr>
              <w:spacing w:after="0"/>
              <w:rPr>
                <w:sz w:val="12"/>
                <w:szCs w:val="12"/>
                <w:color w:val="auto"/>
              </w:rPr>
            </w:pPr>
          </w:p>
        </w:tc>
        <w:tc>
          <w:tcPr>
            <w:tcW w:w="516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11"/>
                <w:szCs w:val="11"/>
                <w:color w:val="auto"/>
              </w:rPr>
              <w:t>independent, and (ii) the identity of directors who are not independent, and the basis for that determination.</w:t>
            </w:r>
          </w:p>
        </w:tc>
        <w:tc>
          <w:tcPr>
            <w:tcW w:w="6000" w:type="dxa"/>
            <w:vAlign w:val="bottom"/>
            <w:vMerge w:val="restart"/>
          </w:tcPr>
          <w:p>
            <w:pPr>
              <w:ind w:left="20"/>
              <w:spacing w:after="0"/>
              <w:rPr>
                <w:sz w:val="20"/>
                <w:szCs w:val="20"/>
                <w:color w:val="auto"/>
              </w:rPr>
            </w:pPr>
            <w:r>
              <w:rPr>
                <w:rFonts w:ascii="Times New Roman" w:cs="Times New Roman" w:eastAsia="Times New Roman" w:hAnsi="Times New Roman"/>
                <w:sz w:val="11"/>
                <w:szCs w:val="11"/>
                <w:color w:val="auto"/>
              </w:rPr>
              <w:t>Messrs. Eric So, Paul Glavine, and George Tziras are not considered independent as they are executive officers of the Corporation.</w:t>
            </w:r>
          </w:p>
        </w:tc>
        <w:tc>
          <w:tcPr>
            <w:tcW w:w="0" w:type="dxa"/>
            <w:vAlign w:val="bottom"/>
          </w:tcPr>
          <w:p>
            <w:pPr>
              <w:spacing w:after="0"/>
              <w:rPr>
                <w:sz w:val="1"/>
                <w:szCs w:val="1"/>
                <w:color w:val="auto"/>
              </w:rPr>
            </w:pPr>
          </w:p>
        </w:tc>
      </w:tr>
      <w:tr>
        <w:trPr>
          <w:trHeight w:val="72"/>
        </w:trPr>
        <w:tc>
          <w:tcPr>
            <w:tcW w:w="140" w:type="dxa"/>
            <w:vAlign w:val="bottom"/>
          </w:tcPr>
          <w:p>
            <w:pPr>
              <w:spacing w:after="0"/>
              <w:rPr>
                <w:sz w:val="6"/>
                <w:szCs w:val="6"/>
                <w:color w:val="auto"/>
              </w:rPr>
            </w:pPr>
          </w:p>
        </w:tc>
        <w:tc>
          <w:tcPr>
            <w:tcW w:w="5160" w:type="dxa"/>
            <w:vAlign w:val="bottom"/>
            <w:tcBorders>
              <w:right w:val="single" w:sz="8" w:color="auto"/>
            </w:tcBorders>
          </w:tcPr>
          <w:p>
            <w:pPr>
              <w:spacing w:after="0"/>
              <w:rPr>
                <w:sz w:val="6"/>
                <w:szCs w:val="6"/>
                <w:color w:val="auto"/>
              </w:rPr>
            </w:pPr>
          </w:p>
        </w:tc>
        <w:tc>
          <w:tcPr>
            <w:tcW w:w="600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85"/>
        </w:trPr>
        <w:tc>
          <w:tcPr>
            <w:tcW w:w="140" w:type="dxa"/>
            <w:vAlign w:val="bottom"/>
            <w:tcBorders>
              <w:bottom w:val="single" w:sz="8" w:color="auto"/>
            </w:tcBorders>
          </w:tcPr>
          <w:p>
            <w:pPr>
              <w:spacing w:after="0"/>
              <w:rPr>
                <w:sz w:val="7"/>
                <w:szCs w:val="7"/>
                <w:color w:val="auto"/>
              </w:rPr>
            </w:pPr>
          </w:p>
        </w:tc>
        <w:tc>
          <w:tcPr>
            <w:tcW w:w="5160" w:type="dxa"/>
            <w:vAlign w:val="bottom"/>
            <w:tcBorders>
              <w:bottom w:val="single" w:sz="8" w:color="auto"/>
              <w:right w:val="single" w:sz="8" w:color="auto"/>
            </w:tcBorders>
          </w:tcPr>
          <w:p>
            <w:pPr>
              <w:spacing w:after="0"/>
              <w:rPr>
                <w:sz w:val="7"/>
                <w:szCs w:val="7"/>
                <w:color w:val="auto"/>
              </w:rPr>
            </w:pPr>
          </w:p>
        </w:tc>
        <w:tc>
          <w:tcPr>
            <w:tcW w:w="6000" w:type="dxa"/>
            <w:vAlign w:val="bottom"/>
            <w:tcBorders>
              <w:bottom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124"/>
        </w:trPr>
        <w:tc>
          <w:tcPr>
            <w:tcW w:w="140" w:type="dxa"/>
            <w:vAlign w:val="bottom"/>
          </w:tcPr>
          <w:p>
            <w:pPr>
              <w:ind w:left="40"/>
              <w:spacing w:after="0" w:line="124" w:lineRule="exact"/>
              <w:rPr>
                <w:sz w:val="20"/>
                <w:szCs w:val="20"/>
                <w:color w:val="auto"/>
              </w:rPr>
            </w:pPr>
            <w:r>
              <w:rPr>
                <w:rFonts w:ascii="Times New Roman" w:cs="Times New Roman" w:eastAsia="Times New Roman" w:hAnsi="Times New Roman"/>
                <w:sz w:val="11"/>
                <w:szCs w:val="11"/>
                <w:color w:val="auto"/>
                <w:w w:val="96"/>
              </w:rPr>
              <w:t>2.</w:t>
            </w:r>
          </w:p>
        </w:tc>
        <w:tc>
          <w:tcPr>
            <w:tcW w:w="5160" w:type="dxa"/>
            <w:vAlign w:val="bottom"/>
            <w:tcBorders>
              <w:right w:val="single" w:sz="8" w:color="auto"/>
            </w:tcBorders>
          </w:tcPr>
          <w:p>
            <w:pPr>
              <w:jc w:val="right"/>
              <w:ind w:right="26"/>
              <w:spacing w:after="0" w:line="124" w:lineRule="exact"/>
              <w:rPr>
                <w:sz w:val="20"/>
                <w:szCs w:val="20"/>
                <w:color w:val="auto"/>
              </w:rPr>
            </w:pPr>
            <w:r>
              <w:rPr>
                <w:rFonts w:ascii="Times New Roman" w:cs="Times New Roman" w:eastAsia="Times New Roman" w:hAnsi="Times New Roman"/>
                <w:sz w:val="11"/>
                <w:szCs w:val="11"/>
                <w:color w:val="auto"/>
                <w:w w:val="99"/>
              </w:rPr>
              <w:t>Directorships—If a director is presently a director of any other issuer that is a reporting issuer (or the equivalent) in</w:t>
            </w:r>
          </w:p>
        </w:tc>
        <w:tc>
          <w:tcPr>
            <w:tcW w:w="6000" w:type="dxa"/>
            <w:vAlign w:val="bottom"/>
          </w:tcPr>
          <w:p>
            <w:pPr>
              <w:ind w:left="20"/>
              <w:spacing w:after="0" w:line="124" w:lineRule="exact"/>
              <w:rPr>
                <w:sz w:val="20"/>
                <w:szCs w:val="20"/>
                <w:color w:val="auto"/>
              </w:rPr>
            </w:pPr>
            <w:r>
              <w:rPr>
                <w:rFonts w:ascii="Times New Roman" w:cs="Times New Roman" w:eastAsia="Times New Roman" w:hAnsi="Times New Roman"/>
                <w:sz w:val="11"/>
                <w:szCs w:val="11"/>
                <w:color w:val="auto"/>
              </w:rPr>
              <w:t>Please refer to the Circular under the heading “Particulars of Matters to be Acted Upon - Election of Directors”.</w:t>
            </w:r>
          </w:p>
        </w:tc>
        <w:tc>
          <w:tcPr>
            <w:tcW w:w="0" w:type="dxa"/>
            <w:vAlign w:val="bottom"/>
          </w:tcPr>
          <w:p>
            <w:pPr>
              <w:spacing w:after="0"/>
              <w:rPr>
                <w:sz w:val="1"/>
                <w:szCs w:val="1"/>
                <w:color w:val="auto"/>
              </w:rPr>
            </w:pPr>
          </w:p>
        </w:tc>
      </w:tr>
      <w:tr>
        <w:trPr>
          <w:trHeight w:val="140"/>
        </w:trPr>
        <w:tc>
          <w:tcPr>
            <w:tcW w:w="140" w:type="dxa"/>
            <w:vAlign w:val="bottom"/>
          </w:tcPr>
          <w:p>
            <w:pPr>
              <w:spacing w:after="0"/>
              <w:rPr>
                <w:sz w:val="12"/>
                <w:szCs w:val="12"/>
                <w:color w:val="auto"/>
              </w:rPr>
            </w:pPr>
          </w:p>
        </w:tc>
        <w:tc>
          <w:tcPr>
            <w:tcW w:w="516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11"/>
                <w:szCs w:val="11"/>
                <w:color w:val="auto"/>
              </w:rPr>
              <w:t>a jurisdiction or a foreign jurisdiction, identify both the director and the other issuer.</w:t>
            </w:r>
          </w:p>
        </w:tc>
        <w:tc>
          <w:tcPr>
            <w:tcW w:w="60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94"/>
        </w:trPr>
        <w:tc>
          <w:tcPr>
            <w:tcW w:w="140" w:type="dxa"/>
            <w:vAlign w:val="bottom"/>
            <w:tcBorders>
              <w:bottom w:val="single" w:sz="8" w:color="auto"/>
            </w:tcBorders>
          </w:tcPr>
          <w:p>
            <w:pPr>
              <w:spacing w:after="0"/>
              <w:rPr>
                <w:sz w:val="8"/>
                <w:szCs w:val="8"/>
                <w:color w:val="auto"/>
              </w:rPr>
            </w:pPr>
          </w:p>
        </w:tc>
        <w:tc>
          <w:tcPr>
            <w:tcW w:w="5160" w:type="dxa"/>
            <w:vAlign w:val="bottom"/>
            <w:tcBorders>
              <w:bottom w:val="single" w:sz="8" w:color="auto"/>
              <w:right w:val="single" w:sz="8" w:color="auto"/>
            </w:tcBorders>
          </w:tcPr>
          <w:p>
            <w:pPr>
              <w:spacing w:after="0"/>
              <w:rPr>
                <w:sz w:val="8"/>
                <w:szCs w:val="8"/>
                <w:color w:val="auto"/>
              </w:rPr>
            </w:pPr>
          </w:p>
        </w:tc>
        <w:tc>
          <w:tcPr>
            <w:tcW w:w="600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124"/>
        </w:trPr>
        <w:tc>
          <w:tcPr>
            <w:tcW w:w="140" w:type="dxa"/>
            <w:vAlign w:val="bottom"/>
          </w:tcPr>
          <w:p>
            <w:pPr>
              <w:ind w:left="40"/>
              <w:spacing w:after="0" w:line="124" w:lineRule="exact"/>
              <w:rPr>
                <w:sz w:val="20"/>
                <w:szCs w:val="20"/>
                <w:color w:val="auto"/>
              </w:rPr>
            </w:pPr>
            <w:r>
              <w:rPr>
                <w:rFonts w:ascii="Times New Roman" w:cs="Times New Roman" w:eastAsia="Times New Roman" w:hAnsi="Times New Roman"/>
                <w:sz w:val="11"/>
                <w:szCs w:val="11"/>
                <w:color w:val="auto"/>
                <w:w w:val="96"/>
              </w:rPr>
              <w:t>3.</w:t>
            </w:r>
          </w:p>
        </w:tc>
        <w:tc>
          <w:tcPr>
            <w:tcW w:w="5160" w:type="dxa"/>
            <w:vAlign w:val="bottom"/>
            <w:tcBorders>
              <w:right w:val="single" w:sz="8" w:color="auto"/>
            </w:tcBorders>
          </w:tcPr>
          <w:p>
            <w:pPr>
              <w:jc w:val="right"/>
              <w:ind w:right="26"/>
              <w:spacing w:after="0" w:line="124" w:lineRule="exact"/>
              <w:rPr>
                <w:sz w:val="20"/>
                <w:szCs w:val="20"/>
                <w:color w:val="auto"/>
              </w:rPr>
            </w:pPr>
            <w:r>
              <w:rPr>
                <w:rFonts w:ascii="Times New Roman" w:cs="Times New Roman" w:eastAsia="Times New Roman" w:hAnsi="Times New Roman"/>
                <w:sz w:val="11"/>
                <w:szCs w:val="11"/>
                <w:color w:val="auto"/>
              </w:rPr>
              <w:t>Disclose whether or not the independent directors hold regularly scheduled meetings at which non-independent</w:t>
            </w:r>
          </w:p>
        </w:tc>
        <w:tc>
          <w:tcPr>
            <w:tcW w:w="6000" w:type="dxa"/>
            <w:vAlign w:val="bottom"/>
          </w:tcPr>
          <w:p>
            <w:pPr>
              <w:ind w:left="20"/>
              <w:spacing w:after="0" w:line="124" w:lineRule="exact"/>
              <w:rPr>
                <w:sz w:val="20"/>
                <w:szCs w:val="20"/>
                <w:color w:val="auto"/>
              </w:rPr>
            </w:pPr>
            <w:r>
              <w:rPr>
                <w:rFonts w:ascii="Times New Roman" w:cs="Times New Roman" w:eastAsia="Times New Roman" w:hAnsi="Times New Roman"/>
                <w:sz w:val="11"/>
                <w:szCs w:val="11"/>
                <w:color w:val="auto"/>
              </w:rPr>
              <w:t>The independent directors hold regularly scheduled meetings at which non-independent directors and members of management are not</w:t>
            </w:r>
          </w:p>
        </w:tc>
        <w:tc>
          <w:tcPr>
            <w:tcW w:w="0" w:type="dxa"/>
            <w:vAlign w:val="bottom"/>
          </w:tcPr>
          <w:p>
            <w:pPr>
              <w:spacing w:after="0"/>
              <w:rPr>
                <w:sz w:val="1"/>
                <w:szCs w:val="1"/>
                <w:color w:val="auto"/>
              </w:rPr>
            </w:pPr>
          </w:p>
        </w:tc>
      </w:tr>
      <w:tr>
        <w:trPr>
          <w:trHeight w:val="135"/>
        </w:trPr>
        <w:tc>
          <w:tcPr>
            <w:tcW w:w="140" w:type="dxa"/>
            <w:vAlign w:val="bottom"/>
          </w:tcPr>
          <w:p>
            <w:pPr>
              <w:spacing w:after="0"/>
              <w:rPr>
                <w:sz w:val="11"/>
                <w:szCs w:val="11"/>
                <w:color w:val="auto"/>
              </w:rPr>
            </w:pPr>
          </w:p>
        </w:tc>
        <w:tc>
          <w:tcPr>
            <w:tcW w:w="516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11"/>
                <w:szCs w:val="11"/>
                <w:color w:val="auto"/>
              </w:rPr>
              <w:t>directors and members of management are not in attendance. If the independent directors hold such meetings,</w:t>
            </w:r>
          </w:p>
        </w:tc>
        <w:tc>
          <w:tcPr>
            <w:tcW w:w="6000" w:type="dxa"/>
            <w:vAlign w:val="bottom"/>
          </w:tcPr>
          <w:p>
            <w:pPr>
              <w:ind w:left="20"/>
              <w:spacing w:after="0"/>
              <w:rPr>
                <w:sz w:val="20"/>
                <w:szCs w:val="20"/>
                <w:color w:val="auto"/>
              </w:rPr>
            </w:pPr>
            <w:r>
              <w:rPr>
                <w:rFonts w:ascii="Times New Roman" w:cs="Times New Roman" w:eastAsia="Times New Roman" w:hAnsi="Times New Roman"/>
                <w:sz w:val="11"/>
                <w:szCs w:val="11"/>
                <w:color w:val="auto"/>
                <w:w w:val="99"/>
              </w:rPr>
              <w:t>in attendance. During the year ended March 31, 2025, the independent directors held 5 meetings at which non-independent directors and</w:t>
            </w:r>
          </w:p>
        </w:tc>
        <w:tc>
          <w:tcPr>
            <w:tcW w:w="0" w:type="dxa"/>
            <w:vAlign w:val="bottom"/>
          </w:tcPr>
          <w:p>
            <w:pPr>
              <w:spacing w:after="0"/>
              <w:rPr>
                <w:sz w:val="1"/>
                <w:szCs w:val="1"/>
                <w:color w:val="auto"/>
              </w:rPr>
            </w:pPr>
          </w:p>
        </w:tc>
      </w:tr>
      <w:tr>
        <w:trPr>
          <w:trHeight w:val="126"/>
        </w:trPr>
        <w:tc>
          <w:tcPr>
            <w:tcW w:w="140" w:type="dxa"/>
            <w:vAlign w:val="bottom"/>
          </w:tcPr>
          <w:p>
            <w:pPr>
              <w:spacing w:after="0"/>
              <w:rPr>
                <w:sz w:val="10"/>
                <w:szCs w:val="10"/>
                <w:color w:val="auto"/>
              </w:rPr>
            </w:pPr>
          </w:p>
        </w:tc>
        <w:tc>
          <w:tcPr>
            <w:tcW w:w="516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11"/>
                <w:szCs w:val="11"/>
                <w:color w:val="auto"/>
              </w:rPr>
              <w:t>disclose the number of meetings held since the beginning of Corporation’s most recently completed financial year.</w:t>
            </w:r>
          </w:p>
        </w:tc>
        <w:tc>
          <w:tcPr>
            <w:tcW w:w="600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members of management were not in attendance.</w:t>
            </w:r>
          </w:p>
        </w:tc>
        <w:tc>
          <w:tcPr>
            <w:tcW w:w="0" w:type="dxa"/>
            <w:vAlign w:val="bottom"/>
          </w:tcPr>
          <w:p>
            <w:pPr>
              <w:spacing w:after="0"/>
              <w:rPr>
                <w:sz w:val="1"/>
                <w:szCs w:val="1"/>
                <w:color w:val="auto"/>
              </w:rPr>
            </w:pPr>
          </w:p>
        </w:tc>
      </w:tr>
      <w:tr>
        <w:trPr>
          <w:trHeight w:val="135"/>
        </w:trPr>
        <w:tc>
          <w:tcPr>
            <w:tcW w:w="140" w:type="dxa"/>
            <w:vAlign w:val="bottom"/>
          </w:tcPr>
          <w:p>
            <w:pPr>
              <w:spacing w:after="0"/>
              <w:rPr>
                <w:sz w:val="11"/>
                <w:szCs w:val="11"/>
                <w:color w:val="auto"/>
              </w:rPr>
            </w:pPr>
          </w:p>
        </w:tc>
        <w:tc>
          <w:tcPr>
            <w:tcW w:w="516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11"/>
                <w:szCs w:val="11"/>
                <w:color w:val="auto"/>
              </w:rPr>
              <w:t>If the independent directors do not hold such meetings, describe what the Board does to facilitate open and candid</w:t>
            </w:r>
          </w:p>
        </w:tc>
        <w:tc>
          <w:tcPr>
            <w:tcW w:w="60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0"/>
        </w:trPr>
        <w:tc>
          <w:tcPr>
            <w:tcW w:w="140" w:type="dxa"/>
            <w:vAlign w:val="bottom"/>
          </w:tcPr>
          <w:p>
            <w:pPr>
              <w:spacing w:after="0"/>
              <w:rPr>
                <w:sz w:val="12"/>
                <w:szCs w:val="12"/>
                <w:color w:val="auto"/>
              </w:rPr>
            </w:pPr>
          </w:p>
        </w:tc>
        <w:tc>
          <w:tcPr>
            <w:tcW w:w="516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11"/>
                <w:szCs w:val="11"/>
                <w:color w:val="auto"/>
              </w:rPr>
              <w:t>discussion among its independent directors.</w:t>
            </w:r>
          </w:p>
        </w:tc>
        <w:tc>
          <w:tcPr>
            <w:tcW w:w="60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85"/>
        </w:trPr>
        <w:tc>
          <w:tcPr>
            <w:tcW w:w="140" w:type="dxa"/>
            <w:vAlign w:val="bottom"/>
            <w:tcBorders>
              <w:bottom w:val="single" w:sz="8" w:color="auto"/>
            </w:tcBorders>
          </w:tcPr>
          <w:p>
            <w:pPr>
              <w:spacing w:after="0"/>
              <w:rPr>
                <w:sz w:val="7"/>
                <w:szCs w:val="7"/>
                <w:color w:val="auto"/>
              </w:rPr>
            </w:pPr>
          </w:p>
        </w:tc>
        <w:tc>
          <w:tcPr>
            <w:tcW w:w="5160" w:type="dxa"/>
            <w:vAlign w:val="bottom"/>
            <w:tcBorders>
              <w:bottom w:val="single" w:sz="8" w:color="auto"/>
              <w:right w:val="single" w:sz="8" w:color="auto"/>
            </w:tcBorders>
          </w:tcPr>
          <w:p>
            <w:pPr>
              <w:spacing w:after="0"/>
              <w:rPr>
                <w:sz w:val="7"/>
                <w:szCs w:val="7"/>
                <w:color w:val="auto"/>
              </w:rPr>
            </w:pPr>
          </w:p>
        </w:tc>
        <w:tc>
          <w:tcPr>
            <w:tcW w:w="6000" w:type="dxa"/>
            <w:vAlign w:val="bottom"/>
            <w:tcBorders>
              <w:bottom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124"/>
        </w:trPr>
        <w:tc>
          <w:tcPr>
            <w:tcW w:w="140" w:type="dxa"/>
            <w:vAlign w:val="bottom"/>
          </w:tcPr>
          <w:p>
            <w:pPr>
              <w:ind w:left="40"/>
              <w:spacing w:after="0" w:line="124" w:lineRule="exact"/>
              <w:rPr>
                <w:sz w:val="20"/>
                <w:szCs w:val="20"/>
                <w:color w:val="auto"/>
              </w:rPr>
            </w:pPr>
            <w:r>
              <w:rPr>
                <w:rFonts w:ascii="Times New Roman" w:cs="Times New Roman" w:eastAsia="Times New Roman" w:hAnsi="Times New Roman"/>
                <w:sz w:val="11"/>
                <w:szCs w:val="11"/>
                <w:color w:val="auto"/>
                <w:w w:val="96"/>
              </w:rPr>
              <w:t>4.</w:t>
            </w:r>
          </w:p>
        </w:tc>
        <w:tc>
          <w:tcPr>
            <w:tcW w:w="5160" w:type="dxa"/>
            <w:vAlign w:val="bottom"/>
            <w:tcBorders>
              <w:right w:val="single" w:sz="8" w:color="auto"/>
            </w:tcBorders>
          </w:tcPr>
          <w:p>
            <w:pPr>
              <w:jc w:val="right"/>
              <w:ind w:right="26"/>
              <w:spacing w:after="0" w:line="124" w:lineRule="exact"/>
              <w:rPr>
                <w:sz w:val="20"/>
                <w:szCs w:val="20"/>
                <w:color w:val="auto"/>
              </w:rPr>
            </w:pPr>
            <w:r>
              <w:rPr>
                <w:rFonts w:ascii="Times New Roman" w:cs="Times New Roman" w:eastAsia="Times New Roman" w:hAnsi="Times New Roman"/>
                <w:sz w:val="11"/>
                <w:szCs w:val="11"/>
                <w:color w:val="auto"/>
              </w:rPr>
              <w:t>Disclose whether or not the Chair of the Board is an independent director. If the Board has a Chair who is an</w:t>
            </w:r>
          </w:p>
        </w:tc>
        <w:tc>
          <w:tcPr>
            <w:tcW w:w="6000" w:type="dxa"/>
            <w:vAlign w:val="bottom"/>
          </w:tcPr>
          <w:p>
            <w:pPr>
              <w:ind w:left="20"/>
              <w:spacing w:after="0" w:line="124" w:lineRule="exact"/>
              <w:rPr>
                <w:sz w:val="20"/>
                <w:szCs w:val="20"/>
                <w:color w:val="auto"/>
              </w:rPr>
            </w:pPr>
            <w:r>
              <w:rPr>
                <w:rFonts w:ascii="Times New Roman" w:cs="Times New Roman" w:eastAsia="Times New Roman" w:hAnsi="Times New Roman"/>
                <w:sz w:val="11"/>
                <w:szCs w:val="11"/>
                <w:color w:val="auto"/>
                <w:w w:val="99"/>
              </w:rPr>
              <w:t>Eric So is the Chair of the Board and is not considered “independent”, as such term is defined in NI 58-101, as he is an executive officer</w:t>
            </w:r>
          </w:p>
        </w:tc>
        <w:tc>
          <w:tcPr>
            <w:tcW w:w="0" w:type="dxa"/>
            <w:vAlign w:val="bottom"/>
          </w:tcPr>
          <w:p>
            <w:pPr>
              <w:spacing w:after="0"/>
              <w:rPr>
                <w:sz w:val="1"/>
                <w:szCs w:val="1"/>
                <w:color w:val="auto"/>
              </w:rPr>
            </w:pPr>
          </w:p>
        </w:tc>
      </w:tr>
      <w:tr>
        <w:trPr>
          <w:trHeight w:val="140"/>
        </w:trPr>
        <w:tc>
          <w:tcPr>
            <w:tcW w:w="140" w:type="dxa"/>
            <w:vAlign w:val="bottom"/>
          </w:tcPr>
          <w:p>
            <w:pPr>
              <w:spacing w:after="0"/>
              <w:rPr>
                <w:sz w:val="12"/>
                <w:szCs w:val="12"/>
                <w:color w:val="auto"/>
              </w:rPr>
            </w:pPr>
          </w:p>
        </w:tc>
        <w:tc>
          <w:tcPr>
            <w:tcW w:w="516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11"/>
                <w:szCs w:val="11"/>
                <w:color w:val="auto"/>
                <w:w w:val="98"/>
              </w:rPr>
              <w:t>independent director, disclose the identity of the independent Chair, and describe his or her role and responsibilities.</w:t>
            </w:r>
          </w:p>
        </w:tc>
        <w:tc>
          <w:tcPr>
            <w:tcW w:w="600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of the Corporation.</w:t>
            </w:r>
          </w:p>
        </w:tc>
        <w:tc>
          <w:tcPr>
            <w:tcW w:w="0" w:type="dxa"/>
            <w:vAlign w:val="bottom"/>
          </w:tcPr>
          <w:p>
            <w:pPr>
              <w:spacing w:after="0"/>
              <w:rPr>
                <w:sz w:val="1"/>
                <w:szCs w:val="1"/>
                <w:color w:val="auto"/>
              </w:rPr>
            </w:pPr>
          </w:p>
        </w:tc>
      </w:tr>
      <w:tr>
        <w:trPr>
          <w:trHeight w:val="94"/>
        </w:trPr>
        <w:tc>
          <w:tcPr>
            <w:tcW w:w="5300" w:type="dxa"/>
            <w:vAlign w:val="bottom"/>
            <w:tcBorders>
              <w:bottom w:val="single" w:sz="8" w:color="auto"/>
              <w:right w:val="single" w:sz="8" w:color="auto"/>
            </w:tcBorders>
            <w:gridSpan w:val="2"/>
          </w:tcPr>
          <w:p>
            <w:pPr>
              <w:spacing w:after="0"/>
              <w:rPr>
                <w:sz w:val="8"/>
                <w:szCs w:val="8"/>
                <w:color w:val="auto"/>
              </w:rPr>
            </w:pPr>
          </w:p>
        </w:tc>
        <w:tc>
          <w:tcPr>
            <w:tcW w:w="600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124"/>
        </w:trPr>
        <w:tc>
          <w:tcPr>
            <w:tcW w:w="5300" w:type="dxa"/>
            <w:vAlign w:val="bottom"/>
            <w:tcBorders>
              <w:right w:val="single" w:sz="8" w:color="auto"/>
            </w:tcBorders>
            <w:gridSpan w:val="2"/>
          </w:tcPr>
          <w:p>
            <w:pPr>
              <w:ind w:left="40"/>
              <w:spacing w:after="0" w:line="124" w:lineRule="exact"/>
              <w:rPr>
                <w:sz w:val="20"/>
                <w:szCs w:val="20"/>
                <w:color w:val="auto"/>
              </w:rPr>
            </w:pPr>
            <w:r>
              <w:rPr>
                <w:rFonts w:ascii="Times New Roman" w:cs="Times New Roman" w:eastAsia="Times New Roman" w:hAnsi="Times New Roman"/>
                <w:sz w:val="11"/>
                <w:szCs w:val="11"/>
                <w:color w:val="auto"/>
              </w:rPr>
              <w:t>5. Disclose the attendance record of each director for all Board meetings held since the beginning of the Corporation’s</w:t>
            </w:r>
          </w:p>
        </w:tc>
        <w:tc>
          <w:tcPr>
            <w:tcW w:w="6000" w:type="dxa"/>
            <w:vAlign w:val="bottom"/>
          </w:tcPr>
          <w:p>
            <w:pPr>
              <w:ind w:left="20"/>
              <w:spacing w:after="0" w:line="124" w:lineRule="exact"/>
              <w:rPr>
                <w:sz w:val="20"/>
                <w:szCs w:val="20"/>
                <w:color w:val="auto"/>
              </w:rPr>
            </w:pPr>
            <w:r>
              <w:rPr>
                <w:rFonts w:ascii="Times New Roman" w:cs="Times New Roman" w:eastAsia="Times New Roman" w:hAnsi="Times New Roman"/>
                <w:sz w:val="11"/>
                <w:szCs w:val="11"/>
                <w:color w:val="auto"/>
              </w:rPr>
              <w:t>Please refer to the Circular under the heading “Particulars of Matters to be Acted Upon - Election of Directors”.</w:t>
            </w:r>
          </w:p>
        </w:tc>
        <w:tc>
          <w:tcPr>
            <w:tcW w:w="0" w:type="dxa"/>
            <w:vAlign w:val="bottom"/>
          </w:tcPr>
          <w:p>
            <w:pPr>
              <w:spacing w:after="0"/>
              <w:rPr>
                <w:sz w:val="1"/>
                <w:szCs w:val="1"/>
                <w:color w:val="auto"/>
              </w:rPr>
            </w:pPr>
          </w:p>
        </w:tc>
      </w:tr>
      <w:tr>
        <w:trPr>
          <w:trHeight w:val="140"/>
        </w:trPr>
        <w:tc>
          <w:tcPr>
            <w:tcW w:w="140" w:type="dxa"/>
            <w:vAlign w:val="bottom"/>
          </w:tcPr>
          <w:p>
            <w:pPr>
              <w:spacing w:after="0"/>
              <w:rPr>
                <w:sz w:val="12"/>
                <w:szCs w:val="12"/>
                <w:color w:val="auto"/>
              </w:rPr>
            </w:pPr>
          </w:p>
        </w:tc>
        <w:tc>
          <w:tcPr>
            <w:tcW w:w="516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11"/>
                <w:szCs w:val="11"/>
                <w:color w:val="auto"/>
              </w:rPr>
              <w:t>most recently completed financial year.</w:t>
            </w:r>
          </w:p>
        </w:tc>
        <w:tc>
          <w:tcPr>
            <w:tcW w:w="60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94"/>
        </w:trPr>
        <w:tc>
          <w:tcPr>
            <w:tcW w:w="140" w:type="dxa"/>
            <w:vAlign w:val="bottom"/>
            <w:tcBorders>
              <w:bottom w:val="single" w:sz="8" w:color="auto"/>
            </w:tcBorders>
          </w:tcPr>
          <w:p>
            <w:pPr>
              <w:spacing w:after="0"/>
              <w:rPr>
                <w:sz w:val="8"/>
                <w:szCs w:val="8"/>
                <w:color w:val="auto"/>
              </w:rPr>
            </w:pPr>
          </w:p>
        </w:tc>
        <w:tc>
          <w:tcPr>
            <w:tcW w:w="5160" w:type="dxa"/>
            <w:vAlign w:val="bottom"/>
            <w:tcBorders>
              <w:bottom w:val="single" w:sz="8" w:color="auto"/>
              <w:right w:val="single" w:sz="8" w:color="auto"/>
            </w:tcBorders>
          </w:tcPr>
          <w:p>
            <w:pPr>
              <w:spacing w:after="0"/>
              <w:rPr>
                <w:sz w:val="8"/>
                <w:szCs w:val="8"/>
                <w:color w:val="auto"/>
              </w:rPr>
            </w:pPr>
          </w:p>
        </w:tc>
        <w:tc>
          <w:tcPr>
            <w:tcW w:w="600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124"/>
        </w:trPr>
        <w:tc>
          <w:tcPr>
            <w:tcW w:w="140" w:type="dxa"/>
            <w:vAlign w:val="bottom"/>
          </w:tcPr>
          <w:p>
            <w:pPr>
              <w:ind w:left="40"/>
              <w:spacing w:after="0" w:line="124" w:lineRule="exact"/>
              <w:rPr>
                <w:sz w:val="20"/>
                <w:szCs w:val="20"/>
                <w:color w:val="auto"/>
              </w:rPr>
            </w:pPr>
            <w:r>
              <w:rPr>
                <w:rFonts w:ascii="Times New Roman" w:cs="Times New Roman" w:eastAsia="Times New Roman" w:hAnsi="Times New Roman"/>
                <w:sz w:val="11"/>
                <w:szCs w:val="11"/>
                <w:color w:val="auto"/>
                <w:w w:val="96"/>
              </w:rPr>
              <w:t>6.</w:t>
            </w:r>
          </w:p>
        </w:tc>
        <w:tc>
          <w:tcPr>
            <w:tcW w:w="5160" w:type="dxa"/>
            <w:vAlign w:val="bottom"/>
            <w:tcBorders>
              <w:right w:val="single" w:sz="8" w:color="auto"/>
            </w:tcBorders>
          </w:tcPr>
          <w:p>
            <w:pPr>
              <w:jc w:val="right"/>
              <w:ind w:right="26"/>
              <w:spacing w:after="0" w:line="124" w:lineRule="exact"/>
              <w:rPr>
                <w:sz w:val="20"/>
                <w:szCs w:val="20"/>
                <w:color w:val="auto"/>
              </w:rPr>
            </w:pPr>
            <w:r>
              <w:rPr>
                <w:rFonts w:ascii="Times New Roman" w:cs="Times New Roman" w:eastAsia="Times New Roman" w:hAnsi="Times New Roman"/>
                <w:sz w:val="11"/>
                <w:szCs w:val="11"/>
                <w:color w:val="auto"/>
              </w:rPr>
              <w:t>Disclose the text of the Board’s written mandate. If the Board does not have a written mandate, describe how the</w:t>
            </w:r>
          </w:p>
        </w:tc>
        <w:tc>
          <w:tcPr>
            <w:tcW w:w="6000" w:type="dxa"/>
            <w:vAlign w:val="bottom"/>
          </w:tcPr>
          <w:p>
            <w:pPr>
              <w:ind w:left="20"/>
              <w:spacing w:after="0" w:line="124" w:lineRule="exact"/>
              <w:rPr>
                <w:sz w:val="20"/>
                <w:szCs w:val="20"/>
                <w:color w:val="auto"/>
              </w:rPr>
            </w:pPr>
            <w:r>
              <w:rPr>
                <w:rFonts w:ascii="Times New Roman" w:cs="Times New Roman" w:eastAsia="Times New Roman" w:hAnsi="Times New Roman"/>
                <w:sz w:val="11"/>
                <w:szCs w:val="11"/>
                <w:color w:val="auto"/>
                <w:w w:val="99"/>
              </w:rPr>
              <w:t>The directors of the Board have adopted a formal written mandate which provides that the directors of the Board are responsible for the</w:t>
            </w:r>
          </w:p>
        </w:tc>
        <w:tc>
          <w:tcPr>
            <w:tcW w:w="0" w:type="dxa"/>
            <w:vAlign w:val="bottom"/>
          </w:tcPr>
          <w:p>
            <w:pPr>
              <w:spacing w:after="0"/>
              <w:rPr>
                <w:sz w:val="1"/>
                <w:szCs w:val="1"/>
                <w:color w:val="auto"/>
              </w:rPr>
            </w:pPr>
          </w:p>
        </w:tc>
      </w:tr>
      <w:tr>
        <w:trPr>
          <w:trHeight w:val="135"/>
        </w:trPr>
        <w:tc>
          <w:tcPr>
            <w:tcW w:w="140" w:type="dxa"/>
            <w:vAlign w:val="bottom"/>
          </w:tcPr>
          <w:p>
            <w:pPr>
              <w:spacing w:after="0"/>
              <w:rPr>
                <w:sz w:val="11"/>
                <w:szCs w:val="11"/>
                <w:color w:val="auto"/>
              </w:rPr>
            </w:pPr>
          </w:p>
        </w:tc>
        <w:tc>
          <w:tcPr>
            <w:tcW w:w="516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11"/>
                <w:szCs w:val="11"/>
                <w:color w:val="auto"/>
              </w:rPr>
              <w:t>Board delineates its role and responsibilities.</w:t>
            </w:r>
          </w:p>
        </w:tc>
        <w:tc>
          <w:tcPr>
            <w:tcW w:w="600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overall stewardship of the Corporation, establishing the overall policies and standards of the Corporation and approving its strategic</w:t>
            </w:r>
          </w:p>
        </w:tc>
        <w:tc>
          <w:tcPr>
            <w:tcW w:w="0" w:type="dxa"/>
            <w:vAlign w:val="bottom"/>
          </w:tcPr>
          <w:p>
            <w:pPr>
              <w:spacing w:after="0"/>
              <w:rPr>
                <w:sz w:val="1"/>
                <w:szCs w:val="1"/>
                <w:color w:val="auto"/>
              </w:rPr>
            </w:pPr>
          </w:p>
        </w:tc>
      </w:tr>
      <w:tr>
        <w:trPr>
          <w:trHeight w:val="140"/>
        </w:trPr>
        <w:tc>
          <w:tcPr>
            <w:tcW w:w="140" w:type="dxa"/>
            <w:vAlign w:val="bottom"/>
          </w:tcPr>
          <w:p>
            <w:pPr>
              <w:spacing w:after="0"/>
              <w:rPr>
                <w:sz w:val="12"/>
                <w:szCs w:val="12"/>
                <w:color w:val="auto"/>
              </w:rPr>
            </w:pPr>
          </w:p>
        </w:tc>
        <w:tc>
          <w:tcPr>
            <w:tcW w:w="5160" w:type="dxa"/>
            <w:vAlign w:val="bottom"/>
            <w:tcBorders>
              <w:right w:val="single" w:sz="8" w:color="auto"/>
            </w:tcBorders>
          </w:tcPr>
          <w:p>
            <w:pPr>
              <w:spacing w:after="0"/>
              <w:rPr>
                <w:sz w:val="12"/>
                <w:szCs w:val="12"/>
                <w:color w:val="auto"/>
              </w:rPr>
            </w:pPr>
          </w:p>
        </w:tc>
        <w:tc>
          <w:tcPr>
            <w:tcW w:w="600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plans. A copy of the Directors’ Mandate can be found as Schedule “C” to the Circular.</w:t>
            </w:r>
          </w:p>
        </w:tc>
        <w:tc>
          <w:tcPr>
            <w:tcW w:w="0" w:type="dxa"/>
            <w:vAlign w:val="bottom"/>
          </w:tcPr>
          <w:p>
            <w:pPr>
              <w:spacing w:after="0"/>
              <w:rPr>
                <w:sz w:val="1"/>
                <w:szCs w:val="1"/>
                <w:color w:val="auto"/>
              </w:rPr>
            </w:pPr>
          </w:p>
        </w:tc>
      </w:tr>
      <w:tr>
        <w:trPr>
          <w:trHeight w:val="85"/>
        </w:trPr>
        <w:tc>
          <w:tcPr>
            <w:tcW w:w="140" w:type="dxa"/>
            <w:vAlign w:val="bottom"/>
            <w:tcBorders>
              <w:bottom w:val="single" w:sz="8" w:color="auto"/>
            </w:tcBorders>
          </w:tcPr>
          <w:p>
            <w:pPr>
              <w:spacing w:after="0"/>
              <w:rPr>
                <w:sz w:val="7"/>
                <w:szCs w:val="7"/>
                <w:color w:val="auto"/>
              </w:rPr>
            </w:pPr>
          </w:p>
        </w:tc>
        <w:tc>
          <w:tcPr>
            <w:tcW w:w="5160" w:type="dxa"/>
            <w:vAlign w:val="bottom"/>
            <w:tcBorders>
              <w:bottom w:val="single" w:sz="8" w:color="auto"/>
              <w:right w:val="single" w:sz="8" w:color="auto"/>
            </w:tcBorders>
          </w:tcPr>
          <w:p>
            <w:pPr>
              <w:spacing w:after="0"/>
              <w:rPr>
                <w:sz w:val="7"/>
                <w:szCs w:val="7"/>
                <w:color w:val="auto"/>
              </w:rPr>
            </w:pPr>
          </w:p>
        </w:tc>
        <w:tc>
          <w:tcPr>
            <w:tcW w:w="6000" w:type="dxa"/>
            <w:vAlign w:val="bottom"/>
            <w:tcBorders>
              <w:bottom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132"/>
        </w:trPr>
        <w:tc>
          <w:tcPr>
            <w:tcW w:w="140" w:type="dxa"/>
            <w:vAlign w:val="bottom"/>
            <w:tcBorders>
              <w:bottom w:val="single" w:sz="8" w:color="auto"/>
            </w:tcBorders>
          </w:tcPr>
          <w:p>
            <w:pPr>
              <w:spacing w:after="0"/>
              <w:rPr>
                <w:sz w:val="11"/>
                <w:szCs w:val="11"/>
                <w:color w:val="auto"/>
              </w:rPr>
            </w:pPr>
          </w:p>
        </w:tc>
        <w:tc>
          <w:tcPr>
            <w:tcW w:w="11160" w:type="dxa"/>
            <w:vAlign w:val="bottom"/>
            <w:tcBorders>
              <w:bottom w:val="single" w:sz="8" w:color="auto"/>
            </w:tcBorders>
            <w:gridSpan w:val="2"/>
          </w:tcPr>
          <w:p>
            <w:pPr>
              <w:ind w:left="5020"/>
              <w:spacing w:after="0"/>
              <w:rPr>
                <w:sz w:val="20"/>
                <w:szCs w:val="20"/>
                <w:color w:val="auto"/>
              </w:rPr>
            </w:pPr>
            <w:r>
              <w:rPr>
                <w:rFonts w:ascii="Times New Roman" w:cs="Times New Roman" w:eastAsia="Times New Roman" w:hAnsi="Times New Roman"/>
                <w:sz w:val="11"/>
                <w:szCs w:val="11"/>
                <w:b w:val="1"/>
                <w:bCs w:val="1"/>
                <w:color w:val="auto"/>
              </w:rPr>
              <w:t>Position Descriptions</w:t>
            </w:r>
          </w:p>
        </w:tc>
        <w:tc>
          <w:tcPr>
            <w:tcW w:w="0" w:type="dxa"/>
            <w:vAlign w:val="bottom"/>
          </w:tcPr>
          <w:p>
            <w:pPr>
              <w:spacing w:after="0"/>
              <w:rPr>
                <w:sz w:val="1"/>
                <w:szCs w:val="1"/>
                <w:color w:val="auto"/>
              </w:rPr>
            </w:pPr>
          </w:p>
        </w:tc>
      </w:tr>
      <w:tr>
        <w:trPr>
          <w:trHeight w:val="125"/>
        </w:trPr>
        <w:tc>
          <w:tcPr>
            <w:tcW w:w="140" w:type="dxa"/>
            <w:vAlign w:val="bottom"/>
          </w:tcPr>
          <w:p>
            <w:pPr>
              <w:ind w:left="40"/>
              <w:spacing w:after="0" w:line="125" w:lineRule="exact"/>
              <w:rPr>
                <w:sz w:val="20"/>
                <w:szCs w:val="20"/>
                <w:color w:val="auto"/>
              </w:rPr>
            </w:pPr>
            <w:r>
              <w:rPr>
                <w:rFonts w:ascii="Times New Roman" w:cs="Times New Roman" w:eastAsia="Times New Roman" w:hAnsi="Times New Roman"/>
                <w:sz w:val="11"/>
                <w:szCs w:val="11"/>
                <w:color w:val="auto"/>
                <w:w w:val="96"/>
              </w:rPr>
              <w:t>7.</w:t>
            </w:r>
          </w:p>
        </w:tc>
        <w:tc>
          <w:tcPr>
            <w:tcW w:w="5160" w:type="dxa"/>
            <w:vAlign w:val="bottom"/>
            <w:tcBorders>
              <w:right w:val="single" w:sz="8" w:color="auto"/>
            </w:tcBorders>
          </w:tcPr>
          <w:p>
            <w:pPr>
              <w:jc w:val="right"/>
              <w:ind w:right="26"/>
              <w:spacing w:after="0" w:line="125" w:lineRule="exact"/>
              <w:rPr>
                <w:sz w:val="20"/>
                <w:szCs w:val="20"/>
                <w:color w:val="auto"/>
              </w:rPr>
            </w:pPr>
            <w:r>
              <w:rPr>
                <w:rFonts w:ascii="Times New Roman" w:cs="Times New Roman" w:eastAsia="Times New Roman" w:hAnsi="Times New Roman"/>
                <w:sz w:val="11"/>
                <w:szCs w:val="11"/>
                <w:color w:val="auto"/>
              </w:rPr>
              <w:t>Disclose whether or not the Board has developed written position descriptions for the Chair and the Chair of each</w:t>
            </w:r>
          </w:p>
        </w:tc>
        <w:tc>
          <w:tcPr>
            <w:tcW w:w="6000" w:type="dxa"/>
            <w:vAlign w:val="bottom"/>
          </w:tcPr>
          <w:p>
            <w:pPr>
              <w:ind w:left="20"/>
              <w:spacing w:after="0" w:line="125" w:lineRule="exact"/>
              <w:rPr>
                <w:sz w:val="20"/>
                <w:szCs w:val="20"/>
                <w:color w:val="auto"/>
              </w:rPr>
            </w:pPr>
            <w:r>
              <w:rPr>
                <w:rFonts w:ascii="Times New Roman" w:cs="Times New Roman" w:eastAsia="Times New Roman" w:hAnsi="Times New Roman"/>
                <w:sz w:val="11"/>
                <w:szCs w:val="11"/>
                <w:color w:val="auto"/>
              </w:rPr>
              <w:t>The directors of the Board have adopted a formal written mandate for the Chair of the Board.</w:t>
            </w:r>
          </w:p>
        </w:tc>
        <w:tc>
          <w:tcPr>
            <w:tcW w:w="0" w:type="dxa"/>
            <w:vAlign w:val="bottom"/>
          </w:tcPr>
          <w:p>
            <w:pPr>
              <w:spacing w:after="0"/>
              <w:rPr>
                <w:sz w:val="1"/>
                <w:szCs w:val="1"/>
                <w:color w:val="auto"/>
              </w:rPr>
            </w:pPr>
          </w:p>
        </w:tc>
      </w:tr>
      <w:tr>
        <w:trPr>
          <w:trHeight w:val="135"/>
        </w:trPr>
        <w:tc>
          <w:tcPr>
            <w:tcW w:w="140" w:type="dxa"/>
            <w:vAlign w:val="bottom"/>
          </w:tcPr>
          <w:p>
            <w:pPr>
              <w:spacing w:after="0"/>
              <w:rPr>
                <w:sz w:val="11"/>
                <w:szCs w:val="11"/>
                <w:color w:val="auto"/>
              </w:rPr>
            </w:pPr>
          </w:p>
        </w:tc>
        <w:tc>
          <w:tcPr>
            <w:tcW w:w="516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11"/>
                <w:szCs w:val="11"/>
                <w:color w:val="auto"/>
              </w:rPr>
              <w:t>Board committee. If the Board has not developed written position descriptions for the Chair of each Board</w:t>
            </w:r>
          </w:p>
        </w:tc>
        <w:tc>
          <w:tcPr>
            <w:tcW w:w="60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0"/>
        </w:trPr>
        <w:tc>
          <w:tcPr>
            <w:tcW w:w="140" w:type="dxa"/>
            <w:vAlign w:val="bottom"/>
          </w:tcPr>
          <w:p>
            <w:pPr>
              <w:spacing w:after="0"/>
              <w:rPr>
                <w:sz w:val="12"/>
                <w:szCs w:val="12"/>
                <w:color w:val="auto"/>
              </w:rPr>
            </w:pPr>
          </w:p>
        </w:tc>
        <w:tc>
          <w:tcPr>
            <w:tcW w:w="516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11"/>
                <w:szCs w:val="11"/>
                <w:color w:val="auto"/>
              </w:rPr>
              <w:t>committee, briefly describe how the Board delineates the role and responsibilities of each such position.</w:t>
            </w:r>
          </w:p>
        </w:tc>
        <w:tc>
          <w:tcPr>
            <w:tcW w:w="60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85"/>
        </w:trPr>
        <w:tc>
          <w:tcPr>
            <w:tcW w:w="140" w:type="dxa"/>
            <w:vAlign w:val="bottom"/>
            <w:tcBorders>
              <w:bottom w:val="single" w:sz="8" w:color="auto"/>
            </w:tcBorders>
          </w:tcPr>
          <w:p>
            <w:pPr>
              <w:spacing w:after="0"/>
              <w:rPr>
                <w:sz w:val="7"/>
                <w:szCs w:val="7"/>
                <w:color w:val="auto"/>
              </w:rPr>
            </w:pPr>
          </w:p>
        </w:tc>
        <w:tc>
          <w:tcPr>
            <w:tcW w:w="5160" w:type="dxa"/>
            <w:vAlign w:val="bottom"/>
            <w:tcBorders>
              <w:bottom w:val="single" w:sz="8" w:color="auto"/>
              <w:right w:val="single" w:sz="8" w:color="auto"/>
            </w:tcBorders>
          </w:tcPr>
          <w:p>
            <w:pPr>
              <w:spacing w:after="0"/>
              <w:rPr>
                <w:sz w:val="7"/>
                <w:szCs w:val="7"/>
                <w:color w:val="auto"/>
              </w:rPr>
            </w:pPr>
          </w:p>
        </w:tc>
        <w:tc>
          <w:tcPr>
            <w:tcW w:w="6000" w:type="dxa"/>
            <w:vAlign w:val="bottom"/>
            <w:tcBorders>
              <w:bottom w:val="single" w:sz="8" w:color="auto"/>
            </w:tcBorders>
          </w:tcPr>
          <w:p>
            <w:pPr>
              <w:spacing w:after="0"/>
              <w:rPr>
                <w:sz w:val="7"/>
                <w:szCs w:val="7"/>
                <w:color w:val="auto"/>
              </w:rPr>
            </w:pPr>
          </w:p>
        </w:tc>
        <w:tc>
          <w:tcPr>
            <w:tcW w:w="0" w:type="dxa"/>
            <w:vAlign w:val="bottom"/>
          </w:tcPr>
          <w:p>
            <w:pPr>
              <w:spacing w:after="0"/>
              <w:rPr>
                <w:sz w:val="1"/>
                <w:szCs w:val="1"/>
                <w:color w:val="auto"/>
              </w:rPr>
            </w:pPr>
          </w:p>
        </w:tc>
      </w:tr>
    </w:tbl>
    <w:p>
      <w:pPr>
        <w:sectPr>
          <w:pgSz w:w="11900" w:h="16838" w:orient="portrait"/>
          <w:cols w:equalWidth="0" w:num="1">
            <w:col w:w="11300"/>
          </w:cols>
          <w:pgMar w:left="300" w:top="125" w:right="299" w:bottom="1440" w:gutter="0" w:footer="0" w:header="0"/>
        </w:sectPr>
      </w:pPr>
    </w:p>
    <w:bookmarkStart w:id="36" w:name="page37"/>
    <w:bookmarkEnd w:id="36"/>
    <w:p>
      <w:pPr>
        <w:jc w:val="center"/>
        <w:ind w:right="20"/>
        <w:spacing w:after="0"/>
        <w:rPr>
          <w:sz w:val="20"/>
          <w:szCs w:val="20"/>
          <w:color w:val="auto"/>
        </w:rPr>
      </w:pPr>
      <w:r>
        <w:rPr>
          <w:rFonts w:ascii="Times New Roman" w:cs="Times New Roman" w:eastAsia="Times New Roman" w:hAnsi="Times New Roman"/>
          <w:sz w:val="13"/>
          <w:szCs w:val="13"/>
          <w:color w:val="auto"/>
        </w:rPr>
        <w:t>A - 2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474345</wp:posOffset>
            </wp:positionV>
            <wp:extent cx="7183755" cy="239458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9">
                      <a:extLst>
                        <a:ext uri="{28A0092B-C50C-407E-A947-70E740481C1C}"/>
                      </a:extLst>
                    </a:blip>
                    <a:srcRect/>
                    <a:stretch>
                      <a:fillRect/>
                    </a:stretch>
                  </pic:blipFill>
                  <pic:spPr bwMode="auto">
                    <a:xfrm>
                      <a:off x="0" y="0"/>
                      <a:ext cx="7183755" cy="23945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tbl>
      <w:tblPr>
        <w:tblLayout w:type="fixed"/>
        <w:tblInd w:w="0" w:type="dxa"/>
        <w:tblCellMar>
          <w:top w:w="0" w:type="dxa"/>
          <w:left w:w="0" w:type="dxa"/>
          <w:bottom w:w="0" w:type="dxa"/>
          <w:right w:w="0" w:type="dxa"/>
        </w:tblCellMar>
      </w:tblPr>
      <w:tr>
        <w:trPr>
          <w:trHeight w:val="169"/>
        </w:trPr>
        <w:tc>
          <w:tcPr>
            <w:tcW w:w="6580" w:type="dxa"/>
            <w:vAlign w:val="bottom"/>
            <w:shd w:val="clear" w:color="auto" w:fill="BFBFBF"/>
          </w:tcPr>
          <w:p>
            <w:pPr>
              <w:jc w:val="center"/>
              <w:ind w:right="1246"/>
              <w:spacing w:after="0"/>
              <w:rPr>
                <w:sz w:val="20"/>
                <w:szCs w:val="20"/>
                <w:color w:val="auto"/>
              </w:rPr>
            </w:pPr>
            <w:r>
              <w:rPr>
                <w:rFonts w:ascii="Times New Roman" w:cs="Times New Roman" w:eastAsia="Times New Roman" w:hAnsi="Times New Roman"/>
                <w:sz w:val="11"/>
                <w:szCs w:val="11"/>
                <w:b w:val="1"/>
                <w:bCs w:val="1"/>
                <w:color w:val="auto"/>
                <w:w w:val="98"/>
              </w:rPr>
              <w:t>Governance Disclosure Requirement Under the Corporate Governance National Instrument 58-101 (</w:t>
            </w:r>
            <w:r>
              <w:rPr>
                <w:rFonts w:ascii="Times New Roman" w:cs="Times New Roman" w:eastAsia="Times New Roman" w:hAnsi="Times New Roman"/>
                <w:sz w:val="11"/>
                <w:szCs w:val="11"/>
                <w:color w:val="auto"/>
                <w:w w:val="98"/>
              </w:rPr>
              <w:t>“</w:t>
            </w:r>
            <w:r>
              <w:rPr>
                <w:rFonts w:ascii="Times New Roman" w:cs="Times New Roman" w:eastAsia="Times New Roman" w:hAnsi="Times New Roman"/>
                <w:sz w:val="11"/>
                <w:szCs w:val="11"/>
                <w:b w:val="1"/>
                <w:bCs w:val="1"/>
                <w:color w:val="auto"/>
                <w:w w:val="98"/>
              </w:rPr>
              <w:t>NI 58-</w:t>
            </w:r>
          </w:p>
        </w:tc>
        <w:tc>
          <w:tcPr>
            <w:tcW w:w="4720" w:type="dxa"/>
            <w:vAlign w:val="bottom"/>
            <w:vMerge w:val="restart"/>
            <w:shd w:val="clear" w:color="auto" w:fill="BFBFBF"/>
          </w:tcPr>
          <w:p>
            <w:pPr>
              <w:ind w:left="1460"/>
              <w:spacing w:after="0"/>
              <w:rPr>
                <w:sz w:val="20"/>
                <w:szCs w:val="20"/>
                <w:color w:val="auto"/>
              </w:rPr>
            </w:pPr>
            <w:r>
              <w:rPr>
                <w:rFonts w:ascii="Times New Roman" w:cs="Times New Roman" w:eastAsia="Times New Roman" w:hAnsi="Times New Roman"/>
                <w:sz w:val="11"/>
                <w:szCs w:val="11"/>
                <w:b w:val="1"/>
                <w:bCs w:val="1"/>
                <w:color w:val="auto"/>
              </w:rPr>
              <w:t>Comments</w:t>
            </w:r>
          </w:p>
        </w:tc>
        <w:tc>
          <w:tcPr>
            <w:tcW w:w="0" w:type="dxa"/>
            <w:vAlign w:val="bottom"/>
          </w:tcPr>
          <w:p>
            <w:pPr>
              <w:spacing w:after="0"/>
              <w:rPr>
                <w:sz w:val="1"/>
                <w:szCs w:val="1"/>
                <w:color w:val="auto"/>
              </w:rPr>
            </w:pPr>
          </w:p>
        </w:tc>
      </w:tr>
      <w:tr>
        <w:trPr>
          <w:trHeight w:val="97"/>
        </w:trPr>
        <w:tc>
          <w:tcPr>
            <w:tcW w:w="6580" w:type="dxa"/>
            <w:vAlign w:val="bottom"/>
            <w:vMerge w:val="restart"/>
            <w:shd w:val="clear" w:color="auto" w:fill="BFBFBF"/>
          </w:tcPr>
          <w:p>
            <w:pPr>
              <w:jc w:val="center"/>
              <w:ind w:right="1246"/>
              <w:spacing w:after="0"/>
              <w:rPr>
                <w:sz w:val="20"/>
                <w:szCs w:val="20"/>
                <w:color w:val="auto"/>
              </w:rPr>
            </w:pPr>
            <w:r>
              <w:rPr>
                <w:rFonts w:ascii="Times New Roman" w:cs="Times New Roman" w:eastAsia="Times New Roman" w:hAnsi="Times New Roman"/>
                <w:sz w:val="11"/>
                <w:szCs w:val="11"/>
                <w:b w:val="1"/>
                <w:bCs w:val="1"/>
                <w:color w:val="auto"/>
                <w:w w:val="95"/>
              </w:rPr>
              <w:t>101</w:t>
            </w:r>
            <w:r>
              <w:rPr>
                <w:rFonts w:ascii="Times New Roman" w:cs="Times New Roman" w:eastAsia="Times New Roman" w:hAnsi="Times New Roman"/>
                <w:sz w:val="11"/>
                <w:szCs w:val="11"/>
                <w:color w:val="auto"/>
                <w:w w:val="95"/>
              </w:rPr>
              <w:t>”</w:t>
            </w:r>
            <w:r>
              <w:rPr>
                <w:rFonts w:ascii="Times New Roman" w:cs="Times New Roman" w:eastAsia="Times New Roman" w:hAnsi="Times New Roman"/>
                <w:sz w:val="11"/>
                <w:szCs w:val="11"/>
                <w:b w:val="1"/>
                <w:bCs w:val="1"/>
                <w:color w:val="auto"/>
                <w:w w:val="95"/>
              </w:rPr>
              <w:t>)</w:t>
            </w:r>
          </w:p>
        </w:tc>
        <w:tc>
          <w:tcPr>
            <w:tcW w:w="4720" w:type="dxa"/>
            <w:vAlign w:val="bottom"/>
            <w:vMerge w:val="continue"/>
            <w:shd w:val="clear" w:color="auto" w:fill="BFBFBF"/>
          </w:tcPr>
          <w:p>
            <w:pPr>
              <w:spacing w:after="0"/>
              <w:rPr>
                <w:sz w:val="8"/>
                <w:szCs w:val="8"/>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shd w:val="clear" w:color="auto" w:fill="BFBFBF"/>
          </w:tcPr>
          <w:p>
            <w:pPr>
              <w:spacing w:after="0"/>
              <w:rPr>
                <w:sz w:val="3"/>
                <w:szCs w:val="3"/>
                <w:color w:val="auto"/>
              </w:rPr>
            </w:pPr>
          </w:p>
        </w:tc>
        <w:tc>
          <w:tcPr>
            <w:tcW w:w="4720" w:type="dxa"/>
            <w:vAlign w:val="bottom"/>
            <w:shd w:val="clear" w:color="auto" w:fill="BFBFBF"/>
          </w:tcPr>
          <w:p>
            <w:pPr>
              <w:spacing w:after="0"/>
              <w:rPr>
                <w:sz w:val="3"/>
                <w:szCs w:val="3"/>
                <w:color w:val="auto"/>
              </w:rPr>
            </w:pPr>
          </w:p>
        </w:tc>
        <w:tc>
          <w:tcPr>
            <w:tcW w:w="0" w:type="dxa"/>
            <w:vAlign w:val="bottom"/>
          </w:tcPr>
          <w:p>
            <w:pPr>
              <w:spacing w:after="0"/>
              <w:rPr>
                <w:sz w:val="1"/>
                <w:szCs w:val="1"/>
                <w:color w:val="auto"/>
              </w:rPr>
            </w:pPr>
          </w:p>
        </w:tc>
      </w:tr>
      <w:tr>
        <w:trPr>
          <w:trHeight w:val="85"/>
        </w:trPr>
        <w:tc>
          <w:tcPr>
            <w:tcW w:w="6580" w:type="dxa"/>
            <w:vAlign w:val="bottom"/>
            <w:shd w:val="clear" w:color="auto" w:fill="BFBFBF"/>
          </w:tcPr>
          <w:p>
            <w:pPr>
              <w:spacing w:after="0"/>
              <w:rPr>
                <w:sz w:val="7"/>
                <w:szCs w:val="7"/>
                <w:color w:val="auto"/>
              </w:rPr>
            </w:pPr>
          </w:p>
        </w:tc>
        <w:tc>
          <w:tcPr>
            <w:tcW w:w="4720" w:type="dxa"/>
            <w:vAlign w:val="bottom"/>
            <w:shd w:val="clear" w:color="auto" w:fill="BFBFBF"/>
          </w:tcPr>
          <w:p>
            <w:pPr>
              <w:spacing w:after="0"/>
              <w:rPr>
                <w:sz w:val="7"/>
                <w:szCs w:val="7"/>
                <w:color w:val="auto"/>
              </w:rPr>
            </w:pPr>
          </w:p>
        </w:tc>
        <w:tc>
          <w:tcPr>
            <w:tcW w:w="0" w:type="dxa"/>
            <w:vAlign w:val="bottom"/>
          </w:tcPr>
          <w:p>
            <w:pPr>
              <w:spacing w:after="0"/>
              <w:rPr>
                <w:sz w:val="1"/>
                <w:szCs w:val="1"/>
                <w:color w:val="auto"/>
              </w:rPr>
            </w:pPr>
          </w:p>
        </w:tc>
      </w:tr>
    </w:tbl>
    <w:p>
      <w:pPr>
        <w:spacing w:after="0" w:line="9" w:lineRule="exact"/>
        <w:rPr>
          <w:sz w:val="20"/>
          <w:szCs w:val="20"/>
          <w:color w:val="auto"/>
        </w:rPr>
      </w:pPr>
    </w:p>
    <w:p>
      <w:pPr>
        <w:ind w:left="200" w:right="60" w:hanging="154"/>
        <w:spacing w:after="0" w:line="191" w:lineRule="auto"/>
        <w:tabs>
          <w:tab w:leader="none" w:pos="148" w:val="left"/>
        </w:tabs>
        <w:numPr>
          <w:ilvl w:val="0"/>
          <w:numId w:val="20"/>
        </w:numPr>
        <w:rPr>
          <w:rFonts w:ascii="Times New Roman" w:cs="Times New Roman" w:eastAsia="Times New Roman" w:hAnsi="Times New Roman"/>
          <w:sz w:val="9"/>
          <w:szCs w:val="9"/>
          <w:color w:val="auto"/>
        </w:rPr>
      </w:pPr>
      <w:r>
        <w:rPr>
          <w:rFonts w:ascii="Times New Roman" w:cs="Times New Roman" w:eastAsia="Times New Roman" w:hAnsi="Times New Roman"/>
          <w:sz w:val="9"/>
          <w:szCs w:val="9"/>
          <w:color w:val="auto"/>
        </w:rPr>
        <w:t xml:space="preserve">Describe whether or not the Board and CEO have developed a written position description for the CEO. If the Board The Board has adopted a formal mandate for the CEO which outlines the roles and responsibilities of the CEO, including management of </w:t>
      </w:r>
      <w:r>
        <w:rPr>
          <w:rFonts w:ascii="Times New Roman" w:cs="Times New Roman" w:eastAsia="Times New Roman" w:hAnsi="Times New Roman"/>
          <w:sz w:val="15"/>
          <w:szCs w:val="15"/>
          <w:color w:val="auto"/>
          <w:vertAlign w:val="subscript"/>
        </w:rPr>
        <w:t>and the CEO have not developed such a position description, briefly describe how the Board delineates the role and</w:t>
      </w:r>
      <w:r>
        <w:rPr>
          <w:rFonts w:ascii="Times New Roman" w:cs="Times New Roman" w:eastAsia="Times New Roman" w:hAnsi="Times New Roman"/>
          <w:sz w:val="9"/>
          <w:szCs w:val="9"/>
          <w:color w:val="auto"/>
        </w:rPr>
        <w:t xml:space="preserve"> the strategic and operational agenda of the Corporation and for execution of the directives and policies of the Board.</w:t>
      </w:r>
    </w:p>
    <w:p>
      <w:pPr>
        <w:ind w:left="200"/>
        <w:spacing w:after="0"/>
        <w:rPr>
          <w:rFonts w:ascii="Times New Roman" w:cs="Times New Roman" w:eastAsia="Times New Roman" w:hAnsi="Times New Roman"/>
          <w:sz w:val="9"/>
          <w:szCs w:val="9"/>
          <w:color w:val="auto"/>
        </w:rPr>
      </w:pPr>
      <w:r>
        <w:rPr>
          <w:rFonts w:ascii="Times New Roman" w:cs="Times New Roman" w:eastAsia="Times New Roman" w:hAnsi="Times New Roman"/>
          <w:sz w:val="11"/>
          <w:szCs w:val="11"/>
          <w:color w:val="auto"/>
        </w:rPr>
        <w:t>responsibilities of the CEO.</w:t>
      </w:r>
    </w:p>
    <w:p>
      <w:pPr>
        <w:spacing w:after="0" w:line="1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1"/>
          <w:szCs w:val="11"/>
          <w:b w:val="1"/>
          <w:bCs w:val="1"/>
          <w:color w:val="auto"/>
        </w:rPr>
        <w:t>Orientation and Continuing Education</w:t>
      </w:r>
    </w:p>
    <w:p>
      <w:pPr>
        <w:sectPr>
          <w:pgSz w:w="11900" w:h="16838" w:orient="portrait"/>
          <w:cols w:equalWidth="0" w:num="1">
            <w:col w:w="11300"/>
          </w:cols>
          <w:pgMar w:left="300" w:top="125" w:right="299" w:bottom="1440" w:gutter="0" w:footer="0" w:header="0"/>
        </w:sectPr>
      </w:pPr>
    </w:p>
    <w:p>
      <w:pPr>
        <w:spacing w:after="0" w:line="38" w:lineRule="exact"/>
        <w:rPr>
          <w:sz w:val="20"/>
          <w:szCs w:val="20"/>
          <w:color w:val="auto"/>
        </w:rPr>
      </w:pPr>
    </w:p>
    <w:p>
      <w:pPr>
        <w:ind w:left="200" w:hanging="154"/>
        <w:spacing w:after="0" w:line="265" w:lineRule="auto"/>
        <w:tabs>
          <w:tab w:leader="none" w:pos="251" w:val="left"/>
        </w:tabs>
        <w:numPr>
          <w:ilvl w:val="0"/>
          <w:numId w:val="21"/>
        </w:numPr>
        <w:rPr>
          <w:rFonts w:ascii="Times New Roman" w:cs="Times New Roman" w:eastAsia="Times New Roman" w:hAnsi="Times New Roman"/>
          <w:sz w:val="11"/>
          <w:szCs w:val="11"/>
          <w:color w:val="auto"/>
        </w:rPr>
      </w:pPr>
      <w:r>
        <w:rPr>
          <w:rFonts w:ascii="Times New Roman" w:cs="Times New Roman" w:eastAsia="Times New Roman" w:hAnsi="Times New Roman"/>
          <w:sz w:val="11"/>
          <w:szCs w:val="11"/>
          <w:color w:val="auto"/>
        </w:rPr>
        <w:t>Describe what steps, if any, the Board takes to orient new Board members, and describe any measures the Board takes to provide continuing education for directors.</w:t>
      </w:r>
    </w:p>
    <w:p>
      <w:pPr>
        <w:spacing w:after="0" w:line="20" w:lineRule="exact"/>
        <w:rPr>
          <w:sz w:val="20"/>
          <w:szCs w:val="20"/>
          <w:color w:val="auto"/>
        </w:rPr>
      </w:pPr>
      <w:r>
        <w:rPr>
          <w:sz w:val="20"/>
          <w:szCs w:val="20"/>
          <w:color w:val="auto"/>
        </w:rPr>
        <w:br w:type="column"/>
      </w:r>
    </w:p>
    <w:p>
      <w:pPr>
        <w:spacing w:after="0" w:line="18" w:lineRule="exact"/>
        <w:rPr>
          <w:sz w:val="20"/>
          <w:szCs w:val="20"/>
          <w:color w:val="auto"/>
        </w:rPr>
      </w:pPr>
    </w:p>
    <w:p>
      <w:pPr>
        <w:jc w:val="both"/>
        <w:ind w:right="40"/>
        <w:spacing w:after="0" w:line="254" w:lineRule="auto"/>
        <w:rPr>
          <w:sz w:val="20"/>
          <w:szCs w:val="20"/>
          <w:color w:val="auto"/>
        </w:rPr>
      </w:pPr>
      <w:r>
        <w:rPr>
          <w:rFonts w:ascii="Times New Roman" w:cs="Times New Roman" w:eastAsia="Times New Roman" w:hAnsi="Times New Roman"/>
          <w:sz w:val="11"/>
          <w:szCs w:val="11"/>
          <w:color w:val="auto"/>
        </w:rPr>
        <w:t>Each director ultimately assumes responsibility for keeping him/her self informed about the Corporation’s business and relevant developments outside the Corporation that affect its business. Management assists directors by providing them with regular updates on relevant developments and other information that management considers of interest to the Board. Directors may also attend other Board committee meetings if they are not active members, to broaden their knowledge base and receive additional information on the Corporation’s business and developments in areas where they are not commonly exposed.</w:t>
      </w:r>
    </w:p>
    <w:p>
      <w:pPr>
        <w:spacing w:after="0" w:line="85" w:lineRule="exact"/>
        <w:rPr>
          <w:sz w:val="20"/>
          <w:szCs w:val="20"/>
          <w:color w:val="auto"/>
        </w:rPr>
      </w:pPr>
    </w:p>
    <w:p>
      <w:pPr>
        <w:sectPr>
          <w:pgSz w:w="11900" w:h="16838" w:orient="portrait"/>
          <w:cols w:equalWidth="0" w:num="2">
            <w:col w:w="5220" w:space="100"/>
            <w:col w:w="5980"/>
          </w:cols>
          <w:pgMar w:left="300" w:top="125" w:right="299" w:bottom="1440" w:gutter="0" w:footer="0" w:header="0"/>
          <w:type w:val="continuous"/>
        </w:sectPr>
      </w:pPr>
    </w:p>
    <w:p>
      <w:pPr>
        <w:ind w:left="2100"/>
        <w:spacing w:after="0"/>
        <w:rPr>
          <w:sz w:val="20"/>
          <w:szCs w:val="20"/>
          <w:color w:val="auto"/>
        </w:rPr>
      </w:pPr>
      <w:r>
        <w:rPr>
          <w:rFonts w:ascii="Times New Roman" w:cs="Times New Roman" w:eastAsia="Times New Roman" w:hAnsi="Times New Roman"/>
          <w:sz w:val="11"/>
          <w:szCs w:val="11"/>
          <w:b w:val="1"/>
          <w:bCs w:val="1"/>
          <w:color w:val="auto"/>
        </w:rPr>
        <w:t>Ethical Business Conduct</w:t>
      </w:r>
    </w:p>
    <w:p>
      <w:pPr>
        <w:spacing w:after="0" w:line="16" w:lineRule="exact"/>
        <w:rPr>
          <w:sz w:val="20"/>
          <w:szCs w:val="20"/>
          <w:color w:val="auto"/>
        </w:rPr>
      </w:pPr>
    </w:p>
    <w:tbl>
      <w:tblPr>
        <w:tblLayout w:type="fixed"/>
        <w:tblInd w:w="0" w:type="dxa"/>
        <w:tblCellMar>
          <w:top w:w="0" w:type="dxa"/>
          <w:left w:w="0" w:type="dxa"/>
          <w:bottom w:w="0" w:type="dxa"/>
          <w:right w:w="0" w:type="dxa"/>
        </w:tblCellMar>
      </w:tblPr>
      <w:tr>
        <w:trPr>
          <w:trHeight w:val="128"/>
        </w:trPr>
        <w:tc>
          <w:tcPr>
            <w:tcW w:w="5300" w:type="dxa"/>
            <w:vAlign w:val="bottom"/>
            <w:tcBorders>
              <w:top w:val="single" w:sz="8" w:color="auto"/>
              <w:right w:val="single" w:sz="8" w:color="auto"/>
            </w:tcBorders>
          </w:tcPr>
          <w:p>
            <w:pPr>
              <w:jc w:val="right"/>
              <w:ind w:right="26"/>
              <w:spacing w:after="0"/>
              <w:rPr>
                <w:sz w:val="20"/>
                <w:szCs w:val="20"/>
                <w:color w:val="auto"/>
              </w:rPr>
            </w:pPr>
            <w:r>
              <w:rPr>
                <w:rFonts w:ascii="Times New Roman" w:cs="Times New Roman" w:eastAsia="Times New Roman" w:hAnsi="Times New Roman"/>
                <w:sz w:val="11"/>
                <w:szCs w:val="11"/>
                <w:color w:val="auto"/>
              </w:rPr>
              <w:t>10.   Disclose whether or not the Board has adopted a written code for the directors, officers and employees. If the</w:t>
            </w:r>
          </w:p>
        </w:tc>
        <w:tc>
          <w:tcPr>
            <w:tcW w:w="600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1"/>
                <w:szCs w:val="11"/>
                <w:color w:val="auto"/>
              </w:rPr>
              <w:t>The Board has adopted a formal Code of Business Conduct (the “</w:t>
            </w:r>
            <w:r>
              <w:rPr>
                <w:rFonts w:ascii="Times New Roman" w:cs="Times New Roman" w:eastAsia="Times New Roman" w:hAnsi="Times New Roman"/>
                <w:sz w:val="11"/>
                <w:szCs w:val="11"/>
                <w:b w:val="1"/>
                <w:bCs w:val="1"/>
                <w:color w:val="auto"/>
              </w:rPr>
              <w:t>Code</w:t>
            </w:r>
            <w:r>
              <w:rPr>
                <w:rFonts w:ascii="Times New Roman" w:cs="Times New Roman" w:eastAsia="Times New Roman" w:hAnsi="Times New Roman"/>
                <w:sz w:val="11"/>
                <w:szCs w:val="11"/>
                <w:color w:val="auto"/>
              </w:rPr>
              <w:t>”) which highlights key issues and identifies policies and</w:t>
            </w:r>
          </w:p>
        </w:tc>
      </w:tr>
      <w:tr>
        <w:trPr>
          <w:trHeight w:val="135"/>
        </w:trPr>
        <w:tc>
          <w:tcPr>
            <w:tcW w:w="5300" w:type="dxa"/>
            <w:vAlign w:val="bottom"/>
            <w:tcBorders>
              <w:right w:val="single" w:sz="8" w:color="auto"/>
            </w:tcBorders>
          </w:tcPr>
          <w:p>
            <w:pPr>
              <w:jc w:val="right"/>
              <w:ind w:right="26"/>
              <w:spacing w:after="0"/>
              <w:rPr>
                <w:sz w:val="20"/>
                <w:szCs w:val="20"/>
                <w:color w:val="auto"/>
              </w:rPr>
            </w:pPr>
            <w:r>
              <w:rPr>
                <w:rFonts w:ascii="Times New Roman" w:cs="Times New Roman" w:eastAsia="Times New Roman" w:hAnsi="Times New Roman"/>
                <w:sz w:val="11"/>
                <w:szCs w:val="11"/>
                <w:color w:val="auto"/>
              </w:rPr>
              <w:t>Board has adopted a written code: (i) disclose how a person or company may obtain a copy of the code, (ii) describe</w:t>
            </w:r>
          </w:p>
        </w:tc>
        <w:tc>
          <w:tcPr>
            <w:tcW w:w="600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resources to help employees, officers and directors of the corporation reach appropriate and ethical decisions. The Corporation’s</w:t>
            </w:r>
          </w:p>
        </w:tc>
      </w:tr>
      <w:tr>
        <w:trPr>
          <w:trHeight w:val="126"/>
        </w:trPr>
        <w:tc>
          <w:tcPr>
            <w:tcW w:w="5300" w:type="dxa"/>
            <w:vAlign w:val="bottom"/>
            <w:tcBorders>
              <w:right w:val="single" w:sz="8" w:color="auto"/>
            </w:tcBorders>
          </w:tcPr>
          <w:p>
            <w:pPr>
              <w:jc w:val="right"/>
              <w:ind w:right="26"/>
              <w:spacing w:after="0"/>
              <w:rPr>
                <w:sz w:val="20"/>
                <w:szCs w:val="20"/>
                <w:color w:val="auto"/>
              </w:rPr>
            </w:pPr>
            <w:r>
              <w:rPr>
                <w:rFonts w:ascii="Times New Roman" w:cs="Times New Roman" w:eastAsia="Times New Roman" w:hAnsi="Times New Roman"/>
                <w:sz w:val="11"/>
                <w:szCs w:val="11"/>
                <w:color w:val="auto"/>
              </w:rPr>
              <w:t>how the Board monitors compliance with its code, or if the Board, and (iii) provide a cross-reference to any</w:t>
            </w:r>
          </w:p>
        </w:tc>
        <w:tc>
          <w:tcPr>
            <w:tcW w:w="600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compliance officer is responsible for investigating all reported complaints under the Code. A copy of the Code can be obtained by</w:t>
            </w:r>
          </w:p>
        </w:tc>
      </w:tr>
      <w:tr>
        <w:trPr>
          <w:trHeight w:val="135"/>
        </w:trPr>
        <w:tc>
          <w:tcPr>
            <w:tcW w:w="5300" w:type="dxa"/>
            <w:vAlign w:val="bottom"/>
            <w:tcBorders>
              <w:right w:val="single" w:sz="8" w:color="auto"/>
            </w:tcBorders>
          </w:tcPr>
          <w:p>
            <w:pPr>
              <w:jc w:val="right"/>
              <w:ind w:right="26"/>
              <w:spacing w:after="0"/>
              <w:rPr>
                <w:sz w:val="20"/>
                <w:szCs w:val="20"/>
                <w:color w:val="auto"/>
              </w:rPr>
            </w:pPr>
            <w:r>
              <w:rPr>
                <w:rFonts w:ascii="Times New Roman" w:cs="Times New Roman" w:eastAsia="Times New Roman" w:hAnsi="Times New Roman"/>
                <w:sz w:val="11"/>
                <w:szCs w:val="11"/>
                <w:color w:val="auto"/>
              </w:rPr>
              <w:t>material change report filed since the beginning of the Corporation’s most recently completed financial year that</w:t>
            </w:r>
          </w:p>
        </w:tc>
        <w:tc>
          <w:tcPr>
            <w:tcW w:w="600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contacting the Corporation.</w:t>
            </w:r>
          </w:p>
        </w:tc>
      </w:tr>
      <w:tr>
        <w:trPr>
          <w:trHeight w:val="140"/>
        </w:trPr>
        <w:tc>
          <w:tcPr>
            <w:tcW w:w="5300" w:type="dxa"/>
            <w:vAlign w:val="bottom"/>
            <w:tcBorders>
              <w:right w:val="single" w:sz="8" w:color="auto"/>
            </w:tcBorders>
          </w:tcPr>
          <w:p>
            <w:pPr>
              <w:ind w:left="200"/>
              <w:spacing w:after="0"/>
              <w:rPr>
                <w:sz w:val="20"/>
                <w:szCs w:val="20"/>
                <w:color w:val="auto"/>
              </w:rPr>
            </w:pPr>
            <w:r>
              <w:rPr>
                <w:rFonts w:ascii="Times New Roman" w:cs="Times New Roman" w:eastAsia="Times New Roman" w:hAnsi="Times New Roman"/>
                <w:sz w:val="11"/>
                <w:szCs w:val="11"/>
                <w:color w:val="auto"/>
              </w:rPr>
              <w:t>pertains to any conduct of a director or executive officer that constitutes a departure from the code.</w:t>
            </w:r>
          </w:p>
        </w:tc>
        <w:tc>
          <w:tcPr>
            <w:tcW w:w="6000" w:type="dxa"/>
            <w:vAlign w:val="bottom"/>
          </w:tcPr>
          <w:p>
            <w:pPr>
              <w:spacing w:after="0"/>
              <w:rPr>
                <w:sz w:val="12"/>
                <w:szCs w:val="12"/>
                <w:color w:val="auto"/>
              </w:rPr>
            </w:pPr>
          </w:p>
        </w:tc>
      </w:tr>
      <w:tr>
        <w:trPr>
          <w:trHeight w:val="85"/>
        </w:trPr>
        <w:tc>
          <w:tcPr>
            <w:tcW w:w="5300" w:type="dxa"/>
            <w:vAlign w:val="bottom"/>
            <w:tcBorders>
              <w:bottom w:val="single" w:sz="8" w:color="auto"/>
              <w:right w:val="single" w:sz="8" w:color="auto"/>
            </w:tcBorders>
          </w:tcPr>
          <w:p>
            <w:pPr>
              <w:spacing w:after="0"/>
              <w:rPr>
                <w:sz w:val="7"/>
                <w:szCs w:val="7"/>
                <w:color w:val="auto"/>
              </w:rPr>
            </w:pPr>
          </w:p>
        </w:tc>
        <w:tc>
          <w:tcPr>
            <w:tcW w:w="6000" w:type="dxa"/>
            <w:vAlign w:val="bottom"/>
            <w:tcBorders>
              <w:bottom w:val="single" w:sz="8" w:color="auto"/>
            </w:tcBorders>
          </w:tcPr>
          <w:p>
            <w:pPr>
              <w:spacing w:after="0"/>
              <w:rPr>
                <w:sz w:val="7"/>
                <w:szCs w:val="7"/>
                <w:color w:val="auto"/>
              </w:rPr>
            </w:pPr>
          </w:p>
        </w:tc>
      </w:tr>
      <w:tr>
        <w:trPr>
          <w:trHeight w:val="124"/>
        </w:trPr>
        <w:tc>
          <w:tcPr>
            <w:tcW w:w="5300" w:type="dxa"/>
            <w:vAlign w:val="bottom"/>
            <w:tcBorders>
              <w:right w:val="single" w:sz="8" w:color="auto"/>
            </w:tcBorders>
          </w:tcPr>
          <w:p>
            <w:pPr>
              <w:jc w:val="right"/>
              <w:ind w:right="26"/>
              <w:spacing w:after="0" w:line="124" w:lineRule="exact"/>
              <w:rPr>
                <w:sz w:val="20"/>
                <w:szCs w:val="20"/>
                <w:color w:val="auto"/>
              </w:rPr>
            </w:pPr>
            <w:r>
              <w:rPr>
                <w:rFonts w:ascii="Times New Roman" w:cs="Times New Roman" w:eastAsia="Times New Roman" w:hAnsi="Times New Roman"/>
                <w:sz w:val="11"/>
                <w:szCs w:val="11"/>
                <w:color w:val="auto"/>
              </w:rPr>
              <w:t>11. Describe the steps the Board takes to ensure directors exercise independent judgement in considering transactions</w:t>
            </w:r>
          </w:p>
        </w:tc>
        <w:tc>
          <w:tcPr>
            <w:tcW w:w="6000" w:type="dxa"/>
            <w:vAlign w:val="bottom"/>
          </w:tcPr>
          <w:p>
            <w:pPr>
              <w:ind w:left="20"/>
              <w:spacing w:after="0" w:line="124" w:lineRule="exact"/>
              <w:rPr>
                <w:sz w:val="20"/>
                <w:szCs w:val="20"/>
                <w:color w:val="auto"/>
              </w:rPr>
            </w:pPr>
            <w:r>
              <w:rPr>
                <w:rFonts w:ascii="Times New Roman" w:cs="Times New Roman" w:eastAsia="Times New Roman" w:hAnsi="Times New Roman"/>
                <w:sz w:val="11"/>
                <w:szCs w:val="11"/>
                <w:color w:val="auto"/>
              </w:rPr>
              <w:t>The Board is responsible for promoting an ethical business culture. The Board monitors compliance, including through receipt by the</w:t>
            </w:r>
          </w:p>
        </w:tc>
      </w:tr>
      <w:tr>
        <w:trPr>
          <w:trHeight w:val="135"/>
        </w:trPr>
        <w:tc>
          <w:tcPr>
            <w:tcW w:w="5300" w:type="dxa"/>
            <w:vAlign w:val="bottom"/>
            <w:tcBorders>
              <w:right w:val="single" w:sz="8" w:color="auto"/>
            </w:tcBorders>
          </w:tcPr>
          <w:p>
            <w:pPr>
              <w:jc w:val="right"/>
              <w:ind w:right="26"/>
              <w:spacing w:after="0"/>
              <w:rPr>
                <w:sz w:val="20"/>
                <w:szCs w:val="20"/>
                <w:color w:val="auto"/>
              </w:rPr>
            </w:pPr>
            <w:r>
              <w:rPr>
                <w:rFonts w:ascii="Times New Roman" w:cs="Times New Roman" w:eastAsia="Times New Roman" w:hAnsi="Times New Roman"/>
                <w:sz w:val="11"/>
                <w:szCs w:val="11"/>
                <w:color w:val="auto"/>
              </w:rPr>
              <w:t>and agreement in respect of which a director or executive officer has a material interest, and any other steps the</w:t>
            </w:r>
          </w:p>
        </w:tc>
        <w:tc>
          <w:tcPr>
            <w:tcW w:w="6000" w:type="dxa"/>
            <w:vAlign w:val="bottom"/>
          </w:tcPr>
          <w:p>
            <w:pPr>
              <w:ind w:left="20"/>
              <w:spacing w:after="0"/>
              <w:rPr>
                <w:sz w:val="20"/>
                <w:szCs w:val="20"/>
                <w:color w:val="auto"/>
              </w:rPr>
            </w:pPr>
            <w:r>
              <w:rPr>
                <w:rFonts w:ascii="Times New Roman" w:cs="Times New Roman" w:eastAsia="Times New Roman" w:hAnsi="Times New Roman"/>
                <w:sz w:val="11"/>
                <w:szCs w:val="11"/>
                <w:color w:val="auto"/>
                <w:w w:val="99"/>
              </w:rPr>
              <w:t>Audit Committee of reports of unethical behaviour. To ensure that an ethical business culture is maintained and promoted, directors are</w:t>
            </w:r>
          </w:p>
        </w:tc>
      </w:tr>
      <w:tr>
        <w:trPr>
          <w:trHeight w:val="126"/>
        </w:trPr>
        <w:tc>
          <w:tcPr>
            <w:tcW w:w="5300" w:type="dxa"/>
            <w:vAlign w:val="bottom"/>
            <w:tcBorders>
              <w:right w:val="single" w:sz="8" w:color="auto"/>
            </w:tcBorders>
          </w:tcPr>
          <w:p>
            <w:pPr>
              <w:ind w:left="200"/>
              <w:spacing w:after="0"/>
              <w:rPr>
                <w:sz w:val="20"/>
                <w:szCs w:val="20"/>
                <w:color w:val="auto"/>
              </w:rPr>
            </w:pPr>
            <w:r>
              <w:rPr>
                <w:rFonts w:ascii="Times New Roman" w:cs="Times New Roman" w:eastAsia="Times New Roman" w:hAnsi="Times New Roman"/>
                <w:sz w:val="11"/>
                <w:szCs w:val="11"/>
                <w:color w:val="auto"/>
              </w:rPr>
              <w:t>Board takes to encourage and promote a culture of ethical business conduct.</w:t>
            </w:r>
          </w:p>
        </w:tc>
        <w:tc>
          <w:tcPr>
            <w:tcW w:w="600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encouraged to exercise their independent judgment. If a director has a material interest in any transaction or agreement that the</w:t>
            </w:r>
          </w:p>
        </w:tc>
      </w:tr>
      <w:tr>
        <w:trPr>
          <w:trHeight w:val="135"/>
        </w:trPr>
        <w:tc>
          <w:tcPr>
            <w:tcW w:w="5300" w:type="dxa"/>
            <w:vAlign w:val="bottom"/>
            <w:tcBorders>
              <w:right w:val="single" w:sz="8" w:color="auto"/>
            </w:tcBorders>
          </w:tcPr>
          <w:p>
            <w:pPr>
              <w:spacing w:after="0"/>
              <w:rPr>
                <w:sz w:val="11"/>
                <w:szCs w:val="11"/>
                <w:color w:val="auto"/>
              </w:rPr>
            </w:pPr>
          </w:p>
        </w:tc>
        <w:tc>
          <w:tcPr>
            <w:tcW w:w="600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Corporation proposes to enter into, such director is expected to disclose such interest to the Board in compliance with the applicable</w:t>
            </w:r>
          </w:p>
        </w:tc>
      </w:tr>
      <w:tr>
        <w:trPr>
          <w:trHeight w:val="126"/>
        </w:trPr>
        <w:tc>
          <w:tcPr>
            <w:tcW w:w="5300" w:type="dxa"/>
            <w:vAlign w:val="bottom"/>
            <w:tcBorders>
              <w:right w:val="single" w:sz="8" w:color="auto"/>
            </w:tcBorders>
          </w:tcPr>
          <w:p>
            <w:pPr>
              <w:spacing w:after="0"/>
              <w:rPr>
                <w:sz w:val="10"/>
                <w:szCs w:val="10"/>
                <w:color w:val="auto"/>
              </w:rPr>
            </w:pPr>
          </w:p>
        </w:tc>
        <w:tc>
          <w:tcPr>
            <w:tcW w:w="600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laws, rules and policies which govern conflicts of interest in connection with such transaction or agreement. Further, any director who</w:t>
            </w:r>
          </w:p>
        </w:tc>
      </w:tr>
      <w:tr>
        <w:trPr>
          <w:trHeight w:val="126"/>
        </w:trPr>
        <w:tc>
          <w:tcPr>
            <w:tcW w:w="5300" w:type="dxa"/>
            <w:vAlign w:val="bottom"/>
            <w:tcBorders>
              <w:right w:val="single" w:sz="8" w:color="auto"/>
            </w:tcBorders>
          </w:tcPr>
          <w:p>
            <w:pPr>
              <w:spacing w:after="0"/>
              <w:rPr>
                <w:sz w:val="10"/>
                <w:szCs w:val="10"/>
                <w:color w:val="auto"/>
              </w:rPr>
            </w:pPr>
          </w:p>
        </w:tc>
        <w:tc>
          <w:tcPr>
            <w:tcW w:w="6000" w:type="dxa"/>
            <w:vAlign w:val="bottom"/>
          </w:tcPr>
          <w:p>
            <w:pPr>
              <w:ind w:left="20"/>
              <w:spacing w:after="0"/>
              <w:rPr>
                <w:sz w:val="20"/>
                <w:szCs w:val="20"/>
                <w:color w:val="auto"/>
              </w:rPr>
            </w:pPr>
            <w:r>
              <w:rPr>
                <w:rFonts w:ascii="Times New Roman" w:cs="Times New Roman" w:eastAsia="Times New Roman" w:hAnsi="Times New Roman"/>
                <w:sz w:val="11"/>
                <w:szCs w:val="11"/>
                <w:color w:val="auto"/>
                <w:w w:val="99"/>
              </w:rPr>
              <w:t>has a material interest in any proposed transaction or agreement will be excluded from the portion of the Board meeting concerning such</w:t>
            </w:r>
          </w:p>
        </w:tc>
      </w:tr>
      <w:tr>
        <w:trPr>
          <w:trHeight w:val="140"/>
        </w:trPr>
        <w:tc>
          <w:tcPr>
            <w:tcW w:w="5300" w:type="dxa"/>
            <w:vAlign w:val="bottom"/>
            <w:tcBorders>
              <w:right w:val="single" w:sz="8" w:color="auto"/>
            </w:tcBorders>
          </w:tcPr>
          <w:p>
            <w:pPr>
              <w:spacing w:after="0"/>
              <w:rPr>
                <w:sz w:val="12"/>
                <w:szCs w:val="12"/>
                <w:color w:val="auto"/>
              </w:rPr>
            </w:pPr>
          </w:p>
        </w:tc>
        <w:tc>
          <w:tcPr>
            <w:tcW w:w="600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matters and will be further precluded from voting on such matters.</w:t>
            </w:r>
          </w:p>
        </w:tc>
      </w:tr>
      <w:tr>
        <w:trPr>
          <w:trHeight w:val="94"/>
        </w:trPr>
        <w:tc>
          <w:tcPr>
            <w:tcW w:w="5300" w:type="dxa"/>
            <w:vAlign w:val="bottom"/>
            <w:tcBorders>
              <w:bottom w:val="single" w:sz="8" w:color="auto"/>
              <w:right w:val="single" w:sz="8" w:color="auto"/>
            </w:tcBorders>
          </w:tcPr>
          <w:p>
            <w:pPr>
              <w:spacing w:after="0"/>
              <w:rPr>
                <w:sz w:val="8"/>
                <w:szCs w:val="8"/>
                <w:color w:val="auto"/>
              </w:rPr>
            </w:pPr>
          </w:p>
        </w:tc>
        <w:tc>
          <w:tcPr>
            <w:tcW w:w="6000" w:type="dxa"/>
            <w:vAlign w:val="bottom"/>
            <w:tcBorders>
              <w:bottom w:val="single" w:sz="8" w:color="auto"/>
            </w:tcBorders>
          </w:tcPr>
          <w:p>
            <w:pPr>
              <w:spacing w:after="0"/>
              <w:rPr>
                <w:sz w:val="8"/>
                <w:szCs w:val="8"/>
                <w:color w:val="auto"/>
              </w:rPr>
            </w:pPr>
          </w:p>
        </w:tc>
      </w:tr>
    </w:tbl>
    <w:p>
      <w:pPr>
        <w:sectPr>
          <w:pgSz w:w="11900" w:h="16838" w:orient="portrait"/>
          <w:cols w:equalWidth="0" w:num="1">
            <w:col w:w="11300"/>
          </w:cols>
          <w:pgMar w:left="300" w:top="125" w:right="299" w:bottom="1440" w:gutter="0" w:footer="0" w:header="0"/>
          <w:type w:val="continuous"/>
        </w:sectPr>
      </w:pPr>
    </w:p>
    <w:bookmarkStart w:id="37" w:name="page38"/>
    <w:bookmarkEnd w:id="37"/>
    <w:p>
      <w:pPr>
        <w:spacing w:after="0" w:line="1" w:lineRule="exact"/>
        <w:rPr>
          <w:sz w:val="20"/>
          <w:szCs w:val="20"/>
          <w:color w:val="auto"/>
        </w:rPr>
      </w:pPr>
    </w:p>
    <w:tbl>
      <w:tblPr>
        <w:tblLayout w:type="fixed"/>
        <w:tblInd w:w="10" w:type="dxa"/>
        <w:tblCellMar>
          <w:top w:w="0" w:type="dxa"/>
          <w:left w:w="0" w:type="dxa"/>
          <w:bottom w:w="0" w:type="dxa"/>
          <w:right w:w="0" w:type="dxa"/>
        </w:tblCellMar>
      </w:tblPr>
      <w:tr>
        <w:trPr>
          <w:trHeight w:val="171"/>
        </w:trPr>
        <w:tc>
          <w:tcPr>
            <w:tcW w:w="200" w:type="dxa"/>
            <w:vAlign w:val="bottom"/>
          </w:tcPr>
          <w:p>
            <w:pPr>
              <w:spacing w:after="0"/>
              <w:rPr>
                <w:sz w:val="14"/>
                <w:szCs w:val="14"/>
                <w:color w:val="auto"/>
              </w:rPr>
            </w:pPr>
          </w:p>
        </w:tc>
        <w:tc>
          <w:tcPr>
            <w:tcW w:w="5100" w:type="dxa"/>
            <w:vAlign w:val="bottom"/>
          </w:tcPr>
          <w:p>
            <w:pPr>
              <w:spacing w:after="0"/>
              <w:rPr>
                <w:sz w:val="14"/>
                <w:szCs w:val="14"/>
                <w:color w:val="auto"/>
              </w:rPr>
            </w:pPr>
          </w:p>
        </w:tc>
        <w:tc>
          <w:tcPr>
            <w:tcW w:w="6020" w:type="dxa"/>
            <w:vAlign w:val="bottom"/>
          </w:tcPr>
          <w:p>
            <w:pPr>
              <w:ind w:left="200"/>
              <w:spacing w:after="0"/>
              <w:rPr>
                <w:sz w:val="20"/>
                <w:szCs w:val="20"/>
                <w:color w:val="auto"/>
              </w:rPr>
            </w:pPr>
            <w:r>
              <w:rPr>
                <w:rFonts w:ascii="Times New Roman" w:cs="Times New Roman" w:eastAsia="Times New Roman" w:hAnsi="Times New Roman"/>
                <w:sz w:val="13"/>
                <w:szCs w:val="13"/>
                <w:color w:val="auto"/>
              </w:rPr>
              <w:t>A - 3</w:t>
            </w:r>
          </w:p>
        </w:tc>
        <w:tc>
          <w:tcPr>
            <w:tcW w:w="0" w:type="dxa"/>
            <w:vAlign w:val="bottom"/>
          </w:tcPr>
          <w:p>
            <w:pPr>
              <w:spacing w:after="0"/>
              <w:rPr>
                <w:sz w:val="1"/>
                <w:szCs w:val="1"/>
                <w:color w:val="auto"/>
              </w:rPr>
            </w:pPr>
          </w:p>
        </w:tc>
      </w:tr>
      <w:tr>
        <w:trPr>
          <w:trHeight w:val="725"/>
        </w:trPr>
        <w:tc>
          <w:tcPr>
            <w:tcW w:w="5300" w:type="dxa"/>
            <w:vAlign w:val="bottom"/>
            <w:tcBorders>
              <w:bottom w:val="single" w:sz="8" w:color="auto"/>
            </w:tcBorders>
            <w:gridSpan w:val="2"/>
          </w:tcPr>
          <w:p>
            <w:pPr>
              <w:spacing w:after="0"/>
              <w:rPr>
                <w:sz w:val="24"/>
                <w:szCs w:val="24"/>
                <w:color w:val="auto"/>
              </w:rPr>
            </w:pPr>
          </w:p>
        </w:tc>
        <w:tc>
          <w:tcPr>
            <w:tcW w:w="60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49"/>
        </w:trPr>
        <w:tc>
          <w:tcPr>
            <w:tcW w:w="5300" w:type="dxa"/>
            <w:vAlign w:val="bottom"/>
            <w:tcBorders>
              <w:left w:val="single" w:sz="8" w:color="auto"/>
              <w:right w:val="single" w:sz="8" w:color="auto"/>
            </w:tcBorders>
            <w:gridSpan w:val="2"/>
            <w:shd w:val="clear" w:color="auto" w:fill="BFBFBF"/>
          </w:tcPr>
          <w:p>
            <w:pPr>
              <w:jc w:val="center"/>
              <w:spacing w:after="0"/>
              <w:rPr>
                <w:sz w:val="20"/>
                <w:szCs w:val="20"/>
                <w:color w:val="auto"/>
              </w:rPr>
            </w:pPr>
            <w:r>
              <w:rPr>
                <w:rFonts w:ascii="Times New Roman" w:cs="Times New Roman" w:eastAsia="Times New Roman" w:hAnsi="Times New Roman"/>
                <w:sz w:val="11"/>
                <w:szCs w:val="11"/>
                <w:b w:val="1"/>
                <w:bCs w:val="1"/>
                <w:color w:val="auto"/>
                <w:w w:val="98"/>
              </w:rPr>
              <w:t>Governance Disclosure Requirement Under the Corporate Governance National Instrument 58-101 (</w:t>
            </w:r>
            <w:r>
              <w:rPr>
                <w:rFonts w:ascii="Times New Roman" w:cs="Times New Roman" w:eastAsia="Times New Roman" w:hAnsi="Times New Roman"/>
                <w:sz w:val="11"/>
                <w:szCs w:val="11"/>
                <w:color w:val="auto"/>
                <w:w w:val="98"/>
              </w:rPr>
              <w:t>“</w:t>
            </w:r>
            <w:r>
              <w:rPr>
                <w:rFonts w:ascii="Times New Roman" w:cs="Times New Roman" w:eastAsia="Times New Roman" w:hAnsi="Times New Roman"/>
                <w:sz w:val="11"/>
                <w:szCs w:val="11"/>
                <w:b w:val="1"/>
                <w:bCs w:val="1"/>
                <w:color w:val="auto"/>
                <w:w w:val="98"/>
              </w:rPr>
              <w:t>NI 58-</w:t>
            </w:r>
          </w:p>
        </w:tc>
        <w:tc>
          <w:tcPr>
            <w:tcW w:w="6020" w:type="dxa"/>
            <w:vAlign w:val="bottom"/>
            <w:tcBorders>
              <w:right w:val="single" w:sz="8" w:color="auto"/>
            </w:tcBorders>
            <w:vMerge w:val="restart"/>
            <w:shd w:val="clear" w:color="auto" w:fill="BFBFBF"/>
          </w:tcPr>
          <w:p>
            <w:pPr>
              <w:ind w:left="2740"/>
              <w:spacing w:after="0"/>
              <w:rPr>
                <w:sz w:val="20"/>
                <w:szCs w:val="20"/>
                <w:color w:val="auto"/>
              </w:rPr>
            </w:pPr>
            <w:r>
              <w:rPr>
                <w:rFonts w:ascii="Times New Roman" w:cs="Times New Roman" w:eastAsia="Times New Roman" w:hAnsi="Times New Roman"/>
                <w:sz w:val="11"/>
                <w:szCs w:val="11"/>
                <w:b w:val="1"/>
                <w:bCs w:val="1"/>
                <w:color w:val="auto"/>
              </w:rPr>
              <w:t>Comments</w:t>
            </w:r>
          </w:p>
        </w:tc>
        <w:tc>
          <w:tcPr>
            <w:tcW w:w="0" w:type="dxa"/>
            <w:vAlign w:val="bottom"/>
          </w:tcPr>
          <w:p>
            <w:pPr>
              <w:spacing w:after="0"/>
              <w:rPr>
                <w:sz w:val="1"/>
                <w:szCs w:val="1"/>
                <w:color w:val="auto"/>
              </w:rPr>
            </w:pPr>
          </w:p>
        </w:tc>
      </w:tr>
      <w:tr>
        <w:trPr>
          <w:trHeight w:val="97"/>
        </w:trPr>
        <w:tc>
          <w:tcPr>
            <w:tcW w:w="200" w:type="dxa"/>
            <w:vAlign w:val="bottom"/>
            <w:tcBorders>
              <w:left w:val="single" w:sz="8" w:color="auto"/>
            </w:tcBorders>
            <w:shd w:val="clear" w:color="auto" w:fill="BFBFBF"/>
          </w:tcPr>
          <w:p>
            <w:pPr>
              <w:spacing w:after="0"/>
              <w:rPr>
                <w:sz w:val="8"/>
                <w:szCs w:val="8"/>
                <w:color w:val="auto"/>
              </w:rPr>
            </w:pPr>
          </w:p>
        </w:tc>
        <w:tc>
          <w:tcPr>
            <w:tcW w:w="5100" w:type="dxa"/>
            <w:vAlign w:val="bottom"/>
            <w:tcBorders>
              <w:right w:val="single" w:sz="8" w:color="auto"/>
            </w:tcBorders>
            <w:vMerge w:val="restart"/>
            <w:shd w:val="clear" w:color="auto" w:fill="BFBFBF"/>
          </w:tcPr>
          <w:p>
            <w:pPr>
              <w:jc w:val="center"/>
              <w:ind w:right="166"/>
              <w:spacing w:after="0"/>
              <w:rPr>
                <w:sz w:val="20"/>
                <w:szCs w:val="20"/>
                <w:color w:val="auto"/>
              </w:rPr>
            </w:pPr>
            <w:r>
              <w:rPr>
                <w:rFonts w:ascii="Times New Roman" w:cs="Times New Roman" w:eastAsia="Times New Roman" w:hAnsi="Times New Roman"/>
                <w:sz w:val="11"/>
                <w:szCs w:val="11"/>
                <w:b w:val="1"/>
                <w:bCs w:val="1"/>
                <w:color w:val="auto"/>
                <w:w w:val="95"/>
              </w:rPr>
              <w:t>101</w:t>
            </w:r>
            <w:r>
              <w:rPr>
                <w:rFonts w:ascii="Times New Roman" w:cs="Times New Roman" w:eastAsia="Times New Roman" w:hAnsi="Times New Roman"/>
                <w:sz w:val="11"/>
                <w:szCs w:val="11"/>
                <w:color w:val="auto"/>
                <w:w w:val="95"/>
              </w:rPr>
              <w:t>”</w:t>
            </w:r>
            <w:r>
              <w:rPr>
                <w:rFonts w:ascii="Times New Roman" w:cs="Times New Roman" w:eastAsia="Times New Roman" w:hAnsi="Times New Roman"/>
                <w:sz w:val="11"/>
                <w:szCs w:val="11"/>
                <w:b w:val="1"/>
                <w:bCs w:val="1"/>
                <w:color w:val="auto"/>
                <w:w w:val="95"/>
              </w:rPr>
              <w:t>)</w:t>
            </w:r>
          </w:p>
        </w:tc>
        <w:tc>
          <w:tcPr>
            <w:tcW w:w="6020" w:type="dxa"/>
            <w:vAlign w:val="bottom"/>
            <w:tcBorders>
              <w:right w:val="single" w:sz="8" w:color="auto"/>
            </w:tcBorders>
            <w:vMerge w:val="continue"/>
            <w:shd w:val="clear" w:color="auto" w:fill="BFBFBF"/>
          </w:tcPr>
          <w:p>
            <w:pPr>
              <w:spacing w:after="0"/>
              <w:rPr>
                <w:sz w:val="8"/>
                <w:szCs w:val="8"/>
                <w:color w:val="auto"/>
              </w:rPr>
            </w:pPr>
          </w:p>
        </w:tc>
        <w:tc>
          <w:tcPr>
            <w:tcW w:w="0" w:type="dxa"/>
            <w:vAlign w:val="bottom"/>
          </w:tcPr>
          <w:p>
            <w:pPr>
              <w:spacing w:after="0"/>
              <w:rPr>
                <w:sz w:val="1"/>
                <w:szCs w:val="1"/>
                <w:color w:val="auto"/>
              </w:rPr>
            </w:pPr>
          </w:p>
        </w:tc>
      </w:tr>
      <w:tr>
        <w:trPr>
          <w:trHeight w:val="45"/>
        </w:trPr>
        <w:tc>
          <w:tcPr>
            <w:tcW w:w="200" w:type="dxa"/>
            <w:vAlign w:val="bottom"/>
            <w:tcBorders>
              <w:left w:val="single" w:sz="8" w:color="auto"/>
            </w:tcBorders>
            <w:shd w:val="clear" w:color="auto" w:fill="BFBFBF"/>
          </w:tcPr>
          <w:p>
            <w:pPr>
              <w:spacing w:after="0"/>
              <w:rPr>
                <w:sz w:val="3"/>
                <w:szCs w:val="3"/>
                <w:color w:val="auto"/>
              </w:rPr>
            </w:pPr>
          </w:p>
        </w:tc>
        <w:tc>
          <w:tcPr>
            <w:tcW w:w="5100" w:type="dxa"/>
            <w:vAlign w:val="bottom"/>
            <w:tcBorders>
              <w:right w:val="single" w:sz="8" w:color="auto"/>
            </w:tcBorders>
            <w:vMerge w:val="continue"/>
            <w:shd w:val="clear" w:color="auto" w:fill="BFBFBF"/>
          </w:tcPr>
          <w:p>
            <w:pPr>
              <w:spacing w:after="0"/>
              <w:rPr>
                <w:sz w:val="3"/>
                <w:szCs w:val="3"/>
                <w:color w:val="auto"/>
              </w:rPr>
            </w:pPr>
          </w:p>
        </w:tc>
        <w:tc>
          <w:tcPr>
            <w:tcW w:w="6020" w:type="dxa"/>
            <w:vAlign w:val="bottom"/>
            <w:tcBorders>
              <w:right w:val="single" w:sz="8" w:color="auto"/>
            </w:tcBorders>
            <w:shd w:val="clear" w:color="auto" w:fill="BFBFBF"/>
          </w:tcPr>
          <w:p>
            <w:pPr>
              <w:spacing w:after="0"/>
              <w:rPr>
                <w:sz w:val="3"/>
                <w:szCs w:val="3"/>
                <w:color w:val="auto"/>
              </w:rPr>
            </w:pPr>
          </w:p>
        </w:tc>
        <w:tc>
          <w:tcPr>
            <w:tcW w:w="0" w:type="dxa"/>
            <w:vAlign w:val="bottom"/>
          </w:tcPr>
          <w:p>
            <w:pPr>
              <w:spacing w:after="0"/>
              <w:rPr>
                <w:sz w:val="1"/>
                <w:szCs w:val="1"/>
                <w:color w:val="auto"/>
              </w:rPr>
            </w:pPr>
          </w:p>
        </w:tc>
      </w:tr>
      <w:tr>
        <w:trPr>
          <w:trHeight w:val="85"/>
        </w:trPr>
        <w:tc>
          <w:tcPr>
            <w:tcW w:w="200" w:type="dxa"/>
            <w:vAlign w:val="bottom"/>
            <w:tcBorders>
              <w:left w:val="single" w:sz="8" w:color="auto"/>
              <w:bottom w:val="single" w:sz="8" w:color="auto"/>
            </w:tcBorders>
            <w:shd w:val="clear" w:color="auto" w:fill="BFBFBF"/>
          </w:tcPr>
          <w:p>
            <w:pPr>
              <w:spacing w:after="0"/>
              <w:rPr>
                <w:sz w:val="7"/>
                <w:szCs w:val="7"/>
                <w:color w:val="auto"/>
              </w:rPr>
            </w:pPr>
          </w:p>
        </w:tc>
        <w:tc>
          <w:tcPr>
            <w:tcW w:w="5100" w:type="dxa"/>
            <w:vAlign w:val="bottom"/>
            <w:tcBorders>
              <w:bottom w:val="single" w:sz="8" w:color="auto"/>
              <w:right w:val="single" w:sz="8" w:color="auto"/>
            </w:tcBorders>
            <w:shd w:val="clear" w:color="auto" w:fill="BFBFBF"/>
          </w:tcPr>
          <w:p>
            <w:pPr>
              <w:spacing w:after="0"/>
              <w:rPr>
                <w:sz w:val="7"/>
                <w:szCs w:val="7"/>
                <w:color w:val="auto"/>
              </w:rPr>
            </w:pPr>
          </w:p>
        </w:tc>
        <w:tc>
          <w:tcPr>
            <w:tcW w:w="6020" w:type="dxa"/>
            <w:vAlign w:val="bottom"/>
            <w:tcBorders>
              <w:bottom w:val="single" w:sz="8" w:color="auto"/>
              <w:right w:val="single" w:sz="8" w:color="auto"/>
            </w:tcBorders>
            <w:shd w:val="clear" w:color="auto" w:fill="BFBFBF"/>
          </w:tcPr>
          <w:p>
            <w:pPr>
              <w:spacing w:after="0"/>
              <w:rPr>
                <w:sz w:val="7"/>
                <w:szCs w:val="7"/>
                <w:color w:val="auto"/>
              </w:rPr>
            </w:pPr>
          </w:p>
        </w:tc>
        <w:tc>
          <w:tcPr>
            <w:tcW w:w="0" w:type="dxa"/>
            <w:vAlign w:val="bottom"/>
          </w:tcPr>
          <w:p>
            <w:pPr>
              <w:spacing w:after="0"/>
              <w:rPr>
                <w:sz w:val="1"/>
                <w:szCs w:val="1"/>
                <w:color w:val="auto"/>
              </w:rPr>
            </w:pPr>
          </w:p>
        </w:tc>
      </w:tr>
      <w:tr>
        <w:trPr>
          <w:trHeight w:val="132"/>
        </w:trPr>
        <w:tc>
          <w:tcPr>
            <w:tcW w:w="200" w:type="dxa"/>
            <w:vAlign w:val="bottom"/>
            <w:tcBorders>
              <w:left w:val="single" w:sz="8" w:color="auto"/>
              <w:bottom w:val="single" w:sz="8" w:color="auto"/>
            </w:tcBorders>
          </w:tcPr>
          <w:p>
            <w:pPr>
              <w:spacing w:after="0"/>
              <w:rPr>
                <w:sz w:val="11"/>
                <w:szCs w:val="11"/>
                <w:color w:val="auto"/>
              </w:rPr>
            </w:pPr>
          </w:p>
        </w:tc>
        <w:tc>
          <w:tcPr>
            <w:tcW w:w="5100" w:type="dxa"/>
            <w:vAlign w:val="bottom"/>
            <w:tcBorders>
              <w:bottom w:val="single" w:sz="8" w:color="auto"/>
            </w:tcBorders>
          </w:tcPr>
          <w:p>
            <w:pPr>
              <w:ind w:left="1900"/>
              <w:spacing w:after="0"/>
              <w:rPr>
                <w:sz w:val="20"/>
                <w:szCs w:val="20"/>
                <w:color w:val="auto"/>
              </w:rPr>
            </w:pPr>
            <w:r>
              <w:rPr>
                <w:rFonts w:ascii="Times New Roman" w:cs="Times New Roman" w:eastAsia="Times New Roman" w:hAnsi="Times New Roman"/>
                <w:sz w:val="11"/>
                <w:szCs w:val="11"/>
                <w:b w:val="1"/>
                <w:bCs w:val="1"/>
                <w:color w:val="auto"/>
              </w:rPr>
              <w:t>Nomination of Directors</w:t>
            </w:r>
          </w:p>
        </w:tc>
        <w:tc>
          <w:tcPr>
            <w:tcW w:w="6020" w:type="dxa"/>
            <w:vAlign w:val="bottom"/>
            <w:tcBorders>
              <w:bottom w:val="single" w:sz="8" w:color="auto"/>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25"/>
        </w:trPr>
        <w:tc>
          <w:tcPr>
            <w:tcW w:w="200" w:type="dxa"/>
            <w:vAlign w:val="bottom"/>
            <w:tcBorders>
              <w:left w:val="single" w:sz="8" w:color="auto"/>
            </w:tcBorders>
          </w:tcPr>
          <w:p>
            <w:pPr>
              <w:jc w:val="right"/>
              <w:spacing w:after="0" w:line="125" w:lineRule="exact"/>
              <w:rPr>
                <w:sz w:val="20"/>
                <w:szCs w:val="20"/>
                <w:color w:val="auto"/>
              </w:rPr>
            </w:pPr>
            <w:r>
              <w:rPr>
                <w:rFonts w:ascii="Times New Roman" w:cs="Times New Roman" w:eastAsia="Times New Roman" w:hAnsi="Times New Roman"/>
                <w:sz w:val="11"/>
                <w:szCs w:val="11"/>
                <w:color w:val="auto"/>
              </w:rPr>
              <w:t>12.</w:t>
            </w:r>
          </w:p>
        </w:tc>
        <w:tc>
          <w:tcPr>
            <w:tcW w:w="5100" w:type="dxa"/>
            <w:vAlign w:val="bottom"/>
            <w:tcBorders>
              <w:right w:val="single" w:sz="8" w:color="auto"/>
            </w:tcBorders>
          </w:tcPr>
          <w:p>
            <w:pPr>
              <w:ind w:left="140"/>
              <w:spacing w:after="0" w:line="125" w:lineRule="exact"/>
              <w:rPr>
                <w:sz w:val="20"/>
                <w:szCs w:val="20"/>
                <w:color w:val="auto"/>
              </w:rPr>
            </w:pPr>
            <w:r>
              <w:rPr>
                <w:rFonts w:ascii="Times New Roman" w:cs="Times New Roman" w:eastAsia="Times New Roman" w:hAnsi="Times New Roman"/>
                <w:sz w:val="11"/>
                <w:szCs w:val="11"/>
                <w:color w:val="auto"/>
              </w:rPr>
              <w:t>Disclose the process by which the Board identifies new candidates for Board nomination, including: (i) who</w:t>
            </w:r>
          </w:p>
        </w:tc>
        <w:tc>
          <w:tcPr>
            <w:tcW w:w="6020" w:type="dxa"/>
            <w:vAlign w:val="bottom"/>
            <w:tcBorders>
              <w:right w:val="single" w:sz="8" w:color="auto"/>
            </w:tcBorders>
          </w:tcPr>
          <w:p>
            <w:pPr>
              <w:ind w:left="20"/>
              <w:spacing w:after="0" w:line="125" w:lineRule="exact"/>
              <w:rPr>
                <w:sz w:val="20"/>
                <w:szCs w:val="20"/>
                <w:color w:val="auto"/>
              </w:rPr>
            </w:pPr>
            <w:r>
              <w:rPr>
                <w:rFonts w:ascii="Times New Roman" w:cs="Times New Roman" w:eastAsia="Times New Roman" w:hAnsi="Times New Roman"/>
                <w:sz w:val="11"/>
                <w:szCs w:val="11"/>
                <w:color w:val="auto"/>
                <w:w w:val="99"/>
              </w:rPr>
              <w:t>The Corporate Governance and Nominating Committee is responsible for the identification and assessment of potential directors. While</w:t>
            </w:r>
          </w:p>
        </w:tc>
        <w:tc>
          <w:tcPr>
            <w:tcW w:w="0" w:type="dxa"/>
            <w:vAlign w:val="bottom"/>
          </w:tcPr>
          <w:p>
            <w:pPr>
              <w:spacing w:after="0"/>
              <w:rPr>
                <w:sz w:val="1"/>
                <w:szCs w:val="1"/>
                <w:color w:val="auto"/>
              </w:rPr>
            </w:pPr>
          </w:p>
        </w:tc>
      </w:tr>
      <w:tr>
        <w:trPr>
          <w:trHeight w:val="135"/>
        </w:trPr>
        <w:tc>
          <w:tcPr>
            <w:tcW w:w="200" w:type="dxa"/>
            <w:vAlign w:val="bottom"/>
            <w:tcBorders>
              <w:left w:val="single" w:sz="8" w:color="auto"/>
            </w:tcBorders>
          </w:tcPr>
          <w:p>
            <w:pPr>
              <w:spacing w:after="0"/>
              <w:rPr>
                <w:sz w:val="11"/>
                <w:szCs w:val="11"/>
                <w:color w:val="auto"/>
              </w:rPr>
            </w:pPr>
          </w:p>
        </w:tc>
        <w:tc>
          <w:tcPr>
            <w:tcW w:w="510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1"/>
                <w:szCs w:val="11"/>
                <w:color w:val="auto"/>
              </w:rPr>
              <w:t>identifies new candidates, and (ii) the process of identifying new candidates.</w:t>
            </w:r>
          </w:p>
        </w:tc>
        <w:tc>
          <w:tcPr>
            <w:tcW w:w="602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1"/>
                <w:szCs w:val="11"/>
                <w:color w:val="auto"/>
              </w:rPr>
              <w:t>no formal nomination procedures are in place to identify new candidates, the Corporate Governance and Nominating Committee does</w:t>
            </w:r>
          </w:p>
        </w:tc>
        <w:tc>
          <w:tcPr>
            <w:tcW w:w="0" w:type="dxa"/>
            <w:vAlign w:val="bottom"/>
          </w:tcPr>
          <w:p>
            <w:pPr>
              <w:spacing w:after="0"/>
              <w:rPr>
                <w:sz w:val="1"/>
                <w:szCs w:val="1"/>
                <w:color w:val="auto"/>
              </w:rPr>
            </w:pPr>
          </w:p>
        </w:tc>
      </w:tr>
      <w:tr>
        <w:trPr>
          <w:trHeight w:val="126"/>
        </w:trPr>
        <w:tc>
          <w:tcPr>
            <w:tcW w:w="200" w:type="dxa"/>
            <w:vAlign w:val="bottom"/>
            <w:tcBorders>
              <w:left w:val="single" w:sz="8" w:color="auto"/>
            </w:tcBorders>
          </w:tcPr>
          <w:p>
            <w:pPr>
              <w:spacing w:after="0"/>
              <w:rPr>
                <w:sz w:val="10"/>
                <w:szCs w:val="10"/>
                <w:color w:val="auto"/>
              </w:rPr>
            </w:pPr>
          </w:p>
        </w:tc>
        <w:tc>
          <w:tcPr>
            <w:tcW w:w="5100" w:type="dxa"/>
            <w:vAlign w:val="bottom"/>
            <w:tcBorders>
              <w:right w:val="single" w:sz="8" w:color="auto"/>
            </w:tcBorders>
          </w:tcPr>
          <w:p>
            <w:pPr>
              <w:spacing w:after="0"/>
              <w:rPr>
                <w:sz w:val="10"/>
                <w:szCs w:val="10"/>
                <w:color w:val="auto"/>
              </w:rPr>
            </w:pPr>
          </w:p>
        </w:tc>
        <w:tc>
          <w:tcPr>
            <w:tcW w:w="602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1"/>
                <w:szCs w:val="11"/>
                <w:color w:val="auto"/>
              </w:rPr>
              <w:t>review the experience and performance of nominees for election to the Board. Members of the Corporate Governance and Nominating</w:t>
            </w:r>
          </w:p>
        </w:tc>
        <w:tc>
          <w:tcPr>
            <w:tcW w:w="0" w:type="dxa"/>
            <w:vAlign w:val="bottom"/>
          </w:tcPr>
          <w:p>
            <w:pPr>
              <w:spacing w:after="0"/>
              <w:rPr>
                <w:sz w:val="1"/>
                <w:szCs w:val="1"/>
                <w:color w:val="auto"/>
              </w:rPr>
            </w:pPr>
          </w:p>
        </w:tc>
      </w:tr>
      <w:tr>
        <w:trPr>
          <w:trHeight w:val="135"/>
        </w:trPr>
        <w:tc>
          <w:tcPr>
            <w:tcW w:w="200" w:type="dxa"/>
            <w:vAlign w:val="bottom"/>
            <w:tcBorders>
              <w:left w:val="single" w:sz="8" w:color="auto"/>
            </w:tcBorders>
          </w:tcPr>
          <w:p>
            <w:pPr>
              <w:spacing w:after="0"/>
              <w:rPr>
                <w:sz w:val="11"/>
                <w:szCs w:val="11"/>
                <w:color w:val="auto"/>
              </w:rPr>
            </w:pPr>
          </w:p>
        </w:tc>
        <w:tc>
          <w:tcPr>
            <w:tcW w:w="5100" w:type="dxa"/>
            <w:vAlign w:val="bottom"/>
            <w:tcBorders>
              <w:right w:val="single" w:sz="8" w:color="auto"/>
            </w:tcBorders>
          </w:tcPr>
          <w:p>
            <w:pPr>
              <w:spacing w:after="0"/>
              <w:rPr>
                <w:sz w:val="11"/>
                <w:szCs w:val="11"/>
                <w:color w:val="auto"/>
              </w:rPr>
            </w:pPr>
          </w:p>
        </w:tc>
        <w:tc>
          <w:tcPr>
            <w:tcW w:w="602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1"/>
                <w:szCs w:val="11"/>
                <w:color w:val="auto"/>
                <w:w w:val="99"/>
              </w:rPr>
              <w:t>Committee are canvassed with respect to the qualifications of a prospective candidate and each candidate is evaluated with respect to his</w:t>
            </w:r>
          </w:p>
        </w:tc>
        <w:tc>
          <w:tcPr>
            <w:tcW w:w="0" w:type="dxa"/>
            <w:vAlign w:val="bottom"/>
          </w:tcPr>
          <w:p>
            <w:pPr>
              <w:spacing w:after="0"/>
              <w:rPr>
                <w:sz w:val="1"/>
                <w:szCs w:val="1"/>
                <w:color w:val="auto"/>
              </w:rPr>
            </w:pPr>
          </w:p>
        </w:tc>
      </w:tr>
      <w:tr>
        <w:trPr>
          <w:trHeight w:val="126"/>
        </w:trPr>
        <w:tc>
          <w:tcPr>
            <w:tcW w:w="200" w:type="dxa"/>
            <w:vAlign w:val="bottom"/>
            <w:tcBorders>
              <w:left w:val="single" w:sz="8" w:color="auto"/>
            </w:tcBorders>
          </w:tcPr>
          <w:p>
            <w:pPr>
              <w:spacing w:after="0"/>
              <w:rPr>
                <w:sz w:val="10"/>
                <w:szCs w:val="10"/>
                <w:color w:val="auto"/>
              </w:rPr>
            </w:pPr>
          </w:p>
        </w:tc>
        <w:tc>
          <w:tcPr>
            <w:tcW w:w="5100" w:type="dxa"/>
            <w:vAlign w:val="bottom"/>
            <w:tcBorders>
              <w:right w:val="single" w:sz="8" w:color="auto"/>
            </w:tcBorders>
          </w:tcPr>
          <w:p>
            <w:pPr>
              <w:spacing w:after="0"/>
              <w:rPr>
                <w:sz w:val="10"/>
                <w:szCs w:val="10"/>
                <w:color w:val="auto"/>
              </w:rPr>
            </w:pPr>
          </w:p>
        </w:tc>
        <w:tc>
          <w:tcPr>
            <w:tcW w:w="602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1"/>
                <w:szCs w:val="11"/>
                <w:color w:val="auto"/>
              </w:rPr>
              <w:t>or her experience and expertise, with particular attention paid to those areas of expertise that could complement and enhance current</w:t>
            </w:r>
          </w:p>
        </w:tc>
        <w:tc>
          <w:tcPr>
            <w:tcW w:w="0" w:type="dxa"/>
            <w:vAlign w:val="bottom"/>
          </w:tcPr>
          <w:p>
            <w:pPr>
              <w:spacing w:after="0"/>
              <w:rPr>
                <w:sz w:val="1"/>
                <w:szCs w:val="1"/>
                <w:color w:val="auto"/>
              </w:rPr>
            </w:pPr>
          </w:p>
        </w:tc>
      </w:tr>
      <w:tr>
        <w:trPr>
          <w:trHeight w:val="126"/>
        </w:trPr>
        <w:tc>
          <w:tcPr>
            <w:tcW w:w="200" w:type="dxa"/>
            <w:vAlign w:val="bottom"/>
            <w:tcBorders>
              <w:left w:val="single" w:sz="8" w:color="auto"/>
            </w:tcBorders>
          </w:tcPr>
          <w:p>
            <w:pPr>
              <w:spacing w:after="0"/>
              <w:rPr>
                <w:sz w:val="10"/>
                <w:szCs w:val="10"/>
                <w:color w:val="auto"/>
              </w:rPr>
            </w:pPr>
          </w:p>
        </w:tc>
        <w:tc>
          <w:tcPr>
            <w:tcW w:w="5100" w:type="dxa"/>
            <w:vAlign w:val="bottom"/>
            <w:tcBorders>
              <w:right w:val="single" w:sz="8" w:color="auto"/>
            </w:tcBorders>
          </w:tcPr>
          <w:p>
            <w:pPr>
              <w:spacing w:after="0"/>
              <w:rPr>
                <w:sz w:val="10"/>
                <w:szCs w:val="10"/>
                <w:color w:val="auto"/>
              </w:rPr>
            </w:pPr>
          </w:p>
        </w:tc>
        <w:tc>
          <w:tcPr>
            <w:tcW w:w="602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1"/>
                <w:szCs w:val="11"/>
                <w:color w:val="auto"/>
              </w:rPr>
              <w:t>management. The Corporate Governance and Nominating Committee also assesses any potential conflicts, independence or time</w:t>
            </w:r>
          </w:p>
        </w:tc>
        <w:tc>
          <w:tcPr>
            <w:tcW w:w="0" w:type="dxa"/>
            <w:vAlign w:val="bottom"/>
          </w:tcPr>
          <w:p>
            <w:pPr>
              <w:spacing w:after="0"/>
              <w:rPr>
                <w:sz w:val="1"/>
                <w:szCs w:val="1"/>
                <w:color w:val="auto"/>
              </w:rPr>
            </w:pPr>
          </w:p>
        </w:tc>
      </w:tr>
      <w:tr>
        <w:trPr>
          <w:trHeight w:val="140"/>
        </w:trPr>
        <w:tc>
          <w:tcPr>
            <w:tcW w:w="200" w:type="dxa"/>
            <w:vAlign w:val="bottom"/>
            <w:tcBorders>
              <w:left w:val="single" w:sz="8" w:color="auto"/>
            </w:tcBorders>
          </w:tcPr>
          <w:p>
            <w:pPr>
              <w:spacing w:after="0"/>
              <w:rPr>
                <w:sz w:val="12"/>
                <w:szCs w:val="12"/>
                <w:color w:val="auto"/>
              </w:rPr>
            </w:pPr>
          </w:p>
        </w:tc>
        <w:tc>
          <w:tcPr>
            <w:tcW w:w="5100" w:type="dxa"/>
            <w:vAlign w:val="bottom"/>
            <w:tcBorders>
              <w:right w:val="single" w:sz="8" w:color="auto"/>
            </w:tcBorders>
          </w:tcPr>
          <w:p>
            <w:pPr>
              <w:spacing w:after="0"/>
              <w:rPr>
                <w:sz w:val="12"/>
                <w:szCs w:val="12"/>
                <w:color w:val="auto"/>
              </w:rPr>
            </w:pPr>
          </w:p>
        </w:tc>
        <w:tc>
          <w:tcPr>
            <w:tcW w:w="602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1"/>
                <w:szCs w:val="11"/>
                <w:color w:val="auto"/>
              </w:rPr>
              <w:t>commitment concerns that the candidate may present.</w:t>
            </w:r>
          </w:p>
        </w:tc>
        <w:tc>
          <w:tcPr>
            <w:tcW w:w="0" w:type="dxa"/>
            <w:vAlign w:val="bottom"/>
          </w:tcPr>
          <w:p>
            <w:pPr>
              <w:spacing w:after="0"/>
              <w:rPr>
                <w:sz w:val="1"/>
                <w:szCs w:val="1"/>
                <w:color w:val="auto"/>
              </w:rPr>
            </w:pPr>
          </w:p>
        </w:tc>
      </w:tr>
      <w:tr>
        <w:trPr>
          <w:trHeight w:val="94"/>
        </w:trPr>
        <w:tc>
          <w:tcPr>
            <w:tcW w:w="200" w:type="dxa"/>
            <w:vAlign w:val="bottom"/>
            <w:tcBorders>
              <w:left w:val="single" w:sz="8" w:color="auto"/>
              <w:bottom w:val="single" w:sz="8" w:color="auto"/>
            </w:tcBorders>
          </w:tcPr>
          <w:p>
            <w:pPr>
              <w:spacing w:after="0"/>
              <w:rPr>
                <w:sz w:val="8"/>
                <w:szCs w:val="8"/>
                <w:color w:val="auto"/>
              </w:rPr>
            </w:pPr>
          </w:p>
        </w:tc>
        <w:tc>
          <w:tcPr>
            <w:tcW w:w="5100" w:type="dxa"/>
            <w:vAlign w:val="bottom"/>
            <w:tcBorders>
              <w:bottom w:val="single" w:sz="8" w:color="auto"/>
              <w:right w:val="single" w:sz="8" w:color="auto"/>
            </w:tcBorders>
          </w:tcPr>
          <w:p>
            <w:pPr>
              <w:spacing w:after="0"/>
              <w:rPr>
                <w:sz w:val="8"/>
                <w:szCs w:val="8"/>
                <w:color w:val="auto"/>
              </w:rPr>
            </w:pPr>
          </w:p>
        </w:tc>
        <w:tc>
          <w:tcPr>
            <w:tcW w:w="6020" w:type="dxa"/>
            <w:vAlign w:val="bottom"/>
            <w:tcBorders>
              <w:bottom w:val="single" w:sz="8" w:color="auto"/>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132"/>
        </w:trPr>
        <w:tc>
          <w:tcPr>
            <w:tcW w:w="200" w:type="dxa"/>
            <w:vAlign w:val="bottom"/>
            <w:tcBorders>
              <w:left w:val="single" w:sz="8" w:color="auto"/>
              <w:bottom w:val="single" w:sz="8" w:color="auto"/>
            </w:tcBorders>
          </w:tcPr>
          <w:p>
            <w:pPr>
              <w:spacing w:after="0"/>
              <w:rPr>
                <w:sz w:val="11"/>
                <w:szCs w:val="11"/>
                <w:color w:val="auto"/>
              </w:rPr>
            </w:pPr>
          </w:p>
        </w:tc>
        <w:tc>
          <w:tcPr>
            <w:tcW w:w="5100" w:type="dxa"/>
            <w:vAlign w:val="bottom"/>
            <w:tcBorders>
              <w:bottom w:val="single" w:sz="8" w:color="auto"/>
            </w:tcBorders>
          </w:tcPr>
          <w:p>
            <w:pPr>
              <w:jc w:val="center"/>
              <w:ind w:right="146"/>
              <w:spacing w:after="0"/>
              <w:rPr>
                <w:sz w:val="20"/>
                <w:szCs w:val="20"/>
                <w:color w:val="auto"/>
              </w:rPr>
            </w:pPr>
            <w:r>
              <w:rPr>
                <w:rFonts w:ascii="Times New Roman" w:cs="Times New Roman" w:eastAsia="Times New Roman" w:hAnsi="Times New Roman"/>
                <w:sz w:val="11"/>
                <w:szCs w:val="11"/>
                <w:b w:val="1"/>
                <w:bCs w:val="1"/>
                <w:color w:val="auto"/>
                <w:w w:val="97"/>
              </w:rPr>
              <w:t>Compensation</w:t>
            </w:r>
          </w:p>
        </w:tc>
        <w:tc>
          <w:tcPr>
            <w:tcW w:w="6020" w:type="dxa"/>
            <w:vAlign w:val="bottom"/>
            <w:tcBorders>
              <w:bottom w:val="single" w:sz="8" w:color="auto"/>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07"/>
        </w:trPr>
        <w:tc>
          <w:tcPr>
            <w:tcW w:w="5300" w:type="dxa"/>
            <w:vAlign w:val="bottom"/>
            <w:tcBorders>
              <w:left w:val="single" w:sz="8" w:color="auto"/>
              <w:right w:val="single" w:sz="8" w:color="auto"/>
            </w:tcBorders>
            <w:gridSpan w:val="2"/>
          </w:tcPr>
          <w:p>
            <w:pPr>
              <w:jc w:val="center"/>
              <w:spacing w:after="0" w:line="107" w:lineRule="exact"/>
              <w:rPr>
                <w:sz w:val="20"/>
                <w:szCs w:val="20"/>
                <w:color w:val="auto"/>
              </w:rPr>
            </w:pPr>
            <w:r>
              <w:rPr>
                <w:rFonts w:ascii="Times New Roman" w:cs="Times New Roman" w:eastAsia="Times New Roman" w:hAnsi="Times New Roman"/>
                <w:sz w:val="11"/>
                <w:szCs w:val="11"/>
                <w:color w:val="auto"/>
              </w:rPr>
              <w:t>13.  Disclose what steps, if any, are taken to determine compensation for the directors and officers, including: (i) who</w:t>
            </w:r>
          </w:p>
        </w:tc>
        <w:tc>
          <w:tcPr>
            <w:tcW w:w="6020" w:type="dxa"/>
            <w:vAlign w:val="bottom"/>
            <w:tcBorders>
              <w:right w:val="single" w:sz="8" w:color="auto"/>
            </w:tcBorders>
          </w:tcPr>
          <w:p>
            <w:pPr>
              <w:spacing w:after="0" w:line="107" w:lineRule="exact"/>
              <w:rPr>
                <w:sz w:val="20"/>
                <w:szCs w:val="20"/>
                <w:color w:val="auto"/>
              </w:rPr>
            </w:pPr>
            <w:r>
              <w:rPr>
                <w:rFonts w:ascii="Times New Roman" w:cs="Times New Roman" w:eastAsia="Times New Roman" w:hAnsi="Times New Roman"/>
                <w:sz w:val="11"/>
                <w:szCs w:val="11"/>
                <w:color w:val="auto"/>
              </w:rPr>
              <w:t>The process undertaken by the Board and the Compensation Committee in respect of compensation is more fully described in the</w:t>
            </w:r>
          </w:p>
        </w:tc>
        <w:tc>
          <w:tcPr>
            <w:tcW w:w="0" w:type="dxa"/>
            <w:vAlign w:val="bottom"/>
          </w:tcPr>
          <w:p>
            <w:pPr>
              <w:spacing w:after="0"/>
              <w:rPr>
                <w:sz w:val="1"/>
                <w:szCs w:val="1"/>
                <w:color w:val="auto"/>
              </w:rPr>
            </w:pPr>
          </w:p>
        </w:tc>
      </w:tr>
      <w:tr>
        <w:trPr>
          <w:trHeight w:val="158"/>
        </w:trPr>
        <w:tc>
          <w:tcPr>
            <w:tcW w:w="200" w:type="dxa"/>
            <w:vAlign w:val="bottom"/>
            <w:tcBorders>
              <w:left w:val="single" w:sz="8" w:color="auto"/>
            </w:tcBorders>
          </w:tcPr>
          <w:p>
            <w:pPr>
              <w:spacing w:after="0"/>
              <w:rPr>
                <w:sz w:val="13"/>
                <w:szCs w:val="13"/>
                <w:color w:val="auto"/>
              </w:rPr>
            </w:pPr>
          </w:p>
        </w:tc>
        <w:tc>
          <w:tcPr>
            <w:tcW w:w="510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1"/>
                <w:szCs w:val="11"/>
                <w:color w:val="auto"/>
              </w:rPr>
              <w:t>determines compensation, and (ii) the process of determining compensation.</w:t>
            </w:r>
          </w:p>
        </w:tc>
        <w:tc>
          <w:tcPr>
            <w:tcW w:w="602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1"/>
                <w:szCs w:val="11"/>
                <w:color w:val="auto"/>
              </w:rPr>
              <w:t>“Compensation Discussion and Analysis” section of the accompanying Circular.</w:t>
            </w:r>
          </w:p>
        </w:tc>
        <w:tc>
          <w:tcPr>
            <w:tcW w:w="0" w:type="dxa"/>
            <w:vAlign w:val="bottom"/>
          </w:tcPr>
          <w:p>
            <w:pPr>
              <w:spacing w:after="0"/>
              <w:rPr>
                <w:sz w:val="1"/>
                <w:szCs w:val="1"/>
                <w:color w:val="auto"/>
              </w:rPr>
            </w:pPr>
          </w:p>
        </w:tc>
      </w:tr>
      <w:tr>
        <w:trPr>
          <w:trHeight w:val="94"/>
        </w:trPr>
        <w:tc>
          <w:tcPr>
            <w:tcW w:w="200" w:type="dxa"/>
            <w:vAlign w:val="bottom"/>
            <w:tcBorders>
              <w:left w:val="single" w:sz="8" w:color="auto"/>
              <w:bottom w:val="single" w:sz="8" w:color="auto"/>
            </w:tcBorders>
          </w:tcPr>
          <w:p>
            <w:pPr>
              <w:spacing w:after="0"/>
              <w:rPr>
                <w:sz w:val="8"/>
                <w:szCs w:val="8"/>
                <w:color w:val="auto"/>
              </w:rPr>
            </w:pPr>
          </w:p>
        </w:tc>
        <w:tc>
          <w:tcPr>
            <w:tcW w:w="5100" w:type="dxa"/>
            <w:vAlign w:val="bottom"/>
            <w:tcBorders>
              <w:bottom w:val="single" w:sz="8" w:color="auto"/>
              <w:right w:val="single" w:sz="8" w:color="auto"/>
            </w:tcBorders>
          </w:tcPr>
          <w:p>
            <w:pPr>
              <w:spacing w:after="0"/>
              <w:rPr>
                <w:sz w:val="8"/>
                <w:szCs w:val="8"/>
                <w:color w:val="auto"/>
              </w:rPr>
            </w:pPr>
          </w:p>
        </w:tc>
        <w:tc>
          <w:tcPr>
            <w:tcW w:w="6020" w:type="dxa"/>
            <w:vAlign w:val="bottom"/>
            <w:tcBorders>
              <w:bottom w:val="single" w:sz="8" w:color="auto"/>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132"/>
        </w:trPr>
        <w:tc>
          <w:tcPr>
            <w:tcW w:w="200" w:type="dxa"/>
            <w:vAlign w:val="bottom"/>
            <w:tcBorders>
              <w:left w:val="single" w:sz="8" w:color="auto"/>
              <w:bottom w:val="single" w:sz="8" w:color="auto"/>
            </w:tcBorders>
          </w:tcPr>
          <w:p>
            <w:pPr>
              <w:spacing w:after="0"/>
              <w:rPr>
                <w:sz w:val="11"/>
                <w:szCs w:val="11"/>
                <w:color w:val="auto"/>
              </w:rPr>
            </w:pPr>
          </w:p>
        </w:tc>
        <w:tc>
          <w:tcPr>
            <w:tcW w:w="5100" w:type="dxa"/>
            <w:vAlign w:val="bottom"/>
            <w:tcBorders>
              <w:bottom w:val="single" w:sz="8" w:color="auto"/>
            </w:tcBorders>
          </w:tcPr>
          <w:p>
            <w:pPr>
              <w:ind w:left="1900"/>
              <w:spacing w:after="0"/>
              <w:rPr>
                <w:sz w:val="20"/>
                <w:szCs w:val="20"/>
                <w:color w:val="auto"/>
              </w:rPr>
            </w:pPr>
            <w:r>
              <w:rPr>
                <w:rFonts w:ascii="Times New Roman" w:cs="Times New Roman" w:eastAsia="Times New Roman" w:hAnsi="Times New Roman"/>
                <w:sz w:val="11"/>
                <w:szCs w:val="11"/>
                <w:b w:val="1"/>
                <w:bCs w:val="1"/>
                <w:color w:val="auto"/>
              </w:rPr>
              <w:t>Other Board Committees</w:t>
            </w:r>
          </w:p>
        </w:tc>
        <w:tc>
          <w:tcPr>
            <w:tcW w:w="6020" w:type="dxa"/>
            <w:vAlign w:val="bottom"/>
            <w:tcBorders>
              <w:bottom w:val="single" w:sz="8" w:color="auto"/>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25"/>
        </w:trPr>
        <w:tc>
          <w:tcPr>
            <w:tcW w:w="5300" w:type="dxa"/>
            <w:vAlign w:val="bottom"/>
            <w:tcBorders>
              <w:left w:val="single" w:sz="8" w:color="auto"/>
              <w:right w:val="single" w:sz="8" w:color="auto"/>
            </w:tcBorders>
            <w:gridSpan w:val="2"/>
          </w:tcPr>
          <w:p>
            <w:pPr>
              <w:jc w:val="center"/>
              <w:spacing w:after="0" w:line="125" w:lineRule="exact"/>
              <w:rPr>
                <w:sz w:val="20"/>
                <w:szCs w:val="20"/>
                <w:color w:val="auto"/>
              </w:rPr>
            </w:pPr>
            <w:r>
              <w:rPr>
                <w:rFonts w:ascii="Times New Roman" w:cs="Times New Roman" w:eastAsia="Times New Roman" w:hAnsi="Times New Roman"/>
                <w:sz w:val="11"/>
                <w:szCs w:val="11"/>
                <w:color w:val="auto"/>
                <w:w w:val="99"/>
              </w:rPr>
              <w:t>14.  If the Board has standing committees other than the audit, compensation and nominating committees, identify the</w:t>
            </w:r>
          </w:p>
        </w:tc>
        <w:tc>
          <w:tcPr>
            <w:tcW w:w="6020" w:type="dxa"/>
            <w:vAlign w:val="bottom"/>
            <w:tcBorders>
              <w:right w:val="single" w:sz="8" w:color="auto"/>
            </w:tcBorders>
          </w:tcPr>
          <w:p>
            <w:pPr>
              <w:ind w:left="20"/>
              <w:spacing w:after="0" w:line="125" w:lineRule="exact"/>
              <w:rPr>
                <w:sz w:val="20"/>
                <w:szCs w:val="20"/>
                <w:color w:val="auto"/>
              </w:rPr>
            </w:pPr>
            <w:r>
              <w:rPr>
                <w:rFonts w:ascii="Times New Roman" w:cs="Times New Roman" w:eastAsia="Times New Roman" w:hAnsi="Times New Roman"/>
                <w:sz w:val="11"/>
                <w:szCs w:val="11"/>
                <w:color w:val="auto"/>
                <w:w w:val="99"/>
              </w:rPr>
              <w:t>The Board does not have any standing committees other than the Corporate Governance and Nominating Committee, the Compensation</w:t>
            </w:r>
          </w:p>
        </w:tc>
        <w:tc>
          <w:tcPr>
            <w:tcW w:w="0" w:type="dxa"/>
            <w:vAlign w:val="bottom"/>
          </w:tcPr>
          <w:p>
            <w:pPr>
              <w:spacing w:after="0"/>
              <w:rPr>
                <w:sz w:val="1"/>
                <w:szCs w:val="1"/>
                <w:color w:val="auto"/>
              </w:rPr>
            </w:pPr>
          </w:p>
        </w:tc>
      </w:tr>
      <w:tr>
        <w:trPr>
          <w:trHeight w:val="140"/>
        </w:trPr>
        <w:tc>
          <w:tcPr>
            <w:tcW w:w="200" w:type="dxa"/>
            <w:vAlign w:val="bottom"/>
            <w:tcBorders>
              <w:left w:val="single" w:sz="8" w:color="auto"/>
            </w:tcBorders>
          </w:tcPr>
          <w:p>
            <w:pPr>
              <w:spacing w:after="0"/>
              <w:rPr>
                <w:sz w:val="12"/>
                <w:szCs w:val="12"/>
                <w:color w:val="auto"/>
              </w:rPr>
            </w:pPr>
          </w:p>
        </w:tc>
        <w:tc>
          <w:tcPr>
            <w:tcW w:w="510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1"/>
                <w:szCs w:val="11"/>
                <w:color w:val="auto"/>
              </w:rPr>
              <w:t>committees and describe their function.</w:t>
            </w:r>
          </w:p>
        </w:tc>
        <w:tc>
          <w:tcPr>
            <w:tcW w:w="602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1"/>
                <w:szCs w:val="11"/>
                <w:color w:val="auto"/>
              </w:rPr>
              <w:t>Committee and the Audit Committee.</w:t>
            </w:r>
          </w:p>
        </w:tc>
        <w:tc>
          <w:tcPr>
            <w:tcW w:w="0" w:type="dxa"/>
            <w:vAlign w:val="bottom"/>
          </w:tcPr>
          <w:p>
            <w:pPr>
              <w:spacing w:after="0"/>
              <w:rPr>
                <w:sz w:val="1"/>
                <w:szCs w:val="1"/>
                <w:color w:val="auto"/>
              </w:rPr>
            </w:pPr>
          </w:p>
        </w:tc>
      </w:tr>
      <w:tr>
        <w:trPr>
          <w:trHeight w:val="94"/>
        </w:trPr>
        <w:tc>
          <w:tcPr>
            <w:tcW w:w="200" w:type="dxa"/>
            <w:vAlign w:val="bottom"/>
            <w:tcBorders>
              <w:left w:val="single" w:sz="8" w:color="auto"/>
              <w:bottom w:val="single" w:sz="8" w:color="auto"/>
            </w:tcBorders>
          </w:tcPr>
          <w:p>
            <w:pPr>
              <w:spacing w:after="0"/>
              <w:rPr>
                <w:sz w:val="8"/>
                <w:szCs w:val="8"/>
                <w:color w:val="auto"/>
              </w:rPr>
            </w:pPr>
          </w:p>
        </w:tc>
        <w:tc>
          <w:tcPr>
            <w:tcW w:w="5100" w:type="dxa"/>
            <w:vAlign w:val="bottom"/>
            <w:tcBorders>
              <w:bottom w:val="single" w:sz="8" w:color="auto"/>
              <w:right w:val="single" w:sz="8" w:color="auto"/>
            </w:tcBorders>
          </w:tcPr>
          <w:p>
            <w:pPr>
              <w:spacing w:after="0"/>
              <w:rPr>
                <w:sz w:val="8"/>
                <w:szCs w:val="8"/>
                <w:color w:val="auto"/>
              </w:rPr>
            </w:pPr>
          </w:p>
        </w:tc>
        <w:tc>
          <w:tcPr>
            <w:tcW w:w="6020" w:type="dxa"/>
            <w:vAlign w:val="bottom"/>
            <w:tcBorders>
              <w:bottom w:val="single" w:sz="8" w:color="auto"/>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132"/>
        </w:trPr>
        <w:tc>
          <w:tcPr>
            <w:tcW w:w="200" w:type="dxa"/>
            <w:vAlign w:val="bottom"/>
            <w:tcBorders>
              <w:left w:val="single" w:sz="8" w:color="auto"/>
              <w:bottom w:val="single" w:sz="8" w:color="auto"/>
            </w:tcBorders>
          </w:tcPr>
          <w:p>
            <w:pPr>
              <w:spacing w:after="0"/>
              <w:rPr>
                <w:sz w:val="11"/>
                <w:szCs w:val="11"/>
                <w:color w:val="auto"/>
              </w:rPr>
            </w:pPr>
          </w:p>
        </w:tc>
        <w:tc>
          <w:tcPr>
            <w:tcW w:w="5100" w:type="dxa"/>
            <w:vAlign w:val="bottom"/>
            <w:tcBorders>
              <w:bottom w:val="single" w:sz="8" w:color="auto"/>
            </w:tcBorders>
          </w:tcPr>
          <w:p>
            <w:pPr>
              <w:ind w:left="2120"/>
              <w:spacing w:after="0"/>
              <w:rPr>
                <w:sz w:val="20"/>
                <w:szCs w:val="20"/>
                <w:color w:val="auto"/>
              </w:rPr>
            </w:pPr>
            <w:r>
              <w:rPr>
                <w:rFonts w:ascii="Times New Roman" w:cs="Times New Roman" w:eastAsia="Times New Roman" w:hAnsi="Times New Roman"/>
                <w:sz w:val="11"/>
                <w:szCs w:val="11"/>
                <w:b w:val="1"/>
                <w:bCs w:val="1"/>
                <w:color w:val="auto"/>
              </w:rPr>
              <w:t>Assessments</w:t>
            </w:r>
          </w:p>
        </w:tc>
        <w:tc>
          <w:tcPr>
            <w:tcW w:w="6020" w:type="dxa"/>
            <w:vAlign w:val="bottom"/>
            <w:tcBorders>
              <w:bottom w:val="single" w:sz="8" w:color="auto"/>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25"/>
        </w:trPr>
        <w:tc>
          <w:tcPr>
            <w:tcW w:w="5300" w:type="dxa"/>
            <w:vAlign w:val="bottom"/>
            <w:tcBorders>
              <w:left w:val="single" w:sz="8" w:color="auto"/>
              <w:right w:val="single" w:sz="8" w:color="auto"/>
            </w:tcBorders>
            <w:gridSpan w:val="2"/>
          </w:tcPr>
          <w:p>
            <w:pPr>
              <w:jc w:val="center"/>
              <w:spacing w:after="0" w:line="125" w:lineRule="exact"/>
              <w:rPr>
                <w:sz w:val="20"/>
                <w:szCs w:val="20"/>
                <w:color w:val="auto"/>
              </w:rPr>
            </w:pPr>
            <w:r>
              <w:rPr>
                <w:rFonts w:ascii="Times New Roman" w:cs="Times New Roman" w:eastAsia="Times New Roman" w:hAnsi="Times New Roman"/>
                <w:sz w:val="11"/>
                <w:szCs w:val="11"/>
                <w:color w:val="auto"/>
              </w:rPr>
              <w:t>15.  Disclose whether or not the Board, its committees and individual directors are regularly assessed with respect to</w:t>
            </w:r>
          </w:p>
        </w:tc>
        <w:tc>
          <w:tcPr>
            <w:tcW w:w="6020" w:type="dxa"/>
            <w:vAlign w:val="bottom"/>
            <w:tcBorders>
              <w:right w:val="single" w:sz="8" w:color="auto"/>
            </w:tcBorders>
          </w:tcPr>
          <w:p>
            <w:pPr>
              <w:ind w:left="20"/>
              <w:spacing w:after="0" w:line="125" w:lineRule="exact"/>
              <w:rPr>
                <w:sz w:val="20"/>
                <w:szCs w:val="20"/>
                <w:color w:val="auto"/>
              </w:rPr>
            </w:pPr>
            <w:r>
              <w:rPr>
                <w:rFonts w:ascii="Times New Roman" w:cs="Times New Roman" w:eastAsia="Times New Roman" w:hAnsi="Times New Roman"/>
                <w:sz w:val="11"/>
                <w:szCs w:val="11"/>
                <w:color w:val="auto"/>
              </w:rPr>
              <w:t>The entire Board will evaluate the effectiveness of the Board, its committees and individual directors on an annual basis. To facilitate</w:t>
            </w:r>
          </w:p>
        </w:tc>
        <w:tc>
          <w:tcPr>
            <w:tcW w:w="0" w:type="dxa"/>
            <w:vAlign w:val="bottom"/>
          </w:tcPr>
          <w:p>
            <w:pPr>
              <w:spacing w:after="0"/>
              <w:rPr>
                <w:sz w:val="1"/>
                <w:szCs w:val="1"/>
                <w:color w:val="auto"/>
              </w:rPr>
            </w:pPr>
          </w:p>
        </w:tc>
      </w:tr>
      <w:tr>
        <w:trPr>
          <w:trHeight w:val="135"/>
        </w:trPr>
        <w:tc>
          <w:tcPr>
            <w:tcW w:w="200" w:type="dxa"/>
            <w:vAlign w:val="bottom"/>
            <w:tcBorders>
              <w:left w:val="single" w:sz="8" w:color="auto"/>
            </w:tcBorders>
          </w:tcPr>
          <w:p>
            <w:pPr>
              <w:spacing w:after="0"/>
              <w:rPr>
                <w:sz w:val="11"/>
                <w:szCs w:val="11"/>
                <w:color w:val="auto"/>
              </w:rPr>
            </w:pPr>
          </w:p>
        </w:tc>
        <w:tc>
          <w:tcPr>
            <w:tcW w:w="510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1"/>
                <w:szCs w:val="11"/>
                <w:color w:val="auto"/>
              </w:rPr>
              <w:t>their effectiveness and contribution. If assessments are regularly conducted, describe the process used for the</w:t>
            </w:r>
          </w:p>
        </w:tc>
        <w:tc>
          <w:tcPr>
            <w:tcW w:w="602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1"/>
                <w:szCs w:val="11"/>
                <w:color w:val="auto"/>
              </w:rPr>
              <w:t>this evaluation, each committee will conduct an annual assessment of its performance, consisting of a review of its charter, the</w:t>
            </w:r>
          </w:p>
        </w:tc>
        <w:tc>
          <w:tcPr>
            <w:tcW w:w="0" w:type="dxa"/>
            <w:vAlign w:val="bottom"/>
          </w:tcPr>
          <w:p>
            <w:pPr>
              <w:spacing w:after="0"/>
              <w:rPr>
                <w:sz w:val="1"/>
                <w:szCs w:val="1"/>
                <w:color w:val="auto"/>
              </w:rPr>
            </w:pPr>
          </w:p>
        </w:tc>
      </w:tr>
      <w:tr>
        <w:trPr>
          <w:trHeight w:val="126"/>
        </w:trPr>
        <w:tc>
          <w:tcPr>
            <w:tcW w:w="200" w:type="dxa"/>
            <w:vAlign w:val="bottom"/>
            <w:tcBorders>
              <w:left w:val="single" w:sz="8" w:color="auto"/>
            </w:tcBorders>
          </w:tcPr>
          <w:p>
            <w:pPr>
              <w:spacing w:after="0"/>
              <w:rPr>
                <w:sz w:val="10"/>
                <w:szCs w:val="10"/>
                <w:color w:val="auto"/>
              </w:rPr>
            </w:pPr>
          </w:p>
        </w:tc>
        <w:tc>
          <w:tcPr>
            <w:tcW w:w="510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1"/>
                <w:szCs w:val="11"/>
                <w:color w:val="auto"/>
              </w:rPr>
              <w:t>assessments. If assessments are not regularly conducted, describe how the Board satisfies itself that the Board, its</w:t>
            </w:r>
          </w:p>
        </w:tc>
        <w:tc>
          <w:tcPr>
            <w:tcW w:w="602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1"/>
                <w:szCs w:val="11"/>
                <w:color w:val="auto"/>
              </w:rPr>
              <w:t>performance of the committee as a whole and the performance of the committee Chair.</w:t>
            </w:r>
          </w:p>
        </w:tc>
        <w:tc>
          <w:tcPr>
            <w:tcW w:w="0" w:type="dxa"/>
            <w:vAlign w:val="bottom"/>
          </w:tcPr>
          <w:p>
            <w:pPr>
              <w:spacing w:after="0"/>
              <w:rPr>
                <w:sz w:val="1"/>
                <w:szCs w:val="1"/>
                <w:color w:val="auto"/>
              </w:rPr>
            </w:pPr>
          </w:p>
        </w:tc>
      </w:tr>
      <w:tr>
        <w:trPr>
          <w:trHeight w:val="140"/>
        </w:trPr>
        <w:tc>
          <w:tcPr>
            <w:tcW w:w="200" w:type="dxa"/>
            <w:vAlign w:val="bottom"/>
            <w:tcBorders>
              <w:left w:val="single" w:sz="8" w:color="auto"/>
            </w:tcBorders>
          </w:tcPr>
          <w:p>
            <w:pPr>
              <w:spacing w:after="0"/>
              <w:rPr>
                <w:sz w:val="12"/>
                <w:szCs w:val="12"/>
                <w:color w:val="auto"/>
              </w:rPr>
            </w:pPr>
          </w:p>
        </w:tc>
        <w:tc>
          <w:tcPr>
            <w:tcW w:w="510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1"/>
                <w:szCs w:val="11"/>
                <w:color w:val="auto"/>
              </w:rPr>
              <w:t>committees, and its individual Trustees are performing effectively.</w:t>
            </w:r>
          </w:p>
        </w:tc>
        <w:tc>
          <w:tcPr>
            <w:tcW w:w="602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94"/>
        </w:trPr>
        <w:tc>
          <w:tcPr>
            <w:tcW w:w="200" w:type="dxa"/>
            <w:vAlign w:val="bottom"/>
            <w:tcBorders>
              <w:left w:val="single" w:sz="8" w:color="auto"/>
              <w:bottom w:val="single" w:sz="8" w:color="auto"/>
            </w:tcBorders>
          </w:tcPr>
          <w:p>
            <w:pPr>
              <w:spacing w:after="0"/>
              <w:rPr>
                <w:sz w:val="8"/>
                <w:szCs w:val="8"/>
                <w:color w:val="auto"/>
              </w:rPr>
            </w:pPr>
          </w:p>
        </w:tc>
        <w:tc>
          <w:tcPr>
            <w:tcW w:w="5100" w:type="dxa"/>
            <w:vAlign w:val="bottom"/>
            <w:tcBorders>
              <w:bottom w:val="single" w:sz="8" w:color="auto"/>
              <w:right w:val="single" w:sz="8" w:color="auto"/>
            </w:tcBorders>
          </w:tcPr>
          <w:p>
            <w:pPr>
              <w:spacing w:after="0"/>
              <w:rPr>
                <w:sz w:val="8"/>
                <w:szCs w:val="8"/>
                <w:color w:val="auto"/>
              </w:rPr>
            </w:pPr>
          </w:p>
        </w:tc>
        <w:tc>
          <w:tcPr>
            <w:tcW w:w="6020" w:type="dxa"/>
            <w:vAlign w:val="bottom"/>
            <w:tcBorders>
              <w:bottom w:val="single" w:sz="8" w:color="auto"/>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132"/>
        </w:trPr>
        <w:tc>
          <w:tcPr>
            <w:tcW w:w="200" w:type="dxa"/>
            <w:vAlign w:val="bottom"/>
            <w:tcBorders>
              <w:left w:val="single" w:sz="8" w:color="auto"/>
              <w:bottom w:val="single" w:sz="8" w:color="auto"/>
            </w:tcBorders>
          </w:tcPr>
          <w:p>
            <w:pPr>
              <w:spacing w:after="0"/>
              <w:rPr>
                <w:sz w:val="11"/>
                <w:szCs w:val="11"/>
                <w:color w:val="auto"/>
              </w:rPr>
            </w:pPr>
          </w:p>
        </w:tc>
        <w:tc>
          <w:tcPr>
            <w:tcW w:w="11120" w:type="dxa"/>
            <w:vAlign w:val="bottom"/>
            <w:tcBorders>
              <w:bottom w:val="single" w:sz="8" w:color="auto"/>
              <w:right w:val="single" w:sz="8" w:color="auto"/>
            </w:tcBorders>
            <w:gridSpan w:val="2"/>
          </w:tcPr>
          <w:p>
            <w:pPr>
              <w:ind w:left="3980"/>
              <w:spacing w:after="0"/>
              <w:rPr>
                <w:sz w:val="20"/>
                <w:szCs w:val="20"/>
                <w:color w:val="auto"/>
              </w:rPr>
            </w:pPr>
            <w:r>
              <w:rPr>
                <w:rFonts w:ascii="Times New Roman" w:cs="Times New Roman" w:eastAsia="Times New Roman" w:hAnsi="Times New Roman"/>
                <w:sz w:val="11"/>
                <w:szCs w:val="11"/>
                <w:b w:val="1"/>
                <w:bCs w:val="1"/>
                <w:color w:val="auto"/>
              </w:rPr>
              <w:t>Director Term Limits and Other Mechanisms of Board Renewal</w:t>
            </w:r>
          </w:p>
        </w:tc>
        <w:tc>
          <w:tcPr>
            <w:tcW w:w="0" w:type="dxa"/>
            <w:vAlign w:val="bottom"/>
          </w:tcPr>
          <w:p>
            <w:pPr>
              <w:spacing w:after="0"/>
              <w:rPr>
                <w:sz w:val="1"/>
                <w:szCs w:val="1"/>
                <w:color w:val="auto"/>
              </w:rPr>
            </w:pPr>
          </w:p>
        </w:tc>
      </w:tr>
      <w:tr>
        <w:trPr>
          <w:trHeight w:val="125"/>
        </w:trPr>
        <w:tc>
          <w:tcPr>
            <w:tcW w:w="5300" w:type="dxa"/>
            <w:vAlign w:val="bottom"/>
            <w:tcBorders>
              <w:left w:val="single" w:sz="8" w:color="auto"/>
              <w:right w:val="single" w:sz="8" w:color="auto"/>
            </w:tcBorders>
            <w:gridSpan w:val="2"/>
          </w:tcPr>
          <w:p>
            <w:pPr>
              <w:jc w:val="center"/>
              <w:spacing w:after="0" w:line="125" w:lineRule="exact"/>
              <w:rPr>
                <w:sz w:val="20"/>
                <w:szCs w:val="20"/>
                <w:color w:val="auto"/>
              </w:rPr>
            </w:pPr>
            <w:r>
              <w:rPr>
                <w:rFonts w:ascii="Times New Roman" w:cs="Times New Roman" w:eastAsia="Times New Roman" w:hAnsi="Times New Roman"/>
                <w:sz w:val="11"/>
                <w:szCs w:val="11"/>
                <w:color w:val="auto"/>
              </w:rPr>
              <w:t>16. Disclose whether the Corporation has adopted term limits for the directors on its Board or other mechanisms for</w:t>
            </w:r>
          </w:p>
        </w:tc>
        <w:tc>
          <w:tcPr>
            <w:tcW w:w="6020" w:type="dxa"/>
            <w:vAlign w:val="bottom"/>
            <w:tcBorders>
              <w:right w:val="single" w:sz="8" w:color="auto"/>
            </w:tcBorders>
          </w:tcPr>
          <w:p>
            <w:pPr>
              <w:ind w:left="20"/>
              <w:spacing w:after="0" w:line="125" w:lineRule="exact"/>
              <w:rPr>
                <w:sz w:val="20"/>
                <w:szCs w:val="20"/>
                <w:color w:val="auto"/>
              </w:rPr>
            </w:pPr>
            <w:r>
              <w:rPr>
                <w:rFonts w:ascii="Times New Roman" w:cs="Times New Roman" w:eastAsia="Times New Roman" w:hAnsi="Times New Roman"/>
                <w:sz w:val="11"/>
                <w:szCs w:val="11"/>
                <w:color w:val="auto"/>
              </w:rPr>
              <w:t>The Board has not adopted a term limit for directors. The Board believes that the imposition of term limits on a director implicitly</w:t>
            </w:r>
          </w:p>
        </w:tc>
        <w:tc>
          <w:tcPr>
            <w:tcW w:w="0" w:type="dxa"/>
            <w:vAlign w:val="bottom"/>
          </w:tcPr>
          <w:p>
            <w:pPr>
              <w:spacing w:after="0"/>
              <w:rPr>
                <w:sz w:val="1"/>
                <w:szCs w:val="1"/>
                <w:color w:val="auto"/>
              </w:rPr>
            </w:pPr>
          </w:p>
        </w:tc>
      </w:tr>
      <w:tr>
        <w:trPr>
          <w:trHeight w:val="135"/>
        </w:trPr>
        <w:tc>
          <w:tcPr>
            <w:tcW w:w="200" w:type="dxa"/>
            <w:vAlign w:val="bottom"/>
            <w:tcBorders>
              <w:left w:val="single" w:sz="8" w:color="auto"/>
            </w:tcBorders>
          </w:tcPr>
          <w:p>
            <w:pPr>
              <w:spacing w:after="0"/>
              <w:rPr>
                <w:sz w:val="11"/>
                <w:szCs w:val="11"/>
                <w:color w:val="auto"/>
              </w:rPr>
            </w:pPr>
          </w:p>
        </w:tc>
        <w:tc>
          <w:tcPr>
            <w:tcW w:w="510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1"/>
                <w:szCs w:val="11"/>
                <w:color w:val="auto"/>
                <w:w w:val="99"/>
              </w:rPr>
              <w:t>Board renewal and, if so, include a description of those director term limits or other mechanisms of Board renewal.</w:t>
            </w:r>
          </w:p>
        </w:tc>
        <w:tc>
          <w:tcPr>
            <w:tcW w:w="602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1"/>
                <w:szCs w:val="11"/>
                <w:color w:val="auto"/>
              </w:rPr>
              <w:t>discounts the value of experience and continuity amongst Board members and runs the risk of excluding experienced and potentially</w:t>
            </w:r>
          </w:p>
        </w:tc>
        <w:tc>
          <w:tcPr>
            <w:tcW w:w="0" w:type="dxa"/>
            <w:vAlign w:val="bottom"/>
          </w:tcPr>
          <w:p>
            <w:pPr>
              <w:spacing w:after="0"/>
              <w:rPr>
                <w:sz w:val="1"/>
                <w:szCs w:val="1"/>
                <w:color w:val="auto"/>
              </w:rPr>
            </w:pPr>
          </w:p>
        </w:tc>
      </w:tr>
      <w:tr>
        <w:trPr>
          <w:trHeight w:val="126"/>
        </w:trPr>
        <w:tc>
          <w:tcPr>
            <w:tcW w:w="200" w:type="dxa"/>
            <w:vAlign w:val="bottom"/>
            <w:tcBorders>
              <w:left w:val="single" w:sz="8" w:color="auto"/>
            </w:tcBorders>
          </w:tcPr>
          <w:p>
            <w:pPr>
              <w:spacing w:after="0"/>
              <w:rPr>
                <w:sz w:val="10"/>
                <w:szCs w:val="10"/>
                <w:color w:val="auto"/>
              </w:rPr>
            </w:pPr>
          </w:p>
        </w:tc>
        <w:tc>
          <w:tcPr>
            <w:tcW w:w="510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1"/>
                <w:szCs w:val="11"/>
                <w:color w:val="auto"/>
              </w:rPr>
              <w:t>If the Corporation has not adopted director term limits or other mechanisms of Board renewal, disclose why it has</w:t>
            </w:r>
          </w:p>
        </w:tc>
        <w:tc>
          <w:tcPr>
            <w:tcW w:w="602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1"/>
                <w:szCs w:val="11"/>
                <w:color w:val="auto"/>
              </w:rPr>
              <w:t>valuable Board members as a result of an arbitrary determination. The notional objective of term limits is to encourage board turnover,</w:t>
            </w:r>
          </w:p>
        </w:tc>
        <w:tc>
          <w:tcPr>
            <w:tcW w:w="0" w:type="dxa"/>
            <w:vAlign w:val="bottom"/>
          </w:tcPr>
          <w:p>
            <w:pPr>
              <w:spacing w:after="0"/>
              <w:rPr>
                <w:sz w:val="1"/>
                <w:szCs w:val="1"/>
                <w:color w:val="auto"/>
              </w:rPr>
            </w:pPr>
          </w:p>
        </w:tc>
      </w:tr>
      <w:tr>
        <w:trPr>
          <w:trHeight w:val="135"/>
        </w:trPr>
        <w:tc>
          <w:tcPr>
            <w:tcW w:w="200" w:type="dxa"/>
            <w:vAlign w:val="bottom"/>
            <w:tcBorders>
              <w:left w:val="single" w:sz="8" w:color="auto"/>
            </w:tcBorders>
          </w:tcPr>
          <w:p>
            <w:pPr>
              <w:spacing w:after="0"/>
              <w:rPr>
                <w:sz w:val="11"/>
                <w:szCs w:val="11"/>
                <w:color w:val="auto"/>
              </w:rPr>
            </w:pPr>
          </w:p>
        </w:tc>
        <w:tc>
          <w:tcPr>
            <w:tcW w:w="510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1"/>
                <w:szCs w:val="11"/>
                <w:color w:val="auto"/>
              </w:rPr>
              <w:t>not done so.</w:t>
            </w:r>
          </w:p>
        </w:tc>
        <w:tc>
          <w:tcPr>
            <w:tcW w:w="602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1"/>
                <w:szCs w:val="11"/>
                <w:color w:val="auto"/>
              </w:rPr>
              <w:t>introduce new perspectives and retain independence. The Corporation has achieved a satisfactory mix and turnover in directors over its</w:t>
            </w:r>
          </w:p>
        </w:tc>
        <w:tc>
          <w:tcPr>
            <w:tcW w:w="0" w:type="dxa"/>
            <w:vAlign w:val="bottom"/>
          </w:tcPr>
          <w:p>
            <w:pPr>
              <w:spacing w:after="0"/>
              <w:rPr>
                <w:sz w:val="1"/>
                <w:szCs w:val="1"/>
                <w:color w:val="auto"/>
              </w:rPr>
            </w:pPr>
          </w:p>
        </w:tc>
      </w:tr>
      <w:tr>
        <w:trPr>
          <w:trHeight w:val="126"/>
        </w:trPr>
        <w:tc>
          <w:tcPr>
            <w:tcW w:w="200" w:type="dxa"/>
            <w:vAlign w:val="bottom"/>
            <w:tcBorders>
              <w:left w:val="single" w:sz="8" w:color="auto"/>
            </w:tcBorders>
          </w:tcPr>
          <w:p>
            <w:pPr>
              <w:spacing w:after="0"/>
              <w:rPr>
                <w:sz w:val="10"/>
                <w:szCs w:val="10"/>
                <w:color w:val="auto"/>
              </w:rPr>
            </w:pPr>
          </w:p>
        </w:tc>
        <w:tc>
          <w:tcPr>
            <w:tcW w:w="5100" w:type="dxa"/>
            <w:vAlign w:val="bottom"/>
            <w:tcBorders>
              <w:right w:val="single" w:sz="8" w:color="auto"/>
            </w:tcBorders>
          </w:tcPr>
          <w:p>
            <w:pPr>
              <w:spacing w:after="0"/>
              <w:rPr>
                <w:sz w:val="10"/>
                <w:szCs w:val="10"/>
                <w:color w:val="auto"/>
              </w:rPr>
            </w:pPr>
          </w:p>
        </w:tc>
        <w:tc>
          <w:tcPr>
            <w:tcW w:w="602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1"/>
                <w:szCs w:val="11"/>
                <w:color w:val="auto"/>
                <w:w w:val="98"/>
              </w:rPr>
              <w:t>short history, and the Board believes that it can strike the right balance between continuity and fresh perspectives without mandated term</w:t>
            </w:r>
          </w:p>
        </w:tc>
        <w:tc>
          <w:tcPr>
            <w:tcW w:w="0" w:type="dxa"/>
            <w:vAlign w:val="bottom"/>
          </w:tcPr>
          <w:p>
            <w:pPr>
              <w:spacing w:after="0"/>
              <w:rPr>
                <w:sz w:val="1"/>
                <w:szCs w:val="1"/>
                <w:color w:val="auto"/>
              </w:rPr>
            </w:pPr>
          </w:p>
        </w:tc>
      </w:tr>
      <w:tr>
        <w:trPr>
          <w:trHeight w:val="140"/>
        </w:trPr>
        <w:tc>
          <w:tcPr>
            <w:tcW w:w="200" w:type="dxa"/>
            <w:vAlign w:val="bottom"/>
            <w:tcBorders>
              <w:left w:val="single" w:sz="8" w:color="auto"/>
            </w:tcBorders>
          </w:tcPr>
          <w:p>
            <w:pPr>
              <w:spacing w:after="0"/>
              <w:rPr>
                <w:sz w:val="12"/>
                <w:szCs w:val="12"/>
                <w:color w:val="auto"/>
              </w:rPr>
            </w:pPr>
          </w:p>
        </w:tc>
        <w:tc>
          <w:tcPr>
            <w:tcW w:w="5100" w:type="dxa"/>
            <w:vAlign w:val="bottom"/>
            <w:tcBorders>
              <w:right w:val="single" w:sz="8" w:color="auto"/>
            </w:tcBorders>
          </w:tcPr>
          <w:p>
            <w:pPr>
              <w:spacing w:after="0"/>
              <w:rPr>
                <w:sz w:val="12"/>
                <w:szCs w:val="12"/>
                <w:color w:val="auto"/>
              </w:rPr>
            </w:pPr>
          </w:p>
        </w:tc>
        <w:tc>
          <w:tcPr>
            <w:tcW w:w="602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1"/>
                <w:szCs w:val="11"/>
                <w:color w:val="auto"/>
              </w:rPr>
              <w:t>limits.</w:t>
            </w:r>
          </w:p>
        </w:tc>
        <w:tc>
          <w:tcPr>
            <w:tcW w:w="0" w:type="dxa"/>
            <w:vAlign w:val="bottom"/>
          </w:tcPr>
          <w:p>
            <w:pPr>
              <w:spacing w:after="0"/>
              <w:rPr>
                <w:sz w:val="1"/>
                <w:szCs w:val="1"/>
                <w:color w:val="auto"/>
              </w:rPr>
            </w:pPr>
          </w:p>
        </w:tc>
      </w:tr>
      <w:tr>
        <w:trPr>
          <w:trHeight w:val="85"/>
        </w:trPr>
        <w:tc>
          <w:tcPr>
            <w:tcW w:w="200" w:type="dxa"/>
            <w:vAlign w:val="bottom"/>
            <w:tcBorders>
              <w:left w:val="single" w:sz="8" w:color="auto"/>
              <w:bottom w:val="single" w:sz="8" w:color="auto"/>
            </w:tcBorders>
          </w:tcPr>
          <w:p>
            <w:pPr>
              <w:spacing w:after="0"/>
              <w:rPr>
                <w:sz w:val="7"/>
                <w:szCs w:val="7"/>
                <w:color w:val="auto"/>
              </w:rPr>
            </w:pPr>
          </w:p>
        </w:tc>
        <w:tc>
          <w:tcPr>
            <w:tcW w:w="5100" w:type="dxa"/>
            <w:vAlign w:val="bottom"/>
            <w:tcBorders>
              <w:bottom w:val="single" w:sz="8" w:color="auto"/>
              <w:right w:val="single" w:sz="8" w:color="auto"/>
            </w:tcBorders>
          </w:tcPr>
          <w:p>
            <w:pPr>
              <w:spacing w:after="0"/>
              <w:rPr>
                <w:sz w:val="7"/>
                <w:szCs w:val="7"/>
                <w:color w:val="auto"/>
              </w:rPr>
            </w:pPr>
          </w:p>
        </w:tc>
        <w:tc>
          <w:tcPr>
            <w:tcW w:w="6020" w:type="dxa"/>
            <w:vAlign w:val="bottom"/>
            <w:tcBorders>
              <w:bottom w:val="single" w:sz="8" w:color="auto"/>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bl>
    <w:p>
      <w:pPr>
        <w:sectPr>
          <w:pgSz w:w="11900" w:h="16838" w:orient="portrait"/>
          <w:cols w:equalWidth="0" w:num="1">
            <w:col w:w="11300"/>
          </w:cols>
          <w:pgMar w:left="300" w:top="125" w:right="299" w:bottom="1440" w:gutter="0" w:footer="0" w:header="0"/>
        </w:sectPr>
      </w:pPr>
    </w:p>
    <w:bookmarkStart w:id="38" w:name="page39"/>
    <w:bookmarkEnd w:id="38"/>
    <w:p>
      <w:pPr>
        <w:spacing w:after="0" w:line="1" w:lineRule="exact"/>
        <w:rPr>
          <w:sz w:val="20"/>
          <w:szCs w:val="20"/>
          <w:color w:val="auto"/>
        </w:rPr>
      </w:pPr>
    </w:p>
    <w:tbl>
      <w:tblPr>
        <w:tblLayout w:type="fixed"/>
        <w:tblInd w:w="10" w:type="dxa"/>
        <w:tblCellMar>
          <w:top w:w="0" w:type="dxa"/>
          <w:left w:w="0" w:type="dxa"/>
          <w:bottom w:w="0" w:type="dxa"/>
          <w:right w:w="0" w:type="dxa"/>
        </w:tblCellMar>
      </w:tblPr>
      <w:tr>
        <w:trPr>
          <w:trHeight w:val="171"/>
        </w:trPr>
        <w:tc>
          <w:tcPr>
            <w:tcW w:w="5300" w:type="dxa"/>
            <w:vAlign w:val="bottom"/>
          </w:tcPr>
          <w:p>
            <w:pPr>
              <w:spacing w:after="0"/>
              <w:rPr>
                <w:sz w:val="14"/>
                <w:szCs w:val="14"/>
                <w:color w:val="auto"/>
              </w:rPr>
            </w:pPr>
          </w:p>
        </w:tc>
        <w:tc>
          <w:tcPr>
            <w:tcW w:w="6020" w:type="dxa"/>
            <w:vAlign w:val="bottom"/>
          </w:tcPr>
          <w:p>
            <w:pPr>
              <w:jc w:val="center"/>
              <w:ind w:right="5285"/>
              <w:spacing w:after="0"/>
              <w:rPr>
                <w:sz w:val="20"/>
                <w:szCs w:val="20"/>
                <w:color w:val="auto"/>
              </w:rPr>
            </w:pPr>
            <w:r>
              <w:rPr>
                <w:rFonts w:ascii="Times New Roman" w:cs="Times New Roman" w:eastAsia="Times New Roman" w:hAnsi="Times New Roman"/>
                <w:sz w:val="13"/>
                <w:szCs w:val="13"/>
                <w:color w:val="auto"/>
              </w:rPr>
              <w:t>A - 4</w:t>
            </w:r>
          </w:p>
        </w:tc>
        <w:tc>
          <w:tcPr>
            <w:tcW w:w="0" w:type="dxa"/>
            <w:vAlign w:val="bottom"/>
          </w:tcPr>
          <w:p>
            <w:pPr>
              <w:spacing w:after="0"/>
              <w:rPr>
                <w:sz w:val="1"/>
                <w:szCs w:val="1"/>
                <w:color w:val="auto"/>
              </w:rPr>
            </w:pPr>
          </w:p>
        </w:tc>
      </w:tr>
      <w:tr>
        <w:trPr>
          <w:trHeight w:val="725"/>
        </w:trPr>
        <w:tc>
          <w:tcPr>
            <w:tcW w:w="5300" w:type="dxa"/>
            <w:vAlign w:val="bottom"/>
            <w:tcBorders>
              <w:bottom w:val="single" w:sz="8" w:color="auto"/>
            </w:tcBorders>
          </w:tcPr>
          <w:p>
            <w:pPr>
              <w:spacing w:after="0"/>
              <w:rPr>
                <w:sz w:val="24"/>
                <w:szCs w:val="24"/>
                <w:color w:val="auto"/>
              </w:rPr>
            </w:pPr>
          </w:p>
        </w:tc>
        <w:tc>
          <w:tcPr>
            <w:tcW w:w="60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49"/>
        </w:trPr>
        <w:tc>
          <w:tcPr>
            <w:tcW w:w="5300" w:type="dxa"/>
            <w:vAlign w:val="bottom"/>
            <w:tcBorders>
              <w:left w:val="single" w:sz="8" w:color="auto"/>
              <w:right w:val="single" w:sz="8" w:color="auto"/>
            </w:tcBorders>
            <w:shd w:val="clear" w:color="auto" w:fill="BFBFBF"/>
          </w:tcPr>
          <w:p>
            <w:pPr>
              <w:jc w:val="right"/>
              <w:ind w:right="106"/>
              <w:spacing w:after="0"/>
              <w:rPr>
                <w:sz w:val="20"/>
                <w:szCs w:val="20"/>
                <w:color w:val="auto"/>
              </w:rPr>
            </w:pPr>
            <w:r>
              <w:rPr>
                <w:rFonts w:ascii="Times New Roman" w:cs="Times New Roman" w:eastAsia="Times New Roman" w:hAnsi="Times New Roman"/>
                <w:sz w:val="11"/>
                <w:szCs w:val="11"/>
                <w:b w:val="1"/>
                <w:bCs w:val="1"/>
                <w:color w:val="auto"/>
              </w:rPr>
              <w:t>Governance Disclosure Requirement Under the Corporate Governance National Instrument 58-101 (</w:t>
            </w:r>
            <w:r>
              <w:rPr>
                <w:rFonts w:ascii="Times New Roman" w:cs="Times New Roman" w:eastAsia="Times New Roman" w:hAnsi="Times New Roman"/>
                <w:sz w:val="11"/>
                <w:szCs w:val="11"/>
                <w:color w:val="auto"/>
              </w:rPr>
              <w:t>“</w:t>
            </w:r>
            <w:r>
              <w:rPr>
                <w:rFonts w:ascii="Times New Roman" w:cs="Times New Roman" w:eastAsia="Times New Roman" w:hAnsi="Times New Roman"/>
                <w:sz w:val="11"/>
                <w:szCs w:val="11"/>
                <w:b w:val="1"/>
                <w:bCs w:val="1"/>
                <w:color w:val="auto"/>
              </w:rPr>
              <w:t>NI 58-</w:t>
            </w:r>
          </w:p>
        </w:tc>
        <w:tc>
          <w:tcPr>
            <w:tcW w:w="6020" w:type="dxa"/>
            <w:vAlign w:val="bottom"/>
            <w:tcBorders>
              <w:right w:val="single" w:sz="8" w:color="auto"/>
            </w:tcBorders>
            <w:vMerge w:val="restart"/>
            <w:shd w:val="clear" w:color="auto" w:fill="BFBFBF"/>
          </w:tcPr>
          <w:p>
            <w:pPr>
              <w:ind w:left="2740"/>
              <w:spacing w:after="0"/>
              <w:rPr>
                <w:sz w:val="20"/>
                <w:szCs w:val="20"/>
                <w:color w:val="auto"/>
              </w:rPr>
            </w:pPr>
            <w:r>
              <w:rPr>
                <w:rFonts w:ascii="Times New Roman" w:cs="Times New Roman" w:eastAsia="Times New Roman" w:hAnsi="Times New Roman"/>
                <w:sz w:val="11"/>
                <w:szCs w:val="11"/>
                <w:b w:val="1"/>
                <w:bCs w:val="1"/>
                <w:color w:val="auto"/>
              </w:rPr>
              <w:t>Comments</w:t>
            </w:r>
          </w:p>
        </w:tc>
        <w:tc>
          <w:tcPr>
            <w:tcW w:w="0" w:type="dxa"/>
            <w:vAlign w:val="bottom"/>
          </w:tcPr>
          <w:p>
            <w:pPr>
              <w:spacing w:after="0"/>
              <w:rPr>
                <w:sz w:val="1"/>
                <w:szCs w:val="1"/>
                <w:color w:val="auto"/>
              </w:rPr>
            </w:pPr>
          </w:p>
        </w:tc>
      </w:tr>
      <w:tr>
        <w:trPr>
          <w:trHeight w:val="97"/>
        </w:trPr>
        <w:tc>
          <w:tcPr>
            <w:tcW w:w="5300" w:type="dxa"/>
            <w:vAlign w:val="bottom"/>
            <w:tcBorders>
              <w:left w:val="single" w:sz="8" w:color="auto"/>
              <w:right w:val="single" w:sz="8" w:color="auto"/>
            </w:tcBorders>
            <w:vMerge w:val="restart"/>
            <w:shd w:val="clear" w:color="auto" w:fill="BFBFBF"/>
          </w:tcPr>
          <w:p>
            <w:pPr>
              <w:jc w:val="right"/>
              <w:ind w:right="2486"/>
              <w:spacing w:after="0"/>
              <w:rPr>
                <w:sz w:val="20"/>
                <w:szCs w:val="20"/>
                <w:color w:val="auto"/>
              </w:rPr>
            </w:pPr>
            <w:r>
              <w:rPr>
                <w:rFonts w:ascii="Times New Roman" w:cs="Times New Roman" w:eastAsia="Times New Roman" w:hAnsi="Times New Roman"/>
                <w:sz w:val="11"/>
                <w:szCs w:val="11"/>
                <w:b w:val="1"/>
                <w:bCs w:val="1"/>
                <w:color w:val="auto"/>
              </w:rPr>
              <w:t>101</w:t>
            </w:r>
            <w:r>
              <w:rPr>
                <w:rFonts w:ascii="Times New Roman" w:cs="Times New Roman" w:eastAsia="Times New Roman" w:hAnsi="Times New Roman"/>
                <w:sz w:val="11"/>
                <w:szCs w:val="11"/>
                <w:color w:val="auto"/>
              </w:rPr>
              <w:t>”</w:t>
            </w:r>
            <w:r>
              <w:rPr>
                <w:rFonts w:ascii="Times New Roman" w:cs="Times New Roman" w:eastAsia="Times New Roman" w:hAnsi="Times New Roman"/>
                <w:sz w:val="11"/>
                <w:szCs w:val="11"/>
                <w:b w:val="1"/>
                <w:bCs w:val="1"/>
                <w:color w:val="auto"/>
              </w:rPr>
              <w:t>)</w:t>
            </w:r>
          </w:p>
        </w:tc>
        <w:tc>
          <w:tcPr>
            <w:tcW w:w="6020" w:type="dxa"/>
            <w:vAlign w:val="bottom"/>
            <w:tcBorders>
              <w:right w:val="single" w:sz="8" w:color="auto"/>
            </w:tcBorders>
            <w:vMerge w:val="continue"/>
            <w:shd w:val="clear" w:color="auto" w:fill="BFBFBF"/>
          </w:tcPr>
          <w:p>
            <w:pPr>
              <w:spacing w:after="0"/>
              <w:rPr>
                <w:sz w:val="8"/>
                <w:szCs w:val="8"/>
                <w:color w:val="auto"/>
              </w:rPr>
            </w:pPr>
          </w:p>
        </w:tc>
        <w:tc>
          <w:tcPr>
            <w:tcW w:w="0" w:type="dxa"/>
            <w:vAlign w:val="bottom"/>
          </w:tcPr>
          <w:p>
            <w:pPr>
              <w:spacing w:after="0"/>
              <w:rPr>
                <w:sz w:val="1"/>
                <w:szCs w:val="1"/>
                <w:color w:val="auto"/>
              </w:rPr>
            </w:pPr>
          </w:p>
        </w:tc>
      </w:tr>
      <w:tr>
        <w:trPr>
          <w:trHeight w:val="45"/>
        </w:trPr>
        <w:tc>
          <w:tcPr>
            <w:tcW w:w="5300" w:type="dxa"/>
            <w:vAlign w:val="bottom"/>
            <w:tcBorders>
              <w:left w:val="single" w:sz="8" w:color="auto"/>
              <w:right w:val="single" w:sz="8" w:color="auto"/>
            </w:tcBorders>
            <w:vMerge w:val="continue"/>
            <w:shd w:val="clear" w:color="auto" w:fill="BFBFBF"/>
          </w:tcPr>
          <w:p>
            <w:pPr>
              <w:spacing w:after="0"/>
              <w:rPr>
                <w:sz w:val="3"/>
                <w:szCs w:val="3"/>
                <w:color w:val="auto"/>
              </w:rPr>
            </w:pPr>
          </w:p>
        </w:tc>
        <w:tc>
          <w:tcPr>
            <w:tcW w:w="6020" w:type="dxa"/>
            <w:vAlign w:val="bottom"/>
            <w:tcBorders>
              <w:right w:val="single" w:sz="8" w:color="auto"/>
            </w:tcBorders>
            <w:shd w:val="clear" w:color="auto" w:fill="BFBFBF"/>
          </w:tcPr>
          <w:p>
            <w:pPr>
              <w:spacing w:after="0"/>
              <w:rPr>
                <w:sz w:val="3"/>
                <w:szCs w:val="3"/>
                <w:color w:val="auto"/>
              </w:rPr>
            </w:pPr>
          </w:p>
        </w:tc>
        <w:tc>
          <w:tcPr>
            <w:tcW w:w="0" w:type="dxa"/>
            <w:vAlign w:val="bottom"/>
          </w:tcPr>
          <w:p>
            <w:pPr>
              <w:spacing w:after="0"/>
              <w:rPr>
                <w:sz w:val="1"/>
                <w:szCs w:val="1"/>
                <w:color w:val="auto"/>
              </w:rPr>
            </w:pPr>
          </w:p>
        </w:tc>
      </w:tr>
      <w:tr>
        <w:trPr>
          <w:trHeight w:val="85"/>
        </w:trPr>
        <w:tc>
          <w:tcPr>
            <w:tcW w:w="5300" w:type="dxa"/>
            <w:vAlign w:val="bottom"/>
            <w:tcBorders>
              <w:left w:val="single" w:sz="8" w:color="auto"/>
              <w:bottom w:val="single" w:sz="8" w:color="auto"/>
              <w:right w:val="single" w:sz="8" w:color="auto"/>
            </w:tcBorders>
            <w:shd w:val="clear" w:color="auto" w:fill="BFBFBF"/>
          </w:tcPr>
          <w:p>
            <w:pPr>
              <w:spacing w:after="0"/>
              <w:rPr>
                <w:sz w:val="7"/>
                <w:szCs w:val="7"/>
                <w:color w:val="auto"/>
              </w:rPr>
            </w:pPr>
          </w:p>
        </w:tc>
        <w:tc>
          <w:tcPr>
            <w:tcW w:w="6020" w:type="dxa"/>
            <w:vAlign w:val="bottom"/>
            <w:tcBorders>
              <w:bottom w:val="single" w:sz="8" w:color="auto"/>
              <w:right w:val="single" w:sz="8" w:color="auto"/>
            </w:tcBorders>
            <w:shd w:val="clear" w:color="auto" w:fill="BFBFBF"/>
          </w:tcPr>
          <w:p>
            <w:pPr>
              <w:spacing w:after="0"/>
              <w:rPr>
                <w:sz w:val="7"/>
                <w:szCs w:val="7"/>
                <w:color w:val="auto"/>
              </w:rPr>
            </w:pPr>
          </w:p>
        </w:tc>
        <w:tc>
          <w:tcPr>
            <w:tcW w:w="0" w:type="dxa"/>
            <w:vAlign w:val="bottom"/>
          </w:tcPr>
          <w:p>
            <w:pPr>
              <w:spacing w:after="0"/>
              <w:rPr>
                <w:sz w:val="1"/>
                <w:szCs w:val="1"/>
                <w:color w:val="auto"/>
              </w:rPr>
            </w:pPr>
          </w:p>
        </w:tc>
      </w:tr>
      <w:tr>
        <w:trPr>
          <w:trHeight w:val="132"/>
        </w:trPr>
        <w:tc>
          <w:tcPr>
            <w:tcW w:w="11320" w:type="dxa"/>
            <w:vAlign w:val="bottom"/>
            <w:tcBorders>
              <w:left w:val="single" w:sz="8" w:color="auto"/>
              <w:bottom w:val="single" w:sz="8" w:color="auto"/>
              <w:right w:val="single" w:sz="8" w:color="auto"/>
            </w:tcBorders>
            <w:gridSpan w:val="2"/>
          </w:tcPr>
          <w:p>
            <w:pPr>
              <w:jc w:val="center"/>
              <w:spacing w:after="0"/>
              <w:rPr>
                <w:sz w:val="20"/>
                <w:szCs w:val="20"/>
                <w:color w:val="auto"/>
              </w:rPr>
            </w:pPr>
            <w:r>
              <w:rPr>
                <w:rFonts w:ascii="Times New Roman" w:cs="Times New Roman" w:eastAsia="Times New Roman" w:hAnsi="Times New Roman"/>
                <w:sz w:val="11"/>
                <w:szCs w:val="11"/>
                <w:b w:val="1"/>
                <w:bCs w:val="1"/>
                <w:color w:val="auto"/>
                <w:w w:val="98"/>
              </w:rPr>
              <w:t>Policies Regarding the Representation of Women on the Board</w:t>
            </w:r>
          </w:p>
        </w:tc>
        <w:tc>
          <w:tcPr>
            <w:tcW w:w="0" w:type="dxa"/>
            <w:vAlign w:val="bottom"/>
          </w:tcPr>
          <w:p>
            <w:pPr>
              <w:spacing w:after="0"/>
              <w:rPr>
                <w:sz w:val="1"/>
                <w:szCs w:val="1"/>
                <w:color w:val="auto"/>
              </w:rPr>
            </w:pPr>
          </w:p>
        </w:tc>
      </w:tr>
      <w:tr>
        <w:trPr>
          <w:trHeight w:val="125"/>
        </w:trPr>
        <w:tc>
          <w:tcPr>
            <w:tcW w:w="5300" w:type="dxa"/>
            <w:vAlign w:val="bottom"/>
            <w:tcBorders>
              <w:left w:val="single" w:sz="8" w:color="auto"/>
              <w:right w:val="single" w:sz="8" w:color="auto"/>
            </w:tcBorders>
          </w:tcPr>
          <w:p>
            <w:pPr>
              <w:jc w:val="right"/>
              <w:ind w:right="26"/>
              <w:spacing w:after="0" w:line="125" w:lineRule="exact"/>
              <w:rPr>
                <w:sz w:val="20"/>
                <w:szCs w:val="20"/>
                <w:color w:val="auto"/>
              </w:rPr>
            </w:pPr>
            <w:r>
              <w:rPr>
                <w:rFonts w:ascii="Times New Roman" w:cs="Times New Roman" w:eastAsia="Times New Roman" w:hAnsi="Times New Roman"/>
                <w:sz w:val="11"/>
                <w:szCs w:val="11"/>
                <w:color w:val="auto"/>
              </w:rPr>
              <w:t>17.Disclose whether the Corporation has adopted a written policy relating to the identification and nomination of</w:t>
            </w:r>
          </w:p>
        </w:tc>
        <w:tc>
          <w:tcPr>
            <w:tcW w:w="6020" w:type="dxa"/>
            <w:vAlign w:val="bottom"/>
            <w:tcBorders>
              <w:right w:val="single" w:sz="8" w:color="auto"/>
            </w:tcBorders>
          </w:tcPr>
          <w:p>
            <w:pPr>
              <w:ind w:left="20"/>
              <w:spacing w:after="0" w:line="125" w:lineRule="exact"/>
              <w:rPr>
                <w:sz w:val="20"/>
                <w:szCs w:val="20"/>
                <w:color w:val="auto"/>
              </w:rPr>
            </w:pPr>
            <w:r>
              <w:rPr>
                <w:rFonts w:ascii="Times New Roman" w:cs="Times New Roman" w:eastAsia="Times New Roman" w:hAnsi="Times New Roman"/>
                <w:sz w:val="11"/>
                <w:szCs w:val="11"/>
                <w:color w:val="auto"/>
                <w:w w:val="99"/>
              </w:rPr>
              <w:t>The Corporation adopted a written diversity policy (the “</w:t>
            </w:r>
            <w:r>
              <w:rPr>
                <w:rFonts w:ascii="Times New Roman" w:cs="Times New Roman" w:eastAsia="Times New Roman" w:hAnsi="Times New Roman"/>
                <w:sz w:val="11"/>
                <w:szCs w:val="11"/>
                <w:b w:val="1"/>
                <w:bCs w:val="1"/>
                <w:color w:val="auto"/>
                <w:w w:val="99"/>
              </w:rPr>
              <w:t>Diversity Policy</w:t>
            </w:r>
            <w:r>
              <w:rPr>
                <w:rFonts w:ascii="Times New Roman" w:cs="Times New Roman" w:eastAsia="Times New Roman" w:hAnsi="Times New Roman"/>
                <w:sz w:val="11"/>
                <w:szCs w:val="11"/>
                <w:color w:val="auto"/>
                <w:w w:val="99"/>
              </w:rPr>
              <w:t>”) in 2021 to formalize its approach to diversity. The Diversity</w:t>
            </w:r>
          </w:p>
        </w:tc>
        <w:tc>
          <w:tcPr>
            <w:tcW w:w="0" w:type="dxa"/>
            <w:vAlign w:val="bottom"/>
          </w:tcPr>
          <w:p>
            <w:pPr>
              <w:spacing w:after="0"/>
              <w:rPr>
                <w:sz w:val="1"/>
                <w:szCs w:val="1"/>
                <w:color w:val="auto"/>
              </w:rPr>
            </w:pPr>
          </w:p>
        </w:tc>
      </w:tr>
      <w:tr>
        <w:trPr>
          <w:trHeight w:val="135"/>
        </w:trPr>
        <w:tc>
          <w:tcPr>
            <w:tcW w:w="5300" w:type="dxa"/>
            <w:vAlign w:val="bottom"/>
            <w:tcBorders>
              <w:left w:val="single" w:sz="8" w:color="auto"/>
              <w:right w:val="single" w:sz="8" w:color="auto"/>
            </w:tcBorders>
          </w:tcPr>
          <w:p>
            <w:pPr>
              <w:jc w:val="right"/>
              <w:ind w:right="26"/>
              <w:spacing w:after="0"/>
              <w:rPr>
                <w:sz w:val="20"/>
                <w:szCs w:val="20"/>
                <w:color w:val="auto"/>
              </w:rPr>
            </w:pPr>
            <w:r>
              <w:rPr>
                <w:rFonts w:ascii="Times New Roman" w:cs="Times New Roman" w:eastAsia="Times New Roman" w:hAnsi="Times New Roman"/>
                <w:sz w:val="11"/>
                <w:szCs w:val="11"/>
                <w:color w:val="auto"/>
              </w:rPr>
              <w:t>women directors. If the Corporation has not adopted such a policy, disclose why it has not done so. If the</w:t>
            </w:r>
          </w:p>
        </w:tc>
        <w:tc>
          <w:tcPr>
            <w:tcW w:w="602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1"/>
                <w:szCs w:val="11"/>
                <w:color w:val="auto"/>
              </w:rPr>
              <w:t>Policy sets out the many characteristics of diversity, including gender, age, visible minorities, Indigenous peoples, persons with</w:t>
            </w:r>
          </w:p>
        </w:tc>
        <w:tc>
          <w:tcPr>
            <w:tcW w:w="0" w:type="dxa"/>
            <w:vAlign w:val="bottom"/>
          </w:tcPr>
          <w:p>
            <w:pPr>
              <w:spacing w:after="0"/>
              <w:rPr>
                <w:sz w:val="1"/>
                <w:szCs w:val="1"/>
                <w:color w:val="auto"/>
              </w:rPr>
            </w:pPr>
          </w:p>
        </w:tc>
      </w:tr>
      <w:tr>
        <w:trPr>
          <w:trHeight w:val="126"/>
        </w:trPr>
        <w:tc>
          <w:tcPr>
            <w:tcW w:w="5300" w:type="dxa"/>
            <w:vAlign w:val="bottom"/>
            <w:tcBorders>
              <w:left w:val="single" w:sz="8" w:color="auto"/>
              <w:right w:val="single" w:sz="8" w:color="auto"/>
            </w:tcBorders>
          </w:tcPr>
          <w:p>
            <w:pPr>
              <w:jc w:val="right"/>
              <w:ind w:right="26"/>
              <w:spacing w:after="0"/>
              <w:rPr>
                <w:sz w:val="20"/>
                <w:szCs w:val="20"/>
                <w:color w:val="auto"/>
              </w:rPr>
            </w:pPr>
            <w:r>
              <w:rPr>
                <w:rFonts w:ascii="Times New Roman" w:cs="Times New Roman" w:eastAsia="Times New Roman" w:hAnsi="Times New Roman"/>
                <w:sz w:val="11"/>
                <w:szCs w:val="11"/>
                <w:color w:val="auto"/>
              </w:rPr>
              <w:t>Corporation has adopted a policy, disclose a short summary of its objectives and key provisions, the measures taken</w:t>
            </w:r>
          </w:p>
        </w:tc>
        <w:tc>
          <w:tcPr>
            <w:tcW w:w="602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1"/>
                <w:szCs w:val="11"/>
                <w:color w:val="auto"/>
              </w:rPr>
              <w:t>disabilities, sexual orientation and other personal characteristics.</w:t>
            </w:r>
          </w:p>
        </w:tc>
        <w:tc>
          <w:tcPr>
            <w:tcW w:w="0" w:type="dxa"/>
            <w:vAlign w:val="bottom"/>
          </w:tcPr>
          <w:p>
            <w:pPr>
              <w:spacing w:after="0"/>
              <w:rPr>
                <w:sz w:val="1"/>
                <w:szCs w:val="1"/>
                <w:color w:val="auto"/>
              </w:rPr>
            </w:pPr>
          </w:p>
        </w:tc>
      </w:tr>
      <w:tr>
        <w:trPr>
          <w:trHeight w:val="135"/>
        </w:trPr>
        <w:tc>
          <w:tcPr>
            <w:tcW w:w="5300" w:type="dxa"/>
            <w:vAlign w:val="bottom"/>
            <w:tcBorders>
              <w:left w:val="single" w:sz="8" w:color="auto"/>
              <w:right w:val="single" w:sz="8" w:color="auto"/>
            </w:tcBorders>
          </w:tcPr>
          <w:p>
            <w:pPr>
              <w:jc w:val="right"/>
              <w:ind w:right="26"/>
              <w:spacing w:after="0"/>
              <w:rPr>
                <w:sz w:val="20"/>
                <w:szCs w:val="20"/>
                <w:color w:val="auto"/>
              </w:rPr>
            </w:pPr>
            <w:r>
              <w:rPr>
                <w:rFonts w:ascii="Times New Roman" w:cs="Times New Roman" w:eastAsia="Times New Roman" w:hAnsi="Times New Roman"/>
                <w:sz w:val="11"/>
                <w:szCs w:val="11"/>
                <w:color w:val="auto"/>
              </w:rPr>
              <w:t>to ensure that the policy has been effectively implemented, annual and cumulative progress by the issuer in</w:t>
            </w:r>
          </w:p>
        </w:tc>
        <w:tc>
          <w:tcPr>
            <w:tcW w:w="6020" w:type="dxa"/>
            <w:vAlign w:val="bottom"/>
            <w:tcBorders>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5300" w:type="dxa"/>
            <w:vAlign w:val="bottom"/>
            <w:tcBorders>
              <w:left w:val="single" w:sz="8" w:color="auto"/>
              <w:right w:val="single" w:sz="8" w:color="auto"/>
            </w:tcBorders>
          </w:tcPr>
          <w:p>
            <w:pPr>
              <w:jc w:val="right"/>
              <w:ind w:right="26"/>
              <w:spacing w:after="0"/>
              <w:rPr>
                <w:sz w:val="20"/>
                <w:szCs w:val="20"/>
                <w:color w:val="auto"/>
              </w:rPr>
            </w:pPr>
            <w:r>
              <w:rPr>
                <w:rFonts w:ascii="Times New Roman" w:cs="Times New Roman" w:eastAsia="Times New Roman" w:hAnsi="Times New Roman"/>
                <w:sz w:val="11"/>
                <w:szCs w:val="11"/>
                <w:color w:val="auto"/>
              </w:rPr>
              <w:t>achieving the objectives of the policy, and whether and, if so, how the Board or its nominating committee measures</w:t>
            </w:r>
          </w:p>
        </w:tc>
        <w:tc>
          <w:tcPr>
            <w:tcW w:w="602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1"/>
                <w:szCs w:val="11"/>
                <w:color w:val="auto"/>
              </w:rPr>
              <w:t>Further, the Corporation amended its written corporate governance and nominating committee charter (the “</w:t>
            </w:r>
            <w:r>
              <w:rPr>
                <w:rFonts w:ascii="Times New Roman" w:cs="Times New Roman" w:eastAsia="Times New Roman" w:hAnsi="Times New Roman"/>
                <w:sz w:val="11"/>
                <w:szCs w:val="11"/>
                <w:b w:val="1"/>
                <w:bCs w:val="1"/>
                <w:color w:val="auto"/>
              </w:rPr>
              <w:t>Corporate Governance</w:t>
            </w:r>
          </w:p>
        </w:tc>
        <w:tc>
          <w:tcPr>
            <w:tcW w:w="0" w:type="dxa"/>
            <w:vAlign w:val="bottom"/>
          </w:tcPr>
          <w:p>
            <w:pPr>
              <w:spacing w:after="0"/>
              <w:rPr>
                <w:sz w:val="1"/>
                <w:szCs w:val="1"/>
                <w:color w:val="auto"/>
              </w:rPr>
            </w:pPr>
          </w:p>
        </w:tc>
      </w:tr>
      <w:tr>
        <w:trPr>
          <w:trHeight w:val="153"/>
        </w:trPr>
        <w:tc>
          <w:tcPr>
            <w:tcW w:w="5300" w:type="dxa"/>
            <w:vAlign w:val="bottom"/>
            <w:tcBorders>
              <w:left w:val="single" w:sz="8" w:color="auto"/>
              <w:right w:val="single" w:sz="8" w:color="auto"/>
            </w:tcBorders>
          </w:tcPr>
          <w:p>
            <w:pPr>
              <w:ind w:left="200"/>
              <w:spacing w:after="0"/>
              <w:rPr>
                <w:sz w:val="20"/>
                <w:szCs w:val="20"/>
                <w:color w:val="auto"/>
              </w:rPr>
            </w:pPr>
            <w:r>
              <w:rPr>
                <w:rFonts w:ascii="Times New Roman" w:cs="Times New Roman" w:eastAsia="Times New Roman" w:hAnsi="Times New Roman"/>
                <w:sz w:val="11"/>
                <w:szCs w:val="11"/>
                <w:color w:val="auto"/>
              </w:rPr>
              <w:t>the effectiveness of the policy.</w:t>
            </w:r>
          </w:p>
        </w:tc>
        <w:tc>
          <w:tcPr>
            <w:tcW w:w="602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1"/>
                <w:szCs w:val="11"/>
                <w:b w:val="1"/>
                <w:bCs w:val="1"/>
                <w:color w:val="auto"/>
              </w:rPr>
              <w:t>and Nominating Committee Charter</w:t>
            </w:r>
            <w:r>
              <w:rPr>
                <w:rFonts w:ascii="Times New Roman" w:cs="Times New Roman" w:eastAsia="Times New Roman" w:hAnsi="Times New Roman"/>
                <w:sz w:val="11"/>
                <w:szCs w:val="11"/>
                <w:color w:val="auto"/>
              </w:rPr>
              <w:t>”) in June 2022 to affirm the Corporation’s commitment to actively consider all aspects of</w:t>
            </w:r>
          </w:p>
        </w:tc>
        <w:tc>
          <w:tcPr>
            <w:tcW w:w="0" w:type="dxa"/>
            <w:vAlign w:val="bottom"/>
          </w:tcPr>
          <w:p>
            <w:pPr>
              <w:spacing w:after="0"/>
              <w:rPr>
                <w:sz w:val="1"/>
                <w:szCs w:val="1"/>
                <w:color w:val="auto"/>
              </w:rPr>
            </w:pPr>
          </w:p>
        </w:tc>
      </w:tr>
      <w:tr>
        <w:trPr>
          <w:trHeight w:val="126"/>
        </w:trPr>
        <w:tc>
          <w:tcPr>
            <w:tcW w:w="5300" w:type="dxa"/>
            <w:vAlign w:val="bottom"/>
            <w:tcBorders>
              <w:left w:val="single" w:sz="8" w:color="auto"/>
              <w:right w:val="single" w:sz="8" w:color="auto"/>
            </w:tcBorders>
          </w:tcPr>
          <w:p>
            <w:pPr>
              <w:spacing w:after="0"/>
              <w:rPr>
                <w:sz w:val="10"/>
                <w:szCs w:val="10"/>
                <w:color w:val="auto"/>
              </w:rPr>
            </w:pPr>
          </w:p>
        </w:tc>
        <w:tc>
          <w:tcPr>
            <w:tcW w:w="602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1"/>
                <w:szCs w:val="11"/>
                <w:color w:val="auto"/>
              </w:rPr>
              <w:t>diversity when the Corporate Governance and Nominating Committee makes recommendations to the Board for the appointment or</w:t>
            </w:r>
          </w:p>
        </w:tc>
        <w:tc>
          <w:tcPr>
            <w:tcW w:w="0" w:type="dxa"/>
            <w:vAlign w:val="bottom"/>
          </w:tcPr>
          <w:p>
            <w:pPr>
              <w:spacing w:after="0"/>
              <w:rPr>
                <w:sz w:val="1"/>
                <w:szCs w:val="1"/>
                <w:color w:val="auto"/>
              </w:rPr>
            </w:pPr>
          </w:p>
        </w:tc>
      </w:tr>
      <w:tr>
        <w:trPr>
          <w:trHeight w:val="140"/>
        </w:trPr>
        <w:tc>
          <w:tcPr>
            <w:tcW w:w="5300" w:type="dxa"/>
            <w:vAlign w:val="bottom"/>
            <w:tcBorders>
              <w:left w:val="single" w:sz="8" w:color="auto"/>
              <w:right w:val="single" w:sz="8" w:color="auto"/>
            </w:tcBorders>
          </w:tcPr>
          <w:p>
            <w:pPr>
              <w:spacing w:after="0"/>
              <w:rPr>
                <w:sz w:val="12"/>
                <w:szCs w:val="12"/>
                <w:color w:val="auto"/>
              </w:rPr>
            </w:pPr>
          </w:p>
        </w:tc>
        <w:tc>
          <w:tcPr>
            <w:tcW w:w="602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1"/>
                <w:szCs w:val="11"/>
                <w:color w:val="auto"/>
              </w:rPr>
              <w:t>nomination of new directors.</w:t>
            </w:r>
          </w:p>
        </w:tc>
        <w:tc>
          <w:tcPr>
            <w:tcW w:w="0" w:type="dxa"/>
            <w:vAlign w:val="bottom"/>
          </w:tcPr>
          <w:p>
            <w:pPr>
              <w:spacing w:after="0"/>
              <w:rPr>
                <w:sz w:val="1"/>
                <w:szCs w:val="1"/>
                <w:color w:val="auto"/>
              </w:rPr>
            </w:pPr>
          </w:p>
        </w:tc>
      </w:tr>
      <w:tr>
        <w:trPr>
          <w:trHeight w:val="283"/>
        </w:trPr>
        <w:tc>
          <w:tcPr>
            <w:tcW w:w="5300" w:type="dxa"/>
            <w:vAlign w:val="bottom"/>
            <w:tcBorders>
              <w:left w:val="single" w:sz="8" w:color="auto"/>
              <w:right w:val="single" w:sz="8" w:color="auto"/>
            </w:tcBorders>
          </w:tcPr>
          <w:p>
            <w:pPr>
              <w:spacing w:after="0"/>
              <w:rPr>
                <w:sz w:val="24"/>
                <w:szCs w:val="24"/>
                <w:color w:val="auto"/>
              </w:rPr>
            </w:pPr>
          </w:p>
        </w:tc>
        <w:tc>
          <w:tcPr>
            <w:tcW w:w="602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1"/>
                <w:szCs w:val="11"/>
                <w:color w:val="auto"/>
              </w:rPr>
              <w:t>The Corporation has not adopted a specific target regarding the representation of women on the Board or in executive officer positions</w:t>
            </w:r>
          </w:p>
        </w:tc>
        <w:tc>
          <w:tcPr>
            <w:tcW w:w="0" w:type="dxa"/>
            <w:vAlign w:val="bottom"/>
          </w:tcPr>
          <w:p>
            <w:pPr>
              <w:spacing w:after="0"/>
              <w:rPr>
                <w:sz w:val="1"/>
                <w:szCs w:val="1"/>
                <w:color w:val="auto"/>
              </w:rPr>
            </w:pPr>
          </w:p>
        </w:tc>
      </w:tr>
      <w:tr>
        <w:trPr>
          <w:trHeight w:val="135"/>
        </w:trPr>
        <w:tc>
          <w:tcPr>
            <w:tcW w:w="5300" w:type="dxa"/>
            <w:vAlign w:val="bottom"/>
            <w:tcBorders>
              <w:left w:val="single" w:sz="8" w:color="auto"/>
              <w:right w:val="single" w:sz="8" w:color="auto"/>
            </w:tcBorders>
          </w:tcPr>
          <w:p>
            <w:pPr>
              <w:spacing w:after="0"/>
              <w:rPr>
                <w:sz w:val="11"/>
                <w:szCs w:val="11"/>
                <w:color w:val="auto"/>
              </w:rPr>
            </w:pPr>
          </w:p>
        </w:tc>
        <w:tc>
          <w:tcPr>
            <w:tcW w:w="602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1"/>
                <w:szCs w:val="11"/>
                <w:color w:val="auto"/>
              </w:rPr>
              <w:t>however, it is an objective of the Diversity Policy and Corporate Governance and Nominating Committee Charter that diversity be</w:t>
            </w:r>
          </w:p>
        </w:tc>
        <w:tc>
          <w:tcPr>
            <w:tcW w:w="0" w:type="dxa"/>
            <w:vAlign w:val="bottom"/>
          </w:tcPr>
          <w:p>
            <w:pPr>
              <w:spacing w:after="0"/>
              <w:rPr>
                <w:sz w:val="1"/>
                <w:szCs w:val="1"/>
                <w:color w:val="auto"/>
              </w:rPr>
            </w:pPr>
          </w:p>
        </w:tc>
      </w:tr>
      <w:tr>
        <w:trPr>
          <w:trHeight w:val="126"/>
        </w:trPr>
        <w:tc>
          <w:tcPr>
            <w:tcW w:w="5300" w:type="dxa"/>
            <w:vAlign w:val="bottom"/>
            <w:tcBorders>
              <w:left w:val="single" w:sz="8" w:color="auto"/>
              <w:right w:val="single" w:sz="8" w:color="auto"/>
            </w:tcBorders>
          </w:tcPr>
          <w:p>
            <w:pPr>
              <w:spacing w:after="0"/>
              <w:rPr>
                <w:sz w:val="10"/>
                <w:szCs w:val="10"/>
                <w:color w:val="auto"/>
              </w:rPr>
            </w:pPr>
          </w:p>
        </w:tc>
        <w:tc>
          <w:tcPr>
            <w:tcW w:w="602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1"/>
                <w:szCs w:val="11"/>
                <w:color w:val="auto"/>
              </w:rPr>
              <w:t>considered in determining the optimal composition of the Board. The Diversity Policy and Corporate Governance and Nominating</w:t>
            </w:r>
          </w:p>
        </w:tc>
        <w:tc>
          <w:tcPr>
            <w:tcW w:w="0" w:type="dxa"/>
            <w:vAlign w:val="bottom"/>
          </w:tcPr>
          <w:p>
            <w:pPr>
              <w:spacing w:after="0"/>
              <w:rPr>
                <w:sz w:val="1"/>
                <w:szCs w:val="1"/>
                <w:color w:val="auto"/>
              </w:rPr>
            </w:pPr>
          </w:p>
        </w:tc>
      </w:tr>
      <w:tr>
        <w:trPr>
          <w:trHeight w:val="126"/>
        </w:trPr>
        <w:tc>
          <w:tcPr>
            <w:tcW w:w="5300" w:type="dxa"/>
            <w:vAlign w:val="bottom"/>
            <w:tcBorders>
              <w:left w:val="single" w:sz="8" w:color="auto"/>
              <w:right w:val="single" w:sz="8" w:color="auto"/>
            </w:tcBorders>
          </w:tcPr>
          <w:p>
            <w:pPr>
              <w:spacing w:after="0"/>
              <w:rPr>
                <w:sz w:val="10"/>
                <w:szCs w:val="10"/>
                <w:color w:val="auto"/>
              </w:rPr>
            </w:pPr>
          </w:p>
        </w:tc>
        <w:tc>
          <w:tcPr>
            <w:tcW w:w="602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1"/>
                <w:szCs w:val="11"/>
                <w:color w:val="auto"/>
              </w:rPr>
              <w:t>Committee Charter sets out guidelines for the Corporate Governance and Nominating Committee to find the best qualified candidates</w:t>
            </w:r>
          </w:p>
        </w:tc>
        <w:tc>
          <w:tcPr>
            <w:tcW w:w="0" w:type="dxa"/>
            <w:vAlign w:val="bottom"/>
          </w:tcPr>
          <w:p>
            <w:pPr>
              <w:spacing w:after="0"/>
              <w:rPr>
                <w:sz w:val="1"/>
                <w:szCs w:val="1"/>
                <w:color w:val="auto"/>
              </w:rPr>
            </w:pPr>
          </w:p>
        </w:tc>
      </w:tr>
      <w:tr>
        <w:trPr>
          <w:trHeight w:val="140"/>
        </w:trPr>
        <w:tc>
          <w:tcPr>
            <w:tcW w:w="5300" w:type="dxa"/>
            <w:vAlign w:val="bottom"/>
            <w:tcBorders>
              <w:left w:val="single" w:sz="8" w:color="auto"/>
              <w:right w:val="single" w:sz="8" w:color="auto"/>
            </w:tcBorders>
          </w:tcPr>
          <w:p>
            <w:pPr>
              <w:spacing w:after="0"/>
              <w:rPr>
                <w:sz w:val="12"/>
                <w:szCs w:val="12"/>
                <w:color w:val="auto"/>
              </w:rPr>
            </w:pPr>
          </w:p>
        </w:tc>
        <w:tc>
          <w:tcPr>
            <w:tcW w:w="602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1"/>
                <w:szCs w:val="11"/>
                <w:color w:val="auto"/>
              </w:rPr>
              <w:t>for Board positions recognizing that the Board’s background should represent a variety of backgrounds, experiences and skills.</w:t>
            </w:r>
          </w:p>
        </w:tc>
        <w:tc>
          <w:tcPr>
            <w:tcW w:w="0" w:type="dxa"/>
            <w:vAlign w:val="bottom"/>
          </w:tcPr>
          <w:p>
            <w:pPr>
              <w:spacing w:after="0"/>
              <w:rPr>
                <w:sz w:val="1"/>
                <w:szCs w:val="1"/>
                <w:color w:val="auto"/>
              </w:rPr>
            </w:pPr>
          </w:p>
        </w:tc>
      </w:tr>
      <w:tr>
        <w:trPr>
          <w:trHeight w:val="22"/>
        </w:trPr>
        <w:tc>
          <w:tcPr>
            <w:tcW w:w="530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6020" w:type="dxa"/>
            <w:vAlign w:val="bottom"/>
            <w:tcBorders>
              <w:bottom w:val="single" w:sz="8" w:color="auto"/>
              <w:right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32"/>
        </w:trPr>
        <w:tc>
          <w:tcPr>
            <w:tcW w:w="11320" w:type="dxa"/>
            <w:vAlign w:val="bottom"/>
            <w:tcBorders>
              <w:left w:val="single" w:sz="8" w:color="auto"/>
              <w:bottom w:val="single" w:sz="8" w:color="auto"/>
              <w:right w:val="single" w:sz="8" w:color="auto"/>
            </w:tcBorders>
            <w:gridSpan w:val="2"/>
          </w:tcPr>
          <w:p>
            <w:pPr>
              <w:jc w:val="center"/>
              <w:spacing w:after="0"/>
              <w:rPr>
                <w:sz w:val="20"/>
                <w:szCs w:val="20"/>
                <w:color w:val="auto"/>
              </w:rPr>
            </w:pPr>
            <w:r>
              <w:rPr>
                <w:rFonts w:ascii="Times New Roman" w:cs="Times New Roman" w:eastAsia="Times New Roman" w:hAnsi="Times New Roman"/>
                <w:sz w:val="11"/>
                <w:szCs w:val="11"/>
                <w:b w:val="1"/>
                <w:bCs w:val="1"/>
                <w:color w:val="auto"/>
                <w:w w:val="98"/>
              </w:rPr>
              <w:t>Consideration of the Representation of Women in the Director Identification and Selection Process</w:t>
            </w:r>
          </w:p>
        </w:tc>
        <w:tc>
          <w:tcPr>
            <w:tcW w:w="0" w:type="dxa"/>
            <w:vAlign w:val="bottom"/>
          </w:tcPr>
          <w:p>
            <w:pPr>
              <w:spacing w:after="0"/>
              <w:rPr>
                <w:sz w:val="1"/>
                <w:szCs w:val="1"/>
                <w:color w:val="auto"/>
              </w:rPr>
            </w:pPr>
          </w:p>
        </w:tc>
      </w:tr>
      <w:tr>
        <w:trPr>
          <w:trHeight w:val="125"/>
        </w:trPr>
        <w:tc>
          <w:tcPr>
            <w:tcW w:w="5300" w:type="dxa"/>
            <w:vAlign w:val="bottom"/>
            <w:tcBorders>
              <w:left w:val="single" w:sz="8" w:color="auto"/>
              <w:right w:val="single" w:sz="8" w:color="auto"/>
            </w:tcBorders>
          </w:tcPr>
          <w:p>
            <w:pPr>
              <w:jc w:val="right"/>
              <w:ind w:right="26"/>
              <w:spacing w:after="0" w:line="125" w:lineRule="exact"/>
              <w:rPr>
                <w:sz w:val="20"/>
                <w:szCs w:val="20"/>
                <w:color w:val="auto"/>
              </w:rPr>
            </w:pPr>
            <w:r>
              <w:rPr>
                <w:rFonts w:ascii="Times New Roman" w:cs="Times New Roman" w:eastAsia="Times New Roman" w:hAnsi="Times New Roman"/>
                <w:sz w:val="11"/>
                <w:szCs w:val="11"/>
                <w:color w:val="auto"/>
                <w:w w:val="98"/>
              </w:rPr>
              <w:t>18.Disclose whether and, if so, how the Board or nominating committee considers the level of representation of women</w:t>
            </w:r>
          </w:p>
        </w:tc>
        <w:tc>
          <w:tcPr>
            <w:tcW w:w="6020" w:type="dxa"/>
            <w:vAlign w:val="bottom"/>
            <w:tcBorders>
              <w:right w:val="single" w:sz="8" w:color="auto"/>
            </w:tcBorders>
          </w:tcPr>
          <w:p>
            <w:pPr>
              <w:ind w:left="20"/>
              <w:spacing w:after="0" w:line="125" w:lineRule="exact"/>
              <w:rPr>
                <w:sz w:val="20"/>
                <w:szCs w:val="20"/>
                <w:color w:val="auto"/>
              </w:rPr>
            </w:pPr>
            <w:r>
              <w:rPr>
                <w:rFonts w:ascii="Times New Roman" w:cs="Times New Roman" w:eastAsia="Times New Roman" w:hAnsi="Times New Roman"/>
                <w:sz w:val="11"/>
                <w:szCs w:val="11"/>
                <w:color w:val="auto"/>
              </w:rPr>
              <w:t>It is an objective of the Diversity Policy and Corporate Governance and Nominating Committee Charter that diversity be considered in</w:t>
            </w:r>
          </w:p>
        </w:tc>
        <w:tc>
          <w:tcPr>
            <w:tcW w:w="0" w:type="dxa"/>
            <w:vAlign w:val="bottom"/>
          </w:tcPr>
          <w:p>
            <w:pPr>
              <w:spacing w:after="0"/>
              <w:rPr>
                <w:sz w:val="1"/>
                <w:szCs w:val="1"/>
                <w:color w:val="auto"/>
              </w:rPr>
            </w:pPr>
          </w:p>
        </w:tc>
      </w:tr>
      <w:tr>
        <w:trPr>
          <w:trHeight w:val="135"/>
        </w:trPr>
        <w:tc>
          <w:tcPr>
            <w:tcW w:w="5300" w:type="dxa"/>
            <w:vAlign w:val="bottom"/>
            <w:tcBorders>
              <w:left w:val="single" w:sz="8" w:color="auto"/>
              <w:right w:val="single" w:sz="8" w:color="auto"/>
            </w:tcBorders>
          </w:tcPr>
          <w:p>
            <w:pPr>
              <w:jc w:val="right"/>
              <w:ind w:right="26"/>
              <w:spacing w:after="0"/>
              <w:rPr>
                <w:sz w:val="20"/>
                <w:szCs w:val="20"/>
                <w:color w:val="auto"/>
              </w:rPr>
            </w:pPr>
            <w:r>
              <w:rPr>
                <w:rFonts w:ascii="Times New Roman" w:cs="Times New Roman" w:eastAsia="Times New Roman" w:hAnsi="Times New Roman"/>
                <w:sz w:val="11"/>
                <w:szCs w:val="11"/>
                <w:color w:val="auto"/>
              </w:rPr>
              <w:t>on the Board in identifying and nominating candidates for election or re-election to the Board. If the Corporation</w:t>
            </w:r>
          </w:p>
        </w:tc>
        <w:tc>
          <w:tcPr>
            <w:tcW w:w="602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1"/>
                <w:szCs w:val="11"/>
                <w:color w:val="auto"/>
              </w:rPr>
              <w:t>connection with the identification and nomination of female Board members. Gender diversity is an important factor that is taken into</w:t>
            </w:r>
          </w:p>
        </w:tc>
        <w:tc>
          <w:tcPr>
            <w:tcW w:w="0" w:type="dxa"/>
            <w:vAlign w:val="bottom"/>
          </w:tcPr>
          <w:p>
            <w:pPr>
              <w:spacing w:after="0"/>
              <w:rPr>
                <w:sz w:val="1"/>
                <w:szCs w:val="1"/>
                <w:color w:val="auto"/>
              </w:rPr>
            </w:pPr>
          </w:p>
        </w:tc>
      </w:tr>
      <w:tr>
        <w:trPr>
          <w:trHeight w:val="126"/>
        </w:trPr>
        <w:tc>
          <w:tcPr>
            <w:tcW w:w="5300" w:type="dxa"/>
            <w:vAlign w:val="bottom"/>
            <w:tcBorders>
              <w:left w:val="single" w:sz="8" w:color="auto"/>
              <w:right w:val="single" w:sz="8" w:color="auto"/>
            </w:tcBorders>
          </w:tcPr>
          <w:p>
            <w:pPr>
              <w:jc w:val="right"/>
              <w:ind w:right="26"/>
              <w:spacing w:after="0"/>
              <w:rPr>
                <w:sz w:val="20"/>
                <w:szCs w:val="20"/>
                <w:color w:val="auto"/>
              </w:rPr>
            </w:pPr>
            <w:r>
              <w:rPr>
                <w:rFonts w:ascii="Times New Roman" w:cs="Times New Roman" w:eastAsia="Times New Roman" w:hAnsi="Times New Roman"/>
                <w:sz w:val="11"/>
                <w:szCs w:val="11"/>
                <w:color w:val="auto"/>
              </w:rPr>
              <w:t>does not consider the representation of women on the Board in identifying and nominating candidates for election</w:t>
            </w:r>
          </w:p>
        </w:tc>
        <w:tc>
          <w:tcPr>
            <w:tcW w:w="602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1"/>
                <w:szCs w:val="11"/>
                <w:color w:val="auto"/>
              </w:rPr>
              <w:t>account in identifying and selecting Board members. The Board believes that diversity is important to ensure that directors provide a</w:t>
            </w:r>
          </w:p>
        </w:tc>
        <w:tc>
          <w:tcPr>
            <w:tcW w:w="0" w:type="dxa"/>
            <w:vAlign w:val="bottom"/>
          </w:tcPr>
          <w:p>
            <w:pPr>
              <w:spacing w:after="0"/>
              <w:rPr>
                <w:sz w:val="1"/>
                <w:szCs w:val="1"/>
                <w:color w:val="auto"/>
              </w:rPr>
            </w:pPr>
          </w:p>
        </w:tc>
      </w:tr>
      <w:tr>
        <w:trPr>
          <w:trHeight w:val="140"/>
        </w:trPr>
        <w:tc>
          <w:tcPr>
            <w:tcW w:w="5300" w:type="dxa"/>
            <w:vAlign w:val="bottom"/>
            <w:tcBorders>
              <w:left w:val="single" w:sz="8" w:color="auto"/>
              <w:right w:val="single" w:sz="8" w:color="auto"/>
            </w:tcBorders>
          </w:tcPr>
          <w:p>
            <w:pPr>
              <w:ind w:left="200"/>
              <w:spacing w:after="0"/>
              <w:rPr>
                <w:sz w:val="20"/>
                <w:szCs w:val="20"/>
                <w:color w:val="auto"/>
              </w:rPr>
            </w:pPr>
            <w:r>
              <w:rPr>
                <w:rFonts w:ascii="Times New Roman" w:cs="Times New Roman" w:eastAsia="Times New Roman" w:hAnsi="Times New Roman"/>
                <w:sz w:val="11"/>
                <w:szCs w:val="11"/>
                <w:color w:val="auto"/>
              </w:rPr>
              <w:t>or re-election to the Board, disclose the Corporation’s reasons for not doing so.</w:t>
            </w:r>
          </w:p>
        </w:tc>
        <w:tc>
          <w:tcPr>
            <w:tcW w:w="602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1"/>
                <w:szCs w:val="11"/>
                <w:color w:val="auto"/>
              </w:rPr>
              <w:t>wide range of perspectives, experience and expertise required to achieve effective stewardship of the Corporation.</w:t>
            </w:r>
          </w:p>
        </w:tc>
        <w:tc>
          <w:tcPr>
            <w:tcW w:w="0" w:type="dxa"/>
            <w:vAlign w:val="bottom"/>
          </w:tcPr>
          <w:p>
            <w:pPr>
              <w:spacing w:after="0"/>
              <w:rPr>
                <w:sz w:val="1"/>
                <w:szCs w:val="1"/>
                <w:color w:val="auto"/>
              </w:rPr>
            </w:pPr>
          </w:p>
        </w:tc>
      </w:tr>
      <w:tr>
        <w:trPr>
          <w:trHeight w:val="265"/>
        </w:trPr>
        <w:tc>
          <w:tcPr>
            <w:tcW w:w="5300" w:type="dxa"/>
            <w:vAlign w:val="bottom"/>
            <w:tcBorders>
              <w:left w:val="single" w:sz="8" w:color="auto"/>
              <w:right w:val="single" w:sz="8" w:color="auto"/>
            </w:tcBorders>
          </w:tcPr>
          <w:p>
            <w:pPr>
              <w:spacing w:after="0"/>
              <w:rPr>
                <w:sz w:val="23"/>
                <w:szCs w:val="23"/>
                <w:color w:val="auto"/>
              </w:rPr>
            </w:pPr>
          </w:p>
        </w:tc>
        <w:tc>
          <w:tcPr>
            <w:tcW w:w="602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1"/>
                <w:szCs w:val="11"/>
                <w:color w:val="auto"/>
              </w:rPr>
              <w:t>The Diversity Policy and Corporate Governance and Nominating Committee Charter do not include a target number or percentage of</w:t>
            </w:r>
          </w:p>
        </w:tc>
        <w:tc>
          <w:tcPr>
            <w:tcW w:w="0" w:type="dxa"/>
            <w:vAlign w:val="bottom"/>
          </w:tcPr>
          <w:p>
            <w:pPr>
              <w:spacing w:after="0"/>
              <w:rPr>
                <w:sz w:val="1"/>
                <w:szCs w:val="1"/>
                <w:color w:val="auto"/>
              </w:rPr>
            </w:pPr>
          </w:p>
        </w:tc>
      </w:tr>
      <w:tr>
        <w:trPr>
          <w:trHeight w:val="126"/>
        </w:trPr>
        <w:tc>
          <w:tcPr>
            <w:tcW w:w="5300" w:type="dxa"/>
            <w:vAlign w:val="bottom"/>
            <w:tcBorders>
              <w:left w:val="single" w:sz="8" w:color="auto"/>
              <w:right w:val="single" w:sz="8" w:color="auto"/>
            </w:tcBorders>
          </w:tcPr>
          <w:p>
            <w:pPr>
              <w:spacing w:after="0"/>
              <w:rPr>
                <w:sz w:val="10"/>
                <w:szCs w:val="10"/>
                <w:color w:val="auto"/>
              </w:rPr>
            </w:pPr>
          </w:p>
        </w:tc>
        <w:tc>
          <w:tcPr>
            <w:tcW w:w="602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1"/>
                <w:szCs w:val="11"/>
                <w:color w:val="auto"/>
              </w:rPr>
              <w:t>women on the Board. The Corporate Governance and Nominating Committee does not believe that targets are appropriate since gender</w:t>
            </w:r>
          </w:p>
        </w:tc>
        <w:tc>
          <w:tcPr>
            <w:tcW w:w="0" w:type="dxa"/>
            <w:vAlign w:val="bottom"/>
          </w:tcPr>
          <w:p>
            <w:pPr>
              <w:spacing w:after="0"/>
              <w:rPr>
                <w:sz w:val="1"/>
                <w:szCs w:val="1"/>
                <w:color w:val="auto"/>
              </w:rPr>
            </w:pPr>
          </w:p>
        </w:tc>
      </w:tr>
      <w:tr>
        <w:trPr>
          <w:trHeight w:val="135"/>
        </w:trPr>
        <w:tc>
          <w:tcPr>
            <w:tcW w:w="5300" w:type="dxa"/>
            <w:vAlign w:val="bottom"/>
            <w:tcBorders>
              <w:left w:val="single" w:sz="8" w:color="auto"/>
              <w:right w:val="single" w:sz="8" w:color="auto"/>
            </w:tcBorders>
          </w:tcPr>
          <w:p>
            <w:pPr>
              <w:spacing w:after="0"/>
              <w:rPr>
                <w:sz w:val="11"/>
                <w:szCs w:val="11"/>
                <w:color w:val="auto"/>
              </w:rPr>
            </w:pPr>
          </w:p>
        </w:tc>
        <w:tc>
          <w:tcPr>
            <w:tcW w:w="602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1"/>
                <w:szCs w:val="11"/>
                <w:color w:val="auto"/>
              </w:rPr>
              <w:t>diversity is only one of several characteristics considered during the selection process for Board nominees. Instead, the Corporate</w:t>
            </w:r>
          </w:p>
        </w:tc>
        <w:tc>
          <w:tcPr>
            <w:tcW w:w="0" w:type="dxa"/>
            <w:vAlign w:val="bottom"/>
          </w:tcPr>
          <w:p>
            <w:pPr>
              <w:spacing w:after="0"/>
              <w:rPr>
                <w:sz w:val="1"/>
                <w:szCs w:val="1"/>
                <w:color w:val="auto"/>
              </w:rPr>
            </w:pPr>
          </w:p>
        </w:tc>
      </w:tr>
      <w:tr>
        <w:trPr>
          <w:trHeight w:val="126"/>
        </w:trPr>
        <w:tc>
          <w:tcPr>
            <w:tcW w:w="5300" w:type="dxa"/>
            <w:vAlign w:val="bottom"/>
            <w:tcBorders>
              <w:left w:val="single" w:sz="8" w:color="auto"/>
              <w:right w:val="single" w:sz="8" w:color="auto"/>
            </w:tcBorders>
          </w:tcPr>
          <w:p>
            <w:pPr>
              <w:spacing w:after="0"/>
              <w:rPr>
                <w:sz w:val="10"/>
                <w:szCs w:val="10"/>
                <w:color w:val="auto"/>
              </w:rPr>
            </w:pPr>
          </w:p>
        </w:tc>
        <w:tc>
          <w:tcPr>
            <w:tcW w:w="602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1"/>
                <w:szCs w:val="11"/>
                <w:color w:val="auto"/>
              </w:rPr>
              <w:t>Governance and Nominating Committee believes that a method for reviewing Board nominees on a variety of factors, including</w:t>
            </w:r>
          </w:p>
        </w:tc>
        <w:tc>
          <w:tcPr>
            <w:tcW w:w="0" w:type="dxa"/>
            <w:vAlign w:val="bottom"/>
          </w:tcPr>
          <w:p>
            <w:pPr>
              <w:spacing w:after="0"/>
              <w:rPr>
                <w:sz w:val="1"/>
                <w:szCs w:val="1"/>
                <w:color w:val="auto"/>
              </w:rPr>
            </w:pPr>
          </w:p>
        </w:tc>
      </w:tr>
      <w:tr>
        <w:trPr>
          <w:trHeight w:val="140"/>
        </w:trPr>
        <w:tc>
          <w:tcPr>
            <w:tcW w:w="5300" w:type="dxa"/>
            <w:vAlign w:val="bottom"/>
            <w:tcBorders>
              <w:left w:val="single" w:sz="8" w:color="auto"/>
              <w:right w:val="single" w:sz="8" w:color="auto"/>
            </w:tcBorders>
          </w:tcPr>
          <w:p>
            <w:pPr>
              <w:spacing w:after="0"/>
              <w:rPr>
                <w:sz w:val="12"/>
                <w:szCs w:val="12"/>
                <w:color w:val="auto"/>
              </w:rPr>
            </w:pPr>
          </w:p>
        </w:tc>
        <w:tc>
          <w:tcPr>
            <w:tcW w:w="602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1"/>
                <w:szCs w:val="11"/>
                <w:color w:val="auto"/>
              </w:rPr>
              <w:t>diversity, is more appropriate.</w:t>
            </w:r>
          </w:p>
        </w:tc>
        <w:tc>
          <w:tcPr>
            <w:tcW w:w="0" w:type="dxa"/>
            <w:vAlign w:val="bottom"/>
          </w:tcPr>
          <w:p>
            <w:pPr>
              <w:spacing w:after="0"/>
              <w:rPr>
                <w:sz w:val="1"/>
                <w:szCs w:val="1"/>
                <w:color w:val="auto"/>
              </w:rPr>
            </w:pPr>
          </w:p>
        </w:tc>
      </w:tr>
      <w:tr>
        <w:trPr>
          <w:trHeight w:val="94"/>
        </w:trPr>
        <w:tc>
          <w:tcPr>
            <w:tcW w:w="5300" w:type="dxa"/>
            <w:vAlign w:val="bottom"/>
            <w:tcBorders>
              <w:left w:val="single" w:sz="8" w:color="auto"/>
              <w:bottom w:val="single" w:sz="8" w:color="auto"/>
              <w:right w:val="single" w:sz="8" w:color="auto"/>
            </w:tcBorders>
          </w:tcPr>
          <w:p>
            <w:pPr>
              <w:spacing w:after="0"/>
              <w:rPr>
                <w:sz w:val="8"/>
                <w:szCs w:val="8"/>
                <w:color w:val="auto"/>
              </w:rPr>
            </w:pPr>
          </w:p>
        </w:tc>
        <w:tc>
          <w:tcPr>
            <w:tcW w:w="6020" w:type="dxa"/>
            <w:vAlign w:val="bottom"/>
            <w:tcBorders>
              <w:bottom w:val="single" w:sz="8" w:color="auto"/>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bl>
    <w:p>
      <w:pPr>
        <w:sectPr>
          <w:pgSz w:w="11900" w:h="16838" w:orient="portrait"/>
          <w:cols w:equalWidth="0" w:num="1">
            <w:col w:w="11300"/>
          </w:cols>
          <w:pgMar w:left="300" w:top="126" w:right="299" w:bottom="1440" w:gutter="0" w:footer="0" w:header="0"/>
        </w:sectPr>
      </w:pPr>
    </w:p>
    <w:bookmarkStart w:id="39" w:name="page40"/>
    <w:bookmarkEnd w:id="39"/>
    <w:p>
      <w:pPr>
        <w:spacing w:after="0" w:line="1" w:lineRule="exact"/>
        <w:rPr>
          <w:sz w:val="20"/>
          <w:szCs w:val="20"/>
          <w:color w:val="auto"/>
        </w:rPr>
      </w:pPr>
    </w:p>
    <w:tbl>
      <w:tblPr>
        <w:tblLayout w:type="fixed"/>
        <w:tblInd w:w="10" w:type="dxa"/>
        <w:tblCellMar>
          <w:top w:w="0" w:type="dxa"/>
          <w:left w:w="0" w:type="dxa"/>
          <w:bottom w:w="0" w:type="dxa"/>
          <w:right w:w="0" w:type="dxa"/>
        </w:tblCellMar>
      </w:tblPr>
      <w:tr>
        <w:trPr>
          <w:trHeight w:val="171"/>
        </w:trPr>
        <w:tc>
          <w:tcPr>
            <w:tcW w:w="5300" w:type="dxa"/>
            <w:vAlign w:val="bottom"/>
          </w:tcPr>
          <w:p>
            <w:pPr>
              <w:spacing w:after="0"/>
              <w:rPr>
                <w:sz w:val="14"/>
                <w:szCs w:val="14"/>
                <w:color w:val="auto"/>
              </w:rPr>
            </w:pPr>
          </w:p>
        </w:tc>
        <w:tc>
          <w:tcPr>
            <w:tcW w:w="6020" w:type="dxa"/>
            <w:vAlign w:val="bottom"/>
          </w:tcPr>
          <w:p>
            <w:pPr>
              <w:jc w:val="center"/>
              <w:ind w:right="5285"/>
              <w:spacing w:after="0"/>
              <w:rPr>
                <w:sz w:val="20"/>
                <w:szCs w:val="20"/>
                <w:color w:val="auto"/>
              </w:rPr>
            </w:pPr>
            <w:r>
              <w:rPr>
                <w:rFonts w:ascii="Times New Roman" w:cs="Times New Roman" w:eastAsia="Times New Roman" w:hAnsi="Times New Roman"/>
                <w:sz w:val="13"/>
                <w:szCs w:val="13"/>
                <w:color w:val="auto"/>
              </w:rPr>
              <w:t>A - 5</w:t>
            </w:r>
          </w:p>
        </w:tc>
        <w:tc>
          <w:tcPr>
            <w:tcW w:w="0" w:type="dxa"/>
            <w:vAlign w:val="bottom"/>
          </w:tcPr>
          <w:p>
            <w:pPr>
              <w:spacing w:after="0"/>
              <w:rPr>
                <w:sz w:val="1"/>
                <w:szCs w:val="1"/>
                <w:color w:val="auto"/>
              </w:rPr>
            </w:pPr>
          </w:p>
        </w:tc>
      </w:tr>
      <w:tr>
        <w:trPr>
          <w:trHeight w:val="725"/>
        </w:trPr>
        <w:tc>
          <w:tcPr>
            <w:tcW w:w="5300" w:type="dxa"/>
            <w:vAlign w:val="bottom"/>
            <w:tcBorders>
              <w:bottom w:val="single" w:sz="8" w:color="auto"/>
            </w:tcBorders>
          </w:tcPr>
          <w:p>
            <w:pPr>
              <w:spacing w:after="0"/>
              <w:rPr>
                <w:sz w:val="24"/>
                <w:szCs w:val="24"/>
                <w:color w:val="auto"/>
              </w:rPr>
            </w:pPr>
          </w:p>
        </w:tc>
        <w:tc>
          <w:tcPr>
            <w:tcW w:w="60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49"/>
        </w:trPr>
        <w:tc>
          <w:tcPr>
            <w:tcW w:w="5300" w:type="dxa"/>
            <w:vAlign w:val="bottom"/>
            <w:tcBorders>
              <w:left w:val="single" w:sz="8" w:color="auto"/>
              <w:right w:val="single" w:sz="8" w:color="auto"/>
            </w:tcBorders>
            <w:shd w:val="clear" w:color="auto" w:fill="BFBFBF"/>
          </w:tcPr>
          <w:p>
            <w:pPr>
              <w:jc w:val="right"/>
              <w:ind w:right="106"/>
              <w:spacing w:after="0"/>
              <w:rPr>
                <w:sz w:val="20"/>
                <w:szCs w:val="20"/>
                <w:color w:val="auto"/>
              </w:rPr>
            </w:pPr>
            <w:r>
              <w:rPr>
                <w:rFonts w:ascii="Times New Roman" w:cs="Times New Roman" w:eastAsia="Times New Roman" w:hAnsi="Times New Roman"/>
                <w:sz w:val="11"/>
                <w:szCs w:val="11"/>
                <w:b w:val="1"/>
                <w:bCs w:val="1"/>
                <w:color w:val="auto"/>
              </w:rPr>
              <w:t>Governance Disclosure Requirement Under the Corporate Governance National Instrument 58-101 (</w:t>
            </w:r>
            <w:r>
              <w:rPr>
                <w:rFonts w:ascii="Times New Roman" w:cs="Times New Roman" w:eastAsia="Times New Roman" w:hAnsi="Times New Roman"/>
                <w:sz w:val="11"/>
                <w:szCs w:val="11"/>
                <w:color w:val="auto"/>
              </w:rPr>
              <w:t>“</w:t>
            </w:r>
            <w:r>
              <w:rPr>
                <w:rFonts w:ascii="Times New Roman" w:cs="Times New Roman" w:eastAsia="Times New Roman" w:hAnsi="Times New Roman"/>
                <w:sz w:val="11"/>
                <w:szCs w:val="11"/>
                <w:b w:val="1"/>
                <w:bCs w:val="1"/>
                <w:color w:val="auto"/>
              </w:rPr>
              <w:t>NI 58-</w:t>
            </w:r>
          </w:p>
        </w:tc>
        <w:tc>
          <w:tcPr>
            <w:tcW w:w="6020" w:type="dxa"/>
            <w:vAlign w:val="bottom"/>
            <w:tcBorders>
              <w:right w:val="single" w:sz="8" w:color="auto"/>
            </w:tcBorders>
            <w:vMerge w:val="restart"/>
            <w:shd w:val="clear" w:color="auto" w:fill="BFBFBF"/>
          </w:tcPr>
          <w:p>
            <w:pPr>
              <w:ind w:left="2740"/>
              <w:spacing w:after="0"/>
              <w:rPr>
                <w:sz w:val="20"/>
                <w:szCs w:val="20"/>
                <w:color w:val="auto"/>
              </w:rPr>
            </w:pPr>
            <w:r>
              <w:rPr>
                <w:rFonts w:ascii="Times New Roman" w:cs="Times New Roman" w:eastAsia="Times New Roman" w:hAnsi="Times New Roman"/>
                <w:sz w:val="11"/>
                <w:szCs w:val="11"/>
                <w:b w:val="1"/>
                <w:bCs w:val="1"/>
                <w:color w:val="auto"/>
              </w:rPr>
              <w:t>Comments</w:t>
            </w:r>
          </w:p>
        </w:tc>
        <w:tc>
          <w:tcPr>
            <w:tcW w:w="0" w:type="dxa"/>
            <w:vAlign w:val="bottom"/>
          </w:tcPr>
          <w:p>
            <w:pPr>
              <w:spacing w:after="0"/>
              <w:rPr>
                <w:sz w:val="1"/>
                <w:szCs w:val="1"/>
                <w:color w:val="auto"/>
              </w:rPr>
            </w:pPr>
          </w:p>
        </w:tc>
      </w:tr>
      <w:tr>
        <w:trPr>
          <w:trHeight w:val="97"/>
        </w:trPr>
        <w:tc>
          <w:tcPr>
            <w:tcW w:w="5300" w:type="dxa"/>
            <w:vAlign w:val="bottom"/>
            <w:tcBorders>
              <w:left w:val="single" w:sz="8" w:color="auto"/>
              <w:right w:val="single" w:sz="8" w:color="auto"/>
            </w:tcBorders>
            <w:vMerge w:val="restart"/>
            <w:shd w:val="clear" w:color="auto" w:fill="BFBFBF"/>
          </w:tcPr>
          <w:p>
            <w:pPr>
              <w:jc w:val="right"/>
              <w:ind w:right="2486"/>
              <w:spacing w:after="0"/>
              <w:rPr>
                <w:sz w:val="20"/>
                <w:szCs w:val="20"/>
                <w:color w:val="auto"/>
              </w:rPr>
            </w:pPr>
            <w:r>
              <w:rPr>
                <w:rFonts w:ascii="Times New Roman" w:cs="Times New Roman" w:eastAsia="Times New Roman" w:hAnsi="Times New Roman"/>
                <w:sz w:val="11"/>
                <w:szCs w:val="11"/>
                <w:b w:val="1"/>
                <w:bCs w:val="1"/>
                <w:color w:val="auto"/>
              </w:rPr>
              <w:t>101</w:t>
            </w:r>
            <w:r>
              <w:rPr>
                <w:rFonts w:ascii="Times New Roman" w:cs="Times New Roman" w:eastAsia="Times New Roman" w:hAnsi="Times New Roman"/>
                <w:sz w:val="11"/>
                <w:szCs w:val="11"/>
                <w:color w:val="auto"/>
              </w:rPr>
              <w:t>”</w:t>
            </w:r>
            <w:r>
              <w:rPr>
                <w:rFonts w:ascii="Times New Roman" w:cs="Times New Roman" w:eastAsia="Times New Roman" w:hAnsi="Times New Roman"/>
                <w:sz w:val="11"/>
                <w:szCs w:val="11"/>
                <w:b w:val="1"/>
                <w:bCs w:val="1"/>
                <w:color w:val="auto"/>
              </w:rPr>
              <w:t>)</w:t>
            </w:r>
          </w:p>
        </w:tc>
        <w:tc>
          <w:tcPr>
            <w:tcW w:w="6020" w:type="dxa"/>
            <w:vAlign w:val="bottom"/>
            <w:tcBorders>
              <w:right w:val="single" w:sz="8" w:color="auto"/>
            </w:tcBorders>
            <w:vMerge w:val="continue"/>
            <w:shd w:val="clear" w:color="auto" w:fill="BFBFBF"/>
          </w:tcPr>
          <w:p>
            <w:pPr>
              <w:spacing w:after="0"/>
              <w:rPr>
                <w:sz w:val="8"/>
                <w:szCs w:val="8"/>
                <w:color w:val="auto"/>
              </w:rPr>
            </w:pPr>
          </w:p>
        </w:tc>
        <w:tc>
          <w:tcPr>
            <w:tcW w:w="0" w:type="dxa"/>
            <w:vAlign w:val="bottom"/>
          </w:tcPr>
          <w:p>
            <w:pPr>
              <w:spacing w:after="0"/>
              <w:rPr>
                <w:sz w:val="1"/>
                <w:szCs w:val="1"/>
                <w:color w:val="auto"/>
              </w:rPr>
            </w:pPr>
          </w:p>
        </w:tc>
      </w:tr>
      <w:tr>
        <w:trPr>
          <w:trHeight w:val="45"/>
        </w:trPr>
        <w:tc>
          <w:tcPr>
            <w:tcW w:w="5300" w:type="dxa"/>
            <w:vAlign w:val="bottom"/>
            <w:tcBorders>
              <w:left w:val="single" w:sz="8" w:color="auto"/>
              <w:right w:val="single" w:sz="8" w:color="auto"/>
            </w:tcBorders>
            <w:vMerge w:val="continue"/>
            <w:shd w:val="clear" w:color="auto" w:fill="BFBFBF"/>
          </w:tcPr>
          <w:p>
            <w:pPr>
              <w:spacing w:after="0"/>
              <w:rPr>
                <w:sz w:val="3"/>
                <w:szCs w:val="3"/>
                <w:color w:val="auto"/>
              </w:rPr>
            </w:pPr>
          </w:p>
        </w:tc>
        <w:tc>
          <w:tcPr>
            <w:tcW w:w="6020" w:type="dxa"/>
            <w:vAlign w:val="bottom"/>
            <w:tcBorders>
              <w:right w:val="single" w:sz="8" w:color="auto"/>
            </w:tcBorders>
            <w:shd w:val="clear" w:color="auto" w:fill="BFBFBF"/>
          </w:tcPr>
          <w:p>
            <w:pPr>
              <w:spacing w:after="0"/>
              <w:rPr>
                <w:sz w:val="3"/>
                <w:szCs w:val="3"/>
                <w:color w:val="auto"/>
              </w:rPr>
            </w:pPr>
          </w:p>
        </w:tc>
        <w:tc>
          <w:tcPr>
            <w:tcW w:w="0" w:type="dxa"/>
            <w:vAlign w:val="bottom"/>
          </w:tcPr>
          <w:p>
            <w:pPr>
              <w:spacing w:after="0"/>
              <w:rPr>
                <w:sz w:val="1"/>
                <w:szCs w:val="1"/>
                <w:color w:val="auto"/>
              </w:rPr>
            </w:pPr>
          </w:p>
        </w:tc>
      </w:tr>
      <w:tr>
        <w:trPr>
          <w:trHeight w:val="85"/>
        </w:trPr>
        <w:tc>
          <w:tcPr>
            <w:tcW w:w="5300" w:type="dxa"/>
            <w:vAlign w:val="bottom"/>
            <w:tcBorders>
              <w:left w:val="single" w:sz="8" w:color="auto"/>
              <w:bottom w:val="single" w:sz="8" w:color="auto"/>
              <w:right w:val="single" w:sz="8" w:color="auto"/>
            </w:tcBorders>
            <w:shd w:val="clear" w:color="auto" w:fill="BFBFBF"/>
          </w:tcPr>
          <w:p>
            <w:pPr>
              <w:spacing w:after="0"/>
              <w:rPr>
                <w:sz w:val="7"/>
                <w:szCs w:val="7"/>
                <w:color w:val="auto"/>
              </w:rPr>
            </w:pPr>
          </w:p>
        </w:tc>
        <w:tc>
          <w:tcPr>
            <w:tcW w:w="6020" w:type="dxa"/>
            <w:vAlign w:val="bottom"/>
            <w:tcBorders>
              <w:bottom w:val="single" w:sz="8" w:color="auto"/>
              <w:right w:val="single" w:sz="8" w:color="auto"/>
            </w:tcBorders>
            <w:shd w:val="clear" w:color="auto" w:fill="BFBFBF"/>
          </w:tcPr>
          <w:p>
            <w:pPr>
              <w:spacing w:after="0"/>
              <w:rPr>
                <w:sz w:val="7"/>
                <w:szCs w:val="7"/>
                <w:color w:val="auto"/>
              </w:rPr>
            </w:pPr>
          </w:p>
        </w:tc>
        <w:tc>
          <w:tcPr>
            <w:tcW w:w="0" w:type="dxa"/>
            <w:vAlign w:val="bottom"/>
          </w:tcPr>
          <w:p>
            <w:pPr>
              <w:spacing w:after="0"/>
              <w:rPr>
                <w:sz w:val="1"/>
                <w:szCs w:val="1"/>
                <w:color w:val="auto"/>
              </w:rPr>
            </w:pPr>
          </w:p>
        </w:tc>
      </w:tr>
      <w:tr>
        <w:trPr>
          <w:trHeight w:val="132"/>
        </w:trPr>
        <w:tc>
          <w:tcPr>
            <w:tcW w:w="11320" w:type="dxa"/>
            <w:vAlign w:val="bottom"/>
            <w:tcBorders>
              <w:left w:val="single" w:sz="8" w:color="auto"/>
              <w:bottom w:val="single" w:sz="8" w:color="auto"/>
              <w:right w:val="single" w:sz="8" w:color="auto"/>
            </w:tcBorders>
            <w:gridSpan w:val="2"/>
          </w:tcPr>
          <w:p>
            <w:pPr>
              <w:jc w:val="center"/>
              <w:spacing w:after="0"/>
              <w:rPr>
                <w:sz w:val="20"/>
                <w:szCs w:val="20"/>
                <w:color w:val="auto"/>
              </w:rPr>
            </w:pPr>
            <w:r>
              <w:rPr>
                <w:rFonts w:ascii="Times New Roman" w:cs="Times New Roman" w:eastAsia="Times New Roman" w:hAnsi="Times New Roman"/>
                <w:sz w:val="11"/>
                <w:szCs w:val="11"/>
                <w:b w:val="1"/>
                <w:bCs w:val="1"/>
                <w:color w:val="auto"/>
                <w:w w:val="97"/>
              </w:rPr>
              <w:t>Consideration Given to the Representation of Women in Executive Officer Appointments</w:t>
            </w:r>
          </w:p>
        </w:tc>
        <w:tc>
          <w:tcPr>
            <w:tcW w:w="0" w:type="dxa"/>
            <w:vAlign w:val="bottom"/>
          </w:tcPr>
          <w:p>
            <w:pPr>
              <w:spacing w:after="0"/>
              <w:rPr>
                <w:sz w:val="1"/>
                <w:szCs w:val="1"/>
                <w:color w:val="auto"/>
              </w:rPr>
            </w:pPr>
          </w:p>
        </w:tc>
      </w:tr>
      <w:tr>
        <w:trPr>
          <w:trHeight w:val="125"/>
        </w:trPr>
        <w:tc>
          <w:tcPr>
            <w:tcW w:w="5300" w:type="dxa"/>
            <w:vAlign w:val="bottom"/>
            <w:tcBorders>
              <w:left w:val="single" w:sz="8" w:color="auto"/>
              <w:right w:val="single" w:sz="8" w:color="auto"/>
            </w:tcBorders>
          </w:tcPr>
          <w:p>
            <w:pPr>
              <w:jc w:val="right"/>
              <w:ind w:right="26"/>
              <w:spacing w:after="0" w:line="125" w:lineRule="exact"/>
              <w:rPr>
                <w:sz w:val="20"/>
                <w:szCs w:val="20"/>
                <w:color w:val="auto"/>
              </w:rPr>
            </w:pPr>
            <w:r>
              <w:rPr>
                <w:rFonts w:ascii="Times New Roman" w:cs="Times New Roman" w:eastAsia="Times New Roman" w:hAnsi="Times New Roman"/>
                <w:sz w:val="11"/>
                <w:szCs w:val="11"/>
                <w:color w:val="auto"/>
              </w:rPr>
              <w:t>19. Disclose whether and, if so, how the issuer considers the level of representation of women in executive officer</w:t>
            </w:r>
          </w:p>
        </w:tc>
        <w:tc>
          <w:tcPr>
            <w:tcW w:w="6020" w:type="dxa"/>
            <w:vAlign w:val="bottom"/>
            <w:tcBorders>
              <w:right w:val="single" w:sz="8" w:color="auto"/>
            </w:tcBorders>
          </w:tcPr>
          <w:p>
            <w:pPr>
              <w:ind w:left="20"/>
              <w:spacing w:after="0" w:line="125" w:lineRule="exact"/>
              <w:rPr>
                <w:sz w:val="20"/>
                <w:szCs w:val="20"/>
                <w:color w:val="auto"/>
              </w:rPr>
            </w:pPr>
            <w:r>
              <w:rPr>
                <w:rFonts w:ascii="Times New Roman" w:cs="Times New Roman" w:eastAsia="Times New Roman" w:hAnsi="Times New Roman"/>
                <w:sz w:val="11"/>
                <w:szCs w:val="11"/>
                <w:color w:val="auto"/>
              </w:rPr>
              <w:t>It is an objective of the Diversity Policy that diversity be considered in connection with the identification and nomination of female</w:t>
            </w:r>
          </w:p>
        </w:tc>
        <w:tc>
          <w:tcPr>
            <w:tcW w:w="0" w:type="dxa"/>
            <w:vAlign w:val="bottom"/>
          </w:tcPr>
          <w:p>
            <w:pPr>
              <w:spacing w:after="0"/>
              <w:rPr>
                <w:sz w:val="1"/>
                <w:szCs w:val="1"/>
                <w:color w:val="auto"/>
              </w:rPr>
            </w:pPr>
          </w:p>
        </w:tc>
      </w:tr>
      <w:tr>
        <w:trPr>
          <w:trHeight w:val="135"/>
        </w:trPr>
        <w:tc>
          <w:tcPr>
            <w:tcW w:w="5300" w:type="dxa"/>
            <w:vAlign w:val="bottom"/>
            <w:tcBorders>
              <w:left w:val="single" w:sz="8" w:color="auto"/>
              <w:right w:val="single" w:sz="8" w:color="auto"/>
            </w:tcBorders>
          </w:tcPr>
          <w:p>
            <w:pPr>
              <w:jc w:val="right"/>
              <w:ind w:right="26"/>
              <w:spacing w:after="0"/>
              <w:rPr>
                <w:sz w:val="20"/>
                <w:szCs w:val="20"/>
                <w:color w:val="auto"/>
              </w:rPr>
            </w:pPr>
            <w:r>
              <w:rPr>
                <w:rFonts w:ascii="Times New Roman" w:cs="Times New Roman" w:eastAsia="Times New Roman" w:hAnsi="Times New Roman"/>
                <w:sz w:val="11"/>
                <w:szCs w:val="11"/>
                <w:color w:val="auto"/>
              </w:rPr>
              <w:t>positions when making executive officer appointments. If the Corporation does not consider the level of</w:t>
            </w:r>
          </w:p>
        </w:tc>
        <w:tc>
          <w:tcPr>
            <w:tcW w:w="602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1"/>
                <w:szCs w:val="11"/>
                <w:color w:val="auto"/>
                <w:w w:val="99"/>
              </w:rPr>
              <w:t>candidates for executive positions. Gender diversity is an important factor that is taken into account in considering the hiring, promotion</w:t>
            </w:r>
          </w:p>
        </w:tc>
        <w:tc>
          <w:tcPr>
            <w:tcW w:w="0" w:type="dxa"/>
            <w:vAlign w:val="bottom"/>
          </w:tcPr>
          <w:p>
            <w:pPr>
              <w:spacing w:after="0"/>
              <w:rPr>
                <w:sz w:val="1"/>
                <w:szCs w:val="1"/>
                <w:color w:val="auto"/>
              </w:rPr>
            </w:pPr>
          </w:p>
        </w:tc>
      </w:tr>
      <w:tr>
        <w:trPr>
          <w:trHeight w:val="126"/>
        </w:trPr>
        <w:tc>
          <w:tcPr>
            <w:tcW w:w="5300" w:type="dxa"/>
            <w:vAlign w:val="bottom"/>
            <w:tcBorders>
              <w:left w:val="single" w:sz="8" w:color="auto"/>
              <w:right w:val="single" w:sz="8" w:color="auto"/>
            </w:tcBorders>
          </w:tcPr>
          <w:p>
            <w:pPr>
              <w:jc w:val="right"/>
              <w:ind w:right="26"/>
              <w:spacing w:after="0"/>
              <w:rPr>
                <w:sz w:val="20"/>
                <w:szCs w:val="20"/>
                <w:color w:val="auto"/>
              </w:rPr>
            </w:pPr>
            <w:r>
              <w:rPr>
                <w:rFonts w:ascii="Times New Roman" w:cs="Times New Roman" w:eastAsia="Times New Roman" w:hAnsi="Times New Roman"/>
                <w:sz w:val="11"/>
                <w:szCs w:val="11"/>
                <w:color w:val="auto"/>
              </w:rPr>
              <w:t>representation of women in executive officer positions when making executive officer appointments, disclose the</w:t>
            </w:r>
          </w:p>
        </w:tc>
        <w:tc>
          <w:tcPr>
            <w:tcW w:w="602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1"/>
                <w:szCs w:val="11"/>
                <w:color w:val="auto"/>
              </w:rPr>
              <w:t>and appointment of executive officers. The Board believes that diversity is important to ensure that executives provide a wide range of</w:t>
            </w:r>
          </w:p>
        </w:tc>
        <w:tc>
          <w:tcPr>
            <w:tcW w:w="0" w:type="dxa"/>
            <w:vAlign w:val="bottom"/>
          </w:tcPr>
          <w:p>
            <w:pPr>
              <w:spacing w:after="0"/>
              <w:rPr>
                <w:sz w:val="1"/>
                <w:szCs w:val="1"/>
                <w:color w:val="auto"/>
              </w:rPr>
            </w:pPr>
          </w:p>
        </w:tc>
      </w:tr>
      <w:tr>
        <w:trPr>
          <w:trHeight w:val="140"/>
        </w:trPr>
        <w:tc>
          <w:tcPr>
            <w:tcW w:w="5300" w:type="dxa"/>
            <w:vAlign w:val="bottom"/>
            <w:tcBorders>
              <w:left w:val="single" w:sz="8" w:color="auto"/>
              <w:right w:val="single" w:sz="8" w:color="auto"/>
            </w:tcBorders>
          </w:tcPr>
          <w:p>
            <w:pPr>
              <w:ind w:left="200"/>
              <w:spacing w:after="0"/>
              <w:rPr>
                <w:sz w:val="20"/>
                <w:szCs w:val="20"/>
                <w:color w:val="auto"/>
              </w:rPr>
            </w:pPr>
            <w:r>
              <w:rPr>
                <w:rFonts w:ascii="Times New Roman" w:cs="Times New Roman" w:eastAsia="Times New Roman" w:hAnsi="Times New Roman"/>
                <w:sz w:val="11"/>
                <w:szCs w:val="11"/>
                <w:color w:val="auto"/>
              </w:rPr>
              <w:t>Corporation’s reasons for not doing so.</w:t>
            </w:r>
          </w:p>
        </w:tc>
        <w:tc>
          <w:tcPr>
            <w:tcW w:w="602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1"/>
                <w:szCs w:val="11"/>
                <w:color w:val="auto"/>
              </w:rPr>
              <w:t>perspectives, experience and expertise required to achieve effective stewardship of the Corporation.</w:t>
            </w:r>
          </w:p>
        </w:tc>
        <w:tc>
          <w:tcPr>
            <w:tcW w:w="0" w:type="dxa"/>
            <w:vAlign w:val="bottom"/>
          </w:tcPr>
          <w:p>
            <w:pPr>
              <w:spacing w:after="0"/>
              <w:rPr>
                <w:sz w:val="1"/>
                <w:szCs w:val="1"/>
                <w:color w:val="auto"/>
              </w:rPr>
            </w:pPr>
          </w:p>
        </w:tc>
      </w:tr>
      <w:tr>
        <w:trPr>
          <w:trHeight w:val="265"/>
        </w:trPr>
        <w:tc>
          <w:tcPr>
            <w:tcW w:w="5300" w:type="dxa"/>
            <w:vAlign w:val="bottom"/>
            <w:tcBorders>
              <w:left w:val="single" w:sz="8" w:color="auto"/>
              <w:right w:val="single" w:sz="8" w:color="auto"/>
            </w:tcBorders>
          </w:tcPr>
          <w:p>
            <w:pPr>
              <w:spacing w:after="0"/>
              <w:rPr>
                <w:sz w:val="23"/>
                <w:szCs w:val="23"/>
                <w:color w:val="auto"/>
              </w:rPr>
            </w:pPr>
          </w:p>
        </w:tc>
        <w:tc>
          <w:tcPr>
            <w:tcW w:w="602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1"/>
                <w:szCs w:val="11"/>
                <w:color w:val="auto"/>
              </w:rPr>
              <w:t>The Diversity Policy does not include a target number or percentage of women in executive management positions. The Corporate</w:t>
            </w:r>
          </w:p>
        </w:tc>
        <w:tc>
          <w:tcPr>
            <w:tcW w:w="0" w:type="dxa"/>
            <w:vAlign w:val="bottom"/>
          </w:tcPr>
          <w:p>
            <w:pPr>
              <w:spacing w:after="0"/>
              <w:rPr>
                <w:sz w:val="1"/>
                <w:szCs w:val="1"/>
                <w:color w:val="auto"/>
              </w:rPr>
            </w:pPr>
          </w:p>
        </w:tc>
      </w:tr>
      <w:tr>
        <w:trPr>
          <w:trHeight w:val="126"/>
        </w:trPr>
        <w:tc>
          <w:tcPr>
            <w:tcW w:w="5300" w:type="dxa"/>
            <w:vAlign w:val="bottom"/>
            <w:tcBorders>
              <w:left w:val="single" w:sz="8" w:color="auto"/>
              <w:right w:val="single" w:sz="8" w:color="auto"/>
            </w:tcBorders>
          </w:tcPr>
          <w:p>
            <w:pPr>
              <w:spacing w:after="0"/>
              <w:rPr>
                <w:sz w:val="10"/>
                <w:szCs w:val="10"/>
                <w:color w:val="auto"/>
              </w:rPr>
            </w:pPr>
          </w:p>
        </w:tc>
        <w:tc>
          <w:tcPr>
            <w:tcW w:w="602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1"/>
                <w:szCs w:val="11"/>
                <w:color w:val="auto"/>
              </w:rPr>
              <w:t>Governance and Nominating Committee does not believe that targets are appropriate since gender diversity is only one of several</w:t>
            </w:r>
          </w:p>
        </w:tc>
        <w:tc>
          <w:tcPr>
            <w:tcW w:w="0" w:type="dxa"/>
            <w:vAlign w:val="bottom"/>
          </w:tcPr>
          <w:p>
            <w:pPr>
              <w:spacing w:after="0"/>
              <w:rPr>
                <w:sz w:val="1"/>
                <w:szCs w:val="1"/>
                <w:color w:val="auto"/>
              </w:rPr>
            </w:pPr>
          </w:p>
        </w:tc>
      </w:tr>
      <w:tr>
        <w:trPr>
          <w:trHeight w:val="135"/>
        </w:trPr>
        <w:tc>
          <w:tcPr>
            <w:tcW w:w="5300" w:type="dxa"/>
            <w:vAlign w:val="bottom"/>
            <w:tcBorders>
              <w:left w:val="single" w:sz="8" w:color="auto"/>
              <w:right w:val="single" w:sz="8" w:color="auto"/>
            </w:tcBorders>
          </w:tcPr>
          <w:p>
            <w:pPr>
              <w:spacing w:after="0"/>
              <w:rPr>
                <w:sz w:val="11"/>
                <w:szCs w:val="11"/>
                <w:color w:val="auto"/>
              </w:rPr>
            </w:pPr>
          </w:p>
        </w:tc>
        <w:tc>
          <w:tcPr>
            <w:tcW w:w="602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1"/>
                <w:szCs w:val="11"/>
                <w:color w:val="auto"/>
              </w:rPr>
              <w:t>characteristics considered during the selection process for executive officers. Instead, the Corporate Governance and Nominating</w:t>
            </w:r>
          </w:p>
        </w:tc>
        <w:tc>
          <w:tcPr>
            <w:tcW w:w="0" w:type="dxa"/>
            <w:vAlign w:val="bottom"/>
          </w:tcPr>
          <w:p>
            <w:pPr>
              <w:spacing w:after="0"/>
              <w:rPr>
                <w:sz w:val="1"/>
                <w:szCs w:val="1"/>
                <w:color w:val="auto"/>
              </w:rPr>
            </w:pPr>
          </w:p>
        </w:tc>
      </w:tr>
      <w:tr>
        <w:trPr>
          <w:trHeight w:val="140"/>
        </w:trPr>
        <w:tc>
          <w:tcPr>
            <w:tcW w:w="5300" w:type="dxa"/>
            <w:vAlign w:val="bottom"/>
            <w:tcBorders>
              <w:left w:val="single" w:sz="8" w:color="auto"/>
              <w:right w:val="single" w:sz="8" w:color="auto"/>
            </w:tcBorders>
          </w:tcPr>
          <w:p>
            <w:pPr>
              <w:spacing w:after="0"/>
              <w:rPr>
                <w:sz w:val="12"/>
                <w:szCs w:val="12"/>
                <w:color w:val="auto"/>
              </w:rPr>
            </w:pPr>
          </w:p>
        </w:tc>
        <w:tc>
          <w:tcPr>
            <w:tcW w:w="602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1"/>
                <w:szCs w:val="11"/>
                <w:color w:val="auto"/>
              </w:rPr>
              <w:t>Committee believes that a method for reviewing executive officers on a variety of factors, including diversity, is more appropriate.</w:t>
            </w:r>
          </w:p>
        </w:tc>
        <w:tc>
          <w:tcPr>
            <w:tcW w:w="0" w:type="dxa"/>
            <w:vAlign w:val="bottom"/>
          </w:tcPr>
          <w:p>
            <w:pPr>
              <w:spacing w:after="0"/>
              <w:rPr>
                <w:sz w:val="1"/>
                <w:szCs w:val="1"/>
                <w:color w:val="auto"/>
              </w:rPr>
            </w:pPr>
          </w:p>
        </w:tc>
      </w:tr>
      <w:tr>
        <w:trPr>
          <w:trHeight w:val="85"/>
        </w:trPr>
        <w:tc>
          <w:tcPr>
            <w:tcW w:w="5300" w:type="dxa"/>
            <w:vAlign w:val="bottom"/>
            <w:tcBorders>
              <w:left w:val="single" w:sz="8" w:color="auto"/>
              <w:bottom w:val="single" w:sz="8" w:color="auto"/>
              <w:right w:val="single" w:sz="8" w:color="auto"/>
            </w:tcBorders>
          </w:tcPr>
          <w:p>
            <w:pPr>
              <w:spacing w:after="0"/>
              <w:rPr>
                <w:sz w:val="7"/>
                <w:szCs w:val="7"/>
                <w:color w:val="auto"/>
              </w:rPr>
            </w:pPr>
          </w:p>
        </w:tc>
        <w:tc>
          <w:tcPr>
            <w:tcW w:w="6020" w:type="dxa"/>
            <w:vAlign w:val="bottom"/>
            <w:tcBorders>
              <w:bottom w:val="single" w:sz="8" w:color="auto"/>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124"/>
        </w:trPr>
        <w:tc>
          <w:tcPr>
            <w:tcW w:w="5300" w:type="dxa"/>
            <w:vAlign w:val="bottom"/>
            <w:tcBorders>
              <w:left w:val="single" w:sz="8" w:color="auto"/>
              <w:right w:val="single" w:sz="8" w:color="auto"/>
            </w:tcBorders>
          </w:tcPr>
          <w:p>
            <w:pPr>
              <w:jc w:val="right"/>
              <w:ind w:right="26"/>
              <w:spacing w:after="0" w:line="124" w:lineRule="exact"/>
              <w:rPr>
                <w:sz w:val="20"/>
                <w:szCs w:val="20"/>
                <w:color w:val="auto"/>
              </w:rPr>
            </w:pPr>
            <w:r>
              <w:rPr>
                <w:rFonts w:ascii="Times New Roman" w:cs="Times New Roman" w:eastAsia="Times New Roman" w:hAnsi="Times New Roman"/>
                <w:sz w:val="11"/>
                <w:szCs w:val="11"/>
                <w:color w:val="auto"/>
              </w:rPr>
              <w:t>20. Disclose whether the Corporation has adopted a target regarding women on the Board or in executive officer</w:t>
            </w:r>
          </w:p>
        </w:tc>
        <w:tc>
          <w:tcPr>
            <w:tcW w:w="6020" w:type="dxa"/>
            <w:vAlign w:val="bottom"/>
            <w:tcBorders>
              <w:right w:val="single" w:sz="8" w:color="auto"/>
            </w:tcBorders>
          </w:tcPr>
          <w:p>
            <w:pPr>
              <w:spacing w:after="0" w:line="124" w:lineRule="exact"/>
              <w:rPr>
                <w:sz w:val="20"/>
                <w:szCs w:val="20"/>
                <w:color w:val="auto"/>
              </w:rPr>
            </w:pPr>
            <w:r>
              <w:rPr>
                <w:rFonts w:ascii="Times New Roman" w:cs="Times New Roman" w:eastAsia="Times New Roman" w:hAnsi="Times New Roman"/>
                <w:sz w:val="11"/>
                <w:szCs w:val="11"/>
                <w:color w:val="auto"/>
              </w:rPr>
              <w:t>The Corporation has not adopted a target regarding women on the Board or in executive officer positions.</w:t>
            </w:r>
          </w:p>
        </w:tc>
        <w:tc>
          <w:tcPr>
            <w:tcW w:w="0" w:type="dxa"/>
            <w:vAlign w:val="bottom"/>
          </w:tcPr>
          <w:p>
            <w:pPr>
              <w:spacing w:after="0"/>
              <w:rPr>
                <w:sz w:val="1"/>
                <w:szCs w:val="1"/>
                <w:color w:val="auto"/>
              </w:rPr>
            </w:pPr>
          </w:p>
        </w:tc>
      </w:tr>
      <w:tr>
        <w:trPr>
          <w:trHeight w:val="135"/>
        </w:trPr>
        <w:tc>
          <w:tcPr>
            <w:tcW w:w="5300" w:type="dxa"/>
            <w:vAlign w:val="bottom"/>
            <w:tcBorders>
              <w:left w:val="single" w:sz="8" w:color="auto"/>
              <w:right w:val="single" w:sz="8" w:color="auto"/>
            </w:tcBorders>
          </w:tcPr>
          <w:p>
            <w:pPr>
              <w:jc w:val="right"/>
              <w:ind w:right="26"/>
              <w:spacing w:after="0"/>
              <w:rPr>
                <w:sz w:val="20"/>
                <w:szCs w:val="20"/>
                <w:color w:val="auto"/>
              </w:rPr>
            </w:pPr>
            <w:r>
              <w:rPr>
                <w:rFonts w:ascii="Times New Roman" w:cs="Times New Roman" w:eastAsia="Times New Roman" w:hAnsi="Times New Roman"/>
                <w:sz w:val="11"/>
                <w:szCs w:val="11"/>
                <w:color w:val="auto"/>
              </w:rPr>
              <w:t>positions. If the Corporation has not adopted a target, disclose why it has not done so. If the Corporation has</w:t>
            </w:r>
          </w:p>
        </w:tc>
        <w:tc>
          <w:tcPr>
            <w:tcW w:w="6020" w:type="dxa"/>
            <w:vAlign w:val="bottom"/>
            <w:tcBorders>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26"/>
        </w:trPr>
        <w:tc>
          <w:tcPr>
            <w:tcW w:w="5300" w:type="dxa"/>
            <w:vAlign w:val="bottom"/>
            <w:tcBorders>
              <w:left w:val="single" w:sz="8" w:color="auto"/>
              <w:right w:val="single" w:sz="8" w:color="auto"/>
            </w:tcBorders>
          </w:tcPr>
          <w:p>
            <w:pPr>
              <w:jc w:val="right"/>
              <w:ind w:right="26"/>
              <w:spacing w:after="0"/>
              <w:rPr>
                <w:sz w:val="20"/>
                <w:szCs w:val="20"/>
                <w:color w:val="auto"/>
              </w:rPr>
            </w:pPr>
            <w:r>
              <w:rPr>
                <w:rFonts w:ascii="Times New Roman" w:cs="Times New Roman" w:eastAsia="Times New Roman" w:hAnsi="Times New Roman"/>
                <w:sz w:val="11"/>
                <w:szCs w:val="11"/>
                <w:color w:val="auto"/>
              </w:rPr>
              <w:t>adopted a target, disclose the target, and the annual and cumulative progress of the Corporation in achieving the</w:t>
            </w:r>
          </w:p>
        </w:tc>
        <w:tc>
          <w:tcPr>
            <w:tcW w:w="6020" w:type="dxa"/>
            <w:vAlign w:val="bottom"/>
            <w:tcBorders>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140"/>
        </w:trPr>
        <w:tc>
          <w:tcPr>
            <w:tcW w:w="5300" w:type="dxa"/>
            <w:vAlign w:val="bottom"/>
            <w:tcBorders>
              <w:left w:val="single" w:sz="8" w:color="auto"/>
              <w:right w:val="single" w:sz="8" w:color="auto"/>
            </w:tcBorders>
          </w:tcPr>
          <w:p>
            <w:pPr>
              <w:ind w:left="200"/>
              <w:spacing w:after="0"/>
              <w:rPr>
                <w:sz w:val="20"/>
                <w:szCs w:val="20"/>
                <w:color w:val="auto"/>
              </w:rPr>
            </w:pPr>
            <w:r>
              <w:rPr>
                <w:rFonts w:ascii="Times New Roman" w:cs="Times New Roman" w:eastAsia="Times New Roman" w:hAnsi="Times New Roman"/>
                <w:sz w:val="11"/>
                <w:szCs w:val="11"/>
                <w:color w:val="auto"/>
              </w:rPr>
              <w:t>target.</w:t>
            </w:r>
          </w:p>
        </w:tc>
        <w:tc>
          <w:tcPr>
            <w:tcW w:w="602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94"/>
        </w:trPr>
        <w:tc>
          <w:tcPr>
            <w:tcW w:w="5300" w:type="dxa"/>
            <w:vAlign w:val="bottom"/>
            <w:tcBorders>
              <w:left w:val="single" w:sz="8" w:color="auto"/>
              <w:bottom w:val="single" w:sz="8" w:color="auto"/>
              <w:right w:val="single" w:sz="8" w:color="auto"/>
            </w:tcBorders>
          </w:tcPr>
          <w:p>
            <w:pPr>
              <w:spacing w:after="0"/>
              <w:rPr>
                <w:sz w:val="8"/>
                <w:szCs w:val="8"/>
                <w:color w:val="auto"/>
              </w:rPr>
            </w:pPr>
          </w:p>
        </w:tc>
        <w:tc>
          <w:tcPr>
            <w:tcW w:w="6020" w:type="dxa"/>
            <w:vAlign w:val="bottom"/>
            <w:tcBorders>
              <w:bottom w:val="single" w:sz="8" w:color="auto"/>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132"/>
        </w:trPr>
        <w:tc>
          <w:tcPr>
            <w:tcW w:w="11320" w:type="dxa"/>
            <w:vAlign w:val="bottom"/>
            <w:tcBorders>
              <w:left w:val="single" w:sz="8" w:color="auto"/>
              <w:bottom w:val="single" w:sz="8" w:color="auto"/>
              <w:right w:val="single" w:sz="8" w:color="auto"/>
            </w:tcBorders>
            <w:gridSpan w:val="2"/>
          </w:tcPr>
          <w:p>
            <w:pPr>
              <w:jc w:val="center"/>
              <w:spacing w:after="0"/>
              <w:rPr>
                <w:sz w:val="20"/>
                <w:szCs w:val="20"/>
                <w:color w:val="auto"/>
              </w:rPr>
            </w:pPr>
            <w:r>
              <w:rPr>
                <w:rFonts w:ascii="Times New Roman" w:cs="Times New Roman" w:eastAsia="Times New Roman" w:hAnsi="Times New Roman"/>
                <w:sz w:val="11"/>
                <w:szCs w:val="11"/>
                <w:b w:val="1"/>
                <w:bCs w:val="1"/>
                <w:color w:val="auto"/>
                <w:w w:val="97"/>
              </w:rPr>
              <w:t>Number of Women on the Board and in Executive Officer Positions</w:t>
            </w:r>
          </w:p>
        </w:tc>
        <w:tc>
          <w:tcPr>
            <w:tcW w:w="0" w:type="dxa"/>
            <w:vAlign w:val="bottom"/>
          </w:tcPr>
          <w:p>
            <w:pPr>
              <w:spacing w:after="0"/>
              <w:rPr>
                <w:sz w:val="1"/>
                <w:szCs w:val="1"/>
                <w:color w:val="auto"/>
              </w:rPr>
            </w:pPr>
          </w:p>
        </w:tc>
      </w:tr>
      <w:tr>
        <w:trPr>
          <w:trHeight w:val="125"/>
        </w:trPr>
        <w:tc>
          <w:tcPr>
            <w:tcW w:w="5300" w:type="dxa"/>
            <w:vAlign w:val="bottom"/>
            <w:tcBorders>
              <w:left w:val="single" w:sz="8" w:color="auto"/>
              <w:right w:val="single" w:sz="8" w:color="auto"/>
            </w:tcBorders>
          </w:tcPr>
          <w:p>
            <w:pPr>
              <w:jc w:val="right"/>
              <w:ind w:right="26"/>
              <w:spacing w:after="0" w:line="125" w:lineRule="exact"/>
              <w:rPr>
                <w:sz w:val="20"/>
                <w:szCs w:val="20"/>
                <w:color w:val="auto"/>
              </w:rPr>
            </w:pPr>
            <w:r>
              <w:rPr>
                <w:rFonts w:ascii="Times New Roman" w:cs="Times New Roman" w:eastAsia="Times New Roman" w:hAnsi="Times New Roman"/>
                <w:sz w:val="11"/>
                <w:szCs w:val="11"/>
                <w:color w:val="auto"/>
              </w:rPr>
              <w:t>21. Disclose the number and proportion (in percentage terms) of (i) directors on the Corporation’s Board, and (ii)</w:t>
            </w:r>
          </w:p>
        </w:tc>
        <w:tc>
          <w:tcPr>
            <w:tcW w:w="6020" w:type="dxa"/>
            <w:vAlign w:val="bottom"/>
            <w:tcBorders>
              <w:right w:val="single" w:sz="8" w:color="auto"/>
            </w:tcBorders>
          </w:tcPr>
          <w:p>
            <w:pPr>
              <w:ind w:left="20"/>
              <w:spacing w:after="0" w:line="125" w:lineRule="exact"/>
              <w:rPr>
                <w:sz w:val="20"/>
                <w:szCs w:val="20"/>
                <w:color w:val="auto"/>
              </w:rPr>
            </w:pPr>
            <w:r>
              <w:rPr>
                <w:rFonts w:ascii="Times New Roman" w:cs="Times New Roman" w:eastAsia="Times New Roman" w:hAnsi="Times New Roman"/>
                <w:sz w:val="11"/>
                <w:szCs w:val="11"/>
                <w:color w:val="auto"/>
              </w:rPr>
              <w:t>Currently, one (14%) of the seven directors of the Board is a woman and one (11%) of nine executive officers of the Corporation is a</w:t>
            </w:r>
          </w:p>
        </w:tc>
        <w:tc>
          <w:tcPr>
            <w:tcW w:w="0" w:type="dxa"/>
            <w:vAlign w:val="bottom"/>
          </w:tcPr>
          <w:p>
            <w:pPr>
              <w:spacing w:after="0"/>
              <w:rPr>
                <w:sz w:val="1"/>
                <w:szCs w:val="1"/>
                <w:color w:val="auto"/>
              </w:rPr>
            </w:pPr>
          </w:p>
        </w:tc>
      </w:tr>
      <w:tr>
        <w:trPr>
          <w:trHeight w:val="140"/>
        </w:trPr>
        <w:tc>
          <w:tcPr>
            <w:tcW w:w="5300" w:type="dxa"/>
            <w:vAlign w:val="bottom"/>
            <w:tcBorders>
              <w:left w:val="single" w:sz="8" w:color="auto"/>
              <w:right w:val="single" w:sz="8" w:color="auto"/>
            </w:tcBorders>
          </w:tcPr>
          <w:p>
            <w:pPr>
              <w:ind w:left="200"/>
              <w:spacing w:after="0"/>
              <w:rPr>
                <w:sz w:val="20"/>
                <w:szCs w:val="20"/>
                <w:color w:val="auto"/>
              </w:rPr>
            </w:pPr>
            <w:r>
              <w:rPr>
                <w:rFonts w:ascii="Times New Roman" w:cs="Times New Roman" w:eastAsia="Times New Roman" w:hAnsi="Times New Roman"/>
                <w:sz w:val="11"/>
                <w:szCs w:val="11"/>
                <w:color w:val="auto"/>
              </w:rPr>
              <w:t>executive officers of the Corporation, who are women.</w:t>
            </w:r>
          </w:p>
        </w:tc>
        <w:tc>
          <w:tcPr>
            <w:tcW w:w="602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1"/>
                <w:szCs w:val="11"/>
                <w:color w:val="auto"/>
              </w:rPr>
              <w:t>women.</w:t>
            </w:r>
          </w:p>
        </w:tc>
        <w:tc>
          <w:tcPr>
            <w:tcW w:w="0" w:type="dxa"/>
            <w:vAlign w:val="bottom"/>
          </w:tcPr>
          <w:p>
            <w:pPr>
              <w:spacing w:after="0"/>
              <w:rPr>
                <w:sz w:val="1"/>
                <w:szCs w:val="1"/>
                <w:color w:val="auto"/>
              </w:rPr>
            </w:pPr>
          </w:p>
        </w:tc>
      </w:tr>
      <w:tr>
        <w:trPr>
          <w:trHeight w:val="94"/>
        </w:trPr>
        <w:tc>
          <w:tcPr>
            <w:tcW w:w="5300" w:type="dxa"/>
            <w:vAlign w:val="bottom"/>
            <w:tcBorders>
              <w:left w:val="single" w:sz="8" w:color="auto"/>
              <w:bottom w:val="single" w:sz="8" w:color="auto"/>
              <w:right w:val="single" w:sz="8" w:color="auto"/>
            </w:tcBorders>
          </w:tcPr>
          <w:p>
            <w:pPr>
              <w:spacing w:after="0"/>
              <w:rPr>
                <w:sz w:val="8"/>
                <w:szCs w:val="8"/>
                <w:color w:val="auto"/>
              </w:rPr>
            </w:pPr>
          </w:p>
        </w:tc>
        <w:tc>
          <w:tcPr>
            <w:tcW w:w="6020" w:type="dxa"/>
            <w:vAlign w:val="bottom"/>
            <w:tcBorders>
              <w:bottom w:val="single" w:sz="8" w:color="auto"/>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bl>
    <w:p>
      <w:pPr>
        <w:sectPr>
          <w:pgSz w:w="11900" w:h="16838" w:orient="portrait"/>
          <w:cols w:equalWidth="0" w:num="1">
            <w:col w:w="11300"/>
          </w:cols>
          <w:pgMar w:left="300" w:top="126" w:right="299" w:bottom="1440" w:gutter="0" w:footer="0" w:header="0"/>
        </w:sectPr>
      </w:pPr>
    </w:p>
    <w:bookmarkStart w:id="40" w:name="page41"/>
    <w:bookmarkEnd w:id="40"/>
    <w:p>
      <w:pPr>
        <w:jc w:val="center"/>
        <w:spacing w:after="0"/>
        <w:rPr>
          <w:sz w:val="20"/>
          <w:szCs w:val="20"/>
          <w:color w:val="auto"/>
        </w:rPr>
      </w:pPr>
      <w:r>
        <w:rPr>
          <w:rFonts w:ascii="Times New Roman" w:cs="Times New Roman" w:eastAsia="Times New Roman" w:hAnsi="Times New Roman"/>
          <w:sz w:val="13"/>
          <w:szCs w:val="13"/>
          <w:color w:val="auto"/>
        </w:rPr>
        <w:t>B - 1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ind w:right="300"/>
        <w:spacing w:after="0"/>
        <w:rPr>
          <w:sz w:val="20"/>
          <w:szCs w:val="20"/>
          <w:color w:val="auto"/>
        </w:rPr>
      </w:pPr>
      <w:r>
        <w:rPr>
          <w:rFonts w:ascii="Times New Roman" w:cs="Times New Roman" w:eastAsia="Times New Roman" w:hAnsi="Times New Roman"/>
          <w:sz w:val="13"/>
          <w:szCs w:val="13"/>
          <w:b w:val="1"/>
          <w:bCs w:val="1"/>
          <w:color w:val="auto"/>
        </w:rPr>
        <w:t>SCHEDULE "B"</w:t>
      </w:r>
    </w:p>
    <w:p>
      <w:pPr>
        <w:jc w:val="center"/>
        <w:spacing w:after="0"/>
        <w:rPr>
          <w:sz w:val="20"/>
          <w:szCs w:val="20"/>
          <w:color w:val="auto"/>
        </w:rPr>
      </w:pPr>
      <w:r>
        <w:rPr>
          <w:rFonts w:ascii="Times New Roman" w:cs="Times New Roman" w:eastAsia="Times New Roman" w:hAnsi="Times New Roman"/>
          <w:sz w:val="14"/>
          <w:szCs w:val="14"/>
          <w:b w:val="1"/>
          <w:bCs w:val="1"/>
          <w:color w:val="auto"/>
        </w:rPr>
        <w:t>AUDIT COMMITTEE CHART</w:t>
      </w:r>
      <w:r>
        <w:rPr>
          <w:rFonts w:ascii="Times New Roman" w:cs="Times New Roman" w:eastAsia="Times New Roman" w:hAnsi="Times New Roman"/>
          <w:sz w:val="13"/>
          <w:szCs w:val="13"/>
          <w:b w:val="1"/>
          <w:bCs w:val="1"/>
          <w:color w:val="auto"/>
        </w:rPr>
        <w:t>ER</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 xml:space="preserve">(Implemented pursuant to National Instrument 52-110 – </w:t>
      </w:r>
      <w:r>
        <w:rPr>
          <w:rFonts w:ascii="Times New Roman" w:cs="Times New Roman" w:eastAsia="Times New Roman" w:hAnsi="Times New Roman"/>
          <w:sz w:val="13"/>
          <w:szCs w:val="13"/>
          <w:i w:val="1"/>
          <w:iCs w:val="1"/>
          <w:color w:val="auto"/>
        </w:rPr>
        <w:t>Audit Committees</w:t>
      </w:r>
      <w:r>
        <w:rPr>
          <w:rFonts w:ascii="Times New Roman" w:cs="Times New Roman" w:eastAsia="Times New Roman" w:hAnsi="Times New Roman"/>
          <w:sz w:val="13"/>
          <w:szCs w:val="13"/>
          <w:color w:val="auto"/>
        </w:rPr>
        <w:t>)</w:t>
      </w:r>
    </w:p>
    <w:p>
      <w:pPr>
        <w:spacing w:after="0" w:line="157" w:lineRule="exact"/>
        <w:rPr>
          <w:sz w:val="20"/>
          <w:szCs w:val="20"/>
          <w:color w:val="auto"/>
        </w:rPr>
      </w:pPr>
    </w:p>
    <w:p>
      <w:pPr>
        <w:jc w:val="both"/>
        <w:spacing w:after="0" w:line="272" w:lineRule="auto"/>
        <w:rPr>
          <w:sz w:val="20"/>
          <w:szCs w:val="20"/>
          <w:color w:val="auto"/>
        </w:rPr>
      </w:pPr>
      <w:r>
        <w:rPr>
          <w:rFonts w:ascii="Times New Roman" w:cs="Times New Roman" w:eastAsia="Times New Roman" w:hAnsi="Times New Roman"/>
          <w:sz w:val="13"/>
          <w:szCs w:val="13"/>
          <w:color w:val="auto"/>
        </w:rPr>
        <w:t xml:space="preserve">National Instrument 52-110 – </w:t>
      </w:r>
      <w:r>
        <w:rPr>
          <w:rFonts w:ascii="Times New Roman" w:cs="Times New Roman" w:eastAsia="Times New Roman" w:hAnsi="Times New Roman"/>
          <w:sz w:val="13"/>
          <w:szCs w:val="13"/>
          <w:i w:val="1"/>
          <w:iCs w:val="1"/>
          <w:color w:val="auto"/>
        </w:rPr>
        <w:t>Audit Committees</w:t>
      </w:r>
      <w:r>
        <w:rPr>
          <w:rFonts w:ascii="Times New Roman" w:cs="Times New Roman" w:eastAsia="Times New Roman" w:hAnsi="Times New Roman"/>
          <w:sz w:val="13"/>
          <w:szCs w:val="13"/>
          <w:color w:val="auto"/>
        </w:rPr>
        <w:t xml:space="preserve"> (the “</w:t>
      </w:r>
      <w:r>
        <w:rPr>
          <w:rFonts w:ascii="Times New Roman" w:cs="Times New Roman" w:eastAsia="Times New Roman" w:hAnsi="Times New Roman"/>
          <w:sz w:val="13"/>
          <w:szCs w:val="13"/>
          <w:b w:val="1"/>
          <w:bCs w:val="1"/>
          <w:color w:val="auto"/>
        </w:rPr>
        <w:t>Instrument</w:t>
      </w:r>
      <w:r>
        <w:rPr>
          <w:rFonts w:ascii="Times New Roman" w:cs="Times New Roman" w:eastAsia="Times New Roman" w:hAnsi="Times New Roman"/>
          <w:sz w:val="13"/>
          <w:szCs w:val="13"/>
          <w:color w:val="auto"/>
        </w:rPr>
        <w:t>”) relating to the composition and function of audit committees was implemented for reporting issuers and, accordingly, applies to every NEO Exchange listed company, including the Corporation. The Instrument requires all affected issuers to have a written audit committee charter which must be disclosed, as stipulated by Form 52-110F2, in the management information circular of the Corporation wherein management solicits proxies from the security holders of the Corporation for the purpose of electing directors to the board of directors.</w:t>
      </w:r>
    </w:p>
    <w:p>
      <w:pPr>
        <w:spacing w:after="0" w:line="106" w:lineRule="exact"/>
        <w:rPr>
          <w:sz w:val="20"/>
          <w:szCs w:val="20"/>
          <w:color w:val="auto"/>
        </w:rPr>
      </w:pPr>
    </w:p>
    <w:p>
      <w:pPr>
        <w:jc w:val="both"/>
        <w:spacing w:after="0" w:line="277" w:lineRule="auto"/>
        <w:rPr>
          <w:sz w:val="20"/>
          <w:szCs w:val="20"/>
          <w:color w:val="auto"/>
        </w:rPr>
      </w:pPr>
      <w:r>
        <w:rPr>
          <w:rFonts w:ascii="Times New Roman" w:cs="Times New Roman" w:eastAsia="Times New Roman" w:hAnsi="Times New Roman"/>
          <w:sz w:val="13"/>
          <w:szCs w:val="13"/>
          <w:color w:val="auto"/>
        </w:rPr>
        <w:t>This Charter has been adopted by the board of directors in order to comply with the Instrument and to more properly define the role of the Committee in the oversight of the financial reporting process of the Corporation. Nothing in this Charter is intended to restrict the ability of the board of directors or Committee to alter or vary procedures in order to comply more fully with the Instrument, as amended from time to time.</w:t>
      </w:r>
    </w:p>
    <w:p>
      <w:pPr>
        <w:spacing w:after="0" w:line="101" w:lineRule="exact"/>
        <w:rPr>
          <w:sz w:val="20"/>
          <w:szCs w:val="20"/>
          <w:color w:val="auto"/>
        </w:rPr>
      </w:pPr>
    </w:p>
    <w:p>
      <w:pPr>
        <w:jc w:val="center"/>
        <w:ind w:right="220"/>
        <w:spacing w:after="0"/>
        <w:rPr>
          <w:sz w:val="20"/>
          <w:szCs w:val="20"/>
          <w:color w:val="auto"/>
        </w:rPr>
      </w:pPr>
      <w:r>
        <w:rPr>
          <w:rFonts w:ascii="Times New Roman" w:cs="Times New Roman" w:eastAsia="Times New Roman" w:hAnsi="Times New Roman"/>
          <w:sz w:val="13"/>
          <w:szCs w:val="13"/>
          <w:b w:val="1"/>
          <w:bCs w:val="1"/>
          <w:u w:val="single" w:color="auto"/>
          <w:color w:val="auto"/>
        </w:rPr>
        <w:t>PART 1</w:t>
      </w:r>
    </w:p>
    <w:p>
      <w:pPr>
        <w:spacing w:after="0" w:line="148" w:lineRule="exact"/>
        <w:rPr>
          <w:sz w:val="20"/>
          <w:szCs w:val="20"/>
          <w:color w:val="auto"/>
        </w:rPr>
      </w:pPr>
    </w:p>
    <w:p>
      <w:pPr>
        <w:spacing w:after="0"/>
        <w:tabs>
          <w:tab w:leader="none" w:pos="400" w:val="left"/>
        </w:tabs>
        <w:rPr>
          <w:sz w:val="20"/>
          <w:szCs w:val="20"/>
          <w:color w:val="auto"/>
        </w:rPr>
      </w:pPr>
      <w:r>
        <w:rPr>
          <w:rFonts w:ascii="Times New Roman" w:cs="Times New Roman" w:eastAsia="Times New Roman" w:hAnsi="Times New Roman"/>
          <w:sz w:val="13"/>
          <w:szCs w:val="13"/>
          <w:b w:val="1"/>
          <w:bCs w:val="1"/>
          <w:color w:val="auto"/>
        </w:rPr>
        <w:t>1.1</w:t>
      </w:r>
      <w:r>
        <w:rPr>
          <w:sz w:val="20"/>
          <w:szCs w:val="20"/>
          <w:color w:val="auto"/>
        </w:rPr>
        <w:tab/>
      </w:r>
      <w:r>
        <w:rPr>
          <w:rFonts w:ascii="Times New Roman" w:cs="Times New Roman" w:eastAsia="Times New Roman" w:hAnsi="Times New Roman"/>
          <w:sz w:val="13"/>
          <w:szCs w:val="13"/>
          <w:b w:val="1"/>
          <w:bCs w:val="1"/>
          <w:color w:val="auto"/>
        </w:rPr>
        <w:t>Purpose:</w:t>
      </w:r>
    </w:p>
    <w:p>
      <w:pPr>
        <w:spacing w:after="0" w:line="132"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The purpose of the Committee is to:</w:t>
      </w:r>
    </w:p>
    <w:p>
      <w:pPr>
        <w:spacing w:after="0" w:line="157" w:lineRule="exact"/>
        <w:rPr>
          <w:sz w:val="20"/>
          <w:szCs w:val="20"/>
          <w:color w:val="auto"/>
        </w:rPr>
      </w:pPr>
    </w:p>
    <w:p>
      <w:pPr>
        <w:ind w:left="840" w:hanging="416"/>
        <w:spacing w:after="0"/>
        <w:tabs>
          <w:tab w:leader="none" w:pos="840" w:val="left"/>
        </w:tabs>
        <w:numPr>
          <w:ilvl w:val="0"/>
          <w:numId w:val="22"/>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improve the quality of the Corporation’s financial reporting;</w:t>
      </w:r>
    </w:p>
    <w:p>
      <w:pPr>
        <w:spacing w:after="0" w:line="156" w:lineRule="exact"/>
        <w:rPr>
          <w:rFonts w:ascii="Times New Roman" w:cs="Times New Roman" w:eastAsia="Times New Roman" w:hAnsi="Times New Roman"/>
          <w:sz w:val="13"/>
          <w:szCs w:val="13"/>
          <w:color w:val="auto"/>
        </w:rPr>
      </w:pPr>
    </w:p>
    <w:p>
      <w:pPr>
        <w:ind w:left="840" w:hanging="416"/>
        <w:spacing w:after="0"/>
        <w:tabs>
          <w:tab w:leader="none" w:pos="840" w:val="left"/>
        </w:tabs>
        <w:numPr>
          <w:ilvl w:val="0"/>
          <w:numId w:val="22"/>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assist the board of directors to properly and fully discharge its responsibilities;</w:t>
      </w:r>
    </w:p>
    <w:p>
      <w:pPr>
        <w:spacing w:after="0" w:line="147" w:lineRule="exact"/>
        <w:rPr>
          <w:rFonts w:ascii="Times New Roman" w:cs="Times New Roman" w:eastAsia="Times New Roman" w:hAnsi="Times New Roman"/>
          <w:sz w:val="13"/>
          <w:szCs w:val="13"/>
          <w:color w:val="auto"/>
        </w:rPr>
      </w:pPr>
    </w:p>
    <w:p>
      <w:pPr>
        <w:ind w:left="840" w:hanging="416"/>
        <w:spacing w:after="0"/>
        <w:tabs>
          <w:tab w:leader="none" w:pos="840" w:val="left"/>
        </w:tabs>
        <w:numPr>
          <w:ilvl w:val="0"/>
          <w:numId w:val="22"/>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provide an avenue of enhanced communication between the directors and external auditors;</w:t>
      </w:r>
    </w:p>
    <w:p>
      <w:pPr>
        <w:spacing w:after="0" w:line="156" w:lineRule="exact"/>
        <w:rPr>
          <w:rFonts w:ascii="Times New Roman" w:cs="Times New Roman" w:eastAsia="Times New Roman" w:hAnsi="Times New Roman"/>
          <w:sz w:val="13"/>
          <w:szCs w:val="13"/>
          <w:color w:val="auto"/>
        </w:rPr>
      </w:pPr>
    </w:p>
    <w:p>
      <w:pPr>
        <w:ind w:left="840" w:hanging="416"/>
        <w:spacing w:after="0"/>
        <w:tabs>
          <w:tab w:leader="none" w:pos="840" w:val="left"/>
        </w:tabs>
        <w:numPr>
          <w:ilvl w:val="0"/>
          <w:numId w:val="22"/>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enhance the external auditor’s independence;</w:t>
      </w:r>
    </w:p>
    <w:p>
      <w:pPr>
        <w:spacing w:after="0" w:line="147" w:lineRule="exact"/>
        <w:rPr>
          <w:rFonts w:ascii="Times New Roman" w:cs="Times New Roman" w:eastAsia="Times New Roman" w:hAnsi="Times New Roman"/>
          <w:sz w:val="13"/>
          <w:szCs w:val="13"/>
          <w:color w:val="auto"/>
        </w:rPr>
      </w:pPr>
    </w:p>
    <w:p>
      <w:pPr>
        <w:ind w:left="840" w:hanging="416"/>
        <w:spacing w:after="0"/>
        <w:tabs>
          <w:tab w:leader="none" w:pos="840" w:val="left"/>
        </w:tabs>
        <w:numPr>
          <w:ilvl w:val="0"/>
          <w:numId w:val="22"/>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increase the credibility and objectivity of financial reports; and</w:t>
      </w:r>
    </w:p>
    <w:p>
      <w:pPr>
        <w:spacing w:after="0" w:line="156" w:lineRule="exact"/>
        <w:rPr>
          <w:rFonts w:ascii="Times New Roman" w:cs="Times New Roman" w:eastAsia="Times New Roman" w:hAnsi="Times New Roman"/>
          <w:sz w:val="13"/>
          <w:szCs w:val="13"/>
          <w:color w:val="auto"/>
        </w:rPr>
      </w:pPr>
    </w:p>
    <w:p>
      <w:pPr>
        <w:ind w:left="860" w:hanging="436"/>
        <w:spacing w:after="0"/>
        <w:tabs>
          <w:tab w:leader="none" w:pos="860" w:val="left"/>
        </w:tabs>
        <w:numPr>
          <w:ilvl w:val="0"/>
          <w:numId w:val="22"/>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strengthen the role of the directors by facilitating in depth discussions between directors, management and external auditors.</w:t>
      </w:r>
    </w:p>
    <w:p>
      <w:pPr>
        <w:spacing w:after="0" w:line="146" w:lineRule="exact"/>
        <w:rPr>
          <w:sz w:val="20"/>
          <w:szCs w:val="20"/>
          <w:color w:val="auto"/>
        </w:rPr>
      </w:pPr>
    </w:p>
    <w:p>
      <w:pPr>
        <w:spacing w:after="0"/>
        <w:tabs>
          <w:tab w:leader="none" w:pos="400" w:val="left"/>
        </w:tabs>
        <w:rPr>
          <w:sz w:val="20"/>
          <w:szCs w:val="20"/>
          <w:color w:val="auto"/>
        </w:rPr>
      </w:pPr>
      <w:r>
        <w:rPr>
          <w:rFonts w:ascii="Times New Roman" w:cs="Times New Roman" w:eastAsia="Times New Roman" w:hAnsi="Times New Roman"/>
          <w:sz w:val="13"/>
          <w:szCs w:val="13"/>
          <w:b w:val="1"/>
          <w:bCs w:val="1"/>
          <w:color w:val="auto"/>
        </w:rPr>
        <w:t>1.2</w:t>
      </w:r>
      <w:r>
        <w:rPr>
          <w:sz w:val="20"/>
          <w:szCs w:val="20"/>
          <w:color w:val="auto"/>
        </w:rPr>
        <w:tab/>
      </w:r>
      <w:r>
        <w:rPr>
          <w:rFonts w:ascii="Times New Roman" w:cs="Times New Roman" w:eastAsia="Times New Roman" w:hAnsi="Times New Roman"/>
          <w:sz w:val="13"/>
          <w:szCs w:val="13"/>
          <w:b w:val="1"/>
          <w:bCs w:val="1"/>
          <w:color w:val="auto"/>
        </w:rPr>
        <w:t>Definitions</w:t>
      </w:r>
    </w:p>
    <w:p>
      <w:pPr>
        <w:spacing w:after="0" w:line="130"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b w:val="1"/>
          <w:bCs w:val="1"/>
          <w:color w:val="auto"/>
        </w:rPr>
        <w:t>accounting principles</w:t>
      </w:r>
      <w:r>
        <w:rPr>
          <w:rFonts w:ascii="Times New Roman" w:cs="Times New Roman" w:eastAsia="Times New Roman" w:hAnsi="Times New Roman"/>
          <w:sz w:val="13"/>
          <w:szCs w:val="13"/>
          <w:color w:val="auto"/>
        </w:rPr>
        <w:t xml:space="preserve">” has the meaning ascribed to it in National Instrument 52-107 </w:t>
      </w:r>
      <w:r>
        <w:rPr>
          <w:rFonts w:ascii="Times New Roman" w:cs="Times New Roman" w:eastAsia="Times New Roman" w:hAnsi="Times New Roman"/>
          <w:sz w:val="13"/>
          <w:szCs w:val="13"/>
          <w:i w:val="1"/>
          <w:iCs w:val="1"/>
          <w:color w:val="auto"/>
        </w:rPr>
        <w:t>Acceptable Accounting Principles and Auditing Standards</w:t>
      </w:r>
      <w:r>
        <w:rPr>
          <w:rFonts w:ascii="Times New Roman" w:cs="Times New Roman" w:eastAsia="Times New Roman" w:hAnsi="Times New Roman"/>
          <w:sz w:val="13"/>
          <w:szCs w:val="13"/>
          <w:color w:val="auto"/>
        </w:rPr>
        <w:t>;</w:t>
      </w:r>
    </w:p>
    <w:p>
      <w:pPr>
        <w:spacing w:after="0" w:line="157"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b w:val="1"/>
          <w:bCs w:val="1"/>
          <w:color w:val="auto"/>
        </w:rPr>
        <w:t>Affiliate</w:t>
      </w:r>
      <w:r>
        <w:rPr>
          <w:rFonts w:ascii="Times New Roman" w:cs="Times New Roman" w:eastAsia="Times New Roman" w:hAnsi="Times New Roman"/>
          <w:sz w:val="13"/>
          <w:szCs w:val="13"/>
          <w:color w:val="auto"/>
        </w:rPr>
        <w:t>” means a Corporation that is a subsidiary of another Corporation or companies that are controlled by the same entity;</w:t>
      </w:r>
    </w:p>
    <w:p>
      <w:pPr>
        <w:spacing w:after="0" w:line="148" w:lineRule="exact"/>
        <w:rPr>
          <w:sz w:val="20"/>
          <w:szCs w:val="20"/>
          <w:color w:val="auto"/>
        </w:rPr>
      </w:pPr>
    </w:p>
    <w:p>
      <w:pPr>
        <w:ind w:right="20"/>
        <w:spacing w:after="0" w:line="298" w:lineRule="auto"/>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b w:val="1"/>
          <w:bCs w:val="1"/>
          <w:color w:val="auto"/>
        </w:rPr>
        <w:t>audit services</w:t>
      </w:r>
      <w:r>
        <w:rPr>
          <w:rFonts w:ascii="Times New Roman" w:cs="Times New Roman" w:eastAsia="Times New Roman" w:hAnsi="Times New Roman"/>
          <w:sz w:val="13"/>
          <w:szCs w:val="13"/>
          <w:color w:val="auto"/>
        </w:rPr>
        <w:t>” means the professional services rendered by the Corporation’s external auditor for the audit and review of the Corporation’s financial statements or services that are normally provided by the external auditor in connection with statutory and regulatory filings or engagements;</w:t>
      </w:r>
    </w:p>
    <w:p>
      <w:pPr>
        <w:spacing w:after="0" w:line="97"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b w:val="1"/>
          <w:bCs w:val="1"/>
          <w:color w:val="auto"/>
        </w:rPr>
        <w:t>Charter</w:t>
      </w:r>
      <w:r>
        <w:rPr>
          <w:rFonts w:ascii="Times New Roman" w:cs="Times New Roman" w:eastAsia="Times New Roman" w:hAnsi="Times New Roman"/>
          <w:sz w:val="13"/>
          <w:szCs w:val="13"/>
          <w:color w:val="auto"/>
        </w:rPr>
        <w:t>” means this audit committee charter;</w:t>
      </w:r>
    </w:p>
    <w:p>
      <w:pPr>
        <w:sectPr>
          <w:pgSz w:w="11900" w:h="16838" w:orient="portrait"/>
          <w:cols w:equalWidth="0" w:num="1">
            <w:col w:w="11300"/>
          </w:cols>
          <w:pgMar w:left="300" w:top="126" w:right="299" w:bottom="1440" w:gutter="0" w:footer="0" w:header="0"/>
        </w:sectPr>
      </w:pPr>
    </w:p>
    <w:bookmarkStart w:id="41" w:name="page42"/>
    <w:bookmarkEnd w:id="41"/>
    <w:p>
      <w:pPr>
        <w:jc w:val="center"/>
        <w:spacing w:after="0"/>
        <w:rPr>
          <w:sz w:val="20"/>
          <w:szCs w:val="20"/>
          <w:color w:val="auto"/>
        </w:rPr>
      </w:pPr>
      <w:r>
        <w:rPr>
          <w:rFonts w:ascii="Times New Roman" w:cs="Times New Roman" w:eastAsia="Times New Roman" w:hAnsi="Times New Roman"/>
          <w:sz w:val="13"/>
          <w:szCs w:val="13"/>
          <w:color w:val="auto"/>
        </w:rPr>
        <w:t>B - 2</w:t>
      </w:r>
    </w:p>
    <w:p>
      <w:pPr>
        <w:spacing w:after="0" w:line="200" w:lineRule="exact"/>
        <w:rPr>
          <w:sz w:val="20"/>
          <w:szCs w:val="20"/>
          <w:color w:val="auto"/>
        </w:rPr>
      </w:pPr>
    </w:p>
    <w:p>
      <w:pPr>
        <w:spacing w:after="0" w:line="200" w:lineRule="exact"/>
        <w:rPr>
          <w:sz w:val="20"/>
          <w:szCs w:val="20"/>
          <w:color w:val="auto"/>
        </w:rPr>
      </w:pPr>
    </w:p>
    <w:p>
      <w:pPr>
        <w:spacing w:after="0" w:line="312" w:lineRule="exact"/>
        <w:rPr>
          <w:sz w:val="20"/>
          <w:szCs w:val="20"/>
          <w:color w:val="auto"/>
        </w:rPr>
      </w:pPr>
    </w:p>
    <w:p>
      <w:pPr>
        <w:jc w:val="both"/>
        <w:spacing w:after="0" w:line="298" w:lineRule="auto"/>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b w:val="1"/>
          <w:bCs w:val="1"/>
          <w:color w:val="auto"/>
        </w:rPr>
        <w:t>Committee</w:t>
      </w:r>
      <w:r>
        <w:rPr>
          <w:rFonts w:ascii="Times New Roman" w:cs="Times New Roman" w:eastAsia="Times New Roman" w:hAnsi="Times New Roman"/>
          <w:sz w:val="13"/>
          <w:szCs w:val="13"/>
          <w:color w:val="auto"/>
        </w:rPr>
        <w:t>” means the committee established by and among certain members of the board of directors for the purpose of overseeing the accounting and financial reporting processes of the Corporation and audits of the financial statements of the Corporation;</w:t>
      </w:r>
    </w:p>
    <w:p>
      <w:pPr>
        <w:spacing w:after="0" w:line="88" w:lineRule="exact"/>
        <w:rPr>
          <w:sz w:val="20"/>
          <w:szCs w:val="20"/>
          <w:color w:val="auto"/>
        </w:rPr>
      </w:pPr>
    </w:p>
    <w:p>
      <w:pPr>
        <w:jc w:val="both"/>
        <w:spacing w:after="0" w:line="272" w:lineRule="auto"/>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b w:val="1"/>
          <w:bCs w:val="1"/>
          <w:color w:val="auto"/>
        </w:rPr>
        <w:t>Control Person</w:t>
      </w:r>
      <w:r>
        <w:rPr>
          <w:rFonts w:ascii="Times New Roman" w:cs="Times New Roman" w:eastAsia="Times New Roman" w:hAnsi="Times New Roman"/>
          <w:sz w:val="13"/>
          <w:szCs w:val="13"/>
          <w:color w:val="auto"/>
        </w:rPr>
        <w:t>” means any individual or company that holds or is one of a combination of individuals or companies that holds a sufficient number of any of the securities of the Corporation so as to affect materially the control of the Corporation, or that holds more than 20% of the outstanding voting shares of the Corporation except where there is evidence showing that the holder of those securities does not materially affect the control of the Corporation;</w:t>
      </w:r>
    </w:p>
    <w:p>
      <w:pPr>
        <w:spacing w:after="0" w:line="113"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b w:val="1"/>
          <w:bCs w:val="1"/>
          <w:color w:val="auto"/>
        </w:rPr>
        <w:t>financially literate</w:t>
      </w:r>
      <w:r>
        <w:rPr>
          <w:rFonts w:ascii="Times New Roman" w:cs="Times New Roman" w:eastAsia="Times New Roman" w:hAnsi="Times New Roman"/>
          <w:sz w:val="13"/>
          <w:szCs w:val="13"/>
          <w:color w:val="auto"/>
        </w:rPr>
        <w:t>” has the meaning set forth in Section 1.2;</w:t>
      </w:r>
    </w:p>
    <w:p>
      <w:pPr>
        <w:spacing w:after="0" w:line="157" w:lineRule="exact"/>
        <w:rPr>
          <w:sz w:val="20"/>
          <w:szCs w:val="20"/>
          <w:color w:val="auto"/>
        </w:rPr>
      </w:pPr>
    </w:p>
    <w:p>
      <w:pPr>
        <w:jc w:val="both"/>
        <w:ind w:right="20"/>
        <w:spacing w:after="0" w:line="284" w:lineRule="auto"/>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b w:val="1"/>
          <w:bCs w:val="1"/>
          <w:color w:val="auto"/>
        </w:rPr>
        <w:t>immediate family member</w:t>
      </w:r>
      <w:r>
        <w:rPr>
          <w:rFonts w:ascii="Times New Roman" w:cs="Times New Roman" w:eastAsia="Times New Roman" w:hAnsi="Times New Roman"/>
          <w:sz w:val="13"/>
          <w:szCs w:val="13"/>
          <w:color w:val="auto"/>
        </w:rPr>
        <w:t>” means an individual’s spouse, parent, child, sibling, mother or father-in-law, son or daughter-in-law, brother or sister-in-law, and anyone (other than an employee of either the individual or the individual’s immediate family member) who shares the individual’s home;</w:t>
      </w:r>
    </w:p>
    <w:p>
      <w:pPr>
        <w:spacing w:after="0" w:line="105"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color w:val="auto"/>
        </w:rPr>
        <w:t xml:space="preserve">“independent” </w:t>
      </w:r>
      <w:r>
        <w:rPr>
          <w:rFonts w:ascii="Times New Roman" w:cs="Times New Roman" w:eastAsia="Times New Roman" w:hAnsi="Times New Roman"/>
          <w:sz w:val="13"/>
          <w:szCs w:val="13"/>
          <w:color w:val="auto"/>
        </w:rPr>
        <w:t>means independent only as determined by both the Instrument and the NEO Exchange Listing Manual;</w:t>
      </w:r>
    </w:p>
    <w:p>
      <w:pPr>
        <w:spacing w:after="0" w:line="148"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b w:val="1"/>
          <w:bCs w:val="1"/>
          <w:color w:val="auto"/>
        </w:rPr>
        <w:t>Instrument</w:t>
      </w:r>
      <w:r>
        <w:rPr>
          <w:rFonts w:ascii="Times New Roman" w:cs="Times New Roman" w:eastAsia="Times New Roman" w:hAnsi="Times New Roman"/>
          <w:sz w:val="13"/>
          <w:szCs w:val="13"/>
          <w:color w:val="auto"/>
        </w:rPr>
        <w:t xml:space="preserve">” means National Instrument 52-110 – </w:t>
      </w:r>
      <w:r>
        <w:rPr>
          <w:rFonts w:ascii="Times New Roman" w:cs="Times New Roman" w:eastAsia="Times New Roman" w:hAnsi="Times New Roman"/>
          <w:sz w:val="13"/>
          <w:szCs w:val="13"/>
          <w:i w:val="1"/>
          <w:iCs w:val="1"/>
          <w:color w:val="auto"/>
        </w:rPr>
        <w:t>Audit Committees</w:t>
      </w:r>
      <w:r>
        <w:rPr>
          <w:rFonts w:ascii="Times New Roman" w:cs="Times New Roman" w:eastAsia="Times New Roman" w:hAnsi="Times New Roman"/>
          <w:sz w:val="13"/>
          <w:szCs w:val="13"/>
          <w:color w:val="auto"/>
        </w:rPr>
        <w:t>;</w:t>
      </w:r>
    </w:p>
    <w:p>
      <w:pPr>
        <w:spacing w:after="0" w:line="157"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b w:val="1"/>
          <w:bCs w:val="1"/>
          <w:color w:val="auto"/>
        </w:rPr>
        <w:t>MD&amp;A</w:t>
      </w:r>
      <w:r>
        <w:rPr>
          <w:rFonts w:ascii="Times New Roman" w:cs="Times New Roman" w:eastAsia="Times New Roman" w:hAnsi="Times New Roman"/>
          <w:sz w:val="13"/>
          <w:szCs w:val="13"/>
          <w:color w:val="auto"/>
        </w:rPr>
        <w:t>” has the meaning ascribed to it in National Instrument 51-102;</w:t>
      </w:r>
    </w:p>
    <w:p>
      <w:pPr>
        <w:spacing w:after="0" w:line="157"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b w:val="1"/>
          <w:bCs w:val="1"/>
          <w:color w:val="auto"/>
        </w:rPr>
        <w:t>Member</w:t>
      </w:r>
      <w:r>
        <w:rPr>
          <w:rFonts w:ascii="Times New Roman" w:cs="Times New Roman" w:eastAsia="Times New Roman" w:hAnsi="Times New Roman"/>
          <w:sz w:val="13"/>
          <w:szCs w:val="13"/>
          <w:color w:val="auto"/>
        </w:rPr>
        <w:t>” means a member of the Committee;</w:t>
      </w:r>
    </w:p>
    <w:p>
      <w:pPr>
        <w:spacing w:after="0" w:line="148"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b w:val="1"/>
          <w:bCs w:val="1"/>
          <w:color w:val="auto"/>
        </w:rPr>
        <w:t>National Instrument 51-102</w:t>
      </w:r>
      <w:r>
        <w:rPr>
          <w:rFonts w:ascii="Times New Roman" w:cs="Times New Roman" w:eastAsia="Times New Roman" w:hAnsi="Times New Roman"/>
          <w:sz w:val="13"/>
          <w:szCs w:val="13"/>
          <w:color w:val="auto"/>
        </w:rPr>
        <w:t xml:space="preserve">” means National Instrument 51-102 – </w:t>
      </w:r>
      <w:r>
        <w:rPr>
          <w:rFonts w:ascii="Times New Roman" w:cs="Times New Roman" w:eastAsia="Times New Roman" w:hAnsi="Times New Roman"/>
          <w:sz w:val="13"/>
          <w:szCs w:val="13"/>
          <w:i w:val="1"/>
          <w:iCs w:val="1"/>
          <w:color w:val="auto"/>
        </w:rPr>
        <w:t>Continuous Disclosure Obligations</w:t>
      </w:r>
      <w:r>
        <w:rPr>
          <w:rFonts w:ascii="Times New Roman" w:cs="Times New Roman" w:eastAsia="Times New Roman" w:hAnsi="Times New Roman"/>
          <w:sz w:val="13"/>
          <w:szCs w:val="13"/>
          <w:color w:val="auto"/>
        </w:rPr>
        <w:t>; and</w:t>
      </w:r>
    </w:p>
    <w:p>
      <w:pPr>
        <w:spacing w:after="0" w:line="157"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b w:val="1"/>
          <w:bCs w:val="1"/>
          <w:color w:val="auto"/>
        </w:rPr>
        <w:t>non-audit services</w:t>
      </w:r>
      <w:r>
        <w:rPr>
          <w:rFonts w:ascii="Times New Roman" w:cs="Times New Roman" w:eastAsia="Times New Roman" w:hAnsi="Times New Roman"/>
          <w:sz w:val="13"/>
          <w:szCs w:val="13"/>
          <w:color w:val="auto"/>
        </w:rPr>
        <w:t>” means services other than audit services.</w:t>
      </w:r>
    </w:p>
    <w:p>
      <w:pPr>
        <w:spacing w:after="0" w:line="139" w:lineRule="exact"/>
        <w:rPr>
          <w:sz w:val="20"/>
          <w:szCs w:val="20"/>
          <w:color w:val="auto"/>
        </w:rPr>
      </w:pPr>
    </w:p>
    <w:p>
      <w:pPr>
        <w:spacing w:after="0"/>
        <w:tabs>
          <w:tab w:leader="none" w:pos="400" w:val="left"/>
        </w:tabs>
        <w:rPr>
          <w:sz w:val="20"/>
          <w:szCs w:val="20"/>
          <w:color w:val="auto"/>
        </w:rPr>
      </w:pPr>
      <w:r>
        <w:rPr>
          <w:rFonts w:ascii="Times New Roman" w:cs="Times New Roman" w:eastAsia="Times New Roman" w:hAnsi="Times New Roman"/>
          <w:sz w:val="13"/>
          <w:szCs w:val="13"/>
          <w:b w:val="1"/>
          <w:bCs w:val="1"/>
          <w:color w:val="auto"/>
        </w:rPr>
        <w:t>1.3</w:t>
      </w:r>
      <w:r>
        <w:rPr>
          <w:sz w:val="20"/>
          <w:szCs w:val="20"/>
          <w:color w:val="auto"/>
        </w:rPr>
        <w:tab/>
      </w:r>
      <w:r>
        <w:rPr>
          <w:rFonts w:ascii="Times New Roman" w:cs="Times New Roman" w:eastAsia="Times New Roman" w:hAnsi="Times New Roman"/>
          <w:sz w:val="13"/>
          <w:szCs w:val="13"/>
          <w:b w:val="1"/>
          <w:bCs w:val="1"/>
          <w:color w:val="auto"/>
        </w:rPr>
        <w:t>Meaning of Financially Literate</w:t>
      </w:r>
    </w:p>
    <w:p>
      <w:pPr>
        <w:spacing w:after="0" w:line="141" w:lineRule="exact"/>
        <w:rPr>
          <w:sz w:val="20"/>
          <w:szCs w:val="20"/>
          <w:color w:val="auto"/>
        </w:rPr>
      </w:pPr>
    </w:p>
    <w:p>
      <w:pPr>
        <w:jc w:val="both"/>
        <w:spacing w:after="0" w:line="295" w:lineRule="auto"/>
        <w:rPr>
          <w:sz w:val="20"/>
          <w:szCs w:val="20"/>
          <w:color w:val="auto"/>
        </w:rPr>
      </w:pPr>
      <w:r>
        <w:rPr>
          <w:rFonts w:ascii="Times New Roman" w:cs="Times New Roman" w:eastAsia="Times New Roman" w:hAnsi="Times New Roman"/>
          <w:sz w:val="13"/>
          <w:szCs w:val="13"/>
          <w:color w:val="auto"/>
        </w:rPr>
        <w:t>For the purposes of this Charter, an individual is financially literate if he or she has the ability to read and understand a set of financial statements that present a breadth and level of complexity of accounting issues that are generally comparable to the breadth and complexity of the issues that can reasonably be expected to be raised by the Corporation’s financial statements.</w:t>
      </w:r>
    </w:p>
    <w:p>
      <w:pPr>
        <w:spacing w:after="0" w:line="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b w:val="1"/>
          <w:bCs w:val="1"/>
          <w:u w:val="single" w:color="auto"/>
          <w:color w:val="auto"/>
        </w:rPr>
        <w:t>PART 1</w:t>
      </w:r>
    </w:p>
    <w:p>
      <w:pPr>
        <w:spacing w:after="0" w:line="130" w:lineRule="exact"/>
        <w:rPr>
          <w:sz w:val="20"/>
          <w:szCs w:val="20"/>
          <w:color w:val="auto"/>
        </w:rPr>
      </w:pPr>
    </w:p>
    <w:p>
      <w:pPr>
        <w:spacing w:after="0"/>
        <w:tabs>
          <w:tab w:leader="none" w:pos="400" w:val="left"/>
        </w:tabs>
        <w:rPr>
          <w:sz w:val="20"/>
          <w:szCs w:val="20"/>
          <w:color w:val="auto"/>
        </w:rPr>
      </w:pPr>
      <w:r>
        <w:rPr>
          <w:rFonts w:ascii="Times New Roman" w:cs="Times New Roman" w:eastAsia="Times New Roman" w:hAnsi="Times New Roman"/>
          <w:sz w:val="13"/>
          <w:szCs w:val="13"/>
          <w:b w:val="1"/>
          <w:bCs w:val="1"/>
          <w:color w:val="auto"/>
        </w:rPr>
        <w:t>1.1</w:t>
      </w:r>
      <w:r>
        <w:rPr>
          <w:sz w:val="20"/>
          <w:szCs w:val="20"/>
          <w:color w:val="auto"/>
        </w:rPr>
        <w:tab/>
      </w:r>
      <w:r>
        <w:rPr>
          <w:rFonts w:ascii="Times New Roman" w:cs="Times New Roman" w:eastAsia="Times New Roman" w:hAnsi="Times New Roman"/>
          <w:sz w:val="13"/>
          <w:szCs w:val="13"/>
          <w:b w:val="1"/>
          <w:bCs w:val="1"/>
          <w:color w:val="auto"/>
        </w:rPr>
        <w:t>Audit Committee</w:t>
      </w:r>
    </w:p>
    <w:p>
      <w:pPr>
        <w:spacing w:after="0" w:line="132"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The board of directors has hereby established the Committee for, among other purposes, compliance with the Instrument.</w:t>
      </w:r>
    </w:p>
    <w:p>
      <w:pPr>
        <w:spacing w:after="0" w:line="74" w:lineRule="exact"/>
        <w:rPr>
          <w:sz w:val="20"/>
          <w:szCs w:val="20"/>
          <w:color w:val="auto"/>
        </w:rPr>
      </w:pPr>
    </w:p>
    <w:p>
      <w:pPr>
        <w:spacing w:after="0"/>
        <w:tabs>
          <w:tab w:leader="none" w:pos="400" w:val="left"/>
        </w:tabs>
        <w:rPr>
          <w:sz w:val="20"/>
          <w:szCs w:val="20"/>
          <w:color w:val="auto"/>
        </w:rPr>
      </w:pPr>
      <w:r>
        <w:rPr>
          <w:rFonts w:ascii="Times New Roman" w:cs="Times New Roman" w:eastAsia="Times New Roman" w:hAnsi="Times New Roman"/>
          <w:sz w:val="13"/>
          <w:szCs w:val="13"/>
          <w:b w:val="1"/>
          <w:bCs w:val="1"/>
          <w:color w:val="auto"/>
        </w:rPr>
        <w:t>1.2</w:t>
      </w:r>
      <w:r>
        <w:rPr>
          <w:sz w:val="20"/>
          <w:szCs w:val="20"/>
          <w:color w:val="auto"/>
        </w:rPr>
        <w:tab/>
      </w:r>
      <w:r>
        <w:rPr>
          <w:rFonts w:ascii="Times New Roman" w:cs="Times New Roman" w:eastAsia="Times New Roman" w:hAnsi="Times New Roman"/>
          <w:sz w:val="13"/>
          <w:szCs w:val="13"/>
          <w:b w:val="1"/>
          <w:bCs w:val="1"/>
          <w:color w:val="auto"/>
        </w:rPr>
        <w:t>Relationship with External Auditors</w:t>
      </w:r>
    </w:p>
    <w:p>
      <w:pPr>
        <w:spacing w:after="0" w:line="141"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The Corporation will require its external auditor to report directly to the Committee and the Members shall ensure that such is the case.</w:t>
      </w:r>
    </w:p>
    <w:p>
      <w:pPr>
        <w:sectPr>
          <w:pgSz w:w="11900" w:h="16838" w:orient="portrait"/>
          <w:cols w:equalWidth="0" w:num="1">
            <w:col w:w="11300"/>
          </w:cols>
          <w:pgMar w:left="300" w:top="126" w:right="299" w:bottom="1440" w:gutter="0" w:footer="0" w:header="0"/>
        </w:sectPr>
      </w:pPr>
    </w:p>
    <w:bookmarkStart w:id="42" w:name="page43"/>
    <w:bookmarkEnd w:id="42"/>
    <w:p>
      <w:pPr>
        <w:jc w:val="center"/>
        <w:ind w:right="-7"/>
        <w:spacing w:after="0"/>
        <w:rPr>
          <w:sz w:val="20"/>
          <w:szCs w:val="20"/>
          <w:color w:val="auto"/>
        </w:rPr>
      </w:pPr>
      <w:r>
        <w:rPr>
          <w:rFonts w:ascii="Times New Roman" w:cs="Times New Roman" w:eastAsia="Times New Roman" w:hAnsi="Times New Roman"/>
          <w:sz w:val="13"/>
          <w:szCs w:val="13"/>
          <w:color w:val="auto"/>
        </w:rPr>
        <w:t>B - 3</w:t>
      </w: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ind w:left="8"/>
        <w:spacing w:after="0"/>
        <w:tabs>
          <w:tab w:leader="none" w:pos="408" w:val="left"/>
        </w:tabs>
        <w:rPr>
          <w:sz w:val="20"/>
          <w:szCs w:val="20"/>
          <w:color w:val="auto"/>
        </w:rPr>
      </w:pPr>
      <w:r>
        <w:rPr>
          <w:rFonts w:ascii="Times New Roman" w:cs="Times New Roman" w:eastAsia="Times New Roman" w:hAnsi="Times New Roman"/>
          <w:sz w:val="13"/>
          <w:szCs w:val="13"/>
          <w:b w:val="1"/>
          <w:bCs w:val="1"/>
          <w:color w:val="auto"/>
        </w:rPr>
        <w:t>1.3</w:t>
      </w:r>
      <w:r>
        <w:rPr>
          <w:sz w:val="20"/>
          <w:szCs w:val="20"/>
          <w:color w:val="auto"/>
        </w:rPr>
        <w:tab/>
      </w:r>
      <w:r>
        <w:rPr>
          <w:rFonts w:ascii="Times New Roman" w:cs="Times New Roman" w:eastAsia="Times New Roman" w:hAnsi="Times New Roman"/>
          <w:sz w:val="13"/>
          <w:szCs w:val="13"/>
          <w:b w:val="1"/>
          <w:bCs w:val="1"/>
          <w:color w:val="auto"/>
        </w:rPr>
        <w:t>Committee Responsibilities</w:t>
      </w:r>
    </w:p>
    <w:p>
      <w:pPr>
        <w:spacing w:after="0" w:line="141" w:lineRule="exact"/>
        <w:rPr>
          <w:sz w:val="20"/>
          <w:szCs w:val="20"/>
          <w:color w:val="auto"/>
        </w:rPr>
      </w:pPr>
    </w:p>
    <w:p>
      <w:pPr>
        <w:ind w:left="428" w:hanging="428"/>
        <w:spacing w:after="0"/>
        <w:tabs>
          <w:tab w:leader="none" w:pos="428" w:val="left"/>
        </w:tabs>
        <w:numPr>
          <w:ilvl w:val="0"/>
          <w:numId w:val="23"/>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Committee shall be responsible for making the following recommendations to the board of directors:</w:t>
      </w:r>
    </w:p>
    <w:p>
      <w:pPr>
        <w:spacing w:after="0" w:line="147" w:lineRule="exact"/>
        <w:rPr>
          <w:rFonts w:ascii="Times New Roman" w:cs="Times New Roman" w:eastAsia="Times New Roman" w:hAnsi="Times New Roman"/>
          <w:sz w:val="13"/>
          <w:szCs w:val="13"/>
          <w:color w:val="auto"/>
        </w:rPr>
      </w:pPr>
    </w:p>
    <w:p>
      <w:pPr>
        <w:ind w:left="848" w:hanging="416"/>
        <w:spacing w:after="0"/>
        <w:tabs>
          <w:tab w:leader="none" w:pos="848" w:val="left"/>
        </w:tabs>
        <w:numPr>
          <w:ilvl w:val="1"/>
          <w:numId w:val="23"/>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external auditor to be nominated for the purpose of preparing or issuing an auditor’s report or performing other audit, review or attest services for the Corporation; and</w:t>
      </w:r>
    </w:p>
    <w:p>
      <w:pPr>
        <w:spacing w:after="0" w:line="156" w:lineRule="exact"/>
        <w:rPr>
          <w:rFonts w:ascii="Times New Roman" w:cs="Times New Roman" w:eastAsia="Times New Roman" w:hAnsi="Times New Roman"/>
          <w:sz w:val="13"/>
          <w:szCs w:val="13"/>
          <w:color w:val="auto"/>
        </w:rPr>
      </w:pPr>
    </w:p>
    <w:p>
      <w:pPr>
        <w:ind w:left="848" w:hanging="416"/>
        <w:spacing w:after="0"/>
        <w:tabs>
          <w:tab w:leader="none" w:pos="848" w:val="left"/>
        </w:tabs>
        <w:numPr>
          <w:ilvl w:val="1"/>
          <w:numId w:val="23"/>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compensation of the external auditor.</w:t>
      </w:r>
    </w:p>
    <w:p>
      <w:pPr>
        <w:spacing w:after="0" w:line="147" w:lineRule="exact"/>
        <w:rPr>
          <w:rFonts w:ascii="Times New Roman" w:cs="Times New Roman" w:eastAsia="Times New Roman" w:hAnsi="Times New Roman"/>
          <w:sz w:val="13"/>
          <w:szCs w:val="13"/>
          <w:color w:val="auto"/>
        </w:rPr>
      </w:pPr>
    </w:p>
    <w:p>
      <w:pPr>
        <w:ind w:left="428" w:right="20" w:hanging="428"/>
        <w:spacing w:after="0" w:line="295" w:lineRule="auto"/>
        <w:tabs>
          <w:tab w:leader="none" w:pos="426" w:val="left"/>
        </w:tabs>
        <w:numPr>
          <w:ilvl w:val="0"/>
          <w:numId w:val="23"/>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Committee shall be directly responsible for overseeing the work of the external auditor engaged for the purpose of preparing or issuing an auditor’s report or performing other audit, review or attest services for the Corporation, including the resolution of disagreements between management and the external auditor regarding financial reporting. This responsibility shall include:</w:t>
      </w:r>
    </w:p>
    <w:p>
      <w:pPr>
        <w:spacing w:after="0" w:line="100" w:lineRule="exact"/>
        <w:rPr>
          <w:rFonts w:ascii="Times New Roman" w:cs="Times New Roman" w:eastAsia="Times New Roman" w:hAnsi="Times New Roman"/>
          <w:sz w:val="13"/>
          <w:szCs w:val="13"/>
          <w:color w:val="auto"/>
        </w:rPr>
      </w:pPr>
    </w:p>
    <w:p>
      <w:pPr>
        <w:ind w:left="848" w:hanging="416"/>
        <w:spacing w:after="0"/>
        <w:tabs>
          <w:tab w:leader="none" w:pos="848" w:val="left"/>
        </w:tabs>
        <w:numPr>
          <w:ilvl w:val="1"/>
          <w:numId w:val="23"/>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reviewing the audit plan with management and the external auditor;</w:t>
      </w:r>
    </w:p>
    <w:p>
      <w:pPr>
        <w:spacing w:after="0" w:line="147" w:lineRule="exact"/>
        <w:rPr>
          <w:rFonts w:ascii="Times New Roman" w:cs="Times New Roman" w:eastAsia="Times New Roman" w:hAnsi="Times New Roman"/>
          <w:sz w:val="13"/>
          <w:szCs w:val="13"/>
          <w:color w:val="auto"/>
        </w:rPr>
      </w:pPr>
    </w:p>
    <w:p>
      <w:pPr>
        <w:ind w:left="868" w:hanging="436"/>
        <w:spacing w:after="0" w:line="295" w:lineRule="auto"/>
        <w:tabs>
          <w:tab w:leader="none" w:pos="860" w:val="left"/>
        </w:tabs>
        <w:numPr>
          <w:ilvl w:val="1"/>
          <w:numId w:val="23"/>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reviewing with management and the external auditor any proposed changes in major accounting policies, the presentation and impact of significant risks and uncertainties, and key estimates and judgements of management that may be material to financial reporting;</w:t>
      </w:r>
    </w:p>
    <w:p>
      <w:pPr>
        <w:spacing w:after="0" w:line="91" w:lineRule="exact"/>
        <w:rPr>
          <w:rFonts w:ascii="Times New Roman" w:cs="Times New Roman" w:eastAsia="Times New Roman" w:hAnsi="Times New Roman"/>
          <w:sz w:val="13"/>
          <w:szCs w:val="13"/>
          <w:color w:val="auto"/>
        </w:rPr>
      </w:pPr>
    </w:p>
    <w:p>
      <w:pPr>
        <w:ind w:left="848" w:hanging="416"/>
        <w:spacing w:after="0"/>
        <w:tabs>
          <w:tab w:leader="none" w:pos="848" w:val="left"/>
        </w:tabs>
        <w:numPr>
          <w:ilvl w:val="1"/>
          <w:numId w:val="23"/>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questioning management and the external auditor regarding significant financial reporting issues discussed during the fiscal period and the method of resolution;</w:t>
      </w:r>
    </w:p>
    <w:p>
      <w:pPr>
        <w:spacing w:after="0" w:line="156" w:lineRule="exact"/>
        <w:rPr>
          <w:rFonts w:ascii="Times New Roman" w:cs="Times New Roman" w:eastAsia="Times New Roman" w:hAnsi="Times New Roman"/>
          <w:sz w:val="13"/>
          <w:szCs w:val="13"/>
          <w:color w:val="auto"/>
        </w:rPr>
      </w:pPr>
    </w:p>
    <w:p>
      <w:pPr>
        <w:ind w:left="868" w:right="20" w:hanging="436"/>
        <w:spacing w:after="0" w:line="295" w:lineRule="auto"/>
        <w:tabs>
          <w:tab w:leader="none" w:pos="860" w:val="left"/>
        </w:tabs>
        <w:numPr>
          <w:ilvl w:val="1"/>
          <w:numId w:val="23"/>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reviewing any problems experienced by the external auditor in performing the audit, including any restrictions imposed by management or significant accounting issues on which there was a disagreement with management;</w:t>
      </w:r>
    </w:p>
    <w:p>
      <w:pPr>
        <w:spacing w:after="0" w:line="91" w:lineRule="exact"/>
        <w:rPr>
          <w:rFonts w:ascii="Times New Roman" w:cs="Times New Roman" w:eastAsia="Times New Roman" w:hAnsi="Times New Roman"/>
          <w:sz w:val="13"/>
          <w:szCs w:val="13"/>
          <w:color w:val="auto"/>
        </w:rPr>
      </w:pPr>
    </w:p>
    <w:p>
      <w:pPr>
        <w:ind w:left="868" w:hanging="436"/>
        <w:spacing w:after="0" w:line="295" w:lineRule="auto"/>
        <w:tabs>
          <w:tab w:leader="none" w:pos="861" w:val="left"/>
        </w:tabs>
        <w:numPr>
          <w:ilvl w:val="1"/>
          <w:numId w:val="23"/>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reviewing audited annual financial statements, in conjunction with the report of the external auditor, and obtaining an explanation from management of all significant variances between comparative reporting periods;</w:t>
      </w:r>
    </w:p>
    <w:p>
      <w:pPr>
        <w:spacing w:after="0" w:line="91" w:lineRule="exact"/>
        <w:rPr>
          <w:rFonts w:ascii="Times New Roman" w:cs="Times New Roman" w:eastAsia="Times New Roman" w:hAnsi="Times New Roman"/>
          <w:sz w:val="13"/>
          <w:szCs w:val="13"/>
          <w:color w:val="auto"/>
        </w:rPr>
      </w:pPr>
    </w:p>
    <w:p>
      <w:pPr>
        <w:ind w:left="868" w:hanging="436"/>
        <w:spacing w:after="0"/>
        <w:tabs>
          <w:tab w:leader="none" w:pos="868" w:val="left"/>
        </w:tabs>
        <w:numPr>
          <w:ilvl w:val="1"/>
          <w:numId w:val="23"/>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reviewing the post-audit or management letter, containing the recommendations of the external auditor, and management’s response and subsequent follow up to any identified weakness;</w:t>
      </w:r>
    </w:p>
    <w:p>
      <w:pPr>
        <w:spacing w:after="0" w:line="156" w:lineRule="exact"/>
        <w:rPr>
          <w:rFonts w:ascii="Times New Roman" w:cs="Times New Roman" w:eastAsia="Times New Roman" w:hAnsi="Times New Roman"/>
          <w:sz w:val="13"/>
          <w:szCs w:val="13"/>
          <w:color w:val="auto"/>
        </w:rPr>
      </w:pPr>
    </w:p>
    <w:p>
      <w:pPr>
        <w:ind w:left="848" w:hanging="416"/>
        <w:spacing w:after="0"/>
        <w:tabs>
          <w:tab w:leader="none" w:pos="848" w:val="left"/>
        </w:tabs>
        <w:numPr>
          <w:ilvl w:val="1"/>
          <w:numId w:val="23"/>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reviewing interim unaudited financial statements before release to the public;</w:t>
      </w:r>
    </w:p>
    <w:p>
      <w:pPr>
        <w:spacing w:after="0" w:line="156" w:lineRule="exact"/>
        <w:rPr>
          <w:rFonts w:ascii="Times New Roman" w:cs="Times New Roman" w:eastAsia="Times New Roman" w:hAnsi="Times New Roman"/>
          <w:sz w:val="13"/>
          <w:szCs w:val="13"/>
          <w:color w:val="auto"/>
        </w:rPr>
      </w:pPr>
    </w:p>
    <w:p>
      <w:pPr>
        <w:ind w:left="868" w:hanging="436"/>
        <w:spacing w:after="0" w:line="260" w:lineRule="auto"/>
        <w:tabs>
          <w:tab w:leader="none" w:pos="860" w:val="left"/>
        </w:tabs>
        <w:numPr>
          <w:ilvl w:val="1"/>
          <w:numId w:val="23"/>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reviewing all public disclosure documents containing audited or unaudited financial information before release, including any prospectus, the annual report and management’s discussion and analysis;</w:t>
      </w:r>
    </w:p>
    <w:p>
      <w:pPr>
        <w:spacing w:after="0" w:line="297" w:lineRule="exact"/>
        <w:rPr>
          <w:rFonts w:ascii="Times New Roman" w:cs="Times New Roman" w:eastAsia="Times New Roman" w:hAnsi="Times New Roman"/>
          <w:sz w:val="13"/>
          <w:szCs w:val="13"/>
          <w:color w:val="auto"/>
        </w:rPr>
      </w:pPr>
    </w:p>
    <w:p>
      <w:pPr>
        <w:ind w:left="868" w:hanging="436"/>
        <w:spacing w:after="0"/>
        <w:tabs>
          <w:tab w:leader="none" w:pos="868" w:val="left"/>
        </w:tabs>
        <w:numPr>
          <w:ilvl w:val="1"/>
          <w:numId w:val="23"/>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reviewing the evaluation of internal controls by the external auditor, together with management’s response;</w:t>
      </w:r>
    </w:p>
    <w:p>
      <w:pPr>
        <w:spacing w:after="0" w:line="147" w:lineRule="exact"/>
        <w:rPr>
          <w:rFonts w:ascii="Times New Roman" w:cs="Times New Roman" w:eastAsia="Times New Roman" w:hAnsi="Times New Roman"/>
          <w:sz w:val="13"/>
          <w:szCs w:val="13"/>
          <w:color w:val="auto"/>
        </w:rPr>
      </w:pPr>
    </w:p>
    <w:p>
      <w:pPr>
        <w:ind w:left="868" w:hanging="436"/>
        <w:spacing w:after="0"/>
        <w:tabs>
          <w:tab w:leader="none" w:pos="868" w:val="left"/>
        </w:tabs>
        <w:numPr>
          <w:ilvl w:val="1"/>
          <w:numId w:val="23"/>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reviewing the terms of reference of the internal auditor, if any;</w:t>
      </w:r>
    </w:p>
    <w:p>
      <w:pPr>
        <w:spacing w:after="0" w:line="156" w:lineRule="exact"/>
        <w:rPr>
          <w:rFonts w:ascii="Times New Roman" w:cs="Times New Roman" w:eastAsia="Times New Roman" w:hAnsi="Times New Roman"/>
          <w:sz w:val="13"/>
          <w:szCs w:val="13"/>
          <w:color w:val="auto"/>
        </w:rPr>
      </w:pPr>
    </w:p>
    <w:p>
      <w:pPr>
        <w:ind w:left="848" w:hanging="416"/>
        <w:spacing w:after="0"/>
        <w:tabs>
          <w:tab w:leader="none" w:pos="848" w:val="left"/>
        </w:tabs>
        <w:numPr>
          <w:ilvl w:val="1"/>
          <w:numId w:val="23"/>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reviewing the reports issued by the internal auditor, if any, and management’s response and subsequent follow up to any identified weaknesses; and</w:t>
      </w:r>
    </w:p>
    <w:p>
      <w:pPr>
        <w:sectPr>
          <w:pgSz w:w="11900" w:h="16838" w:orient="portrait"/>
          <w:cols w:equalWidth="0" w:num="1">
            <w:col w:w="11308"/>
          </w:cols>
          <w:pgMar w:left="292" w:top="126" w:right="299" w:bottom="1440" w:gutter="0" w:footer="0" w:header="0"/>
        </w:sectPr>
      </w:pPr>
    </w:p>
    <w:bookmarkStart w:id="43" w:name="page44"/>
    <w:bookmarkEnd w:id="43"/>
    <w:p>
      <w:pPr>
        <w:jc w:val="center"/>
        <w:ind w:right="-7"/>
        <w:spacing w:after="0"/>
        <w:rPr>
          <w:sz w:val="20"/>
          <w:szCs w:val="20"/>
          <w:color w:val="auto"/>
        </w:rPr>
      </w:pPr>
      <w:r>
        <w:rPr>
          <w:rFonts w:ascii="Times New Roman" w:cs="Times New Roman" w:eastAsia="Times New Roman" w:hAnsi="Times New Roman"/>
          <w:sz w:val="13"/>
          <w:szCs w:val="13"/>
          <w:color w:val="auto"/>
        </w:rPr>
        <w:t>B - 4</w:t>
      </w: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ind w:left="868" w:hanging="436"/>
        <w:spacing w:after="0"/>
        <w:tabs>
          <w:tab w:leader="none" w:pos="868" w:val="left"/>
        </w:tabs>
        <w:numPr>
          <w:ilvl w:val="1"/>
          <w:numId w:val="24"/>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reviewing the appointments of the chief financial officer and any key financial executives involved in the financial reporting process, as applicable.</w:t>
      </w:r>
    </w:p>
    <w:p>
      <w:pPr>
        <w:spacing w:after="0" w:line="156" w:lineRule="exact"/>
        <w:rPr>
          <w:rFonts w:ascii="Times New Roman" w:cs="Times New Roman" w:eastAsia="Times New Roman" w:hAnsi="Times New Roman"/>
          <w:sz w:val="13"/>
          <w:szCs w:val="13"/>
          <w:color w:val="auto"/>
        </w:rPr>
      </w:pPr>
    </w:p>
    <w:p>
      <w:pPr>
        <w:ind w:left="428" w:hanging="428"/>
        <w:spacing w:after="0"/>
        <w:tabs>
          <w:tab w:leader="none" w:pos="428" w:val="left"/>
        </w:tabs>
        <w:numPr>
          <w:ilvl w:val="0"/>
          <w:numId w:val="25"/>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Committee shall pre-approve all non-audit services to be provided to the Corporation or its subsidiary entities by the issuer’s external auditor.</w:t>
      </w:r>
    </w:p>
    <w:p>
      <w:pPr>
        <w:spacing w:after="0" w:line="147" w:lineRule="exact"/>
        <w:rPr>
          <w:rFonts w:ascii="Times New Roman" w:cs="Times New Roman" w:eastAsia="Times New Roman" w:hAnsi="Times New Roman"/>
          <w:sz w:val="13"/>
          <w:szCs w:val="13"/>
          <w:color w:val="auto"/>
        </w:rPr>
      </w:pPr>
    </w:p>
    <w:p>
      <w:pPr>
        <w:ind w:left="428" w:hanging="428"/>
        <w:spacing w:after="0"/>
        <w:tabs>
          <w:tab w:leader="none" w:pos="428" w:val="left"/>
        </w:tabs>
        <w:numPr>
          <w:ilvl w:val="0"/>
          <w:numId w:val="25"/>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Committee shall review the Corporation’s financial statements, MD&amp;A, and annual and interim earnings press releases before the Corporation publicly discloses this information.</w:t>
      </w:r>
    </w:p>
    <w:p>
      <w:pPr>
        <w:spacing w:after="0" w:line="156" w:lineRule="exact"/>
        <w:rPr>
          <w:rFonts w:ascii="Times New Roman" w:cs="Times New Roman" w:eastAsia="Times New Roman" w:hAnsi="Times New Roman"/>
          <w:sz w:val="13"/>
          <w:szCs w:val="13"/>
          <w:color w:val="auto"/>
        </w:rPr>
      </w:pPr>
    </w:p>
    <w:p>
      <w:pPr>
        <w:ind w:left="428" w:hanging="428"/>
        <w:spacing w:after="0" w:line="281" w:lineRule="auto"/>
        <w:tabs>
          <w:tab w:leader="none" w:pos="426" w:val="left"/>
        </w:tabs>
        <w:numPr>
          <w:ilvl w:val="0"/>
          <w:numId w:val="25"/>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Committee shall ensure that adequate procedures are in place for the review of the Corporation’s public disclosure of financial information extracted or derived from the Corporation’s financial statements, and shall periodically assess the adequacy of those procedures.</w:t>
      </w:r>
    </w:p>
    <w:p>
      <w:pPr>
        <w:spacing w:after="0" w:line="108" w:lineRule="exact"/>
        <w:rPr>
          <w:rFonts w:ascii="Times New Roman" w:cs="Times New Roman" w:eastAsia="Times New Roman" w:hAnsi="Times New Roman"/>
          <w:sz w:val="13"/>
          <w:szCs w:val="13"/>
          <w:color w:val="auto"/>
        </w:rPr>
      </w:pPr>
    </w:p>
    <w:p>
      <w:pPr>
        <w:ind w:left="428" w:hanging="428"/>
        <w:spacing w:after="0" w:line="295" w:lineRule="auto"/>
        <w:tabs>
          <w:tab w:leader="none" w:pos="426" w:val="left"/>
        </w:tabs>
        <w:numPr>
          <w:ilvl w:val="0"/>
          <w:numId w:val="25"/>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When there is to be a change of auditor, the Committee shall review all issues related to the change, including the information to be included in the notice of change of auditor called for under National Instrument 51-102, and the planned steps for an orderly transition.</w:t>
      </w:r>
    </w:p>
    <w:p>
      <w:pPr>
        <w:spacing w:after="0" w:line="91" w:lineRule="exact"/>
        <w:rPr>
          <w:rFonts w:ascii="Times New Roman" w:cs="Times New Roman" w:eastAsia="Times New Roman" w:hAnsi="Times New Roman"/>
          <w:sz w:val="13"/>
          <w:szCs w:val="13"/>
          <w:color w:val="auto"/>
        </w:rPr>
      </w:pPr>
    </w:p>
    <w:p>
      <w:pPr>
        <w:ind w:left="428" w:right="20" w:hanging="428"/>
        <w:spacing w:after="0" w:line="295" w:lineRule="auto"/>
        <w:tabs>
          <w:tab w:leader="none" w:pos="426" w:val="left"/>
        </w:tabs>
        <w:numPr>
          <w:ilvl w:val="0"/>
          <w:numId w:val="25"/>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Committee shall review all reportable events, including disagreements, unresolved issues and consultations, as defined in National Instrument 51-102, on a routine basis, whether or not there is to be a change of auditor.</w:t>
      </w:r>
    </w:p>
    <w:p>
      <w:pPr>
        <w:spacing w:after="0" w:line="91" w:lineRule="exact"/>
        <w:rPr>
          <w:rFonts w:ascii="Times New Roman" w:cs="Times New Roman" w:eastAsia="Times New Roman" w:hAnsi="Times New Roman"/>
          <w:sz w:val="13"/>
          <w:szCs w:val="13"/>
          <w:color w:val="auto"/>
        </w:rPr>
      </w:pPr>
    </w:p>
    <w:p>
      <w:pPr>
        <w:ind w:left="428" w:hanging="428"/>
        <w:spacing w:after="0"/>
        <w:tabs>
          <w:tab w:leader="none" w:pos="428" w:val="left"/>
        </w:tabs>
        <w:numPr>
          <w:ilvl w:val="0"/>
          <w:numId w:val="25"/>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Committee shall, as applicable, establish procedures for:</w:t>
      </w:r>
    </w:p>
    <w:p>
      <w:pPr>
        <w:spacing w:after="0" w:line="156" w:lineRule="exact"/>
        <w:rPr>
          <w:rFonts w:ascii="Times New Roman" w:cs="Times New Roman" w:eastAsia="Times New Roman" w:hAnsi="Times New Roman"/>
          <w:sz w:val="13"/>
          <w:szCs w:val="13"/>
          <w:color w:val="auto"/>
        </w:rPr>
      </w:pPr>
    </w:p>
    <w:p>
      <w:pPr>
        <w:ind w:left="848" w:hanging="416"/>
        <w:spacing w:after="0"/>
        <w:tabs>
          <w:tab w:leader="none" w:pos="848" w:val="left"/>
        </w:tabs>
        <w:numPr>
          <w:ilvl w:val="1"/>
          <w:numId w:val="25"/>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receipt, retention and treatment of complaints received by the issuer regarding accounting, internal accounting controls, or auditing matters; and</w:t>
      </w:r>
    </w:p>
    <w:p>
      <w:pPr>
        <w:spacing w:after="0" w:line="156" w:lineRule="exact"/>
        <w:rPr>
          <w:rFonts w:ascii="Times New Roman" w:cs="Times New Roman" w:eastAsia="Times New Roman" w:hAnsi="Times New Roman"/>
          <w:sz w:val="13"/>
          <w:szCs w:val="13"/>
          <w:color w:val="auto"/>
        </w:rPr>
      </w:pPr>
    </w:p>
    <w:p>
      <w:pPr>
        <w:ind w:left="848" w:hanging="416"/>
        <w:spacing w:after="0"/>
        <w:tabs>
          <w:tab w:leader="none" w:pos="848" w:val="left"/>
        </w:tabs>
        <w:numPr>
          <w:ilvl w:val="1"/>
          <w:numId w:val="25"/>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confidential, anonymous submission by employees of the issuer of concerns regarding questionable accounting or auditing matters.</w:t>
      </w:r>
    </w:p>
    <w:p>
      <w:pPr>
        <w:spacing w:after="0" w:line="147" w:lineRule="exact"/>
        <w:rPr>
          <w:rFonts w:ascii="Times New Roman" w:cs="Times New Roman" w:eastAsia="Times New Roman" w:hAnsi="Times New Roman"/>
          <w:sz w:val="13"/>
          <w:szCs w:val="13"/>
          <w:color w:val="auto"/>
        </w:rPr>
      </w:pPr>
    </w:p>
    <w:p>
      <w:pPr>
        <w:ind w:left="428" w:hanging="428"/>
        <w:spacing w:after="0" w:line="295" w:lineRule="auto"/>
        <w:tabs>
          <w:tab w:leader="none" w:pos="426" w:val="left"/>
        </w:tabs>
        <w:numPr>
          <w:ilvl w:val="0"/>
          <w:numId w:val="25"/>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As applicable, the Committee shall establish, periodically review and approve the Corporation’s hiring policies regarding partners, employees and former partners and employees of the present and former external auditor of the issuer.</w:t>
      </w:r>
    </w:p>
    <w:p>
      <w:pPr>
        <w:spacing w:after="0" w:line="91" w:lineRule="exact"/>
        <w:rPr>
          <w:rFonts w:ascii="Times New Roman" w:cs="Times New Roman" w:eastAsia="Times New Roman" w:hAnsi="Times New Roman"/>
          <w:sz w:val="13"/>
          <w:szCs w:val="13"/>
          <w:color w:val="auto"/>
        </w:rPr>
      </w:pPr>
    </w:p>
    <w:p>
      <w:pPr>
        <w:ind w:left="408" w:hanging="408"/>
        <w:spacing w:after="0"/>
        <w:tabs>
          <w:tab w:leader="none" w:pos="408" w:val="left"/>
        </w:tabs>
        <w:numPr>
          <w:ilvl w:val="0"/>
          <w:numId w:val="25"/>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responsibilities outlined in this Charter are not intended to be exhaustive. Members should consider any additional areas which may require oversight when discharging their responsibilities.</w:t>
      </w:r>
    </w:p>
    <w:p>
      <w:pPr>
        <w:spacing w:after="0" w:line="146" w:lineRule="exact"/>
        <w:rPr>
          <w:sz w:val="20"/>
          <w:szCs w:val="20"/>
          <w:color w:val="auto"/>
        </w:rPr>
      </w:pPr>
    </w:p>
    <w:p>
      <w:pPr>
        <w:ind w:left="8"/>
        <w:spacing w:after="0"/>
        <w:tabs>
          <w:tab w:leader="none" w:pos="408" w:val="left"/>
        </w:tabs>
        <w:rPr>
          <w:sz w:val="20"/>
          <w:szCs w:val="20"/>
          <w:color w:val="auto"/>
        </w:rPr>
      </w:pPr>
      <w:r>
        <w:rPr>
          <w:rFonts w:ascii="Times New Roman" w:cs="Times New Roman" w:eastAsia="Times New Roman" w:hAnsi="Times New Roman"/>
          <w:sz w:val="13"/>
          <w:szCs w:val="13"/>
          <w:b w:val="1"/>
          <w:bCs w:val="1"/>
          <w:color w:val="auto"/>
        </w:rPr>
        <w:t>1.4</w:t>
      </w:r>
      <w:r>
        <w:rPr>
          <w:sz w:val="20"/>
          <w:szCs w:val="20"/>
          <w:color w:val="auto"/>
        </w:rPr>
        <w:tab/>
      </w:r>
      <w:r>
        <w:rPr>
          <w:rFonts w:ascii="Times New Roman" w:cs="Times New Roman" w:eastAsia="Times New Roman" w:hAnsi="Times New Roman"/>
          <w:sz w:val="13"/>
          <w:szCs w:val="13"/>
          <w:b w:val="1"/>
          <w:bCs w:val="1"/>
          <w:color w:val="auto"/>
        </w:rPr>
        <w:t>De Minimis Non-Audit Services</w:t>
      </w:r>
    </w:p>
    <w:p>
      <w:pPr>
        <w:spacing w:after="0" w:line="141" w:lineRule="exact"/>
        <w:rPr>
          <w:sz w:val="20"/>
          <w:szCs w:val="20"/>
          <w:color w:val="auto"/>
        </w:rPr>
      </w:pPr>
    </w:p>
    <w:p>
      <w:pPr>
        <w:ind w:left="8"/>
        <w:spacing w:after="0"/>
        <w:rPr>
          <w:sz w:val="20"/>
          <w:szCs w:val="20"/>
          <w:color w:val="auto"/>
        </w:rPr>
      </w:pPr>
      <w:r>
        <w:rPr>
          <w:rFonts w:ascii="Times New Roman" w:cs="Times New Roman" w:eastAsia="Times New Roman" w:hAnsi="Times New Roman"/>
          <w:sz w:val="13"/>
          <w:szCs w:val="13"/>
          <w:color w:val="auto"/>
        </w:rPr>
        <w:t>The Committee shall satisfy the pre-approval requirement in subsection 2.3(2) if:</w:t>
      </w:r>
    </w:p>
    <w:p>
      <w:pPr>
        <w:spacing w:after="0" w:line="76" w:lineRule="exact"/>
        <w:rPr>
          <w:sz w:val="20"/>
          <w:szCs w:val="20"/>
          <w:color w:val="auto"/>
        </w:rPr>
      </w:pPr>
    </w:p>
    <w:p>
      <w:pPr>
        <w:ind w:left="868" w:hanging="436"/>
        <w:spacing w:after="0" w:line="295" w:lineRule="auto"/>
        <w:tabs>
          <w:tab w:leader="none" w:pos="861" w:val="left"/>
        </w:tabs>
        <w:numPr>
          <w:ilvl w:val="0"/>
          <w:numId w:val="26"/>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aggregate amount of all the non-audit services that were not pre-approved is reasonably expected to constitute no more than five per cent of the total amount of fees paid by the issuer and its subsidiary entities to the issuer’s external auditor during the financial year in which the services are provided;</w:t>
      </w:r>
    </w:p>
    <w:p>
      <w:pPr>
        <w:spacing w:after="0" w:line="91" w:lineRule="exact"/>
        <w:rPr>
          <w:rFonts w:ascii="Times New Roman" w:cs="Times New Roman" w:eastAsia="Times New Roman" w:hAnsi="Times New Roman"/>
          <w:sz w:val="13"/>
          <w:szCs w:val="13"/>
          <w:color w:val="auto"/>
        </w:rPr>
      </w:pPr>
    </w:p>
    <w:p>
      <w:pPr>
        <w:ind w:left="848" w:hanging="416"/>
        <w:spacing w:after="0"/>
        <w:tabs>
          <w:tab w:leader="none" w:pos="848" w:val="left"/>
        </w:tabs>
        <w:numPr>
          <w:ilvl w:val="0"/>
          <w:numId w:val="26"/>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Corporation or the subsidiary of the Corporation, as the case may be, did not recognize the services as non-audit services at the time of the engagement; and</w:t>
      </w:r>
    </w:p>
    <w:p>
      <w:pPr>
        <w:sectPr>
          <w:pgSz w:w="11900" w:h="16838" w:orient="portrait"/>
          <w:cols w:equalWidth="0" w:num="1">
            <w:col w:w="11308"/>
          </w:cols>
          <w:pgMar w:left="292" w:top="126" w:right="299" w:bottom="1440" w:gutter="0" w:footer="0" w:header="0"/>
        </w:sectPr>
      </w:pPr>
    </w:p>
    <w:bookmarkStart w:id="44" w:name="page45"/>
    <w:bookmarkEnd w:id="44"/>
    <w:p>
      <w:pPr>
        <w:jc w:val="center"/>
        <w:ind w:right="-7"/>
        <w:spacing w:after="0"/>
        <w:rPr>
          <w:sz w:val="20"/>
          <w:szCs w:val="20"/>
          <w:color w:val="auto"/>
        </w:rPr>
      </w:pPr>
      <w:r>
        <w:rPr>
          <w:rFonts w:ascii="Times New Roman" w:cs="Times New Roman" w:eastAsia="Times New Roman" w:hAnsi="Times New Roman"/>
          <w:sz w:val="13"/>
          <w:szCs w:val="13"/>
          <w:color w:val="auto"/>
        </w:rPr>
        <w:t>B - 5</w:t>
      </w: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ind w:left="868" w:right="20" w:hanging="436"/>
        <w:spacing w:after="0" w:line="295" w:lineRule="auto"/>
        <w:tabs>
          <w:tab w:leader="none" w:pos="861" w:val="left"/>
        </w:tabs>
        <w:numPr>
          <w:ilvl w:val="0"/>
          <w:numId w:val="27"/>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services are promptly brought to the attention of the Committee and approved by the Committee or by one or more of its Members to whom authority to grant such approvals has been delegated by the Committee, prior to the completion of the audit.</w:t>
      </w:r>
    </w:p>
    <w:p>
      <w:pPr>
        <w:spacing w:after="0" w:line="81" w:lineRule="exact"/>
        <w:rPr>
          <w:sz w:val="20"/>
          <w:szCs w:val="20"/>
          <w:color w:val="auto"/>
        </w:rPr>
      </w:pPr>
    </w:p>
    <w:p>
      <w:pPr>
        <w:ind w:left="8"/>
        <w:spacing w:after="0"/>
        <w:tabs>
          <w:tab w:leader="none" w:pos="408" w:val="left"/>
        </w:tabs>
        <w:rPr>
          <w:sz w:val="20"/>
          <w:szCs w:val="20"/>
          <w:color w:val="auto"/>
        </w:rPr>
      </w:pPr>
      <w:r>
        <w:rPr>
          <w:rFonts w:ascii="Times New Roman" w:cs="Times New Roman" w:eastAsia="Times New Roman" w:hAnsi="Times New Roman"/>
          <w:sz w:val="13"/>
          <w:szCs w:val="13"/>
          <w:b w:val="1"/>
          <w:bCs w:val="1"/>
          <w:color w:val="auto"/>
        </w:rPr>
        <w:t>1.5</w:t>
      </w:r>
      <w:r>
        <w:rPr>
          <w:sz w:val="20"/>
          <w:szCs w:val="20"/>
          <w:color w:val="auto"/>
        </w:rPr>
        <w:tab/>
      </w:r>
      <w:r>
        <w:rPr>
          <w:rFonts w:ascii="Times New Roman" w:cs="Times New Roman" w:eastAsia="Times New Roman" w:hAnsi="Times New Roman"/>
          <w:sz w:val="13"/>
          <w:szCs w:val="13"/>
          <w:b w:val="1"/>
          <w:bCs w:val="1"/>
          <w:color w:val="auto"/>
        </w:rPr>
        <w:t>Delegation of Pre-Approval Function</w:t>
      </w:r>
    </w:p>
    <w:p>
      <w:pPr>
        <w:spacing w:after="0" w:line="141" w:lineRule="exact"/>
        <w:rPr>
          <w:sz w:val="20"/>
          <w:szCs w:val="20"/>
          <w:color w:val="auto"/>
        </w:rPr>
      </w:pPr>
    </w:p>
    <w:p>
      <w:pPr>
        <w:ind w:left="428" w:hanging="428"/>
        <w:spacing w:after="0"/>
        <w:tabs>
          <w:tab w:leader="none" w:pos="428" w:val="left"/>
        </w:tabs>
        <w:numPr>
          <w:ilvl w:val="0"/>
          <w:numId w:val="28"/>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Committee may delegate to one or more independent Members the authority to pre-approve non-audit services in satisfaction of the requirement in subsection 2.3(2).</w:t>
      </w:r>
    </w:p>
    <w:p>
      <w:pPr>
        <w:spacing w:after="0" w:line="147" w:lineRule="exact"/>
        <w:rPr>
          <w:rFonts w:ascii="Times New Roman" w:cs="Times New Roman" w:eastAsia="Times New Roman" w:hAnsi="Times New Roman"/>
          <w:sz w:val="13"/>
          <w:szCs w:val="13"/>
          <w:color w:val="auto"/>
        </w:rPr>
      </w:pPr>
    </w:p>
    <w:p>
      <w:pPr>
        <w:ind w:left="428" w:hanging="428"/>
        <w:spacing w:after="0" w:line="295" w:lineRule="auto"/>
        <w:tabs>
          <w:tab w:leader="none" w:pos="426" w:val="left"/>
        </w:tabs>
        <w:numPr>
          <w:ilvl w:val="0"/>
          <w:numId w:val="28"/>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pre-approval of non-audit services by any Member to whom authority has been delegated pursuant to subsection 2.5(1) must be presented to the Committee at its first scheduled meeting following such pre-approval.</w:t>
      </w:r>
    </w:p>
    <w:p>
      <w:pPr>
        <w:spacing w:after="0" w:line="90" w:lineRule="exact"/>
        <w:rPr>
          <w:sz w:val="20"/>
          <w:szCs w:val="20"/>
          <w:color w:val="auto"/>
        </w:rPr>
      </w:pPr>
    </w:p>
    <w:p>
      <w:pPr>
        <w:jc w:val="center"/>
        <w:ind w:right="-7"/>
        <w:spacing w:after="0"/>
        <w:rPr>
          <w:sz w:val="20"/>
          <w:szCs w:val="20"/>
          <w:color w:val="auto"/>
        </w:rPr>
      </w:pPr>
      <w:r>
        <w:rPr>
          <w:rFonts w:ascii="Times New Roman" w:cs="Times New Roman" w:eastAsia="Times New Roman" w:hAnsi="Times New Roman"/>
          <w:sz w:val="13"/>
          <w:szCs w:val="13"/>
          <w:b w:val="1"/>
          <w:bCs w:val="1"/>
          <w:u w:val="single" w:color="auto"/>
          <w:color w:val="auto"/>
        </w:rPr>
        <w:t>PART 2</w:t>
      </w:r>
    </w:p>
    <w:p>
      <w:pPr>
        <w:spacing w:after="0" w:line="121" w:lineRule="exact"/>
        <w:rPr>
          <w:sz w:val="20"/>
          <w:szCs w:val="20"/>
          <w:color w:val="auto"/>
        </w:rPr>
      </w:pPr>
    </w:p>
    <w:p>
      <w:pPr>
        <w:ind w:left="8"/>
        <w:spacing w:after="0"/>
        <w:tabs>
          <w:tab w:leader="none" w:pos="408" w:val="left"/>
        </w:tabs>
        <w:rPr>
          <w:sz w:val="20"/>
          <w:szCs w:val="20"/>
          <w:color w:val="auto"/>
        </w:rPr>
      </w:pPr>
      <w:r>
        <w:rPr>
          <w:rFonts w:ascii="Times New Roman" w:cs="Times New Roman" w:eastAsia="Times New Roman" w:hAnsi="Times New Roman"/>
          <w:sz w:val="13"/>
          <w:szCs w:val="13"/>
          <w:b w:val="1"/>
          <w:bCs w:val="1"/>
          <w:color w:val="auto"/>
        </w:rPr>
        <w:t>2.1</w:t>
      </w:r>
      <w:r>
        <w:rPr>
          <w:sz w:val="20"/>
          <w:szCs w:val="20"/>
          <w:color w:val="auto"/>
        </w:rPr>
        <w:tab/>
      </w:r>
      <w:r>
        <w:rPr>
          <w:rFonts w:ascii="Times New Roman" w:cs="Times New Roman" w:eastAsia="Times New Roman" w:hAnsi="Times New Roman"/>
          <w:sz w:val="13"/>
          <w:szCs w:val="13"/>
          <w:b w:val="1"/>
          <w:bCs w:val="1"/>
          <w:color w:val="auto"/>
        </w:rPr>
        <w:t>Composition</w:t>
      </w:r>
    </w:p>
    <w:p>
      <w:pPr>
        <w:spacing w:after="0" w:line="141" w:lineRule="exact"/>
        <w:rPr>
          <w:sz w:val="20"/>
          <w:szCs w:val="20"/>
          <w:color w:val="auto"/>
        </w:rPr>
      </w:pPr>
    </w:p>
    <w:p>
      <w:pPr>
        <w:ind w:left="428" w:hanging="428"/>
        <w:spacing w:after="0"/>
        <w:tabs>
          <w:tab w:leader="none" w:pos="428" w:val="left"/>
        </w:tabs>
        <w:numPr>
          <w:ilvl w:val="0"/>
          <w:numId w:val="29"/>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Committee shall be composed of a minimum of three Members.</w:t>
      </w:r>
    </w:p>
    <w:p>
      <w:pPr>
        <w:spacing w:after="0" w:line="156" w:lineRule="exact"/>
        <w:rPr>
          <w:rFonts w:ascii="Times New Roman" w:cs="Times New Roman" w:eastAsia="Times New Roman" w:hAnsi="Times New Roman"/>
          <w:sz w:val="13"/>
          <w:szCs w:val="13"/>
          <w:color w:val="auto"/>
        </w:rPr>
      </w:pPr>
    </w:p>
    <w:p>
      <w:pPr>
        <w:ind w:left="428" w:hanging="428"/>
        <w:spacing w:after="0"/>
        <w:tabs>
          <w:tab w:leader="none" w:pos="428" w:val="left"/>
        </w:tabs>
        <w:numPr>
          <w:ilvl w:val="0"/>
          <w:numId w:val="29"/>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Every Member shall be a director of the issuer.</w:t>
      </w:r>
    </w:p>
    <w:p>
      <w:pPr>
        <w:spacing w:after="0" w:line="147" w:lineRule="exact"/>
        <w:rPr>
          <w:rFonts w:ascii="Times New Roman" w:cs="Times New Roman" w:eastAsia="Times New Roman" w:hAnsi="Times New Roman"/>
          <w:sz w:val="13"/>
          <w:szCs w:val="13"/>
          <w:color w:val="auto"/>
        </w:rPr>
      </w:pPr>
    </w:p>
    <w:p>
      <w:pPr>
        <w:ind w:left="428" w:hanging="428"/>
        <w:spacing w:after="0"/>
        <w:tabs>
          <w:tab w:leader="none" w:pos="428" w:val="left"/>
        </w:tabs>
        <w:numPr>
          <w:ilvl w:val="0"/>
          <w:numId w:val="29"/>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Every Member shall be independent.</w:t>
      </w:r>
    </w:p>
    <w:p>
      <w:pPr>
        <w:spacing w:after="0" w:line="156" w:lineRule="exact"/>
        <w:rPr>
          <w:rFonts w:ascii="Times New Roman" w:cs="Times New Roman" w:eastAsia="Times New Roman" w:hAnsi="Times New Roman"/>
          <w:sz w:val="13"/>
          <w:szCs w:val="13"/>
          <w:color w:val="auto"/>
        </w:rPr>
      </w:pPr>
    </w:p>
    <w:p>
      <w:pPr>
        <w:ind w:left="428" w:hanging="428"/>
        <w:spacing w:after="0"/>
        <w:tabs>
          <w:tab w:leader="none" w:pos="428" w:val="left"/>
        </w:tabs>
        <w:numPr>
          <w:ilvl w:val="0"/>
          <w:numId w:val="29"/>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Every Member shall be financially literate.</w:t>
      </w:r>
    </w:p>
    <w:p>
      <w:pPr>
        <w:spacing w:after="0" w:line="147" w:lineRule="exact"/>
        <w:rPr>
          <w:rFonts w:ascii="Times New Roman" w:cs="Times New Roman" w:eastAsia="Times New Roman" w:hAnsi="Times New Roman"/>
          <w:sz w:val="13"/>
          <w:szCs w:val="13"/>
          <w:color w:val="auto"/>
        </w:rPr>
      </w:pPr>
    </w:p>
    <w:p>
      <w:pPr>
        <w:ind w:left="428" w:hanging="428"/>
        <w:spacing w:after="0"/>
        <w:tabs>
          <w:tab w:leader="none" w:pos="428" w:val="left"/>
        </w:tabs>
        <w:numPr>
          <w:ilvl w:val="0"/>
          <w:numId w:val="29"/>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board of directors of the Corporation shall appoint or re-appoint the Members after each annual meeting of shareholders of the Corporation.</w:t>
      </w:r>
    </w:p>
    <w:p>
      <w:pPr>
        <w:spacing w:after="0" w:line="146" w:lineRule="exact"/>
        <w:rPr>
          <w:sz w:val="20"/>
          <w:szCs w:val="20"/>
          <w:color w:val="auto"/>
        </w:rPr>
      </w:pPr>
    </w:p>
    <w:p>
      <w:pPr>
        <w:jc w:val="center"/>
        <w:ind w:right="-7"/>
        <w:spacing w:after="0"/>
        <w:rPr>
          <w:sz w:val="20"/>
          <w:szCs w:val="20"/>
          <w:color w:val="auto"/>
        </w:rPr>
      </w:pPr>
      <w:r>
        <w:rPr>
          <w:rFonts w:ascii="Times New Roman" w:cs="Times New Roman" w:eastAsia="Times New Roman" w:hAnsi="Times New Roman"/>
          <w:sz w:val="13"/>
          <w:szCs w:val="13"/>
          <w:b w:val="1"/>
          <w:bCs w:val="1"/>
          <w:u w:val="single" w:color="auto"/>
          <w:color w:val="auto"/>
        </w:rPr>
        <w:t>PART 3</w:t>
      </w:r>
    </w:p>
    <w:p>
      <w:pPr>
        <w:spacing w:after="0" w:line="130" w:lineRule="exact"/>
        <w:rPr>
          <w:sz w:val="20"/>
          <w:szCs w:val="20"/>
          <w:color w:val="auto"/>
        </w:rPr>
      </w:pPr>
    </w:p>
    <w:p>
      <w:pPr>
        <w:ind w:left="8"/>
        <w:spacing w:after="0"/>
        <w:tabs>
          <w:tab w:leader="none" w:pos="408" w:val="left"/>
        </w:tabs>
        <w:rPr>
          <w:sz w:val="20"/>
          <w:szCs w:val="20"/>
          <w:color w:val="auto"/>
        </w:rPr>
      </w:pPr>
      <w:r>
        <w:rPr>
          <w:rFonts w:ascii="Times New Roman" w:cs="Times New Roman" w:eastAsia="Times New Roman" w:hAnsi="Times New Roman"/>
          <w:sz w:val="13"/>
          <w:szCs w:val="13"/>
          <w:b w:val="1"/>
          <w:bCs w:val="1"/>
          <w:color w:val="auto"/>
        </w:rPr>
        <w:t>3.1</w:t>
      </w:r>
      <w:r>
        <w:rPr>
          <w:sz w:val="20"/>
          <w:szCs w:val="20"/>
          <w:color w:val="auto"/>
        </w:rPr>
        <w:tab/>
      </w:r>
      <w:r>
        <w:rPr>
          <w:rFonts w:ascii="Times New Roman" w:cs="Times New Roman" w:eastAsia="Times New Roman" w:hAnsi="Times New Roman"/>
          <w:sz w:val="13"/>
          <w:szCs w:val="13"/>
          <w:b w:val="1"/>
          <w:bCs w:val="1"/>
          <w:color w:val="auto"/>
        </w:rPr>
        <w:t>Authority</w:t>
      </w:r>
    </w:p>
    <w:p>
      <w:pPr>
        <w:spacing w:after="0" w:line="132" w:lineRule="exact"/>
        <w:rPr>
          <w:sz w:val="20"/>
          <w:szCs w:val="20"/>
          <w:color w:val="auto"/>
        </w:rPr>
      </w:pPr>
    </w:p>
    <w:p>
      <w:pPr>
        <w:ind w:left="8"/>
        <w:spacing w:after="0"/>
        <w:rPr>
          <w:sz w:val="20"/>
          <w:szCs w:val="20"/>
          <w:color w:val="auto"/>
        </w:rPr>
      </w:pPr>
      <w:r>
        <w:rPr>
          <w:rFonts w:ascii="Times New Roman" w:cs="Times New Roman" w:eastAsia="Times New Roman" w:hAnsi="Times New Roman"/>
          <w:sz w:val="13"/>
          <w:szCs w:val="13"/>
          <w:color w:val="auto"/>
        </w:rPr>
        <w:t>Until the replacement of this Charter, the Committee shall have the authority to:</w:t>
      </w:r>
    </w:p>
    <w:p>
      <w:pPr>
        <w:spacing w:after="0" w:line="85" w:lineRule="exact"/>
        <w:rPr>
          <w:sz w:val="20"/>
          <w:szCs w:val="20"/>
          <w:color w:val="auto"/>
        </w:rPr>
      </w:pPr>
    </w:p>
    <w:p>
      <w:pPr>
        <w:ind w:left="848" w:hanging="416"/>
        <w:spacing w:after="0"/>
        <w:tabs>
          <w:tab w:leader="none" w:pos="848" w:val="left"/>
        </w:tabs>
        <w:numPr>
          <w:ilvl w:val="0"/>
          <w:numId w:val="30"/>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engage independent counsel and other advisors as it determines necessary to carry out its duties;</w:t>
      </w:r>
    </w:p>
    <w:p>
      <w:pPr>
        <w:spacing w:after="0" w:line="147" w:lineRule="exact"/>
        <w:rPr>
          <w:rFonts w:ascii="Times New Roman" w:cs="Times New Roman" w:eastAsia="Times New Roman" w:hAnsi="Times New Roman"/>
          <w:sz w:val="13"/>
          <w:szCs w:val="13"/>
          <w:color w:val="auto"/>
        </w:rPr>
      </w:pPr>
    </w:p>
    <w:p>
      <w:pPr>
        <w:ind w:left="848" w:hanging="416"/>
        <w:spacing w:after="0"/>
        <w:tabs>
          <w:tab w:leader="none" w:pos="848" w:val="left"/>
        </w:tabs>
        <w:numPr>
          <w:ilvl w:val="0"/>
          <w:numId w:val="30"/>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set and pay the compensation for any advisors employed by the Committee;</w:t>
      </w:r>
    </w:p>
    <w:p>
      <w:pPr>
        <w:spacing w:after="0" w:line="156" w:lineRule="exact"/>
        <w:rPr>
          <w:rFonts w:ascii="Times New Roman" w:cs="Times New Roman" w:eastAsia="Times New Roman" w:hAnsi="Times New Roman"/>
          <w:sz w:val="13"/>
          <w:szCs w:val="13"/>
          <w:color w:val="auto"/>
        </w:rPr>
      </w:pPr>
    </w:p>
    <w:p>
      <w:pPr>
        <w:ind w:left="848" w:hanging="416"/>
        <w:spacing w:after="0"/>
        <w:tabs>
          <w:tab w:leader="none" w:pos="848" w:val="left"/>
        </w:tabs>
        <w:numPr>
          <w:ilvl w:val="0"/>
          <w:numId w:val="30"/>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communicate directly with the internal and external auditors; and</w:t>
      </w:r>
    </w:p>
    <w:p>
      <w:pPr>
        <w:spacing w:after="0" w:line="156" w:lineRule="exact"/>
        <w:rPr>
          <w:rFonts w:ascii="Times New Roman" w:cs="Times New Roman" w:eastAsia="Times New Roman" w:hAnsi="Times New Roman"/>
          <w:sz w:val="13"/>
          <w:szCs w:val="13"/>
          <w:color w:val="auto"/>
        </w:rPr>
      </w:pPr>
    </w:p>
    <w:p>
      <w:pPr>
        <w:ind w:left="848" w:hanging="416"/>
        <w:spacing w:after="0"/>
        <w:tabs>
          <w:tab w:leader="none" w:pos="848" w:val="left"/>
        </w:tabs>
        <w:numPr>
          <w:ilvl w:val="0"/>
          <w:numId w:val="30"/>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recommend the amendment or approval of audited and interim financial statements to the board of directors.</w:t>
      </w:r>
    </w:p>
    <w:p>
      <w:pPr>
        <w:spacing w:after="0" w:line="137" w:lineRule="exact"/>
        <w:rPr>
          <w:sz w:val="20"/>
          <w:szCs w:val="20"/>
          <w:color w:val="auto"/>
        </w:rPr>
      </w:pPr>
    </w:p>
    <w:p>
      <w:pPr>
        <w:jc w:val="center"/>
        <w:ind w:right="-7"/>
        <w:spacing w:after="0"/>
        <w:rPr>
          <w:sz w:val="20"/>
          <w:szCs w:val="20"/>
          <w:color w:val="auto"/>
        </w:rPr>
      </w:pPr>
      <w:r>
        <w:rPr>
          <w:rFonts w:ascii="Times New Roman" w:cs="Times New Roman" w:eastAsia="Times New Roman" w:hAnsi="Times New Roman"/>
          <w:sz w:val="13"/>
          <w:szCs w:val="13"/>
          <w:b w:val="1"/>
          <w:bCs w:val="1"/>
          <w:u w:val="single" w:color="auto"/>
          <w:color w:val="auto"/>
        </w:rPr>
        <w:t>PART 4</w:t>
      </w:r>
    </w:p>
    <w:p>
      <w:pPr>
        <w:spacing w:after="0" w:line="130" w:lineRule="exact"/>
        <w:rPr>
          <w:sz w:val="20"/>
          <w:szCs w:val="20"/>
          <w:color w:val="auto"/>
        </w:rPr>
      </w:pPr>
    </w:p>
    <w:p>
      <w:pPr>
        <w:ind w:left="8"/>
        <w:spacing w:after="0"/>
        <w:tabs>
          <w:tab w:leader="none" w:pos="408" w:val="left"/>
        </w:tabs>
        <w:rPr>
          <w:sz w:val="20"/>
          <w:szCs w:val="20"/>
          <w:color w:val="auto"/>
        </w:rPr>
      </w:pPr>
      <w:r>
        <w:rPr>
          <w:rFonts w:ascii="Times New Roman" w:cs="Times New Roman" w:eastAsia="Times New Roman" w:hAnsi="Times New Roman"/>
          <w:sz w:val="13"/>
          <w:szCs w:val="13"/>
          <w:b w:val="1"/>
          <w:bCs w:val="1"/>
          <w:color w:val="auto"/>
        </w:rPr>
        <w:t>4.1</w:t>
      </w:r>
      <w:r>
        <w:rPr>
          <w:sz w:val="20"/>
          <w:szCs w:val="20"/>
          <w:color w:val="auto"/>
        </w:rPr>
        <w:tab/>
      </w:r>
      <w:r>
        <w:rPr>
          <w:rFonts w:ascii="Times New Roman" w:cs="Times New Roman" w:eastAsia="Times New Roman" w:hAnsi="Times New Roman"/>
          <w:sz w:val="13"/>
          <w:szCs w:val="13"/>
          <w:b w:val="1"/>
          <w:bCs w:val="1"/>
          <w:color w:val="auto"/>
        </w:rPr>
        <w:t>Required Disclosure</w:t>
      </w:r>
    </w:p>
    <w:p>
      <w:pPr>
        <w:spacing w:after="0" w:line="141" w:lineRule="exact"/>
        <w:rPr>
          <w:sz w:val="20"/>
          <w:szCs w:val="20"/>
          <w:color w:val="auto"/>
        </w:rPr>
      </w:pPr>
    </w:p>
    <w:p>
      <w:pPr>
        <w:ind w:left="8"/>
        <w:spacing w:after="0"/>
        <w:rPr>
          <w:sz w:val="20"/>
          <w:szCs w:val="20"/>
          <w:color w:val="auto"/>
        </w:rPr>
      </w:pPr>
      <w:r>
        <w:rPr>
          <w:rFonts w:ascii="Times New Roman" w:cs="Times New Roman" w:eastAsia="Times New Roman" w:hAnsi="Times New Roman"/>
          <w:sz w:val="13"/>
          <w:szCs w:val="13"/>
          <w:color w:val="auto"/>
        </w:rPr>
        <w:t>The Corporation must include in its Annual Information Form the disclosure required by Form 52-110F1.</w:t>
      </w:r>
    </w:p>
    <w:p>
      <w:pPr>
        <w:sectPr>
          <w:pgSz w:w="11900" w:h="16838" w:orient="portrait"/>
          <w:cols w:equalWidth="0" w:num="1">
            <w:col w:w="11308"/>
          </w:cols>
          <w:pgMar w:left="292" w:top="126" w:right="299" w:bottom="1440" w:gutter="0" w:footer="0" w:header="0"/>
        </w:sectPr>
      </w:pPr>
    </w:p>
    <w:bookmarkStart w:id="45" w:name="page46"/>
    <w:bookmarkEnd w:id="45"/>
    <w:p>
      <w:pPr>
        <w:jc w:val="center"/>
        <w:ind w:right="-7"/>
        <w:spacing w:after="0"/>
        <w:rPr>
          <w:sz w:val="20"/>
          <w:szCs w:val="20"/>
          <w:color w:val="auto"/>
        </w:rPr>
      </w:pPr>
      <w:r>
        <w:rPr>
          <w:rFonts w:ascii="Times New Roman" w:cs="Times New Roman" w:eastAsia="Times New Roman" w:hAnsi="Times New Roman"/>
          <w:sz w:val="13"/>
          <w:szCs w:val="13"/>
          <w:color w:val="auto"/>
        </w:rPr>
        <w:t>B - 6</w:t>
      </w: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ind w:left="8"/>
        <w:spacing w:after="0"/>
        <w:tabs>
          <w:tab w:leader="none" w:pos="408" w:val="left"/>
        </w:tabs>
        <w:rPr>
          <w:sz w:val="20"/>
          <w:szCs w:val="20"/>
          <w:color w:val="auto"/>
        </w:rPr>
      </w:pPr>
      <w:r>
        <w:rPr>
          <w:rFonts w:ascii="Times New Roman" w:cs="Times New Roman" w:eastAsia="Times New Roman" w:hAnsi="Times New Roman"/>
          <w:sz w:val="13"/>
          <w:szCs w:val="13"/>
          <w:b w:val="1"/>
          <w:bCs w:val="1"/>
          <w:color w:val="auto"/>
        </w:rPr>
        <w:t>4.2</w:t>
      </w:r>
      <w:r>
        <w:rPr>
          <w:sz w:val="20"/>
          <w:szCs w:val="20"/>
          <w:color w:val="auto"/>
        </w:rPr>
        <w:tab/>
      </w:r>
      <w:r>
        <w:rPr>
          <w:rFonts w:ascii="Times New Roman" w:cs="Times New Roman" w:eastAsia="Times New Roman" w:hAnsi="Times New Roman"/>
          <w:sz w:val="13"/>
          <w:szCs w:val="13"/>
          <w:b w:val="1"/>
          <w:bCs w:val="1"/>
          <w:color w:val="auto"/>
        </w:rPr>
        <w:t>Disclosure in Information Circular</w:t>
      </w:r>
    </w:p>
    <w:p>
      <w:pPr>
        <w:spacing w:after="0" w:line="141" w:lineRule="exact"/>
        <w:rPr>
          <w:sz w:val="20"/>
          <w:szCs w:val="20"/>
          <w:color w:val="auto"/>
        </w:rPr>
      </w:pPr>
    </w:p>
    <w:p>
      <w:pPr>
        <w:ind w:left="8"/>
        <w:spacing w:after="0" w:line="281" w:lineRule="auto"/>
        <w:rPr>
          <w:sz w:val="20"/>
          <w:szCs w:val="20"/>
          <w:color w:val="auto"/>
        </w:rPr>
      </w:pPr>
      <w:r>
        <w:rPr>
          <w:rFonts w:ascii="Times New Roman" w:cs="Times New Roman" w:eastAsia="Times New Roman" w:hAnsi="Times New Roman"/>
          <w:sz w:val="13"/>
          <w:szCs w:val="13"/>
          <w:color w:val="auto"/>
        </w:rPr>
        <w:t>If management of the Corporation solicits proxies from the security holders of the Corporation for the purpose of electing directors to the board of directors, the Corporation shall include in its management information circular a cross-reference to the sections in the Corporation’s Annual Information Form that contain the information required by section 5.1.</w:t>
      </w:r>
    </w:p>
    <w:p>
      <w:pPr>
        <w:spacing w:after="0" w:line="26" w:lineRule="exact"/>
        <w:rPr>
          <w:sz w:val="20"/>
          <w:szCs w:val="20"/>
          <w:color w:val="auto"/>
        </w:rPr>
      </w:pPr>
    </w:p>
    <w:p>
      <w:pPr>
        <w:jc w:val="center"/>
        <w:ind w:right="-7"/>
        <w:spacing w:after="0"/>
        <w:rPr>
          <w:sz w:val="20"/>
          <w:szCs w:val="20"/>
          <w:color w:val="auto"/>
        </w:rPr>
      </w:pPr>
      <w:r>
        <w:rPr>
          <w:rFonts w:ascii="Times New Roman" w:cs="Times New Roman" w:eastAsia="Times New Roman" w:hAnsi="Times New Roman"/>
          <w:sz w:val="13"/>
          <w:szCs w:val="13"/>
          <w:b w:val="1"/>
          <w:bCs w:val="1"/>
          <w:u w:val="single" w:color="auto"/>
          <w:color w:val="auto"/>
        </w:rPr>
        <w:t>PART 5</w:t>
      </w:r>
    </w:p>
    <w:p>
      <w:pPr>
        <w:spacing w:after="0" w:line="130" w:lineRule="exact"/>
        <w:rPr>
          <w:sz w:val="20"/>
          <w:szCs w:val="20"/>
          <w:color w:val="auto"/>
        </w:rPr>
      </w:pPr>
    </w:p>
    <w:p>
      <w:pPr>
        <w:ind w:left="8"/>
        <w:spacing w:after="0"/>
        <w:tabs>
          <w:tab w:leader="none" w:pos="408" w:val="left"/>
        </w:tabs>
        <w:rPr>
          <w:sz w:val="20"/>
          <w:szCs w:val="20"/>
          <w:color w:val="auto"/>
        </w:rPr>
      </w:pPr>
      <w:r>
        <w:rPr>
          <w:rFonts w:ascii="Times New Roman" w:cs="Times New Roman" w:eastAsia="Times New Roman" w:hAnsi="Times New Roman"/>
          <w:sz w:val="13"/>
          <w:szCs w:val="13"/>
          <w:b w:val="1"/>
          <w:bCs w:val="1"/>
          <w:color w:val="auto"/>
        </w:rPr>
        <w:t>5.1</w:t>
      </w:r>
      <w:r>
        <w:rPr>
          <w:sz w:val="20"/>
          <w:szCs w:val="20"/>
          <w:color w:val="auto"/>
        </w:rPr>
        <w:tab/>
      </w:r>
      <w:r>
        <w:rPr>
          <w:rFonts w:ascii="Times New Roman" w:cs="Times New Roman" w:eastAsia="Times New Roman" w:hAnsi="Times New Roman"/>
          <w:sz w:val="13"/>
          <w:szCs w:val="13"/>
          <w:b w:val="1"/>
          <w:bCs w:val="1"/>
          <w:color w:val="auto"/>
        </w:rPr>
        <w:t>Meetings</w:t>
      </w:r>
    </w:p>
    <w:p>
      <w:pPr>
        <w:spacing w:after="0" w:line="132" w:lineRule="exact"/>
        <w:rPr>
          <w:sz w:val="20"/>
          <w:szCs w:val="20"/>
          <w:color w:val="auto"/>
        </w:rPr>
      </w:pPr>
    </w:p>
    <w:p>
      <w:pPr>
        <w:ind w:left="428" w:hanging="428"/>
        <w:spacing w:after="0"/>
        <w:tabs>
          <w:tab w:leader="none" w:pos="428" w:val="left"/>
        </w:tabs>
        <w:numPr>
          <w:ilvl w:val="0"/>
          <w:numId w:val="31"/>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Meetings of the Committee shall be scheduled to take place at regular intervals and, in any event, not less frequently than quarterly.</w:t>
      </w:r>
    </w:p>
    <w:p>
      <w:pPr>
        <w:spacing w:after="0" w:line="156" w:lineRule="exact"/>
        <w:rPr>
          <w:rFonts w:ascii="Times New Roman" w:cs="Times New Roman" w:eastAsia="Times New Roman" w:hAnsi="Times New Roman"/>
          <w:sz w:val="13"/>
          <w:szCs w:val="13"/>
          <w:color w:val="auto"/>
        </w:rPr>
      </w:pPr>
    </w:p>
    <w:p>
      <w:pPr>
        <w:ind w:left="428" w:hanging="428"/>
        <w:spacing w:after="0"/>
        <w:tabs>
          <w:tab w:leader="none" w:pos="428" w:val="left"/>
        </w:tabs>
        <w:numPr>
          <w:ilvl w:val="0"/>
          <w:numId w:val="31"/>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Opportunities shall be afforded periodically to the external auditor, the internal auditor and to members of senior management to meet separately with the Members.</w:t>
      </w:r>
    </w:p>
    <w:p>
      <w:pPr>
        <w:spacing w:after="0" w:line="147" w:lineRule="exact"/>
        <w:rPr>
          <w:rFonts w:ascii="Times New Roman" w:cs="Times New Roman" w:eastAsia="Times New Roman" w:hAnsi="Times New Roman"/>
          <w:sz w:val="13"/>
          <w:szCs w:val="13"/>
          <w:color w:val="auto"/>
        </w:rPr>
      </w:pPr>
    </w:p>
    <w:p>
      <w:pPr>
        <w:ind w:left="428" w:hanging="428"/>
        <w:spacing w:after="0"/>
        <w:tabs>
          <w:tab w:leader="none" w:pos="428" w:val="left"/>
        </w:tabs>
        <w:numPr>
          <w:ilvl w:val="0"/>
          <w:numId w:val="31"/>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Minutes shall be kept of all meetings of the Committee.</w:t>
      </w:r>
    </w:p>
    <w:p>
      <w:pPr>
        <w:sectPr>
          <w:pgSz w:w="11900" w:h="16838" w:orient="portrait"/>
          <w:cols w:equalWidth="0" w:num="1">
            <w:col w:w="11308"/>
          </w:cols>
          <w:pgMar w:left="292" w:top="126" w:right="299" w:bottom="1440" w:gutter="0" w:footer="0" w:header="0"/>
        </w:sectPr>
      </w:pPr>
    </w:p>
    <w:bookmarkStart w:id="46" w:name="page47"/>
    <w:bookmarkEnd w:id="46"/>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SCHEDULE "C"</w:t>
      </w:r>
    </w:p>
    <w:p>
      <w:pPr>
        <w:spacing w:after="0" w:line="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DIRECTORS’ MANDATE</w:t>
      </w:r>
    </w:p>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9"/>
          <w:szCs w:val="29"/>
          <w:b w:val="1"/>
          <w:bCs w:val="1"/>
          <w:color w:val="auto"/>
        </w:rPr>
        <w:t>Cybin Inc.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8"/>
          <w:szCs w:val="28"/>
          <w:b w:val="1"/>
          <w:bCs w:val="1"/>
          <w:color w:val="auto"/>
        </w:rPr>
        <w:t>DIRECTORS’</w:t>
      </w:r>
    </w:p>
    <w:p>
      <w:pPr>
        <w:spacing w:after="0" w:line="6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9"/>
          <w:szCs w:val="29"/>
          <w:b w:val="1"/>
          <w:bCs w:val="1"/>
          <w:color w:val="auto"/>
        </w:rPr>
        <w:t>MANDATE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b w:val="1"/>
          <w:bCs w:val="1"/>
          <w:color w:val="auto"/>
        </w:rPr>
        <w:t>November 2020</w:t>
      </w:r>
    </w:p>
    <w:p>
      <w:pPr>
        <w:sectPr>
          <w:pgSz w:w="11900" w:h="16838" w:orient="portrait"/>
          <w:cols w:equalWidth="0" w:num="1">
            <w:col w:w="9019"/>
          </w:cols>
          <w:pgMar w:left="1440" w:top="1118" w:right="1440" w:bottom="1440" w:gutter="0" w:footer="0" w:header="0"/>
        </w:sectPr>
      </w:pPr>
    </w:p>
    <w:bookmarkStart w:id="47" w:name="page48"/>
    <w:bookmarkEnd w:id="47"/>
    <w:p>
      <w:pPr>
        <w:jc w:val="center"/>
        <w:spacing w:after="0"/>
        <w:rPr>
          <w:sz w:val="20"/>
          <w:szCs w:val="20"/>
          <w:color w:val="auto"/>
        </w:rPr>
      </w:pPr>
      <w:r>
        <w:rPr>
          <w:rFonts w:ascii="Times New Roman" w:cs="Times New Roman" w:eastAsia="Times New Roman" w:hAnsi="Times New Roman"/>
          <w:sz w:val="13"/>
          <w:szCs w:val="13"/>
          <w:color w:val="auto"/>
        </w:rPr>
        <w:t>C - 2</w:t>
      </w:r>
    </w:p>
    <w:p>
      <w:pPr>
        <w:spacing w:after="0" w:line="200" w:lineRule="exact"/>
        <w:rPr>
          <w:sz w:val="20"/>
          <w:szCs w:val="20"/>
          <w:color w:val="auto"/>
        </w:rPr>
      </w:pPr>
    </w:p>
    <w:p>
      <w:pPr>
        <w:spacing w:after="0" w:line="200" w:lineRule="exact"/>
        <w:rPr>
          <w:sz w:val="20"/>
          <w:szCs w:val="20"/>
          <w:color w:val="auto"/>
        </w:rPr>
      </w:pPr>
    </w:p>
    <w:p>
      <w:pPr>
        <w:spacing w:after="0" w:line="3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CYBIN INC.</w:t>
      </w:r>
    </w:p>
    <w:p>
      <w:pPr>
        <w:spacing w:after="0" w:line="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 xml:space="preserve">(the </w:t>
      </w: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b w:val="1"/>
          <w:bCs w:val="1"/>
          <w:color w:val="auto"/>
        </w:rPr>
        <w:t>Corporation</w:t>
      </w: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b w:val="1"/>
          <w:bCs w:val="1"/>
          <w:color w:val="auto"/>
        </w:rPr>
        <w:t>)</w:t>
      </w:r>
    </w:p>
    <w:p>
      <w:pPr>
        <w:spacing w:after="0" w:line="1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DIRECTORS’ MANDATE</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color w:val="auto"/>
        </w:rPr>
        <w:t>Directors’ Responsibilities</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The board of directors of the Corporation (the “</w:t>
      </w:r>
      <w:r>
        <w:rPr>
          <w:rFonts w:ascii="Times New Roman" w:cs="Times New Roman" w:eastAsia="Times New Roman" w:hAnsi="Times New Roman"/>
          <w:sz w:val="13"/>
          <w:szCs w:val="13"/>
          <w:b w:val="1"/>
          <w:bCs w:val="1"/>
          <w:color w:val="auto"/>
        </w:rPr>
        <w:t>Directors</w:t>
      </w:r>
      <w:r>
        <w:rPr>
          <w:rFonts w:ascii="Times New Roman" w:cs="Times New Roman" w:eastAsia="Times New Roman" w:hAnsi="Times New Roman"/>
          <w:sz w:val="13"/>
          <w:szCs w:val="13"/>
          <w:color w:val="auto"/>
        </w:rPr>
        <w:t>”) are responsible for the stewardship of the Corporation. To discharge this obligation, the Directors, directly and through the applicable committees of the</w:t>
      </w:r>
    </w:p>
    <w:p>
      <w:pPr>
        <w:spacing w:after="0" w:line="24"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Directors, should assume responsibility in the following areas:</w:t>
      </w:r>
    </w:p>
    <w:p>
      <w:pPr>
        <w:spacing w:after="0" w:line="163"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color w:val="auto"/>
        </w:rPr>
        <w:t>Strategic Planning Process</w:t>
      </w:r>
    </w:p>
    <w:p>
      <w:pPr>
        <w:spacing w:after="0" w:line="168" w:lineRule="exact"/>
        <w:rPr>
          <w:sz w:val="20"/>
          <w:szCs w:val="20"/>
          <w:color w:val="auto"/>
        </w:rPr>
      </w:pPr>
    </w:p>
    <w:p>
      <w:pPr>
        <w:ind w:left="420" w:hanging="212"/>
        <w:spacing w:after="0"/>
        <w:tabs>
          <w:tab w:leader="none" w:pos="420" w:val="left"/>
        </w:tabs>
        <w:numPr>
          <w:ilvl w:val="0"/>
          <w:numId w:val="32"/>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Provide input to management on emerging trends and issues.</w:t>
      </w:r>
    </w:p>
    <w:p>
      <w:pPr>
        <w:spacing w:after="0" w:line="22" w:lineRule="exact"/>
        <w:rPr>
          <w:rFonts w:ascii="Times New Roman" w:cs="Times New Roman" w:eastAsia="Times New Roman" w:hAnsi="Times New Roman"/>
          <w:sz w:val="13"/>
          <w:szCs w:val="13"/>
          <w:color w:val="auto"/>
        </w:rPr>
      </w:pPr>
    </w:p>
    <w:p>
      <w:pPr>
        <w:ind w:left="420" w:hanging="212"/>
        <w:spacing w:after="0"/>
        <w:tabs>
          <w:tab w:leader="none" w:pos="420" w:val="left"/>
        </w:tabs>
        <w:numPr>
          <w:ilvl w:val="0"/>
          <w:numId w:val="32"/>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Adopt, review and approve, if appropriate, management’s strategic plans on an annual basis.</w:t>
      </w:r>
    </w:p>
    <w:p>
      <w:pPr>
        <w:spacing w:after="0" w:line="7" w:lineRule="exact"/>
        <w:rPr>
          <w:rFonts w:ascii="Times New Roman" w:cs="Times New Roman" w:eastAsia="Times New Roman" w:hAnsi="Times New Roman"/>
          <w:sz w:val="13"/>
          <w:szCs w:val="13"/>
          <w:color w:val="auto"/>
        </w:rPr>
      </w:pPr>
    </w:p>
    <w:p>
      <w:pPr>
        <w:ind w:left="420" w:hanging="212"/>
        <w:spacing w:after="0"/>
        <w:tabs>
          <w:tab w:leader="none" w:pos="420" w:val="left"/>
        </w:tabs>
        <w:numPr>
          <w:ilvl w:val="0"/>
          <w:numId w:val="32"/>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Review and approve the Corporation’s financial objectives, plans and actions, including significant capital allocations and expenditures.</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color w:val="auto"/>
        </w:rPr>
        <w:t>Monitoring Tactical Progress</w:t>
      </w:r>
    </w:p>
    <w:p>
      <w:pPr>
        <w:spacing w:after="0" w:line="177" w:lineRule="exact"/>
        <w:rPr>
          <w:sz w:val="20"/>
          <w:szCs w:val="20"/>
          <w:color w:val="auto"/>
        </w:rPr>
      </w:pPr>
    </w:p>
    <w:p>
      <w:pPr>
        <w:ind w:left="420" w:hanging="212"/>
        <w:spacing w:after="0"/>
        <w:tabs>
          <w:tab w:leader="none" w:pos="420" w:val="left"/>
        </w:tabs>
        <w:numPr>
          <w:ilvl w:val="0"/>
          <w:numId w:val="33"/>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Monitor corporate performance against the strategic and business plans, including assessing operating results to evaluate whether the business is being properly managed.</w:t>
      </w:r>
    </w:p>
    <w:p>
      <w:pPr>
        <w:spacing w:after="0" w:line="164"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color w:val="auto"/>
        </w:rPr>
        <w:t>Risk Assessment</w:t>
      </w:r>
    </w:p>
    <w:p>
      <w:pPr>
        <w:spacing w:after="0" w:line="177" w:lineRule="exact"/>
        <w:rPr>
          <w:sz w:val="20"/>
          <w:szCs w:val="20"/>
          <w:color w:val="auto"/>
        </w:rPr>
      </w:pPr>
    </w:p>
    <w:p>
      <w:pPr>
        <w:ind w:left="420" w:hanging="212"/>
        <w:spacing w:after="0"/>
        <w:tabs>
          <w:tab w:leader="none" w:pos="420" w:val="left"/>
        </w:tabs>
        <w:numPr>
          <w:ilvl w:val="0"/>
          <w:numId w:val="34"/>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Identify the principal risks of the Corporation’s businesses and ensure that appropriate systems are in place to manage these risks.</w:t>
      </w:r>
    </w:p>
    <w:p>
      <w:pPr>
        <w:spacing w:after="0" w:line="164"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color w:val="auto"/>
        </w:rPr>
        <w:t>Senior Level Staffing</w:t>
      </w:r>
    </w:p>
    <w:p>
      <w:pPr>
        <w:spacing w:after="0" w:line="177" w:lineRule="exact"/>
        <w:rPr>
          <w:sz w:val="20"/>
          <w:szCs w:val="20"/>
          <w:color w:val="auto"/>
        </w:rPr>
      </w:pPr>
    </w:p>
    <w:p>
      <w:pPr>
        <w:ind w:left="420" w:hanging="212"/>
        <w:spacing w:after="0"/>
        <w:tabs>
          <w:tab w:leader="none" w:pos="420" w:val="left"/>
        </w:tabs>
        <w:numPr>
          <w:ilvl w:val="0"/>
          <w:numId w:val="35"/>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Select, monitor and evaluate the Chief Executive Officer and approve the appointment of other senior executives, and ensure the adoption of a management succession plan.</w:t>
      </w:r>
    </w:p>
    <w:p>
      <w:pPr>
        <w:spacing w:after="0" w:line="22" w:lineRule="exact"/>
        <w:rPr>
          <w:rFonts w:ascii="Times New Roman" w:cs="Times New Roman" w:eastAsia="Times New Roman" w:hAnsi="Times New Roman"/>
          <w:sz w:val="13"/>
          <w:szCs w:val="13"/>
          <w:color w:val="auto"/>
        </w:rPr>
      </w:pPr>
    </w:p>
    <w:p>
      <w:pPr>
        <w:ind w:left="420" w:right="20" w:hanging="212"/>
        <w:spacing w:after="0" w:line="252" w:lineRule="auto"/>
        <w:tabs>
          <w:tab w:leader="none" w:pos="412" w:val="left"/>
        </w:tabs>
        <w:numPr>
          <w:ilvl w:val="0"/>
          <w:numId w:val="35"/>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Approve a position description for the Chief Executive Officer including limits to management’s responsibilities and corporate objectives which the Chief Executive Officer is responsible for meeting, all upon recommendation from the Corporate Governance and Nominating Committee.</w:t>
      </w:r>
    </w:p>
    <w:p>
      <w:pPr>
        <w:spacing w:after="0" w:line="1" w:lineRule="exact"/>
        <w:rPr>
          <w:rFonts w:ascii="Times New Roman" w:cs="Times New Roman" w:eastAsia="Times New Roman" w:hAnsi="Times New Roman"/>
          <w:sz w:val="13"/>
          <w:szCs w:val="13"/>
          <w:color w:val="auto"/>
        </w:rPr>
      </w:pPr>
    </w:p>
    <w:p>
      <w:pPr>
        <w:ind w:left="420" w:hanging="212"/>
        <w:spacing w:after="0"/>
        <w:tabs>
          <w:tab w:leader="none" w:pos="420" w:val="left"/>
        </w:tabs>
        <w:numPr>
          <w:ilvl w:val="0"/>
          <w:numId w:val="35"/>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Satisfy itself as to the integrity of the Chief Executive Officer and other executive officers.</w:t>
      </w:r>
    </w:p>
    <w:p>
      <w:pPr>
        <w:spacing w:after="0" w:line="7" w:lineRule="exact"/>
        <w:rPr>
          <w:rFonts w:ascii="Times New Roman" w:cs="Times New Roman" w:eastAsia="Times New Roman" w:hAnsi="Times New Roman"/>
          <w:sz w:val="13"/>
          <w:szCs w:val="13"/>
          <w:color w:val="auto"/>
        </w:rPr>
      </w:pPr>
    </w:p>
    <w:p>
      <w:pPr>
        <w:ind w:left="420" w:hanging="212"/>
        <w:spacing w:after="0"/>
        <w:tabs>
          <w:tab w:leader="none" w:pos="420" w:val="left"/>
        </w:tabs>
        <w:numPr>
          <w:ilvl w:val="0"/>
          <w:numId w:val="35"/>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Satisfy itself that the Chief Executive Officer and other executive officers create, maintain and foster a culture of integrity throughout the Corporation.</w:t>
      </w:r>
    </w:p>
    <w:p>
      <w:pPr>
        <w:spacing w:after="0" w:line="8" w:lineRule="exact"/>
        <w:rPr>
          <w:rFonts w:ascii="Times New Roman" w:cs="Times New Roman" w:eastAsia="Times New Roman" w:hAnsi="Times New Roman"/>
          <w:sz w:val="13"/>
          <w:szCs w:val="13"/>
          <w:color w:val="auto"/>
        </w:rPr>
      </w:pPr>
    </w:p>
    <w:p>
      <w:pPr>
        <w:ind w:left="420" w:hanging="212"/>
        <w:spacing w:after="0"/>
        <w:tabs>
          <w:tab w:leader="none" w:pos="420" w:val="left"/>
        </w:tabs>
        <w:numPr>
          <w:ilvl w:val="0"/>
          <w:numId w:val="35"/>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Engage in succession planning including, identifying, training and monitoring future senior management.</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color w:val="auto"/>
        </w:rPr>
        <w:t>Integrity</w:t>
      </w:r>
    </w:p>
    <w:p>
      <w:pPr>
        <w:spacing w:after="0" w:line="177" w:lineRule="exact"/>
        <w:rPr>
          <w:sz w:val="20"/>
          <w:szCs w:val="20"/>
          <w:color w:val="auto"/>
        </w:rPr>
      </w:pPr>
    </w:p>
    <w:p>
      <w:pPr>
        <w:ind w:left="420" w:hanging="212"/>
        <w:spacing w:after="0"/>
        <w:tabs>
          <w:tab w:leader="none" w:pos="420" w:val="left"/>
        </w:tabs>
        <w:numPr>
          <w:ilvl w:val="0"/>
          <w:numId w:val="36"/>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Ensure the integrity of the Corporation’s internal control and management information systems.</w:t>
      </w:r>
    </w:p>
    <w:p>
      <w:pPr>
        <w:spacing w:after="0" w:line="22" w:lineRule="exact"/>
        <w:rPr>
          <w:rFonts w:ascii="Times New Roman" w:cs="Times New Roman" w:eastAsia="Times New Roman" w:hAnsi="Times New Roman"/>
          <w:sz w:val="13"/>
          <w:szCs w:val="13"/>
          <w:color w:val="auto"/>
        </w:rPr>
      </w:pPr>
    </w:p>
    <w:p>
      <w:pPr>
        <w:ind w:left="420" w:hanging="212"/>
        <w:spacing w:after="0"/>
        <w:tabs>
          <w:tab w:leader="none" w:pos="420" w:val="left"/>
        </w:tabs>
        <w:numPr>
          <w:ilvl w:val="0"/>
          <w:numId w:val="36"/>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Ensure ethical behaviour and compliance with laws and regulations, audit and accounting principles, and the Corporation’s own governing documents.</w:t>
      </w:r>
    </w:p>
    <w:p>
      <w:pPr>
        <w:spacing w:after="0" w:line="7" w:lineRule="exact"/>
        <w:rPr>
          <w:rFonts w:ascii="Times New Roman" w:cs="Times New Roman" w:eastAsia="Times New Roman" w:hAnsi="Times New Roman"/>
          <w:sz w:val="13"/>
          <w:szCs w:val="13"/>
          <w:color w:val="auto"/>
        </w:rPr>
      </w:pPr>
    </w:p>
    <w:p>
      <w:pPr>
        <w:ind w:left="420" w:hanging="212"/>
        <w:spacing w:after="0" w:line="273" w:lineRule="auto"/>
        <w:tabs>
          <w:tab w:leader="none" w:pos="412" w:val="left"/>
        </w:tabs>
        <w:numPr>
          <w:ilvl w:val="0"/>
          <w:numId w:val="36"/>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Satisfy itself as to the integrity of the Chief Executive Officer and other executive officers and that the Chief Executive Offer and other executive officers create a culture of integrity throughout the organization.</w:t>
      </w:r>
    </w:p>
    <w:p>
      <w:pPr>
        <w:sectPr>
          <w:pgSz w:w="11900" w:h="16838" w:orient="portrait"/>
          <w:cols w:equalWidth="0" w:num="1">
            <w:col w:w="11300"/>
          </w:cols>
          <w:pgMar w:left="300" w:top="126" w:right="299" w:bottom="1440" w:gutter="0" w:footer="0" w:header="0"/>
        </w:sectPr>
      </w:pPr>
    </w:p>
    <w:bookmarkStart w:id="48" w:name="page49"/>
    <w:bookmarkEnd w:id="48"/>
    <w:p>
      <w:pPr>
        <w:jc w:val="center"/>
        <w:spacing w:after="0"/>
        <w:rPr>
          <w:sz w:val="20"/>
          <w:szCs w:val="20"/>
          <w:color w:val="auto"/>
        </w:rPr>
      </w:pPr>
      <w:r>
        <w:rPr>
          <w:rFonts w:ascii="Times New Roman" w:cs="Times New Roman" w:eastAsia="Times New Roman" w:hAnsi="Times New Roman"/>
          <w:sz w:val="13"/>
          <w:szCs w:val="13"/>
          <w:color w:val="auto"/>
        </w:rPr>
        <w:t>C - 3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color w:val="auto"/>
        </w:rPr>
        <w:t>Material Transactions</w:t>
      </w:r>
    </w:p>
    <w:p>
      <w:pPr>
        <w:spacing w:after="0" w:line="177" w:lineRule="exact"/>
        <w:rPr>
          <w:sz w:val="20"/>
          <w:szCs w:val="20"/>
          <w:color w:val="auto"/>
        </w:rPr>
      </w:pPr>
    </w:p>
    <w:p>
      <w:pPr>
        <w:ind w:left="420" w:hanging="212"/>
        <w:spacing w:after="0"/>
        <w:tabs>
          <w:tab w:leader="none" w:pos="420" w:val="left"/>
        </w:tabs>
        <w:numPr>
          <w:ilvl w:val="0"/>
          <w:numId w:val="37"/>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Review and approve material transactions not in the ordinary course of business, including without limitation, stock issuances, acquisitions, loans and leases.</w:t>
      </w:r>
    </w:p>
    <w:p>
      <w:pPr>
        <w:spacing w:after="0" w:line="164"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color w:val="auto"/>
        </w:rPr>
        <w:t>Monitoring Directors’ Effectiveness</w:t>
      </w:r>
    </w:p>
    <w:p>
      <w:pPr>
        <w:spacing w:after="0" w:line="177" w:lineRule="exact"/>
        <w:rPr>
          <w:sz w:val="20"/>
          <w:szCs w:val="20"/>
          <w:color w:val="auto"/>
        </w:rPr>
      </w:pPr>
    </w:p>
    <w:p>
      <w:pPr>
        <w:ind w:left="420" w:hanging="212"/>
        <w:spacing w:after="0"/>
        <w:tabs>
          <w:tab w:leader="none" w:pos="420" w:val="left"/>
        </w:tabs>
        <w:numPr>
          <w:ilvl w:val="0"/>
          <w:numId w:val="38"/>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Assess their own effectiveness in fulfilling the above and Directors’ responsibilities, including monitoring the effectiveness of individual Directors.</w:t>
      </w:r>
    </w:p>
    <w:p>
      <w:pPr>
        <w:spacing w:after="0" w:line="164"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color w:val="auto"/>
        </w:rPr>
        <w:t>Disclosure Policy and Code of Business Conduct</w:t>
      </w:r>
    </w:p>
    <w:p>
      <w:pPr>
        <w:spacing w:after="0" w:line="177" w:lineRule="exact"/>
        <w:rPr>
          <w:sz w:val="20"/>
          <w:szCs w:val="20"/>
          <w:color w:val="auto"/>
        </w:rPr>
      </w:pPr>
    </w:p>
    <w:p>
      <w:pPr>
        <w:ind w:left="420" w:hanging="212"/>
        <w:spacing w:after="0"/>
        <w:tabs>
          <w:tab w:leader="none" w:pos="420" w:val="left"/>
        </w:tabs>
        <w:numPr>
          <w:ilvl w:val="0"/>
          <w:numId w:val="39"/>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Adopt, monitor and periodically review the effectiveness of a corporate disclosure policy and a code of business conduct.</w:t>
      </w:r>
    </w:p>
    <w:p>
      <w:pPr>
        <w:spacing w:after="0" w:line="22" w:lineRule="exact"/>
        <w:rPr>
          <w:rFonts w:ascii="Times New Roman" w:cs="Times New Roman" w:eastAsia="Times New Roman" w:hAnsi="Times New Roman"/>
          <w:sz w:val="13"/>
          <w:szCs w:val="13"/>
          <w:color w:val="auto"/>
        </w:rPr>
      </w:pPr>
    </w:p>
    <w:p>
      <w:pPr>
        <w:ind w:left="420" w:hanging="212"/>
        <w:spacing w:after="0"/>
        <w:tabs>
          <w:tab w:leader="none" w:pos="420" w:val="left"/>
        </w:tabs>
        <w:numPr>
          <w:ilvl w:val="0"/>
          <w:numId w:val="39"/>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Make determinations with respect to waiving compliance with the code of business conduct by Directors and executive officers.</w:t>
      </w:r>
    </w:p>
    <w:p>
      <w:pPr>
        <w:spacing w:after="0" w:line="7" w:lineRule="exact"/>
        <w:rPr>
          <w:rFonts w:ascii="Times New Roman" w:cs="Times New Roman" w:eastAsia="Times New Roman" w:hAnsi="Times New Roman"/>
          <w:sz w:val="13"/>
          <w:szCs w:val="13"/>
          <w:color w:val="auto"/>
        </w:rPr>
      </w:pPr>
    </w:p>
    <w:p>
      <w:pPr>
        <w:ind w:left="420" w:hanging="212"/>
        <w:spacing w:after="0"/>
        <w:tabs>
          <w:tab w:leader="none" w:pos="420" w:val="left"/>
        </w:tabs>
        <w:numPr>
          <w:ilvl w:val="0"/>
          <w:numId w:val="39"/>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Directors may delegate responsibility for making determinations with respect to waiving compliance with the code of business conduct to a committee of the Directors.</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color w:val="auto"/>
        </w:rPr>
        <w:t>Feedback from Shareholders</w:t>
      </w:r>
    </w:p>
    <w:p>
      <w:pPr>
        <w:spacing w:after="0" w:line="168" w:lineRule="exact"/>
        <w:rPr>
          <w:sz w:val="20"/>
          <w:szCs w:val="20"/>
          <w:color w:val="auto"/>
        </w:rPr>
      </w:pPr>
    </w:p>
    <w:p>
      <w:pPr>
        <w:ind w:left="420" w:hanging="212"/>
        <w:spacing w:after="0"/>
        <w:tabs>
          <w:tab w:leader="none" w:pos="420" w:val="left"/>
        </w:tabs>
        <w:numPr>
          <w:ilvl w:val="0"/>
          <w:numId w:val="40"/>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Develop measures for the receipt, by the Directors, of feedback from shareholders.</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color w:val="auto"/>
        </w:rPr>
        <w:t>Expectations of Directors</w:t>
      </w:r>
    </w:p>
    <w:p>
      <w:pPr>
        <w:spacing w:after="0" w:line="177" w:lineRule="exact"/>
        <w:rPr>
          <w:sz w:val="20"/>
          <w:szCs w:val="20"/>
          <w:color w:val="auto"/>
        </w:rPr>
      </w:pPr>
    </w:p>
    <w:p>
      <w:pPr>
        <w:ind w:left="420" w:hanging="212"/>
        <w:spacing w:after="0"/>
        <w:tabs>
          <w:tab w:leader="none" w:pos="420" w:val="left"/>
        </w:tabs>
        <w:numPr>
          <w:ilvl w:val="0"/>
          <w:numId w:val="41"/>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Directors are expected to attend all meetings.</w:t>
      </w:r>
    </w:p>
    <w:p>
      <w:pPr>
        <w:spacing w:after="0" w:line="17" w:lineRule="exact"/>
        <w:rPr>
          <w:rFonts w:ascii="Times New Roman" w:cs="Times New Roman" w:eastAsia="Times New Roman" w:hAnsi="Times New Roman"/>
          <w:sz w:val="13"/>
          <w:szCs w:val="13"/>
          <w:color w:val="auto"/>
        </w:rPr>
      </w:pPr>
    </w:p>
    <w:p>
      <w:pPr>
        <w:ind w:left="420" w:hanging="212"/>
        <w:spacing w:after="0"/>
        <w:tabs>
          <w:tab w:leader="none" w:pos="420" w:val="left"/>
        </w:tabs>
        <w:numPr>
          <w:ilvl w:val="0"/>
          <w:numId w:val="41"/>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specific dates of Board meetings to approve interim and annual financial results shall be scheduled at the commencement of each fiscal year.</w:t>
      </w:r>
    </w:p>
    <w:p>
      <w:pPr>
        <w:spacing w:after="0" w:line="8" w:lineRule="exact"/>
        <w:rPr>
          <w:rFonts w:ascii="Times New Roman" w:cs="Times New Roman" w:eastAsia="Times New Roman" w:hAnsi="Times New Roman"/>
          <w:sz w:val="13"/>
          <w:szCs w:val="13"/>
          <w:color w:val="auto"/>
        </w:rPr>
      </w:pPr>
    </w:p>
    <w:p>
      <w:pPr>
        <w:ind w:left="420" w:hanging="212"/>
        <w:spacing w:after="0"/>
        <w:tabs>
          <w:tab w:leader="none" w:pos="420" w:val="left"/>
        </w:tabs>
        <w:numPr>
          <w:ilvl w:val="0"/>
          <w:numId w:val="41"/>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Additional meetings of the Directors shall be called on an as-required basis.</w:t>
      </w:r>
    </w:p>
    <w:p>
      <w:pPr>
        <w:spacing w:after="0" w:line="7" w:lineRule="exact"/>
        <w:rPr>
          <w:rFonts w:ascii="Times New Roman" w:cs="Times New Roman" w:eastAsia="Times New Roman" w:hAnsi="Times New Roman"/>
          <w:sz w:val="13"/>
          <w:szCs w:val="13"/>
          <w:color w:val="auto"/>
        </w:rPr>
      </w:pPr>
    </w:p>
    <w:p>
      <w:pPr>
        <w:ind w:left="420" w:hanging="212"/>
        <w:spacing w:after="0" w:line="273" w:lineRule="auto"/>
        <w:tabs>
          <w:tab w:leader="none" w:pos="412" w:val="left"/>
        </w:tabs>
        <w:numPr>
          <w:ilvl w:val="0"/>
          <w:numId w:val="41"/>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Directors are expected to review materials to be presented at the meetings of the Directors prior to such meetings. Such materials are to be circulated with sufficient advanced notice to allow the Directors adequate review time. However, for unscheduled meetings, shorter notice may be necessary.</w:t>
      </w:r>
    </w:p>
    <w:p>
      <w:pPr>
        <w:spacing w:after="0" w:line="130"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color w:val="auto"/>
        </w:rPr>
        <w:t>Corporate Governance</w:t>
      </w:r>
    </w:p>
    <w:p>
      <w:pPr>
        <w:spacing w:after="0" w:line="168" w:lineRule="exact"/>
        <w:rPr>
          <w:sz w:val="20"/>
          <w:szCs w:val="20"/>
          <w:color w:val="auto"/>
        </w:rPr>
      </w:pPr>
    </w:p>
    <w:p>
      <w:pPr>
        <w:ind w:left="420" w:hanging="212"/>
        <w:spacing w:after="0"/>
        <w:tabs>
          <w:tab w:leader="none" w:pos="420" w:val="left"/>
        </w:tabs>
        <w:numPr>
          <w:ilvl w:val="0"/>
          <w:numId w:val="42"/>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Develop the Corporation’s approach to corporate governance, including developing a set of corporate governance principles and guidelines that are specifically applicable to the Corporation.</w:t>
      </w:r>
    </w:p>
    <w:p>
      <w:pPr>
        <w:spacing w:after="0" w:line="22" w:lineRule="exact"/>
        <w:rPr>
          <w:rFonts w:ascii="Times New Roman" w:cs="Times New Roman" w:eastAsia="Times New Roman" w:hAnsi="Times New Roman"/>
          <w:sz w:val="13"/>
          <w:szCs w:val="13"/>
          <w:color w:val="auto"/>
        </w:rPr>
      </w:pPr>
    </w:p>
    <w:p>
      <w:pPr>
        <w:ind w:left="420" w:hanging="212"/>
        <w:spacing w:after="0" w:line="252" w:lineRule="auto"/>
        <w:tabs>
          <w:tab w:leader="none" w:pos="412" w:val="left"/>
        </w:tabs>
        <w:numPr>
          <w:ilvl w:val="0"/>
          <w:numId w:val="42"/>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 xml:space="preserve">The Directors may delegate this responsibility to a committee of the Directors, which committee shall have a majority of “Independent” directors (as such term is defined in National Policy 58-201 – </w:t>
      </w:r>
      <w:r>
        <w:rPr>
          <w:rFonts w:ascii="Times New Roman" w:cs="Times New Roman" w:eastAsia="Times New Roman" w:hAnsi="Times New Roman"/>
          <w:sz w:val="13"/>
          <w:szCs w:val="13"/>
          <w:i w:val="1"/>
          <w:iCs w:val="1"/>
          <w:color w:val="auto"/>
        </w:rPr>
        <w:t>Corporate Governance Guidelines</w:t>
      </w:r>
      <w:r>
        <w:rPr>
          <w:rFonts w:ascii="Times New Roman" w:cs="Times New Roman" w:eastAsia="Times New Roman" w:hAnsi="Times New Roman"/>
          <w:sz w:val="13"/>
          <w:szCs w:val="13"/>
          <w:color w:val="auto"/>
        </w:rPr>
        <w:t>) and the remaining members of which, if any, shall be “non-management” directors.</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color w:val="auto"/>
        </w:rPr>
        <w:t>Other</w:t>
      </w:r>
    </w:p>
    <w:p>
      <w:pPr>
        <w:spacing w:after="0" w:line="156"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Perform such other functions as prescribed by law or assigned to the Directors in the Corporation’s constating documents, policies and guideline.</w:t>
      </w:r>
    </w:p>
    <w:p>
      <w:pPr>
        <w:sectPr>
          <w:pgSz w:w="11900" w:h="16838" w:orient="portrait"/>
          <w:cols w:equalWidth="0" w:num="1">
            <w:col w:w="11280"/>
          </w:cols>
          <w:pgMar w:left="300" w:top="126" w:right="319" w:bottom="1440" w:gutter="0" w:footer="0" w:header="0"/>
        </w:sectPr>
      </w:pPr>
    </w:p>
    <w:bookmarkStart w:id="49" w:name="page50"/>
    <w:bookmarkEnd w:id="49"/>
    <w:p>
      <w:pPr>
        <w:jc w:val="center"/>
        <w:ind w:right="-7"/>
        <w:spacing w:after="0"/>
        <w:rPr>
          <w:sz w:val="20"/>
          <w:szCs w:val="20"/>
          <w:color w:val="auto"/>
        </w:rPr>
      </w:pPr>
      <w:r>
        <w:rPr>
          <w:rFonts w:ascii="Times New Roman" w:cs="Times New Roman" w:eastAsia="Times New Roman" w:hAnsi="Times New Roman"/>
          <w:sz w:val="13"/>
          <w:szCs w:val="13"/>
          <w:b w:val="1"/>
          <w:bCs w:val="1"/>
          <w:color w:val="auto"/>
        </w:rPr>
        <w:t>CYBIN INC.</w:t>
      </w:r>
    </w:p>
    <w:p>
      <w:pPr>
        <w:spacing w:after="0" w:line="24" w:lineRule="exact"/>
        <w:rPr>
          <w:sz w:val="20"/>
          <w:szCs w:val="20"/>
          <w:color w:val="auto"/>
        </w:rPr>
      </w:pPr>
    </w:p>
    <w:p>
      <w:pPr>
        <w:jc w:val="center"/>
        <w:ind w:right="-7"/>
        <w:spacing w:after="0"/>
        <w:rPr>
          <w:sz w:val="20"/>
          <w:szCs w:val="20"/>
          <w:color w:val="auto"/>
        </w:rPr>
      </w:pPr>
      <w:r>
        <w:rPr>
          <w:rFonts w:ascii="Times New Roman" w:cs="Times New Roman" w:eastAsia="Times New Roman" w:hAnsi="Times New Roman"/>
          <w:sz w:val="13"/>
          <w:szCs w:val="13"/>
          <w:color w:val="auto"/>
        </w:rPr>
        <w:t>(the “</w:t>
      </w:r>
      <w:r>
        <w:rPr>
          <w:rFonts w:ascii="Times New Roman" w:cs="Times New Roman" w:eastAsia="Times New Roman" w:hAnsi="Times New Roman"/>
          <w:sz w:val="13"/>
          <w:szCs w:val="13"/>
          <w:b w:val="1"/>
          <w:bCs w:val="1"/>
          <w:color w:val="auto"/>
        </w:rPr>
        <w:t>Corporation</w:t>
      </w:r>
      <w:r>
        <w:rPr>
          <w:rFonts w:ascii="Times New Roman" w:cs="Times New Roman" w:eastAsia="Times New Roman" w:hAnsi="Times New Roman"/>
          <w:sz w:val="13"/>
          <w:szCs w:val="13"/>
          <w:color w:val="auto"/>
        </w:rPr>
        <w:t>”)</w:t>
      </w:r>
    </w:p>
    <w:p>
      <w:pPr>
        <w:spacing w:after="0" w:line="136" w:lineRule="exact"/>
        <w:rPr>
          <w:sz w:val="20"/>
          <w:szCs w:val="20"/>
          <w:color w:val="auto"/>
        </w:rPr>
      </w:pPr>
    </w:p>
    <w:p>
      <w:pPr>
        <w:jc w:val="center"/>
        <w:ind w:right="-7"/>
        <w:spacing w:after="0"/>
        <w:rPr>
          <w:sz w:val="20"/>
          <w:szCs w:val="20"/>
          <w:color w:val="auto"/>
        </w:rPr>
      </w:pPr>
      <w:r>
        <w:rPr>
          <w:rFonts w:ascii="Times New Roman" w:cs="Times New Roman" w:eastAsia="Times New Roman" w:hAnsi="Times New Roman"/>
          <w:sz w:val="13"/>
          <w:szCs w:val="13"/>
          <w:b w:val="1"/>
          <w:bCs w:val="1"/>
          <w:u w:val="single" w:color="auto"/>
          <w:color w:val="auto"/>
        </w:rPr>
        <w:t>ABRIDGEMENT CERTIFICATE</w:t>
      </w:r>
    </w:p>
    <w:p>
      <w:pPr>
        <w:spacing w:after="0" w:line="175" w:lineRule="exact"/>
        <w:rPr>
          <w:sz w:val="20"/>
          <w:szCs w:val="20"/>
          <w:color w:val="auto"/>
        </w:rPr>
      </w:pPr>
    </w:p>
    <w:p>
      <w:pPr>
        <w:jc w:val="center"/>
        <w:ind w:right="-7"/>
        <w:spacing w:after="0"/>
        <w:rPr>
          <w:sz w:val="20"/>
          <w:szCs w:val="20"/>
          <w:color w:val="auto"/>
        </w:rPr>
      </w:pPr>
      <w:r>
        <w:rPr>
          <w:rFonts w:ascii="Times New Roman" w:cs="Times New Roman" w:eastAsia="Times New Roman" w:hAnsi="Times New Roman"/>
          <w:sz w:val="13"/>
          <w:szCs w:val="13"/>
          <w:b w:val="1"/>
          <w:bCs w:val="1"/>
          <w:color w:val="auto"/>
        </w:rPr>
        <w:t>Pursuant to Section 2.20 of National Instrument 54-101</w:t>
      </w:r>
    </w:p>
    <w:p>
      <w:pPr>
        <w:spacing w:after="0" w:line="166" w:lineRule="exact"/>
        <w:rPr>
          <w:sz w:val="20"/>
          <w:szCs w:val="20"/>
          <w:color w:val="auto"/>
        </w:rPr>
      </w:pPr>
    </w:p>
    <w:p>
      <w:pPr>
        <w:ind w:left="8"/>
        <w:spacing w:after="0" w:line="298" w:lineRule="auto"/>
        <w:rPr>
          <w:sz w:val="20"/>
          <w:szCs w:val="20"/>
          <w:color w:val="auto"/>
        </w:rPr>
      </w:pPr>
      <w:r>
        <w:rPr>
          <w:rFonts w:ascii="Times New Roman" w:cs="Times New Roman" w:eastAsia="Times New Roman" w:hAnsi="Times New Roman"/>
          <w:sz w:val="13"/>
          <w:szCs w:val="13"/>
          <w:color w:val="auto"/>
        </w:rPr>
        <w:t>Reference is made to the annual and special meeting of the shareholders (the “</w:t>
      </w:r>
      <w:r>
        <w:rPr>
          <w:rFonts w:ascii="Times New Roman" w:cs="Times New Roman" w:eastAsia="Times New Roman" w:hAnsi="Times New Roman"/>
          <w:sz w:val="13"/>
          <w:szCs w:val="13"/>
          <w:b w:val="1"/>
          <w:bCs w:val="1"/>
          <w:color w:val="auto"/>
        </w:rPr>
        <w:t>Meeting</w:t>
      </w:r>
      <w:r>
        <w:rPr>
          <w:rFonts w:ascii="Times New Roman" w:cs="Times New Roman" w:eastAsia="Times New Roman" w:hAnsi="Times New Roman"/>
          <w:sz w:val="13"/>
          <w:szCs w:val="13"/>
          <w:color w:val="auto"/>
        </w:rPr>
        <w:t>”) of the Corporation scheduled to be held on August 18, 2025. I, Douglas Drysdale, as the duly appointed Chief Executive Officer of the Corporation, hereby certify on behalf of the Corporation and not in my personal capacity as follows:</w:t>
      </w:r>
    </w:p>
    <w:p>
      <w:pPr>
        <w:spacing w:after="0" w:line="106" w:lineRule="exact"/>
        <w:rPr>
          <w:sz w:val="20"/>
          <w:szCs w:val="20"/>
          <w:color w:val="auto"/>
        </w:rPr>
      </w:pPr>
    </w:p>
    <w:p>
      <w:pPr>
        <w:ind w:left="428" w:hanging="428"/>
        <w:spacing w:after="0"/>
        <w:tabs>
          <w:tab w:leader="none" w:pos="428" w:val="left"/>
        </w:tabs>
        <w:numPr>
          <w:ilvl w:val="0"/>
          <w:numId w:val="43"/>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 xml:space="preserve">The Corporation has arranged to have all proxy-related materials in connection with the Meeting sent in compliance with sections 2.9 and 2.12 of National Instrument 54-101 </w:t>
      </w:r>
      <w:r>
        <w:rPr>
          <w:rFonts w:ascii="Times New Roman" w:cs="Times New Roman" w:eastAsia="Times New Roman" w:hAnsi="Times New Roman"/>
          <w:sz w:val="13"/>
          <w:szCs w:val="13"/>
          <w:i w:val="1"/>
          <w:iCs w:val="1"/>
          <w:color w:val="auto"/>
        </w:rPr>
        <w:t>Communication with</w:t>
      </w:r>
      <w:r>
        <w:rPr>
          <w:rFonts w:ascii="Times New Roman" w:cs="Times New Roman" w:eastAsia="Times New Roman" w:hAnsi="Times New Roman"/>
          <w:sz w:val="13"/>
          <w:szCs w:val="13"/>
          <w:color w:val="auto"/>
        </w:rPr>
        <w:t xml:space="preserve"> </w:t>
      </w:r>
      <w:r>
        <w:rPr>
          <w:rFonts w:ascii="Times New Roman" w:cs="Times New Roman" w:eastAsia="Times New Roman" w:hAnsi="Times New Roman"/>
          <w:sz w:val="13"/>
          <w:szCs w:val="13"/>
          <w:i w:val="1"/>
          <w:iCs w:val="1"/>
          <w:color w:val="auto"/>
        </w:rPr>
        <w:t xml:space="preserve">Beneficial Owners of Securities of a Reporting Issuer </w:t>
      </w: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b w:val="1"/>
          <w:bCs w:val="1"/>
          <w:color w:val="auto"/>
        </w:rPr>
        <w:t>NI 54-101</w:t>
      </w:r>
      <w:r>
        <w:rPr>
          <w:rFonts w:ascii="Times New Roman" w:cs="Times New Roman" w:eastAsia="Times New Roman" w:hAnsi="Times New Roman"/>
          <w:sz w:val="13"/>
          <w:szCs w:val="13"/>
          <w:color w:val="auto"/>
        </w:rPr>
        <w:t>”).</w:t>
      </w:r>
    </w:p>
    <w:p>
      <w:pPr>
        <w:spacing w:after="0" w:line="108" w:lineRule="exact"/>
        <w:rPr>
          <w:rFonts w:ascii="Times New Roman" w:cs="Times New Roman" w:eastAsia="Times New Roman" w:hAnsi="Times New Roman"/>
          <w:sz w:val="13"/>
          <w:szCs w:val="13"/>
          <w:color w:val="auto"/>
        </w:rPr>
      </w:pPr>
    </w:p>
    <w:p>
      <w:pPr>
        <w:ind w:left="428" w:hanging="428"/>
        <w:spacing w:after="0"/>
        <w:tabs>
          <w:tab w:leader="none" w:pos="428" w:val="left"/>
        </w:tabs>
        <w:numPr>
          <w:ilvl w:val="0"/>
          <w:numId w:val="43"/>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Corporation has arranged to carry out all of the requirements of NI 54-101 in addition to those described in item 1 above in connection with the Meeting.</w:t>
      </w:r>
    </w:p>
    <w:p>
      <w:pPr>
        <w:spacing w:after="0" w:line="129" w:lineRule="exact"/>
        <w:rPr>
          <w:rFonts w:ascii="Times New Roman" w:cs="Times New Roman" w:eastAsia="Times New Roman" w:hAnsi="Times New Roman"/>
          <w:sz w:val="13"/>
          <w:szCs w:val="13"/>
          <w:color w:val="auto"/>
        </w:rPr>
      </w:pPr>
    </w:p>
    <w:p>
      <w:pPr>
        <w:ind w:left="428" w:hanging="428"/>
        <w:spacing w:after="0"/>
        <w:tabs>
          <w:tab w:leader="none" w:pos="428" w:val="left"/>
        </w:tabs>
        <w:numPr>
          <w:ilvl w:val="0"/>
          <w:numId w:val="43"/>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Corporation is relying upon Section 2.20 of NI 54-101 in connection with the abridgement of the time periods specified in Subsections 2.2(1) and 2.5(1) of NI 54-101 in respect of the Meeting.</w:t>
      </w:r>
    </w:p>
    <w:p>
      <w:pPr>
        <w:spacing w:after="0" w:line="130" w:lineRule="exact"/>
        <w:rPr>
          <w:sz w:val="20"/>
          <w:szCs w:val="20"/>
          <w:color w:val="auto"/>
        </w:rPr>
      </w:pPr>
    </w:p>
    <w:p>
      <w:pPr>
        <w:ind w:left="8"/>
        <w:spacing w:after="0"/>
        <w:rPr>
          <w:sz w:val="20"/>
          <w:szCs w:val="20"/>
          <w:color w:val="auto"/>
        </w:rPr>
      </w:pPr>
      <w:r>
        <w:rPr>
          <w:rFonts w:ascii="Times New Roman" w:cs="Times New Roman" w:eastAsia="Times New Roman" w:hAnsi="Times New Roman"/>
          <w:sz w:val="13"/>
          <w:szCs w:val="13"/>
          <w:color w:val="auto"/>
        </w:rPr>
        <w:t>The term “beneficial owner” as used in this Certificate has the meaning given to it in NI 54-101.</w:t>
      </w:r>
    </w:p>
    <w:p>
      <w:pPr>
        <w:spacing w:after="0" w:line="173" w:lineRule="exact"/>
        <w:rPr>
          <w:sz w:val="20"/>
          <w:szCs w:val="20"/>
          <w:color w:val="auto"/>
        </w:rPr>
      </w:pPr>
    </w:p>
    <w:p>
      <w:pPr>
        <w:ind w:left="8"/>
        <w:spacing w:after="0"/>
        <w:rPr>
          <w:sz w:val="20"/>
          <w:szCs w:val="20"/>
          <w:color w:val="auto"/>
        </w:rPr>
      </w:pPr>
      <w:r>
        <w:rPr>
          <w:rFonts w:ascii="Times New Roman" w:cs="Times New Roman" w:eastAsia="Times New Roman" w:hAnsi="Times New Roman"/>
          <w:sz w:val="13"/>
          <w:szCs w:val="13"/>
          <w:b w:val="1"/>
          <w:bCs w:val="1"/>
          <w:color w:val="auto"/>
        </w:rPr>
        <w:t xml:space="preserve">DATED </w:t>
      </w:r>
      <w:r>
        <w:rPr>
          <w:rFonts w:ascii="Times New Roman" w:cs="Times New Roman" w:eastAsia="Times New Roman" w:hAnsi="Times New Roman"/>
          <w:sz w:val="13"/>
          <w:szCs w:val="13"/>
          <w:color w:val="auto"/>
        </w:rPr>
        <w:t>as of July 28, 2025.</w:t>
      </w:r>
    </w:p>
    <w:p>
      <w:pPr>
        <w:spacing w:after="0" w:line="364" w:lineRule="exact"/>
        <w:rPr>
          <w:sz w:val="20"/>
          <w:szCs w:val="20"/>
          <w:color w:val="auto"/>
        </w:rPr>
      </w:pPr>
    </w:p>
    <w:p>
      <w:pPr>
        <w:ind w:left="5648"/>
        <w:spacing w:after="0"/>
        <w:rPr>
          <w:sz w:val="20"/>
          <w:szCs w:val="20"/>
          <w:color w:val="auto"/>
        </w:rPr>
      </w:pPr>
      <w:r>
        <w:rPr>
          <w:rFonts w:ascii="Times New Roman" w:cs="Times New Roman" w:eastAsia="Times New Roman" w:hAnsi="Times New Roman"/>
          <w:sz w:val="13"/>
          <w:szCs w:val="13"/>
          <w:b w:val="1"/>
          <w:bCs w:val="1"/>
          <w:color w:val="auto"/>
        </w:rPr>
        <w:t>CYBIN INC.</w:t>
      </w:r>
    </w:p>
    <w:p>
      <w:pPr>
        <w:spacing w:after="0" w:line="40" w:lineRule="exact"/>
        <w:rPr>
          <w:sz w:val="20"/>
          <w:szCs w:val="20"/>
          <w:color w:val="auto"/>
        </w:rPr>
      </w:pPr>
    </w:p>
    <w:p>
      <w:pPr>
        <w:ind w:left="5648"/>
        <w:spacing w:after="0"/>
        <w:tabs>
          <w:tab w:leader="none" w:pos="6108" w:val="left"/>
        </w:tabs>
        <w:rPr>
          <w:sz w:val="20"/>
          <w:szCs w:val="20"/>
          <w:color w:val="auto"/>
        </w:rPr>
      </w:pPr>
      <w:r>
        <w:rPr>
          <w:rFonts w:ascii="Times New Roman" w:cs="Times New Roman" w:eastAsia="Times New Roman" w:hAnsi="Times New Roman"/>
          <w:sz w:val="13"/>
          <w:szCs w:val="13"/>
          <w:color w:val="auto"/>
        </w:rPr>
        <w:t>By:</w:t>
      </w:r>
      <w:r>
        <w:rPr>
          <w:sz w:val="20"/>
          <w:szCs w:val="20"/>
          <w:color w:val="auto"/>
        </w:rPr>
        <w:tab/>
      </w:r>
      <w:r>
        <w:rPr>
          <w:rFonts w:ascii="Times New Roman" w:cs="Times New Roman" w:eastAsia="Times New Roman" w:hAnsi="Times New Roman"/>
          <w:sz w:val="13"/>
          <w:szCs w:val="13"/>
          <w:i w:val="1"/>
          <w:iCs w:val="1"/>
          <w:color w:val="auto"/>
        </w:rPr>
        <w:t>(signed) “Douglas Drysdale”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3880485</wp:posOffset>
            </wp:positionH>
            <wp:positionV relativeFrom="paragraph">
              <wp:posOffset>18415</wp:posOffset>
            </wp:positionV>
            <wp:extent cx="3297555" cy="571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0">
                      <a:extLst>
                        <a:ext uri="{28A0092B-C50C-407E-A947-70E740481C1C}"/>
                      </a:extLst>
                    </a:blip>
                    <a:srcRect/>
                    <a:stretch>
                      <a:fillRect/>
                    </a:stretch>
                  </pic:blipFill>
                  <pic:spPr bwMode="auto">
                    <a:xfrm>
                      <a:off x="0" y="0"/>
                      <a:ext cx="3297555" cy="5715"/>
                    </a:xfrm>
                    <a:prstGeom prst="rect">
                      <a:avLst/>
                    </a:prstGeom>
                    <a:noFill/>
                  </pic:spPr>
                </pic:pic>
              </a:graphicData>
            </a:graphic>
          </wp:anchor>
        </w:drawing>
      </w:r>
    </w:p>
    <w:p>
      <w:pPr>
        <w:spacing w:after="0" w:line="13" w:lineRule="exact"/>
        <w:rPr>
          <w:sz w:val="20"/>
          <w:szCs w:val="20"/>
          <w:color w:val="auto"/>
        </w:rPr>
      </w:pPr>
    </w:p>
    <w:p>
      <w:pPr>
        <w:ind w:left="6128"/>
        <w:spacing w:after="0"/>
        <w:rPr>
          <w:sz w:val="20"/>
          <w:szCs w:val="20"/>
          <w:color w:val="auto"/>
        </w:rPr>
      </w:pPr>
      <w:r>
        <w:rPr>
          <w:rFonts w:ascii="Times New Roman" w:cs="Times New Roman" w:eastAsia="Times New Roman" w:hAnsi="Times New Roman"/>
          <w:sz w:val="13"/>
          <w:szCs w:val="13"/>
          <w:color w:val="auto"/>
        </w:rPr>
        <w:t>Name: Douglas Drysdale</w:t>
      </w:r>
    </w:p>
    <w:p>
      <w:pPr>
        <w:spacing w:after="0" w:line="22" w:lineRule="exact"/>
        <w:rPr>
          <w:sz w:val="20"/>
          <w:szCs w:val="20"/>
          <w:color w:val="auto"/>
        </w:rPr>
      </w:pPr>
    </w:p>
    <w:p>
      <w:pPr>
        <w:ind w:left="6128"/>
        <w:spacing w:after="0"/>
        <w:rPr>
          <w:sz w:val="20"/>
          <w:szCs w:val="20"/>
          <w:color w:val="auto"/>
        </w:rPr>
      </w:pPr>
      <w:r>
        <w:rPr>
          <w:rFonts w:ascii="Times New Roman" w:cs="Times New Roman" w:eastAsia="Times New Roman" w:hAnsi="Times New Roman"/>
          <w:sz w:val="13"/>
          <w:szCs w:val="13"/>
          <w:color w:val="auto"/>
        </w:rPr>
        <w:t>Title: Chief Executive Officer</w:t>
      </w:r>
    </w:p>
    <w:p>
      <w:pPr>
        <w:sectPr>
          <w:pgSz w:w="11900" w:h="16838" w:orient="portrait"/>
          <w:cols w:equalWidth="0" w:num="1">
            <w:col w:w="11308"/>
          </w:cols>
          <w:pgMar w:left="292" w:top="987" w:right="299" w:bottom="1440" w:gutter="0" w:footer="0" w:header="0"/>
        </w:sectPr>
      </w:pPr>
    </w:p>
    <w:bookmarkStart w:id="50" w:name="page51"/>
    <w:bookmarkEnd w:id="50"/>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271780</wp:posOffset>
            </wp:positionV>
            <wp:extent cx="7130415" cy="582739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1">
                      <a:extLst>
                        <a:ext uri="{28A0092B-C50C-407E-A947-70E740481C1C}"/>
                      </a:extLst>
                    </a:blip>
                    <a:srcRect/>
                    <a:stretch>
                      <a:fillRect/>
                    </a:stretch>
                  </pic:blipFill>
                  <pic:spPr bwMode="auto">
                    <a:xfrm>
                      <a:off x="0" y="0"/>
                      <a:ext cx="7130415" cy="58273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1" w:name="page52"/>
    <w:bookmarkEnd w:id="51"/>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583311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2">
                      <a:extLst>
                        <a:ext uri="{28A0092B-C50C-407E-A947-70E740481C1C}"/>
                      </a:extLst>
                    </a:blip>
                    <a:srcRect/>
                    <a:stretch>
                      <a:fillRect/>
                    </a:stretch>
                  </pic:blipFill>
                  <pic:spPr bwMode="auto">
                    <a:xfrm>
                      <a:off x="0" y="0"/>
                      <a:ext cx="7130415" cy="583311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2" w:name="page53"/>
    <w:bookmarkEnd w:id="52"/>
    <w:p>
      <w:pPr>
        <w:spacing w:after="0"/>
        <w:rPr>
          <w:sz w:val="20"/>
          <w:szCs w:val="20"/>
          <w:color w:val="auto"/>
        </w:rPr>
      </w:pPr>
    </w:p>
    <w:p>
      <w:pPr>
        <w:sectPr>
          <w:pgSz w:w="11900" w:h="16838" w:orient="portrait"/>
          <w:cols w:equalWidth="1" w:num="1" w:space="0"/>
          <w:pgMar w:left="1440" w:top="1440" w:right="1440" w:bottom="875" w:gutter="0" w:footer="0" w:header="0"/>
        </w:sectPr>
      </w:pPr>
    </w:p>
    <w:bookmarkStart w:id="53" w:name="page54"/>
    <w:bookmarkEnd w:id="53"/>
    <w:p>
      <w:pPr>
        <w:jc w:val="center"/>
        <w:ind w:right="-7"/>
        <w:spacing w:after="0"/>
        <w:rPr>
          <w:sz w:val="20"/>
          <w:szCs w:val="20"/>
          <w:color w:val="auto"/>
        </w:rPr>
      </w:pPr>
      <w:r>
        <w:rPr>
          <w:rFonts w:ascii="Times New Roman" w:cs="Times New Roman" w:eastAsia="Times New Roman" w:hAnsi="Times New Roman"/>
          <w:sz w:val="13"/>
          <w:szCs w:val="13"/>
          <w:b w:val="1"/>
          <w:bCs w:val="1"/>
          <w:color w:val="auto"/>
        </w:rPr>
        <w:t>CYBIN INC.</w:t>
      </w:r>
    </w:p>
    <w:p>
      <w:pPr>
        <w:spacing w:after="0" w:line="157" w:lineRule="exact"/>
        <w:rPr>
          <w:sz w:val="20"/>
          <w:szCs w:val="20"/>
          <w:color w:val="auto"/>
        </w:rPr>
      </w:pPr>
    </w:p>
    <w:p>
      <w:pPr>
        <w:jc w:val="center"/>
        <w:ind w:right="-7"/>
        <w:spacing w:after="0"/>
        <w:rPr>
          <w:sz w:val="20"/>
          <w:szCs w:val="20"/>
          <w:color w:val="auto"/>
        </w:rPr>
      </w:pPr>
      <w:r>
        <w:rPr>
          <w:rFonts w:ascii="Times New Roman" w:cs="Times New Roman" w:eastAsia="Times New Roman" w:hAnsi="Times New Roman"/>
          <w:sz w:val="13"/>
          <w:szCs w:val="13"/>
          <w:b w:val="1"/>
          <w:bCs w:val="1"/>
          <w:color w:val="auto"/>
        </w:rPr>
        <w:t>(the “Corporation”)</w:t>
      </w:r>
    </w:p>
    <w:p>
      <w:pPr>
        <w:spacing w:after="0" w:line="148" w:lineRule="exact"/>
        <w:rPr>
          <w:sz w:val="20"/>
          <w:szCs w:val="20"/>
          <w:color w:val="auto"/>
        </w:rPr>
      </w:pPr>
    </w:p>
    <w:p>
      <w:pPr>
        <w:jc w:val="center"/>
        <w:ind w:right="-7"/>
        <w:spacing w:after="0"/>
        <w:rPr>
          <w:sz w:val="20"/>
          <w:szCs w:val="20"/>
          <w:color w:val="auto"/>
        </w:rPr>
      </w:pPr>
      <w:r>
        <w:rPr>
          <w:rFonts w:ascii="Times New Roman" w:cs="Times New Roman" w:eastAsia="Times New Roman" w:hAnsi="Times New Roman"/>
          <w:sz w:val="13"/>
          <w:szCs w:val="13"/>
          <w:b w:val="1"/>
          <w:bCs w:val="1"/>
          <w:color w:val="auto"/>
        </w:rPr>
        <w:t>NOTICE OF ANNUAL GENERAL MEETING OF SHAREHOLDERS</w:t>
      </w:r>
    </w:p>
    <w:p>
      <w:pPr>
        <w:spacing w:after="0" w:line="157" w:lineRule="exact"/>
        <w:rPr>
          <w:sz w:val="20"/>
          <w:szCs w:val="20"/>
          <w:color w:val="auto"/>
        </w:rPr>
      </w:pPr>
    </w:p>
    <w:p>
      <w:pPr>
        <w:jc w:val="both"/>
        <w:ind w:left="8"/>
        <w:spacing w:after="0" w:line="272" w:lineRule="auto"/>
        <w:rPr>
          <w:sz w:val="20"/>
          <w:szCs w:val="20"/>
          <w:color w:val="auto"/>
        </w:rPr>
      </w:pPr>
      <w:r>
        <w:rPr>
          <w:rFonts w:ascii="Times New Roman" w:cs="Times New Roman" w:eastAsia="Times New Roman" w:hAnsi="Times New Roman"/>
          <w:sz w:val="13"/>
          <w:szCs w:val="13"/>
          <w:color w:val="auto"/>
        </w:rPr>
        <w:t>NOTICE IS HEREBY GIVEN that an annual general meeting (the “</w:t>
      </w:r>
      <w:r>
        <w:rPr>
          <w:rFonts w:ascii="Times New Roman" w:cs="Times New Roman" w:eastAsia="Times New Roman" w:hAnsi="Times New Roman"/>
          <w:sz w:val="13"/>
          <w:szCs w:val="13"/>
          <w:b w:val="1"/>
          <w:bCs w:val="1"/>
          <w:color w:val="auto"/>
        </w:rPr>
        <w:t>Meeting</w:t>
      </w:r>
      <w:r>
        <w:rPr>
          <w:rFonts w:ascii="Times New Roman" w:cs="Times New Roman" w:eastAsia="Times New Roman" w:hAnsi="Times New Roman"/>
          <w:sz w:val="13"/>
          <w:szCs w:val="13"/>
          <w:color w:val="auto"/>
        </w:rPr>
        <w:t>”) of the holders (collectively, the “</w:t>
      </w:r>
      <w:r>
        <w:rPr>
          <w:rFonts w:ascii="Times New Roman" w:cs="Times New Roman" w:eastAsia="Times New Roman" w:hAnsi="Times New Roman"/>
          <w:sz w:val="13"/>
          <w:szCs w:val="13"/>
          <w:b w:val="1"/>
          <w:bCs w:val="1"/>
          <w:color w:val="auto"/>
        </w:rPr>
        <w:t>Shareholders</w:t>
      </w:r>
      <w:r>
        <w:rPr>
          <w:rFonts w:ascii="Times New Roman" w:cs="Times New Roman" w:eastAsia="Times New Roman" w:hAnsi="Times New Roman"/>
          <w:sz w:val="13"/>
          <w:szCs w:val="13"/>
          <w:color w:val="auto"/>
        </w:rPr>
        <w:t>” or individually, a “</w:t>
      </w:r>
      <w:r>
        <w:rPr>
          <w:rFonts w:ascii="Times New Roman" w:cs="Times New Roman" w:eastAsia="Times New Roman" w:hAnsi="Times New Roman"/>
          <w:sz w:val="13"/>
          <w:szCs w:val="13"/>
          <w:b w:val="1"/>
          <w:bCs w:val="1"/>
          <w:color w:val="auto"/>
        </w:rPr>
        <w:t>Shareholder</w:t>
      </w:r>
      <w:r>
        <w:rPr>
          <w:rFonts w:ascii="Times New Roman" w:cs="Times New Roman" w:eastAsia="Times New Roman" w:hAnsi="Times New Roman"/>
          <w:sz w:val="13"/>
          <w:szCs w:val="13"/>
          <w:color w:val="auto"/>
        </w:rPr>
        <w:t>”) of the common shares in the capital of the Corporation (the “</w:t>
      </w:r>
      <w:r>
        <w:rPr>
          <w:rFonts w:ascii="Times New Roman" w:cs="Times New Roman" w:eastAsia="Times New Roman" w:hAnsi="Times New Roman"/>
          <w:sz w:val="13"/>
          <w:szCs w:val="13"/>
          <w:b w:val="1"/>
          <w:bCs w:val="1"/>
          <w:color w:val="auto"/>
        </w:rPr>
        <w:t>Common Shares</w:t>
      </w:r>
      <w:r>
        <w:rPr>
          <w:rFonts w:ascii="Times New Roman" w:cs="Times New Roman" w:eastAsia="Times New Roman" w:hAnsi="Times New Roman"/>
          <w:sz w:val="13"/>
          <w:szCs w:val="13"/>
          <w:color w:val="auto"/>
        </w:rPr>
        <w:t xml:space="preserve">”) will be held on August 18, 2025 at the hour of 10:00 a.m. (Toronto time). The Meeting will be held in a virtual meeting format only via live webcast online at </w:t>
      </w:r>
      <w:r>
        <w:rPr>
          <w:rFonts w:ascii="Times New Roman" w:cs="Times New Roman" w:eastAsia="Times New Roman" w:hAnsi="Times New Roman"/>
          <w:sz w:val="13"/>
          <w:szCs w:val="13"/>
          <w:u w:val="single" w:color="auto"/>
          <w:color w:val="0000FF"/>
        </w:rPr>
        <w:t>https://meetings.lumiconnect.com/400-915-565-382</w:t>
      </w:r>
      <w:r>
        <w:rPr>
          <w:rFonts w:ascii="Times New Roman" w:cs="Times New Roman" w:eastAsia="Times New Roman" w:hAnsi="Times New Roman"/>
          <w:sz w:val="13"/>
          <w:szCs w:val="13"/>
          <w:color w:val="0000FF"/>
        </w:rPr>
        <w:t xml:space="preserve"> </w:t>
      </w:r>
      <w:r>
        <w:rPr>
          <w:rFonts w:ascii="Times New Roman" w:cs="Times New Roman" w:eastAsia="Times New Roman" w:hAnsi="Times New Roman"/>
          <w:sz w:val="13"/>
          <w:szCs w:val="13"/>
          <w:color w:val="000000"/>
        </w:rPr>
        <w:t>for the following purposes:</w:t>
      </w:r>
    </w:p>
    <w:p>
      <w:pPr>
        <w:spacing w:after="0" w:line="106" w:lineRule="exact"/>
        <w:rPr>
          <w:sz w:val="20"/>
          <w:szCs w:val="20"/>
          <w:color w:val="auto"/>
        </w:rPr>
      </w:pPr>
    </w:p>
    <w:p>
      <w:pPr>
        <w:ind w:left="428" w:hanging="428"/>
        <w:spacing w:after="0"/>
        <w:tabs>
          <w:tab w:leader="none" w:pos="428" w:val="left"/>
        </w:tabs>
        <w:numPr>
          <w:ilvl w:val="0"/>
          <w:numId w:val="44"/>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to receive the audited financial statements of the Corporation for the financial year ended March 31, 2025, together with the report of the auditor thereon;</w:t>
      </w:r>
    </w:p>
    <w:p>
      <w:pPr>
        <w:spacing w:after="0" w:line="120" w:lineRule="exact"/>
        <w:rPr>
          <w:rFonts w:ascii="Times New Roman" w:cs="Times New Roman" w:eastAsia="Times New Roman" w:hAnsi="Times New Roman"/>
          <w:sz w:val="13"/>
          <w:szCs w:val="13"/>
          <w:color w:val="auto"/>
        </w:rPr>
      </w:pPr>
    </w:p>
    <w:p>
      <w:pPr>
        <w:ind w:left="428" w:hanging="428"/>
        <w:spacing w:after="0"/>
        <w:tabs>
          <w:tab w:leader="none" w:pos="428" w:val="left"/>
        </w:tabs>
        <w:numPr>
          <w:ilvl w:val="0"/>
          <w:numId w:val="44"/>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to appoint Zeifmans LLP as auditor of the Corporation for the ensuing year and to authorize the directors of the Corporation to fix its remuneration;</w:t>
      </w:r>
    </w:p>
    <w:p>
      <w:pPr>
        <w:spacing w:after="0" w:line="129" w:lineRule="exact"/>
        <w:rPr>
          <w:rFonts w:ascii="Times New Roman" w:cs="Times New Roman" w:eastAsia="Times New Roman" w:hAnsi="Times New Roman"/>
          <w:sz w:val="13"/>
          <w:szCs w:val="13"/>
          <w:color w:val="auto"/>
        </w:rPr>
      </w:pPr>
    </w:p>
    <w:p>
      <w:pPr>
        <w:ind w:left="428" w:hanging="428"/>
        <w:spacing w:after="0" w:line="252" w:lineRule="auto"/>
        <w:tabs>
          <w:tab w:leader="none" w:pos="428" w:val="left"/>
        </w:tabs>
        <w:numPr>
          <w:ilvl w:val="0"/>
          <w:numId w:val="44"/>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to consider and, if thought appropriate, pass, with or without variation, a special resolution to set the number of directors of the Corporation at six (6), as more fully described in the accompanying management information circular dated July 14, 2025 (the “</w:t>
      </w:r>
      <w:r>
        <w:rPr>
          <w:rFonts w:ascii="Times New Roman" w:cs="Times New Roman" w:eastAsia="Times New Roman" w:hAnsi="Times New Roman"/>
          <w:sz w:val="13"/>
          <w:szCs w:val="13"/>
          <w:b w:val="1"/>
          <w:bCs w:val="1"/>
          <w:color w:val="auto"/>
        </w:rPr>
        <w:t>Circular</w:t>
      </w:r>
      <w:r>
        <w:rPr>
          <w:rFonts w:ascii="Times New Roman" w:cs="Times New Roman" w:eastAsia="Times New Roman" w:hAnsi="Times New Roman"/>
          <w:sz w:val="13"/>
          <w:szCs w:val="13"/>
          <w:color w:val="auto"/>
        </w:rPr>
        <w:t>”);</w:t>
      </w:r>
    </w:p>
    <w:p>
      <w:pPr>
        <w:spacing w:after="0" w:line="91" w:lineRule="exact"/>
        <w:rPr>
          <w:rFonts w:ascii="Times New Roman" w:cs="Times New Roman" w:eastAsia="Times New Roman" w:hAnsi="Times New Roman"/>
          <w:sz w:val="13"/>
          <w:szCs w:val="13"/>
          <w:color w:val="auto"/>
        </w:rPr>
      </w:pPr>
    </w:p>
    <w:p>
      <w:pPr>
        <w:ind w:left="428" w:hanging="428"/>
        <w:spacing w:after="0"/>
        <w:tabs>
          <w:tab w:leader="none" w:pos="428" w:val="left"/>
        </w:tabs>
        <w:numPr>
          <w:ilvl w:val="0"/>
          <w:numId w:val="44"/>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to elect the directors of the Corporation; and</w:t>
      </w:r>
    </w:p>
    <w:p>
      <w:pPr>
        <w:spacing w:after="0" w:line="129" w:lineRule="exact"/>
        <w:rPr>
          <w:rFonts w:ascii="Times New Roman" w:cs="Times New Roman" w:eastAsia="Times New Roman" w:hAnsi="Times New Roman"/>
          <w:sz w:val="13"/>
          <w:szCs w:val="13"/>
          <w:color w:val="auto"/>
        </w:rPr>
      </w:pPr>
    </w:p>
    <w:p>
      <w:pPr>
        <w:ind w:left="428" w:right="4360" w:hanging="428"/>
        <w:spacing w:after="0" w:line="249" w:lineRule="auto"/>
        <w:tabs>
          <w:tab w:leader="none" w:pos="428" w:val="left"/>
        </w:tabs>
        <w:numPr>
          <w:ilvl w:val="0"/>
          <w:numId w:val="44"/>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to transact such other business as may properly be brought before the Meeting or any adjournment or adjournments thereof. 6.</w:t>
      </w:r>
    </w:p>
    <w:p>
      <w:pPr>
        <w:spacing w:after="0" w:line="1" w:lineRule="exact"/>
        <w:rPr>
          <w:sz w:val="20"/>
          <w:szCs w:val="20"/>
          <w:color w:val="auto"/>
        </w:rPr>
      </w:pPr>
    </w:p>
    <w:p>
      <w:pPr>
        <w:jc w:val="both"/>
        <w:ind w:left="8"/>
        <w:spacing w:after="0" w:line="273" w:lineRule="auto"/>
        <w:rPr>
          <w:sz w:val="20"/>
          <w:szCs w:val="20"/>
          <w:color w:val="auto"/>
        </w:rPr>
      </w:pPr>
      <w:r>
        <w:rPr>
          <w:rFonts w:ascii="Times New Roman" w:cs="Times New Roman" w:eastAsia="Times New Roman" w:hAnsi="Times New Roman"/>
          <w:sz w:val="13"/>
          <w:szCs w:val="13"/>
          <w:color w:val="auto"/>
        </w:rPr>
        <w:t>Accompanying this Notice of Annual General Meeting of Shareholders is the Circular, a form of proxy for Shareholders and a copy of the audited financial statements of the Corporation for the financial year ended March 31, 2025, together with the report of the auditor thereon.</w:t>
      </w:r>
    </w:p>
    <w:p>
      <w:pPr>
        <w:spacing w:after="0" w:line="123" w:lineRule="exact"/>
        <w:rPr>
          <w:sz w:val="20"/>
          <w:szCs w:val="20"/>
          <w:color w:val="auto"/>
        </w:rPr>
      </w:pPr>
    </w:p>
    <w:p>
      <w:pPr>
        <w:jc w:val="both"/>
        <w:ind w:left="8" w:right="20"/>
        <w:spacing w:after="0" w:line="295" w:lineRule="auto"/>
        <w:rPr>
          <w:sz w:val="20"/>
          <w:szCs w:val="20"/>
          <w:color w:val="auto"/>
        </w:rPr>
      </w:pPr>
      <w:r>
        <w:rPr>
          <w:rFonts w:ascii="Times New Roman" w:cs="Times New Roman" w:eastAsia="Times New Roman" w:hAnsi="Times New Roman"/>
          <w:sz w:val="13"/>
          <w:szCs w:val="13"/>
          <w:color w:val="auto"/>
        </w:rPr>
        <w:t xml:space="preserve">The Meeting will be held in a virtual meeting format only via live webcast online at </w:t>
      </w:r>
      <w:r>
        <w:rPr>
          <w:rFonts w:ascii="Times New Roman" w:cs="Times New Roman" w:eastAsia="Times New Roman" w:hAnsi="Times New Roman"/>
          <w:sz w:val="13"/>
          <w:szCs w:val="13"/>
          <w:u w:val="single" w:color="auto"/>
          <w:color w:val="0000FF"/>
        </w:rPr>
        <w:t>https://meetings.lumiconnect.com/400-915-565-382</w:t>
      </w:r>
      <w:r>
        <w:rPr>
          <w:rFonts w:ascii="Times New Roman" w:cs="Times New Roman" w:eastAsia="Times New Roman" w:hAnsi="Times New Roman"/>
          <w:sz w:val="13"/>
          <w:szCs w:val="13"/>
          <w:color w:val="auto"/>
        </w:rPr>
        <w:t xml:space="preserve"> password: “cybin2025” (case sensitive). Registered Shareholders and duly appointed proxyholders will be able to attend the Meeting (virtually), submit questions and vote by online ballot, provided they are connected to the internet and follow the instructions in the Circular.</w:t>
      </w:r>
    </w:p>
    <w:p>
      <w:pPr>
        <w:spacing w:after="0" w:line="110" w:lineRule="exact"/>
        <w:rPr>
          <w:sz w:val="20"/>
          <w:szCs w:val="20"/>
          <w:color w:val="auto"/>
        </w:rPr>
      </w:pPr>
    </w:p>
    <w:p>
      <w:pPr>
        <w:jc w:val="both"/>
        <w:ind w:left="8"/>
        <w:spacing w:after="0" w:line="295" w:lineRule="auto"/>
        <w:rPr>
          <w:sz w:val="20"/>
          <w:szCs w:val="20"/>
          <w:color w:val="auto"/>
        </w:rPr>
      </w:pPr>
      <w:r>
        <w:rPr>
          <w:rFonts w:ascii="Times New Roman" w:cs="Times New Roman" w:eastAsia="Times New Roman" w:hAnsi="Times New Roman"/>
          <w:sz w:val="13"/>
          <w:szCs w:val="13"/>
          <w:color w:val="auto"/>
        </w:rPr>
        <w:t>As a Shareholder of the Corporation, it is very important that you read the Circular and other Meeting materials carefully. They contain important information with respect to voting your Common Shares and attending and participating at the Meeting.</w:t>
      </w:r>
    </w:p>
    <w:p>
      <w:pPr>
        <w:spacing w:after="0" w:line="119" w:lineRule="exact"/>
        <w:rPr>
          <w:sz w:val="20"/>
          <w:szCs w:val="20"/>
          <w:color w:val="auto"/>
        </w:rPr>
      </w:pPr>
    </w:p>
    <w:p>
      <w:pPr>
        <w:jc w:val="both"/>
        <w:ind w:left="8"/>
        <w:spacing w:after="0" w:line="262" w:lineRule="auto"/>
        <w:rPr>
          <w:sz w:val="20"/>
          <w:szCs w:val="20"/>
          <w:color w:val="auto"/>
        </w:rPr>
      </w:pPr>
      <w:r>
        <w:rPr>
          <w:rFonts w:ascii="Times New Roman" w:cs="Times New Roman" w:eastAsia="Times New Roman" w:hAnsi="Times New Roman"/>
          <w:sz w:val="13"/>
          <w:szCs w:val="13"/>
          <w:color w:val="auto"/>
        </w:rPr>
        <w:t>A Shareholder wishing to be represented by proxy at the Meeting or any adjournment thereof must deposit his, her or its duly executed form of proxy with the Corporation’s transfer agent and registrar, Odyssey Trust Company, (a) by mail at Attn: Proxy Department, 67 Yonge St., Suite 702, Toronto ON M5E 1J8, or (b) by voting online at https://login.odysseytrust.com/pxlogin, clicking on vote and entering their 12 digit control number by no later than 10:00 a.m. (Toronto time) on Thursday, August 14, 2025 or if the Meeting is adjourned, not less than 24 hours (excluding Saturdays, Sundays and holidays) before the time set for any reconvened meeting at which the proxy is to be used.</w:t>
      </w:r>
    </w:p>
    <w:p>
      <w:pPr>
        <w:spacing w:after="0" w:line="139" w:lineRule="exact"/>
        <w:rPr>
          <w:sz w:val="20"/>
          <w:szCs w:val="20"/>
          <w:color w:val="auto"/>
        </w:rPr>
      </w:pPr>
    </w:p>
    <w:p>
      <w:pPr>
        <w:ind w:left="8"/>
        <w:spacing w:after="0"/>
        <w:rPr>
          <w:sz w:val="20"/>
          <w:szCs w:val="20"/>
          <w:color w:val="auto"/>
        </w:rPr>
      </w:pPr>
      <w:r>
        <w:rPr>
          <w:rFonts w:ascii="Times New Roman" w:cs="Times New Roman" w:eastAsia="Times New Roman" w:hAnsi="Times New Roman"/>
          <w:sz w:val="13"/>
          <w:szCs w:val="13"/>
          <w:color w:val="auto"/>
        </w:rPr>
        <w:t>Shareholders who wish to appoint a person other than the management nominees identified in the form of proxy must carefully follow the instructions in the Circular and on their form of proxy. These instructions</w:t>
      </w:r>
    </w:p>
    <w:p>
      <w:pPr>
        <w:sectPr>
          <w:pgSz w:w="11900" w:h="16838" w:orient="portrait"/>
          <w:cols w:equalWidth="0" w:num="1">
            <w:col w:w="11308"/>
          </w:cols>
          <w:pgMar w:left="292" w:top="987" w:right="299" w:bottom="1440" w:gutter="0" w:footer="0" w:header="0"/>
        </w:sectPr>
      </w:pPr>
    </w:p>
    <w:bookmarkStart w:id="54" w:name="page55"/>
    <w:bookmarkEnd w:id="54"/>
    <w:p>
      <w:pPr>
        <w:spacing w:after="0"/>
        <w:rPr>
          <w:sz w:val="20"/>
          <w:szCs w:val="20"/>
          <w:color w:val="auto"/>
        </w:rPr>
      </w:pPr>
      <w:r>
        <w:rPr>
          <w:rFonts w:ascii="Times New Roman" w:cs="Times New Roman" w:eastAsia="Times New Roman" w:hAnsi="Times New Roman"/>
          <w:sz w:val="13"/>
          <w:szCs w:val="13"/>
          <w:color w:val="auto"/>
        </w:rPr>
        <w:t xml:space="preserve">include the additional step of registering the proxyholder with the Corporation’s transfer agent, Odyssey Trust Company, after submitting the form of proxy. </w:t>
      </w:r>
      <w:r>
        <w:rPr>
          <w:rFonts w:ascii="Times New Roman" w:cs="Times New Roman" w:eastAsia="Times New Roman" w:hAnsi="Times New Roman"/>
          <w:sz w:val="13"/>
          <w:szCs w:val="13"/>
          <w:b w:val="1"/>
          <w:bCs w:val="1"/>
          <w:color w:val="auto"/>
        </w:rPr>
        <w:t>If you wish that a person other than the management</w:t>
      </w:r>
    </w:p>
    <w:p>
      <w:pPr>
        <w:spacing w:after="0" w:line="24"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3"/>
          <w:szCs w:val="13"/>
          <w:b w:val="1"/>
          <w:bCs w:val="1"/>
          <w:color w:val="auto"/>
        </w:rPr>
        <w:t>nominees identified on the form of proxy attend and participate at the Meeting as your proxy and vote your Common Shares, including if you are a non-registered Shareholder and wish to appoint yourself as proxyholder to attend, you MUST register the proxyholder after having submitted your form of proxy identifying such proxyholder. Failure to register the proxyholder with our transfer agent will result in the proxyholder not receiving login credentials to participate in the Meeting and will not be able to attend or vote at the Meeting.</w:t>
      </w:r>
    </w:p>
    <w:p>
      <w:pPr>
        <w:spacing w:after="0" w:line="131" w:lineRule="exact"/>
        <w:rPr>
          <w:sz w:val="20"/>
          <w:szCs w:val="20"/>
          <w:color w:val="auto"/>
        </w:rPr>
      </w:pPr>
    </w:p>
    <w:p>
      <w:pPr>
        <w:jc w:val="both"/>
        <w:spacing w:after="0" w:line="277" w:lineRule="auto"/>
        <w:rPr>
          <w:sz w:val="20"/>
          <w:szCs w:val="20"/>
          <w:color w:val="auto"/>
        </w:rPr>
      </w:pPr>
      <w:r>
        <w:rPr>
          <w:rFonts w:ascii="Times New Roman" w:cs="Times New Roman" w:eastAsia="Times New Roman" w:hAnsi="Times New Roman"/>
          <w:sz w:val="13"/>
          <w:szCs w:val="13"/>
          <w:color w:val="auto"/>
        </w:rPr>
        <w:t>The record date for the purposes of determining the Shareholders entitled to receive notice of and to vote at the Meeting and any adjournment(s) or postponement(s) is the close of business on July 8, 2025 (the “</w:t>
      </w:r>
      <w:r>
        <w:rPr>
          <w:rFonts w:ascii="Times New Roman" w:cs="Times New Roman" w:eastAsia="Times New Roman" w:hAnsi="Times New Roman"/>
          <w:sz w:val="13"/>
          <w:szCs w:val="13"/>
          <w:b w:val="1"/>
          <w:bCs w:val="1"/>
          <w:color w:val="auto"/>
        </w:rPr>
        <w:t>Record Date</w:t>
      </w:r>
      <w:r>
        <w:rPr>
          <w:rFonts w:ascii="Times New Roman" w:cs="Times New Roman" w:eastAsia="Times New Roman" w:hAnsi="Times New Roman"/>
          <w:sz w:val="13"/>
          <w:szCs w:val="13"/>
          <w:color w:val="auto"/>
        </w:rPr>
        <w:t>”). The Shareholders of record as of the close of business on the Record Date will be entitled to receive this Notice of the Annual General Meeting of Shareholders and the accompanying Circular and to (virtually) attend and vote at the Meeting and any adjournment(s) or postponement(s) thereof.</w:t>
      </w:r>
    </w:p>
    <w:p>
      <w:pPr>
        <w:spacing w:after="0" w:line="101"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color w:val="auto"/>
        </w:rPr>
        <w:t xml:space="preserve">DATED </w:t>
      </w:r>
      <w:r>
        <w:rPr>
          <w:rFonts w:ascii="Times New Roman" w:cs="Times New Roman" w:eastAsia="Times New Roman" w:hAnsi="Times New Roman"/>
          <w:sz w:val="13"/>
          <w:szCs w:val="13"/>
          <w:color w:val="auto"/>
        </w:rPr>
        <w:t>at Toronto, Ontario this 14</w:t>
      </w:r>
      <w:r>
        <w:rPr>
          <w:rFonts w:ascii="Times New Roman" w:cs="Times New Roman" w:eastAsia="Times New Roman" w:hAnsi="Times New Roman"/>
          <w:sz w:val="17"/>
          <w:szCs w:val="17"/>
          <w:color w:val="auto"/>
          <w:vertAlign w:val="superscript"/>
        </w:rPr>
        <w:t>th</w:t>
      </w:r>
      <w:r>
        <w:rPr>
          <w:rFonts w:ascii="Times New Roman" w:cs="Times New Roman" w:eastAsia="Times New Roman" w:hAnsi="Times New Roman"/>
          <w:sz w:val="13"/>
          <w:szCs w:val="13"/>
          <w:b w:val="1"/>
          <w:bCs w:val="1"/>
          <w:color w:val="auto"/>
        </w:rPr>
        <w:t xml:space="preserve"> </w:t>
      </w:r>
      <w:r>
        <w:rPr>
          <w:rFonts w:ascii="Times New Roman" w:cs="Times New Roman" w:eastAsia="Times New Roman" w:hAnsi="Times New Roman"/>
          <w:sz w:val="13"/>
          <w:szCs w:val="13"/>
          <w:color w:val="auto"/>
        </w:rPr>
        <w:t>day of July, 2025.</w:t>
      </w:r>
    </w:p>
    <w:p>
      <w:pPr>
        <w:spacing w:after="0" w:line="41" w:lineRule="exact"/>
        <w:rPr>
          <w:sz w:val="20"/>
          <w:szCs w:val="20"/>
          <w:color w:val="auto"/>
        </w:rPr>
      </w:pPr>
    </w:p>
    <w:p>
      <w:pPr>
        <w:ind w:left="2580"/>
        <w:spacing w:after="0"/>
        <w:rPr>
          <w:sz w:val="20"/>
          <w:szCs w:val="20"/>
          <w:color w:val="auto"/>
        </w:rPr>
      </w:pPr>
      <w:r>
        <w:rPr>
          <w:rFonts w:ascii="Times New Roman" w:cs="Times New Roman" w:eastAsia="Times New Roman" w:hAnsi="Times New Roman"/>
          <w:sz w:val="13"/>
          <w:szCs w:val="13"/>
          <w:color w:val="auto"/>
        </w:rPr>
        <w:t>BY ORDER OF THE BOARD</w:t>
      </w:r>
    </w:p>
    <w:p>
      <w:pPr>
        <w:spacing w:after="0" w:line="164" w:lineRule="exact"/>
        <w:rPr>
          <w:sz w:val="20"/>
          <w:szCs w:val="20"/>
          <w:color w:val="auto"/>
        </w:rPr>
      </w:pPr>
    </w:p>
    <w:p>
      <w:pPr>
        <w:ind w:left="2580"/>
        <w:spacing w:after="0"/>
        <w:rPr>
          <w:sz w:val="20"/>
          <w:szCs w:val="20"/>
          <w:color w:val="auto"/>
        </w:rPr>
      </w:pPr>
      <w:r>
        <w:rPr>
          <w:rFonts w:ascii="Times New Roman" w:cs="Times New Roman" w:eastAsia="Times New Roman" w:hAnsi="Times New Roman"/>
          <w:sz w:val="13"/>
          <w:szCs w:val="13"/>
          <w:i w:val="1"/>
          <w:iCs w:val="1"/>
          <w:color w:val="auto"/>
        </w:rPr>
        <w:t>“Eric So”</w:t>
      </w:r>
    </w:p>
    <w:p>
      <w:pPr>
        <w:spacing w:after="0" w:line="24" w:lineRule="exact"/>
        <w:rPr>
          <w:sz w:val="20"/>
          <w:szCs w:val="20"/>
          <w:color w:val="auto"/>
        </w:rPr>
      </w:pPr>
    </w:p>
    <w:p>
      <w:pPr>
        <w:ind w:left="2580"/>
        <w:spacing w:after="0"/>
        <w:rPr>
          <w:sz w:val="20"/>
          <w:szCs w:val="20"/>
          <w:color w:val="auto"/>
        </w:rPr>
      </w:pPr>
      <w:r>
        <w:rPr>
          <w:rFonts w:ascii="Times New Roman" w:cs="Times New Roman" w:eastAsia="Times New Roman" w:hAnsi="Times New Roman"/>
          <w:sz w:val="13"/>
          <w:szCs w:val="13"/>
          <w:color w:val="auto"/>
        </w:rPr>
        <w:t>Eric So</w:t>
      </w:r>
    </w:p>
    <w:p>
      <w:pPr>
        <w:spacing w:after="0" w:line="13" w:lineRule="exact"/>
        <w:rPr>
          <w:sz w:val="20"/>
          <w:szCs w:val="20"/>
          <w:color w:val="auto"/>
        </w:rPr>
      </w:pPr>
    </w:p>
    <w:p>
      <w:pPr>
        <w:ind w:left="2580"/>
        <w:spacing w:after="0"/>
        <w:rPr>
          <w:sz w:val="20"/>
          <w:szCs w:val="20"/>
          <w:color w:val="auto"/>
        </w:rPr>
      </w:pPr>
      <w:r>
        <w:rPr>
          <w:rFonts w:ascii="Times New Roman" w:cs="Times New Roman" w:eastAsia="Times New Roman" w:hAnsi="Times New Roman"/>
          <w:sz w:val="13"/>
          <w:szCs w:val="13"/>
          <w:color w:val="auto"/>
        </w:rPr>
        <w:t>Director and President</w:t>
      </w:r>
    </w:p>
    <w:sectPr>
      <w:pgSz w:w="11900" w:h="16838" w:orient="portrait"/>
      <w:cols w:equalWidth="0" w:num="1">
        <w:col w:w="11300"/>
      </w:cols>
      <w:pgMar w:left="300" w:top="987" w:right="2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443A858"/>
    <w:multiLevelType w:val="hybridMultilevel"/>
    <w:lvl w:ilvl="0">
      <w:lvlJc w:val="left"/>
      <w:lvlText w:val="%1."/>
      <w:numFmt w:val="decimal"/>
      <w:start w:val="1"/>
    </w:lvl>
  </w:abstractNum>
  <w:abstractNum w:abstractNumId="1">
    <w:nsid w:val="2D1D5AE9"/>
    <w:multiLevelType w:val="hybridMultilevel"/>
    <w:lvl w:ilvl="0">
      <w:lvlJc w:val="left"/>
      <w:lvlText w:val="•"/>
      <w:numFmt w:val="bullet"/>
      <w:start w:val="1"/>
    </w:lvl>
  </w:abstractNum>
  <w:abstractNum w:abstractNumId="2">
    <w:nsid w:val="6763845E"/>
    <w:multiLevelType w:val="hybridMultilevel"/>
    <w:lvl w:ilvl="0">
      <w:lvlJc w:val="left"/>
      <w:lvlText w:val="%1."/>
      <w:numFmt w:val="decimal"/>
      <w:start w:val="1"/>
    </w:lvl>
  </w:abstractNum>
  <w:abstractNum w:abstractNumId="3">
    <w:nsid w:val="75A2A8D4"/>
    <w:multiLevelType w:val="hybridMultilevel"/>
    <w:lvl w:ilvl="0">
      <w:lvlJc w:val="left"/>
      <w:lvlText w:val="%1."/>
      <w:numFmt w:val="decimal"/>
      <w:start w:val="1"/>
    </w:lvl>
  </w:abstractNum>
  <w:abstractNum w:abstractNumId="4">
    <w:nsid w:val="8EDBDAB"/>
    <w:multiLevelType w:val="hybridMultilevel"/>
    <w:lvl w:ilvl="0">
      <w:lvlJc w:val="left"/>
      <w:lvlText w:val="%1."/>
      <w:numFmt w:val="decimal"/>
      <w:start w:val="2"/>
    </w:lvl>
  </w:abstractNum>
  <w:abstractNum w:abstractNumId="5">
    <w:nsid w:val="79838CB2"/>
    <w:multiLevelType w:val="hybridMultilevel"/>
    <w:lvl w:ilvl="0">
      <w:lvlJc w:val="left"/>
      <w:lvlText w:val="(%1)"/>
      <w:numFmt w:val="decimal"/>
      <w:start w:val="1"/>
    </w:lvl>
  </w:abstractNum>
  <w:abstractNum w:abstractNumId="6">
    <w:nsid w:val="4353D0CD"/>
    <w:multiLevelType w:val="hybridMultilevel"/>
    <w:lvl w:ilvl="0">
      <w:lvlJc w:val="left"/>
      <w:lvlText w:val="(%1)"/>
      <w:numFmt w:val="decimal"/>
      <w:start w:val="2"/>
    </w:lvl>
  </w:abstractNum>
  <w:abstractNum w:abstractNumId="7">
    <w:nsid w:val="B03E0C6"/>
    <w:multiLevelType w:val="hybridMultilevel"/>
    <w:lvl w:ilvl="0">
      <w:lvlJc w:val="left"/>
      <w:lvlText w:val="(%1)"/>
      <w:numFmt w:val="decimal"/>
      <w:start w:val="1"/>
    </w:lvl>
  </w:abstractNum>
  <w:abstractNum w:abstractNumId="8">
    <w:nsid w:val="189A769B"/>
    <w:multiLevelType w:val="hybridMultilevel"/>
    <w:lvl w:ilvl="0">
      <w:lvlJc w:val="left"/>
      <w:lvlText w:val="(%1)"/>
      <w:numFmt w:val="decimal"/>
      <w:start w:val="1"/>
    </w:lvl>
  </w:abstractNum>
  <w:abstractNum w:abstractNumId="9">
    <w:nsid w:val="54E49EB4"/>
    <w:multiLevelType w:val="hybridMultilevel"/>
    <w:lvl w:ilvl="0">
      <w:lvlJc w:val="left"/>
      <w:lvlText w:val="(%1)"/>
      <w:numFmt w:val="decimal"/>
      <w:start w:val="1"/>
    </w:lvl>
  </w:abstractNum>
  <w:abstractNum w:abstractNumId="10">
    <w:nsid w:val="71F32454"/>
    <w:multiLevelType w:val="hybridMultilevel"/>
    <w:lvl w:ilvl="0">
      <w:lvlJc w:val="left"/>
      <w:lvlText w:val="(%1)"/>
      <w:numFmt w:val="decimal"/>
      <w:start w:val="1"/>
    </w:lvl>
  </w:abstractNum>
  <w:abstractNum w:abstractNumId="11">
    <w:nsid w:val="2CA88611"/>
    <w:multiLevelType w:val="hybridMultilevel"/>
    <w:lvl w:ilvl="0">
      <w:lvlJc w:val="left"/>
      <w:lvlText w:val="(%1)"/>
      <w:numFmt w:val="decimal"/>
      <w:start w:val="1"/>
    </w:lvl>
  </w:abstractNum>
  <w:abstractNum w:abstractNumId="12">
    <w:nsid w:val="836C40E"/>
    <w:multiLevelType w:val="hybridMultilevel"/>
    <w:lvl w:ilvl="0">
      <w:lvlJc w:val="left"/>
      <w:lvlText w:val="%1."/>
      <w:numFmt w:val="decimal"/>
      <w:start w:val="1"/>
    </w:lvl>
  </w:abstractNum>
  <w:abstractNum w:abstractNumId="13">
    <w:nsid w:val="2901D82"/>
    <w:multiLevelType w:val="hybridMultilevel"/>
    <w:lvl w:ilvl="0">
      <w:lvlJc w:val="left"/>
      <w:lvlText w:val="%1."/>
      <w:numFmt w:val="decimal"/>
      <w:start w:val="2"/>
    </w:lvl>
  </w:abstractNum>
  <w:abstractNum w:abstractNumId="14">
    <w:nsid w:val="3A95F874"/>
    <w:multiLevelType w:val="hybridMultilevel"/>
    <w:lvl w:ilvl="0">
      <w:lvlJc w:val="left"/>
      <w:lvlText w:val="%1."/>
      <w:numFmt w:val="decimal"/>
      <w:start w:val="3"/>
    </w:lvl>
  </w:abstractNum>
  <w:abstractNum w:abstractNumId="15">
    <w:nsid w:val="8138641"/>
    <w:multiLevelType w:val="hybridMultilevel"/>
    <w:lvl w:ilvl="0">
      <w:lvlJc w:val="left"/>
      <w:lvlText w:val="(%1)"/>
      <w:numFmt w:val="decimal"/>
      <w:start w:val="1"/>
    </w:lvl>
  </w:abstractNum>
  <w:abstractNum w:abstractNumId="16">
    <w:nsid w:val="1E7FF521"/>
    <w:multiLevelType w:val="hybridMultilevel"/>
    <w:lvl w:ilvl="0">
      <w:lvlJc w:val="left"/>
      <w:lvlText w:val="(%1)"/>
      <w:numFmt w:val="decimal"/>
      <w:start w:val="1"/>
    </w:lvl>
  </w:abstractNum>
  <w:abstractNum w:abstractNumId="17">
    <w:nsid w:val="7C3DBD3D"/>
    <w:multiLevelType w:val="hybridMultilevel"/>
    <w:lvl w:ilvl="0">
      <w:lvlJc w:val="left"/>
      <w:lvlText w:val="(%1)"/>
      <w:numFmt w:val="lowerLetter"/>
      <w:start w:val="1"/>
    </w:lvl>
  </w:abstractNum>
  <w:abstractNum w:abstractNumId="18">
    <w:nsid w:val="737B8DDC"/>
    <w:multiLevelType w:val="hybridMultilevel"/>
    <w:lvl w:ilvl="0">
      <w:lvlJc w:val="left"/>
      <w:lvlText w:val="(%1)"/>
      <w:numFmt w:val="lowerLetter"/>
      <w:start w:val="1"/>
    </w:lvl>
  </w:abstractNum>
  <w:abstractNum w:abstractNumId="19">
    <w:nsid w:val="6CEAF087"/>
    <w:multiLevelType w:val="hybridMultilevel"/>
    <w:lvl w:ilvl="0">
      <w:lvlJc w:val="left"/>
      <w:lvlText w:val="%1."/>
      <w:numFmt w:val="decimal"/>
      <w:start w:val="8"/>
    </w:lvl>
  </w:abstractNum>
  <w:abstractNum w:abstractNumId="20">
    <w:nsid w:val="22221A70"/>
    <w:multiLevelType w:val="hybridMultilevel"/>
    <w:lvl w:ilvl="0">
      <w:lvlJc w:val="left"/>
      <w:lvlText w:val="%1."/>
      <w:numFmt w:val="decimal"/>
      <w:start w:val="9"/>
    </w:lvl>
  </w:abstractNum>
  <w:abstractNum w:abstractNumId="21">
    <w:nsid w:val="4516DDE9"/>
    <w:multiLevelType w:val="hybridMultilevel"/>
    <w:lvl w:ilvl="0">
      <w:lvlJc w:val="left"/>
      <w:lvlText w:val="(%1)"/>
      <w:numFmt w:val="lowerLetter"/>
      <w:start w:val="1"/>
    </w:lvl>
  </w:abstractNum>
  <w:abstractNum w:abstractNumId="22">
    <w:nsid w:val="3006C83E"/>
    <w:multiLevelType w:val="hybridMultilevel"/>
    <w:lvl w:ilvl="0">
      <w:lvlJc w:val="left"/>
      <w:lvlText w:val="(%1)"/>
      <w:numFmt w:val="decimal"/>
      <w:start w:val="1"/>
    </w:lvl>
    <w:lvl w:ilvl="1">
      <w:lvlJc w:val="left"/>
      <w:lvlText w:val="(%2)"/>
      <w:numFmt w:val="lowerLetter"/>
      <w:start w:val="1"/>
    </w:lvl>
  </w:abstractNum>
  <w:abstractNum w:abstractNumId="23">
    <w:nsid w:val="614FD4A1"/>
    <w:multiLevelType w:val="hybridMultilevel"/>
    <w:lvl w:ilvl="0">
      <w:lvlJc w:val="left"/>
      <w:lvlText w:val="%1"/>
      <w:numFmt w:val="decimal"/>
      <w:start w:val="1"/>
    </w:lvl>
    <w:lvl w:ilvl="1">
      <w:lvlJc w:val="left"/>
      <w:lvlText w:val="(%2)"/>
      <w:numFmt w:val="lowerLetter"/>
      <w:start w:val="12"/>
    </w:lvl>
  </w:abstractNum>
  <w:abstractNum w:abstractNumId="24">
    <w:nsid w:val="419AC241"/>
    <w:multiLevelType w:val="hybridMultilevel"/>
    <w:lvl w:ilvl="0">
      <w:lvlJc w:val="left"/>
      <w:lvlText w:val="(%1)"/>
      <w:numFmt w:val="decimal"/>
      <w:start w:val="3"/>
    </w:lvl>
    <w:lvl w:ilvl="1">
      <w:lvlJc w:val="left"/>
      <w:lvlText w:val="(%2)"/>
      <w:numFmt w:val="lowerLetter"/>
      <w:start w:val="1"/>
    </w:lvl>
  </w:abstractNum>
  <w:abstractNum w:abstractNumId="25">
    <w:nsid w:val="5577F8E1"/>
    <w:multiLevelType w:val="hybridMultilevel"/>
    <w:lvl w:ilvl="0">
      <w:lvlJc w:val="left"/>
      <w:lvlText w:val="(%1)"/>
      <w:numFmt w:val="lowerLetter"/>
      <w:start w:val="1"/>
    </w:lvl>
  </w:abstractNum>
  <w:abstractNum w:abstractNumId="26">
    <w:nsid w:val="440BADFC"/>
    <w:multiLevelType w:val="hybridMultilevel"/>
    <w:lvl w:ilvl="0">
      <w:lvlJc w:val="left"/>
      <w:lvlText w:val="(%1)"/>
      <w:numFmt w:val="lowerLetter"/>
      <w:start w:val="3"/>
    </w:lvl>
  </w:abstractNum>
  <w:abstractNum w:abstractNumId="27">
    <w:nsid w:val="5072367"/>
    <w:multiLevelType w:val="hybridMultilevel"/>
    <w:lvl w:ilvl="0">
      <w:lvlJc w:val="left"/>
      <w:lvlText w:val="(%1)"/>
      <w:numFmt w:val="decimal"/>
      <w:start w:val="1"/>
    </w:lvl>
  </w:abstractNum>
  <w:abstractNum w:abstractNumId="28">
    <w:nsid w:val="3804823E"/>
    <w:multiLevelType w:val="hybridMultilevel"/>
    <w:lvl w:ilvl="0">
      <w:lvlJc w:val="left"/>
      <w:lvlText w:val="(%1)"/>
      <w:numFmt w:val="decimal"/>
      <w:start w:val="1"/>
    </w:lvl>
  </w:abstractNum>
  <w:abstractNum w:abstractNumId="29">
    <w:nsid w:val="77465F01"/>
    <w:multiLevelType w:val="hybridMultilevel"/>
    <w:lvl w:ilvl="0">
      <w:lvlJc w:val="left"/>
      <w:lvlText w:val="(%1)"/>
      <w:numFmt w:val="lowerLetter"/>
      <w:start w:val="1"/>
    </w:lvl>
  </w:abstractNum>
  <w:abstractNum w:abstractNumId="30">
    <w:nsid w:val="7724C67E"/>
    <w:multiLevelType w:val="hybridMultilevel"/>
    <w:lvl w:ilvl="0">
      <w:lvlJc w:val="left"/>
      <w:lvlText w:val="(%1)"/>
      <w:numFmt w:val="decimal"/>
      <w:start w:val="1"/>
    </w:lvl>
  </w:abstractNum>
  <w:abstractNum w:abstractNumId="31">
    <w:nsid w:val="5C482A97"/>
    <w:multiLevelType w:val="hybridMultilevel"/>
    <w:lvl w:ilvl="0">
      <w:lvlJc w:val="left"/>
      <w:lvlText w:val="•"/>
      <w:numFmt w:val="bullet"/>
      <w:start w:val="1"/>
    </w:lvl>
  </w:abstractNum>
  <w:abstractNum w:abstractNumId="32">
    <w:nsid w:val="2463B9EA"/>
    <w:multiLevelType w:val="hybridMultilevel"/>
    <w:lvl w:ilvl="0">
      <w:lvlJc w:val="left"/>
      <w:lvlText w:val="•"/>
      <w:numFmt w:val="bullet"/>
      <w:start w:val="1"/>
    </w:lvl>
  </w:abstractNum>
  <w:abstractNum w:abstractNumId="33">
    <w:nsid w:val="5E884ADC"/>
    <w:multiLevelType w:val="hybridMultilevel"/>
    <w:lvl w:ilvl="0">
      <w:lvlJc w:val="left"/>
      <w:lvlText w:val="•"/>
      <w:numFmt w:val="bullet"/>
      <w:start w:val="1"/>
    </w:lvl>
  </w:abstractNum>
  <w:abstractNum w:abstractNumId="34">
    <w:nsid w:val="51EAD36B"/>
    <w:multiLevelType w:val="hybridMultilevel"/>
    <w:lvl w:ilvl="0">
      <w:lvlJc w:val="left"/>
      <w:lvlText w:val="•"/>
      <w:numFmt w:val="bullet"/>
      <w:start w:val="1"/>
    </w:lvl>
  </w:abstractNum>
  <w:abstractNum w:abstractNumId="35">
    <w:nsid w:val="2D517796"/>
    <w:multiLevelType w:val="hybridMultilevel"/>
    <w:lvl w:ilvl="0">
      <w:lvlJc w:val="left"/>
      <w:lvlText w:val="•"/>
      <w:numFmt w:val="bullet"/>
      <w:start w:val="1"/>
    </w:lvl>
  </w:abstractNum>
  <w:abstractNum w:abstractNumId="36">
    <w:nsid w:val="580BD78F"/>
    <w:multiLevelType w:val="hybridMultilevel"/>
    <w:lvl w:ilvl="0">
      <w:lvlJc w:val="left"/>
      <w:lvlText w:val="•"/>
      <w:numFmt w:val="bullet"/>
      <w:start w:val="1"/>
    </w:lvl>
  </w:abstractNum>
  <w:abstractNum w:abstractNumId="37">
    <w:nsid w:val="153EA438"/>
    <w:multiLevelType w:val="hybridMultilevel"/>
    <w:lvl w:ilvl="0">
      <w:lvlJc w:val="left"/>
      <w:lvlText w:val="•"/>
      <w:numFmt w:val="bullet"/>
      <w:start w:val="1"/>
    </w:lvl>
  </w:abstractNum>
  <w:abstractNum w:abstractNumId="38">
    <w:nsid w:val="3855585C"/>
    <w:multiLevelType w:val="hybridMultilevel"/>
    <w:lvl w:ilvl="0">
      <w:lvlJc w:val="left"/>
      <w:lvlText w:val="•"/>
      <w:numFmt w:val="bullet"/>
      <w:start w:val="1"/>
    </w:lvl>
  </w:abstractNum>
  <w:abstractNum w:abstractNumId="39">
    <w:nsid w:val="70A64E2A"/>
    <w:multiLevelType w:val="hybridMultilevel"/>
    <w:lvl w:ilvl="0">
      <w:lvlJc w:val="left"/>
      <w:lvlText w:val="•"/>
      <w:numFmt w:val="bullet"/>
      <w:start w:val="1"/>
    </w:lvl>
  </w:abstractNum>
  <w:abstractNum w:abstractNumId="40">
    <w:nsid w:val="6A2342EC"/>
    <w:multiLevelType w:val="hybridMultilevel"/>
    <w:lvl w:ilvl="0">
      <w:lvlJc w:val="left"/>
      <w:lvlText w:val="•"/>
      <w:numFmt w:val="bullet"/>
      <w:start w:val="1"/>
    </w:lvl>
  </w:abstractNum>
  <w:abstractNum w:abstractNumId="41">
    <w:nsid w:val="2A487CB0"/>
    <w:multiLevelType w:val="hybridMultilevel"/>
    <w:lvl w:ilvl="0">
      <w:lvlJc w:val="left"/>
      <w:lvlText w:val="•"/>
      <w:numFmt w:val="bullet"/>
      <w:start w:val="1"/>
    </w:lvl>
  </w:abstractNum>
  <w:abstractNum w:abstractNumId="42">
    <w:nsid w:val="1D4ED43B"/>
    <w:multiLevelType w:val="hybridMultilevel"/>
    <w:lvl w:ilvl="0">
      <w:lvlJc w:val="left"/>
      <w:lvlText w:val="%1."/>
      <w:numFmt w:val="decimal"/>
      <w:start w:val="1"/>
    </w:lvl>
  </w:abstractNum>
  <w:abstractNum w:abstractNumId="43">
    <w:nsid w:val="725A06FB"/>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9" Type="http://schemas.openxmlformats.org/officeDocument/2006/relationships/image" Target="media/image1.jpeg"/><Relationship Id="rId10" Type="http://schemas.openxmlformats.org/officeDocument/2006/relationships/image" Target="media/image2.jpeg"/><Relationship Id="rId11" Type="http://schemas.openxmlformats.org/officeDocument/2006/relationships/image" Target="media/image3.jpeg"/><Relationship Id="rId12" Type="http://schemas.openxmlformats.org/officeDocument/2006/relationships/image" Target="media/image4.png"/><Relationship Id="rId13" Type="http://schemas.openxmlformats.org/officeDocument/2006/relationships/image" Target="media/image5.jpeg"/><Relationship Id="rId14" Type="http://schemas.openxmlformats.org/officeDocument/2006/relationships/image" Target="media/image6.jpeg"/><Relationship Id="rId15" Type="http://schemas.openxmlformats.org/officeDocument/2006/relationships/image" Target="media/image7.jpeg"/><Relationship Id="rId16" Type="http://schemas.openxmlformats.org/officeDocument/2006/relationships/image" Target="media/image8.jpeg"/><Relationship Id="rId17" Type="http://schemas.openxmlformats.org/officeDocument/2006/relationships/image" Target="media/image9.png"/><Relationship Id="rId18" Type="http://schemas.openxmlformats.org/officeDocument/2006/relationships/image" Target="media/image10.png"/><Relationship Id="rId19" Type="http://schemas.openxmlformats.org/officeDocument/2006/relationships/image" Target="media/image11.png"/><Relationship Id="rId20" Type="http://schemas.openxmlformats.org/officeDocument/2006/relationships/image" Target="media/image12.png"/><Relationship Id="rId21" Type="http://schemas.openxmlformats.org/officeDocument/2006/relationships/image" Target="media/image13.png"/><Relationship Id="rId22" Type="http://schemas.openxmlformats.org/officeDocument/2006/relationships/image" Target="media/image14.png"/><Relationship Id="rId8" Type="http://schemas.openxmlformats.org/officeDocument/2006/relationships/hyperlink" Target="https://www.sec.gov/Archives/edgar/data/1833141/000106299325000510/formf10.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2025-07-28T10:12:43Z</dcterms:created>
  <dcterms:modified xsi:type="dcterms:W3CDTF">2025-07-28T10:12:43Z</dcterms:modified>
</cp:coreProperties>
</file>