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File No. 333-259994</w:t>
      </w:r>
    </w:p>
    <w:p>
      <w:pPr>
        <w:spacing w:after="0" w:line="188" w:lineRule="exact"/>
        <w:rPr>
          <w:sz w:val="24"/>
          <w:szCs w:val="24"/>
          <w:color w:val="auto"/>
        </w:rPr>
      </w:pPr>
    </w:p>
    <w:p>
      <w:pPr>
        <w:jc w:val="both"/>
        <w:spacing w:after="0" w:line="249" w:lineRule="auto"/>
        <w:rPr>
          <w:sz w:val="20"/>
          <w:szCs w:val="20"/>
          <w:color w:val="auto"/>
        </w:rPr>
      </w:pPr>
      <w:r>
        <w:rPr>
          <w:rFonts w:ascii="Arial" w:cs="Arial" w:eastAsia="Arial" w:hAnsi="Arial"/>
          <w:sz w:val="21"/>
          <w:szCs w:val="21"/>
          <w:i w:val="1"/>
          <w:iCs w:val="1"/>
          <w:color w:val="FF0000"/>
        </w:rPr>
        <w:t>Information contained herein is subject to completion or amendment. A registration statement relating to these securities has been filed with the United States Securities Exchange Commission. This preliminary prospectus supplement and the accompanying base shelf prospectus shall not constitute an offer to sell or the solicitation of an offer to buy nor shall there be any sale of these securities in any state of the United States in which such offer, solicitation or sale would be unlawful prior to registration or qualification under the securities laws of any such state of the United States.</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2"/>
          <w:szCs w:val="22"/>
          <w:color w:val="FF0000"/>
        </w:rPr>
        <w:t>Subject to completion, dated August 4, 2023</w:t>
      </w:r>
    </w:p>
    <w:p>
      <w:pPr>
        <w:spacing w:after="0" w:line="206" w:lineRule="exact"/>
        <w:rPr>
          <w:sz w:val="24"/>
          <w:szCs w:val="24"/>
          <w:color w:val="auto"/>
        </w:rPr>
      </w:pPr>
    </w:p>
    <w:p>
      <w:pPr>
        <w:jc w:val="both"/>
        <w:spacing w:after="0" w:line="257" w:lineRule="auto"/>
        <w:rPr>
          <w:sz w:val="20"/>
          <w:szCs w:val="20"/>
          <w:color w:val="auto"/>
        </w:rPr>
      </w:pPr>
      <w:r>
        <w:rPr>
          <w:rFonts w:ascii="Arial" w:cs="Arial" w:eastAsia="Arial" w:hAnsi="Arial"/>
          <w:sz w:val="21"/>
          <w:szCs w:val="21"/>
          <w:i w:val="1"/>
          <w:iCs w:val="1"/>
          <w:color w:val="FF0000"/>
        </w:rPr>
        <w:t>A copy of this preliminary prospectus supplement has been filed with the securities regulatory authority in each of the provinces of Canada, except Québec, but has not yet become final for the purposes of the sale of securities. Information contained in this preliminary prospectus supplement may not be complete and may have to be amended.</w:t>
      </w:r>
    </w:p>
    <w:p>
      <w:pPr>
        <w:spacing w:after="0" w:line="169" w:lineRule="exact"/>
        <w:rPr>
          <w:sz w:val="24"/>
          <w:szCs w:val="24"/>
          <w:color w:val="auto"/>
        </w:rPr>
      </w:pPr>
    </w:p>
    <w:p>
      <w:pPr>
        <w:jc w:val="both"/>
        <w:spacing w:after="0" w:line="279" w:lineRule="auto"/>
        <w:rPr>
          <w:sz w:val="20"/>
          <w:szCs w:val="20"/>
          <w:color w:val="auto"/>
        </w:rPr>
      </w:pPr>
      <w:r>
        <w:rPr>
          <w:rFonts w:ascii="Arial" w:cs="Arial" w:eastAsia="Arial" w:hAnsi="Arial"/>
          <w:sz w:val="19"/>
          <w:szCs w:val="19"/>
          <w:i w:val="1"/>
          <w:iCs w:val="1"/>
          <w:color w:val="auto"/>
        </w:rPr>
        <w:t>This prospectus supplement (the "</w:t>
      </w:r>
      <w:r>
        <w:rPr>
          <w:rFonts w:ascii="Arial" w:cs="Arial" w:eastAsia="Arial" w:hAnsi="Arial"/>
          <w:sz w:val="19"/>
          <w:szCs w:val="19"/>
          <w:b w:val="1"/>
          <w:bCs w:val="1"/>
          <w:i w:val="1"/>
          <w:iCs w:val="1"/>
          <w:color w:val="auto"/>
        </w:rPr>
        <w:t>Prospectus Supplement</w:t>
      </w:r>
      <w:r>
        <w:rPr>
          <w:rFonts w:ascii="Arial" w:cs="Arial" w:eastAsia="Arial" w:hAnsi="Arial"/>
          <w:sz w:val="19"/>
          <w:szCs w:val="19"/>
          <w:i w:val="1"/>
          <w:iCs w:val="1"/>
          <w:color w:val="auto"/>
        </w:rPr>
        <w:t>"), together with the short form base shelf prospectus dated July 5, 2021 to which it relates, as amended or supplemented (the "</w:t>
      </w:r>
      <w:r>
        <w:rPr>
          <w:rFonts w:ascii="Arial" w:cs="Arial" w:eastAsia="Arial" w:hAnsi="Arial"/>
          <w:sz w:val="19"/>
          <w:szCs w:val="19"/>
          <w:b w:val="1"/>
          <w:bCs w:val="1"/>
          <w:i w:val="1"/>
          <w:iCs w:val="1"/>
          <w:color w:val="auto"/>
        </w:rPr>
        <w:t>Base Shelf Prospectus</w:t>
      </w:r>
      <w:r>
        <w:rPr>
          <w:rFonts w:ascii="Arial" w:cs="Arial" w:eastAsia="Arial" w:hAnsi="Arial"/>
          <w:sz w:val="19"/>
          <w:szCs w:val="19"/>
          <w:i w:val="1"/>
          <w:iCs w:val="1"/>
          <w:color w:val="auto"/>
        </w:rPr>
        <w:t>"), and each document deemed to be incorporated by reference into this Prospectus Supplement and the Base Shelf Prospectus, as amended or supplemented (collectively, the "</w:t>
      </w:r>
      <w:r>
        <w:rPr>
          <w:rFonts w:ascii="Arial" w:cs="Arial" w:eastAsia="Arial" w:hAnsi="Arial"/>
          <w:sz w:val="19"/>
          <w:szCs w:val="19"/>
          <w:b w:val="1"/>
          <w:bCs w:val="1"/>
          <w:i w:val="1"/>
          <w:iCs w:val="1"/>
          <w:color w:val="auto"/>
        </w:rPr>
        <w:t>Prospectus</w:t>
      </w:r>
      <w:r>
        <w:rPr>
          <w:rFonts w:ascii="Arial" w:cs="Arial" w:eastAsia="Arial" w:hAnsi="Arial"/>
          <w:sz w:val="19"/>
          <w:szCs w:val="19"/>
          <w:i w:val="1"/>
          <w:iCs w:val="1"/>
          <w:color w:val="auto"/>
        </w:rPr>
        <w:t xml:space="preserve">"), constitutes a public offering of these securities only in those jurisdictions where they may be lawfully offered for sale and only by persons permitted to sell such securities. </w:t>
      </w:r>
      <w:r>
        <w:rPr>
          <w:rFonts w:ascii="Arial" w:cs="Arial" w:eastAsia="Arial" w:hAnsi="Arial"/>
          <w:sz w:val="19"/>
          <w:szCs w:val="19"/>
          <w:b w:val="1"/>
          <w:bCs w:val="1"/>
          <w:i w:val="1"/>
          <w:iCs w:val="1"/>
          <w:color w:val="auto"/>
        </w:rPr>
        <w:t>No securities regulatory authority has expressed</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an opinion about these securities and it is an offence to claim otherwise.</w:t>
      </w:r>
    </w:p>
    <w:p>
      <w:pPr>
        <w:spacing w:after="0" w:line="150" w:lineRule="exact"/>
        <w:rPr>
          <w:sz w:val="24"/>
          <w:szCs w:val="24"/>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 xml:space="preserve">Information has been incorporated by reference in the Prospectus from documents filed with securities commissions or similar authorities in Canada. </w:t>
      </w:r>
      <w:r>
        <w:rPr>
          <w:rFonts w:ascii="Arial" w:cs="Arial" w:eastAsia="Arial" w:hAnsi="Arial"/>
          <w:sz w:val="19"/>
          <w:szCs w:val="19"/>
          <w:i w:val="1"/>
          <w:iCs w:val="1"/>
          <w:color w:val="auto"/>
        </w:rPr>
        <w:t>Copies of the documents incorporated herein by reference may be obtained on request without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charge from the Secretary of Cybin Inc. at 100 King Street West, Suite 5600, Toronto, Ontario M5X 1C9, telephone 1-866-292-4601, and are also available electronically at </w:t>
      </w:r>
      <w:r>
        <w:rPr>
          <w:rFonts w:ascii="Arial" w:cs="Arial" w:eastAsia="Arial" w:hAnsi="Arial"/>
          <w:sz w:val="19"/>
          <w:szCs w:val="19"/>
          <w:i w:val="1"/>
          <w:iCs w:val="1"/>
          <w:u w:val="single" w:color="auto"/>
          <w:color w:val="0563C1"/>
        </w:rPr>
        <w:t>www.sedar.com</w:t>
      </w:r>
      <w:r>
        <w:rPr>
          <w:rFonts w:ascii="Arial" w:cs="Arial" w:eastAsia="Arial" w:hAnsi="Arial"/>
          <w:sz w:val="19"/>
          <w:szCs w:val="19"/>
          <w:i w:val="1"/>
          <w:iCs w:val="1"/>
          <w:color w:val="auto"/>
        </w:rPr>
        <w:t xml:space="preserve"> and </w:t>
      </w:r>
      <w:r>
        <w:rPr>
          <w:rFonts w:ascii="Arial" w:cs="Arial" w:eastAsia="Arial" w:hAnsi="Arial"/>
          <w:sz w:val="19"/>
          <w:szCs w:val="19"/>
          <w:i w:val="1"/>
          <w:iCs w:val="1"/>
          <w:u w:val="single" w:color="auto"/>
          <w:color w:val="0563C1"/>
        </w:rPr>
        <w:t>www.sec.gov/edgar</w:t>
      </w:r>
      <w:r>
        <w:rPr>
          <w:rFonts w:ascii="Arial" w:cs="Arial" w:eastAsia="Arial" w:hAnsi="Arial"/>
          <w:sz w:val="19"/>
          <w:szCs w:val="19"/>
          <w:i w:val="1"/>
          <w:iCs w:val="1"/>
          <w:color w:val="auto"/>
        </w:rPr>
        <w:t>.</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THE SHORT FORM BASE SHELF PROSPECTUS DATED JULY 5, 2021</w:t>
      </w:r>
    </w:p>
    <w:p>
      <w:pPr>
        <w:spacing w:after="0" w:line="195" w:lineRule="exact"/>
        <w:rPr>
          <w:sz w:val="24"/>
          <w:szCs w:val="24"/>
          <w:color w:val="auto"/>
        </w:rPr>
      </w:pPr>
    </w:p>
    <w:p>
      <w:pPr>
        <w:spacing w:after="0"/>
        <w:tabs>
          <w:tab w:leader="none" w:pos="10120" w:val="left"/>
        </w:tabs>
        <w:rPr>
          <w:sz w:val="20"/>
          <w:szCs w:val="20"/>
          <w:color w:val="auto"/>
        </w:rPr>
      </w:pPr>
      <w:r>
        <w:rPr>
          <w:rFonts w:ascii="Arial" w:cs="Arial" w:eastAsia="Arial" w:hAnsi="Arial"/>
          <w:sz w:val="18"/>
          <w:szCs w:val="18"/>
          <w:i w:val="1"/>
          <w:iCs w:val="1"/>
          <w:u w:val="single" w:color="auto"/>
          <w:color w:val="auto"/>
        </w:rPr>
        <w:t>New Issue</w:t>
      </w:r>
      <w:r>
        <w:rPr>
          <w:sz w:val="20"/>
          <w:szCs w:val="20"/>
          <w:color w:val="auto"/>
        </w:rPr>
        <w:tab/>
      </w:r>
      <w:r>
        <w:rPr>
          <w:rFonts w:ascii="Arial" w:cs="Arial" w:eastAsia="Arial" w:hAnsi="Arial"/>
          <w:sz w:val="16"/>
          <w:szCs w:val="16"/>
          <w:color w:val="auto"/>
        </w:rPr>
        <w:t>August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306070</wp:posOffset>
            </wp:positionV>
            <wp:extent cx="1405890" cy="840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CYBIN INC.</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Units</w:t>
      </w:r>
    </w:p>
    <w:p>
      <w:pPr>
        <w:spacing w:after="0" w:line="212" w:lineRule="exact"/>
        <w:rPr>
          <w:sz w:val="24"/>
          <w:szCs w:val="24"/>
          <w:color w:val="auto"/>
        </w:rPr>
      </w:pPr>
    </w:p>
    <w:p>
      <w:pPr>
        <w:ind w:left="3680"/>
        <w:spacing w:after="0"/>
        <w:rPr>
          <w:sz w:val="20"/>
          <w:szCs w:val="20"/>
          <w:color w:val="auto"/>
        </w:rPr>
      </w:pPr>
      <w:r>
        <w:rPr>
          <w:rFonts w:ascii="Arial" w:cs="Arial" w:eastAsia="Arial" w:hAnsi="Arial"/>
          <w:sz w:val="22"/>
          <w:szCs w:val="22"/>
          <w:color w:val="auto"/>
        </w:rPr>
        <w:t>____________________________________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Price: US$● per Unit</w:t>
      </w:r>
    </w:p>
    <w:p>
      <w:pPr>
        <w:spacing w:after="0" w:line="8" w:lineRule="exact"/>
        <w:rPr>
          <w:sz w:val="24"/>
          <w:szCs w:val="24"/>
          <w:color w:val="auto"/>
        </w:rPr>
      </w:pPr>
    </w:p>
    <w:p>
      <w:pPr>
        <w:ind w:left="3680"/>
        <w:spacing w:after="0"/>
        <w:rPr>
          <w:sz w:val="20"/>
          <w:szCs w:val="20"/>
          <w:color w:val="auto"/>
        </w:rPr>
      </w:pPr>
      <w:r>
        <w:rPr>
          <w:rFonts w:ascii="Arial" w:cs="Arial" w:eastAsia="Arial" w:hAnsi="Arial"/>
          <w:sz w:val="22"/>
          <w:szCs w:val="22"/>
          <w:color w:val="auto"/>
        </w:rPr>
        <w:t>____________________________________</w:t>
      </w:r>
    </w:p>
    <w:p>
      <w:pPr>
        <w:spacing w:after="0" w:line="182" w:lineRule="exact"/>
        <w:rPr>
          <w:sz w:val="24"/>
          <w:szCs w:val="24"/>
          <w:color w:val="auto"/>
        </w:rPr>
      </w:pPr>
    </w:p>
    <w:p>
      <w:pPr>
        <w:jc w:val="both"/>
        <w:spacing w:after="0" w:line="246" w:lineRule="auto"/>
        <w:rPr>
          <w:sz w:val="20"/>
          <w:szCs w:val="20"/>
          <w:color w:val="auto"/>
        </w:rPr>
      </w:pPr>
      <w:r>
        <w:rPr>
          <w:rFonts w:ascii="Arial" w:cs="Arial" w:eastAsia="Arial" w:hAnsi="Arial"/>
          <w:sz w:val="21"/>
          <w:szCs w:val="21"/>
          <w:color w:val="auto"/>
        </w:rPr>
        <w:t>Cybin Inc. ("</w:t>
      </w:r>
      <w:r>
        <w:rPr>
          <w:rFonts w:ascii="Arial" w:cs="Arial" w:eastAsia="Arial" w:hAnsi="Arial"/>
          <w:sz w:val="21"/>
          <w:szCs w:val="21"/>
          <w:b w:val="1"/>
          <w:bCs w:val="1"/>
          <w:color w:val="auto"/>
        </w:rPr>
        <w:t>Cybin</w:t>
      </w:r>
      <w:r>
        <w:rPr>
          <w:rFonts w:ascii="Arial" w:cs="Arial" w:eastAsia="Arial" w:hAnsi="Arial"/>
          <w:sz w:val="21"/>
          <w:szCs w:val="21"/>
          <w:color w:val="auto"/>
        </w:rPr>
        <w:t>" or the "</w:t>
      </w:r>
      <w:r>
        <w:rPr>
          <w:rFonts w:ascii="Arial" w:cs="Arial" w:eastAsia="Arial" w:hAnsi="Arial"/>
          <w:sz w:val="21"/>
          <w:szCs w:val="21"/>
          <w:b w:val="1"/>
          <w:bCs w:val="1"/>
          <w:color w:val="auto"/>
        </w:rPr>
        <w:t>Corporation</w:t>
      </w:r>
      <w:r>
        <w:rPr>
          <w:rFonts w:ascii="Arial" w:cs="Arial" w:eastAsia="Arial" w:hAnsi="Arial"/>
          <w:sz w:val="21"/>
          <w:szCs w:val="21"/>
          <w:color w:val="auto"/>
        </w:rPr>
        <w:t>") is hereby qualifying the distribution (the "</w:t>
      </w:r>
      <w:r>
        <w:rPr>
          <w:rFonts w:ascii="Arial" w:cs="Arial" w:eastAsia="Arial" w:hAnsi="Arial"/>
          <w:sz w:val="21"/>
          <w:szCs w:val="21"/>
          <w:b w:val="1"/>
          <w:bCs w:val="1"/>
          <w:color w:val="auto"/>
        </w:rPr>
        <w:t>Offering</w:t>
      </w:r>
      <w:r>
        <w:rPr>
          <w:rFonts w:ascii="Arial" w:cs="Arial" w:eastAsia="Arial" w:hAnsi="Arial"/>
          <w:sz w:val="21"/>
          <w:szCs w:val="21"/>
          <w:color w:val="auto"/>
        </w:rPr>
        <w:t>") of ●units (the "</w:t>
      </w:r>
      <w:r>
        <w:rPr>
          <w:rFonts w:ascii="Arial" w:cs="Arial" w:eastAsia="Arial" w:hAnsi="Arial"/>
          <w:sz w:val="21"/>
          <w:szCs w:val="21"/>
          <w:b w:val="1"/>
          <w:bCs w:val="1"/>
          <w:color w:val="auto"/>
        </w:rPr>
        <w:t>Units</w:t>
      </w:r>
      <w:r>
        <w:rPr>
          <w:rFonts w:ascii="Arial" w:cs="Arial" w:eastAsia="Arial" w:hAnsi="Arial"/>
          <w:sz w:val="21"/>
          <w:szCs w:val="21"/>
          <w:color w:val="auto"/>
        </w:rPr>
        <w:t>") of the Corporation at a price of US$ ● per Unit (the "</w:t>
      </w:r>
      <w:r>
        <w:rPr>
          <w:rFonts w:ascii="Arial" w:cs="Arial" w:eastAsia="Arial" w:hAnsi="Arial"/>
          <w:sz w:val="21"/>
          <w:szCs w:val="21"/>
          <w:b w:val="1"/>
          <w:bCs w:val="1"/>
          <w:color w:val="auto"/>
        </w:rPr>
        <w:t>Offering Price</w:t>
      </w:r>
      <w:r>
        <w:rPr>
          <w:rFonts w:ascii="Arial" w:cs="Arial" w:eastAsia="Arial" w:hAnsi="Arial"/>
          <w:sz w:val="21"/>
          <w:szCs w:val="21"/>
          <w:color w:val="auto"/>
        </w:rPr>
        <w:t>") for aggregate gross proceeds of US$ ● . Each Unit will be comprised of one Common Share (as defined herein) (each, a "</w:t>
      </w:r>
      <w:r>
        <w:rPr>
          <w:rFonts w:ascii="Arial" w:cs="Arial" w:eastAsia="Arial" w:hAnsi="Arial"/>
          <w:sz w:val="21"/>
          <w:szCs w:val="21"/>
          <w:b w:val="1"/>
          <w:bCs w:val="1"/>
          <w:color w:val="auto"/>
        </w:rPr>
        <w:t>Unit Share</w:t>
      </w:r>
      <w:r>
        <w:rPr>
          <w:rFonts w:ascii="Arial" w:cs="Arial" w:eastAsia="Arial" w:hAnsi="Arial"/>
          <w:sz w:val="21"/>
          <w:szCs w:val="21"/>
          <w:color w:val="auto"/>
        </w:rPr>
        <w:t>") and one Common Share purchase warrant (each, a "</w:t>
      </w:r>
      <w:r>
        <w:rPr>
          <w:rFonts w:ascii="Arial" w:cs="Arial" w:eastAsia="Arial" w:hAnsi="Arial"/>
          <w:sz w:val="21"/>
          <w:szCs w:val="21"/>
          <w:b w:val="1"/>
          <w:bCs w:val="1"/>
          <w:color w:val="auto"/>
        </w:rPr>
        <w:t>Warrant</w:t>
      </w:r>
      <w:r>
        <w:rPr>
          <w:rFonts w:ascii="Arial" w:cs="Arial" w:eastAsia="Arial" w:hAnsi="Arial"/>
          <w:sz w:val="21"/>
          <w:szCs w:val="21"/>
          <w:color w:val="auto"/>
        </w:rPr>
        <w:t>"). Each Warrant shall be exercisable to acquire one Common Share (each, a "</w:t>
      </w:r>
      <w:r>
        <w:rPr>
          <w:rFonts w:ascii="Arial" w:cs="Arial" w:eastAsia="Arial" w:hAnsi="Arial"/>
          <w:sz w:val="21"/>
          <w:szCs w:val="21"/>
          <w:b w:val="1"/>
          <w:bCs w:val="1"/>
          <w:color w:val="auto"/>
        </w:rPr>
        <w:t>Warrant Share</w:t>
      </w:r>
      <w:r>
        <w:rPr>
          <w:rFonts w:ascii="Arial" w:cs="Arial" w:eastAsia="Arial" w:hAnsi="Arial"/>
          <w:sz w:val="21"/>
          <w:szCs w:val="21"/>
          <w:color w:val="auto"/>
        </w:rPr>
        <w:t xml:space="preserve"> "), subject to adjustment in certain circumstances, at an exercise price of US$● for a period of ● months from the closing of the Offering (the "</w:t>
      </w:r>
      <w:r>
        <w:rPr>
          <w:rFonts w:ascii="Arial" w:cs="Arial" w:eastAsia="Arial" w:hAnsi="Arial"/>
          <w:sz w:val="21"/>
          <w:szCs w:val="21"/>
          <w:b w:val="1"/>
          <w:bCs w:val="1"/>
          <w:color w:val="auto"/>
        </w:rPr>
        <w:t>Warrant</w:t>
      </w:r>
      <w:r>
        <w:rPr>
          <w:rFonts w:ascii="Arial" w:cs="Arial" w:eastAsia="Arial" w:hAnsi="Arial"/>
          <w:sz w:val="21"/>
          <w:szCs w:val="21"/>
          <w:color w:val="auto"/>
        </w:rPr>
        <w:t xml:space="preserve"> </w:t>
      </w:r>
      <w:r>
        <w:rPr>
          <w:rFonts w:ascii="Arial" w:cs="Arial" w:eastAsia="Arial" w:hAnsi="Arial"/>
          <w:sz w:val="21"/>
          <w:szCs w:val="21"/>
          <w:b w:val="1"/>
          <w:bCs w:val="1"/>
          <w:color w:val="auto"/>
        </w:rPr>
        <w:t>Expiry Date</w:t>
      </w:r>
      <w:r>
        <w:rPr>
          <w:rFonts w:ascii="Arial" w:cs="Arial" w:eastAsia="Arial" w:hAnsi="Arial"/>
          <w:sz w:val="21"/>
          <w:szCs w:val="21"/>
          <w:color w:val="auto"/>
        </w:rPr>
        <w:t>"), subject to acceleration in certain circumstances. The Warrants will be issued and subject to the terms of a Warrant</w:t>
      </w:r>
      <w:r>
        <w:rPr>
          <w:rFonts w:ascii="Arial" w:cs="Arial" w:eastAsia="Arial" w:hAnsi="Arial"/>
          <w:sz w:val="21"/>
          <w:szCs w:val="21"/>
          <w:b w:val="1"/>
          <w:bCs w:val="1"/>
          <w:color w:val="auto"/>
        </w:rPr>
        <w:t xml:space="preserve"> </w:t>
      </w:r>
      <w:r>
        <w:rPr>
          <w:rFonts w:ascii="Arial" w:cs="Arial" w:eastAsia="Arial" w:hAnsi="Arial"/>
          <w:sz w:val="21"/>
          <w:szCs w:val="21"/>
          <w:color w:val="auto"/>
        </w:rPr>
        <w:t>Indenture (as defined herein). The Unit Shares and Warrants comprising the Units will be separated immediately upon closing of the Offering. This Prospectus Supplement together with the Base Shelf Prospectus qualifies the distribution of the Unit Shares and Warrants comprising the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 w:name="page2"/>
    <w:bookmarkEnd w:id="1"/>
    <w:p>
      <w:pPr>
        <w:jc w:val="both"/>
        <w:spacing w:after="0" w:line="273" w:lineRule="auto"/>
        <w:rPr>
          <w:sz w:val="20"/>
          <w:szCs w:val="20"/>
          <w:color w:val="auto"/>
        </w:rPr>
      </w:pPr>
      <w:r>
        <w:rPr>
          <w:rFonts w:ascii="Arial" w:cs="Arial" w:eastAsia="Arial" w:hAnsi="Arial"/>
          <w:sz w:val="19"/>
          <w:szCs w:val="19"/>
          <w:color w:val="auto"/>
        </w:rPr>
        <w:t>The Offering is being made in each of the provinces of Canada, other than Québec, and in the United States. The Units are being issued pursuant to an underwriting agreement dated August 1, 2023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 xml:space="preserve"> ”) among the Corporation and Cantor Fitzgerald &amp; Co. as sole underwriter and bookrunner (the “</w:t>
      </w:r>
      <w:r>
        <w:rPr>
          <w:rFonts w:ascii="Arial" w:cs="Arial" w:eastAsia="Arial" w:hAnsi="Arial"/>
          <w:sz w:val="19"/>
          <w:szCs w:val="19"/>
          <w:b w:val="1"/>
          <w:bCs w:val="1"/>
          <w:color w:val="auto"/>
        </w:rPr>
        <w:t>Lead Underwriter</w:t>
      </w:r>
      <w:r>
        <w:rPr>
          <w:rFonts w:ascii="Arial" w:cs="Arial" w:eastAsia="Arial" w:hAnsi="Arial"/>
          <w:sz w:val="19"/>
          <w:szCs w:val="19"/>
          <w:color w:val="auto"/>
        </w:rPr>
        <w:t>”), on behalf of a syndicate of underwriters including ● and ● (together with the Lead Underwriter, the “</w:t>
      </w:r>
      <w:r>
        <w:rPr>
          <w:rFonts w:ascii="Arial" w:cs="Arial" w:eastAsia="Arial" w:hAnsi="Arial"/>
          <w:sz w:val="19"/>
          <w:szCs w:val="19"/>
          <w:b w:val="1"/>
          <w:bCs w:val="1"/>
          <w:color w:val="auto"/>
        </w:rPr>
        <w:t>Underwriters</w:t>
      </w:r>
      <w:r>
        <w:rPr>
          <w:rFonts w:ascii="Arial" w:cs="Arial" w:eastAsia="Arial" w:hAnsi="Arial"/>
          <w:sz w:val="19"/>
          <w:szCs w:val="19"/>
          <w:color w:val="auto"/>
        </w:rPr>
        <w:t>”), relating to the Units offered by this Prospectus Supplement and the accompanying Base Shelf Prospectus. The Units will be offered in Canada and the United States through the Underwriters either directly or through their respective U.S. or Canadian broker-dealer affiliates or agents. The Offering is being made concurrently in the United States under the terms of a registration statement on Form F-10 (File No. 333-259994)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of which this Prospectus Supplement forms a part, filed with the United States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color w:val="auto"/>
        </w:rPr>
        <w:t>U.S. Securities Act</w:t>
      </w:r>
      <w:r>
        <w:rPr>
          <w:rFonts w:ascii="Arial" w:cs="Arial" w:eastAsia="Arial" w:hAnsi="Arial"/>
          <w:sz w:val="19"/>
          <w:szCs w:val="19"/>
          <w:color w:val="auto"/>
        </w:rPr>
        <w:t>”). The Units will be offered in the United States by Cantor Fitzgerald &amp; Co., and ● under a prospectus supplement filed with the SEC, and in Canada by Cantor Fitzgerald Canada Corporation under this Prospectus Supplement. See “</w:t>
      </w:r>
      <w:r>
        <w:rPr>
          <w:rFonts w:ascii="Arial" w:cs="Arial" w:eastAsia="Arial" w:hAnsi="Arial"/>
          <w:sz w:val="19"/>
          <w:szCs w:val="19"/>
          <w:i w:val="1"/>
          <w:iCs w:val="1"/>
          <w:color w:val="auto"/>
        </w:rPr>
        <w:t>Plan of Distribution</w:t>
      </w:r>
      <w:r>
        <w:rPr>
          <w:rFonts w:ascii="Arial" w:cs="Arial" w:eastAsia="Arial" w:hAnsi="Arial"/>
          <w:sz w:val="19"/>
          <w:szCs w:val="19"/>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Net Proceeds to the</w:t>
            </w:r>
          </w:p>
        </w:tc>
      </w:tr>
      <w:tr>
        <w:trPr>
          <w:trHeight w:val="271"/>
        </w:trPr>
        <w:tc>
          <w:tcPr>
            <w:tcW w:w="5400" w:type="dxa"/>
            <w:vAlign w:val="bottom"/>
          </w:tcPr>
          <w:p>
            <w:pPr>
              <w:spacing w:after="0"/>
              <w:rPr>
                <w:sz w:val="23"/>
                <w:szCs w:val="23"/>
                <w:color w:val="auto"/>
              </w:rPr>
            </w:pPr>
          </w:p>
        </w:tc>
        <w:tc>
          <w:tcPr>
            <w:tcW w:w="1700" w:type="dxa"/>
            <w:vAlign w:val="bottom"/>
            <w:tcBorders>
              <w:bottom w:val="single" w:sz="8" w:color="auto"/>
            </w:tcBorders>
          </w:tcPr>
          <w:p>
            <w:pPr>
              <w:jc w:val="center"/>
              <w:ind w:left="30"/>
              <w:spacing w:after="0" w:line="271" w:lineRule="exact"/>
              <w:rPr>
                <w:sz w:val="20"/>
                <w:szCs w:val="20"/>
                <w:color w:val="auto"/>
              </w:rPr>
            </w:pPr>
            <w:r>
              <w:rPr>
                <w:rFonts w:ascii="Arial" w:cs="Arial" w:eastAsia="Arial" w:hAnsi="Arial"/>
                <w:sz w:val="18"/>
                <w:szCs w:val="18"/>
                <w:b w:val="1"/>
                <w:bCs w:val="1"/>
                <w:color w:val="auto"/>
                <w:w w:val="87"/>
              </w:rPr>
              <w:t>Price to the Public</w:t>
            </w:r>
            <w:r>
              <w:rPr>
                <w:rFonts w:ascii="Arial" w:cs="Arial" w:eastAsia="Arial" w:hAnsi="Arial"/>
                <w:sz w:val="29"/>
                <w:szCs w:val="29"/>
                <w:b w:val="1"/>
                <w:bCs w:val="1"/>
                <w:color w:val="auto"/>
                <w:w w:val="87"/>
                <w:vertAlign w:val="superscript"/>
              </w:rPr>
              <w:t>(1)</w:t>
            </w:r>
          </w:p>
        </w:tc>
        <w:tc>
          <w:tcPr>
            <w:tcW w:w="240" w:type="dxa"/>
            <w:vAlign w:val="bottom"/>
          </w:tcPr>
          <w:p>
            <w:pPr>
              <w:spacing w:after="0"/>
              <w:rPr>
                <w:sz w:val="23"/>
                <w:szCs w:val="23"/>
                <w:color w:val="auto"/>
              </w:rPr>
            </w:pPr>
          </w:p>
        </w:tc>
        <w:tc>
          <w:tcPr>
            <w:tcW w:w="1860" w:type="dxa"/>
            <w:vAlign w:val="bottom"/>
            <w:tcBorders>
              <w:bottom w:val="single" w:sz="8" w:color="auto"/>
            </w:tcBorders>
          </w:tcPr>
          <w:p>
            <w:pPr>
              <w:jc w:val="center"/>
              <w:ind w:left="10"/>
              <w:spacing w:after="0" w:line="271" w:lineRule="exact"/>
              <w:rPr>
                <w:sz w:val="20"/>
                <w:szCs w:val="20"/>
                <w:color w:val="auto"/>
              </w:rPr>
            </w:pPr>
            <w:r>
              <w:rPr>
                <w:rFonts w:ascii="Arial" w:cs="Arial" w:eastAsia="Arial" w:hAnsi="Arial"/>
                <w:sz w:val="18"/>
                <w:szCs w:val="18"/>
                <w:b w:val="1"/>
                <w:bCs w:val="1"/>
                <w:color w:val="auto"/>
                <w:w w:val="88"/>
              </w:rPr>
              <w:t>Underwriters' Fee</w:t>
            </w:r>
            <w:r>
              <w:rPr>
                <w:rFonts w:ascii="Arial" w:cs="Arial" w:eastAsia="Arial" w:hAnsi="Arial"/>
                <w:sz w:val="29"/>
                <w:szCs w:val="29"/>
                <w:b w:val="1"/>
                <w:bCs w:val="1"/>
                <w:color w:val="auto"/>
                <w:w w:val="88"/>
                <w:vertAlign w:val="superscript"/>
              </w:rPr>
              <w:t>(2)(3)</w:t>
            </w:r>
          </w:p>
        </w:tc>
        <w:tc>
          <w:tcPr>
            <w:tcW w:w="220" w:type="dxa"/>
            <w:vAlign w:val="bottom"/>
          </w:tcPr>
          <w:p>
            <w:pPr>
              <w:spacing w:after="0"/>
              <w:rPr>
                <w:sz w:val="23"/>
                <w:szCs w:val="23"/>
                <w:color w:val="auto"/>
              </w:rPr>
            </w:pPr>
          </w:p>
        </w:tc>
        <w:tc>
          <w:tcPr>
            <w:tcW w:w="1820" w:type="dxa"/>
            <w:vAlign w:val="bottom"/>
            <w:tcBorders>
              <w:bottom w:val="single" w:sz="8" w:color="auto"/>
            </w:tcBorders>
          </w:tcPr>
          <w:p>
            <w:pPr>
              <w:jc w:val="center"/>
              <w:ind w:right="10"/>
              <w:spacing w:after="0" w:line="271" w:lineRule="exact"/>
              <w:rPr>
                <w:sz w:val="20"/>
                <w:szCs w:val="20"/>
                <w:color w:val="auto"/>
              </w:rPr>
            </w:pPr>
            <w:r>
              <w:rPr>
                <w:rFonts w:ascii="Arial" w:cs="Arial" w:eastAsia="Arial" w:hAnsi="Arial"/>
                <w:sz w:val="18"/>
                <w:szCs w:val="18"/>
                <w:b w:val="1"/>
                <w:bCs w:val="1"/>
                <w:color w:val="auto"/>
                <w:w w:val="87"/>
              </w:rPr>
              <w:t>Corporation</w:t>
            </w:r>
            <w:r>
              <w:rPr>
                <w:rFonts w:ascii="Arial" w:cs="Arial" w:eastAsia="Arial" w:hAnsi="Arial"/>
                <w:sz w:val="29"/>
                <w:szCs w:val="29"/>
                <w:b w:val="1"/>
                <w:bCs w:val="1"/>
                <w:color w:val="auto"/>
                <w:w w:val="87"/>
                <w:vertAlign w:val="superscript"/>
              </w:rPr>
              <w:t>(3)(4)</w:t>
            </w:r>
          </w:p>
        </w:tc>
      </w:tr>
      <w:tr>
        <w:trPr>
          <w:trHeight w:val="209"/>
        </w:trPr>
        <w:tc>
          <w:tcPr>
            <w:tcW w:w="5400" w:type="dxa"/>
            <w:vAlign w:val="bottom"/>
            <w:shd w:val="clear" w:color="auto" w:fill="E6EFFF"/>
          </w:tcPr>
          <w:p>
            <w:pPr>
              <w:spacing w:after="0"/>
              <w:rPr>
                <w:sz w:val="20"/>
                <w:szCs w:val="20"/>
                <w:color w:val="auto"/>
              </w:rPr>
            </w:pPr>
            <w:r>
              <w:rPr>
                <w:rFonts w:ascii="Arial" w:cs="Arial" w:eastAsia="Arial" w:hAnsi="Arial"/>
                <w:sz w:val="18"/>
                <w:szCs w:val="18"/>
                <w:color w:val="auto"/>
              </w:rPr>
              <w:t>Per Unit</w:t>
            </w:r>
          </w:p>
        </w:tc>
        <w:tc>
          <w:tcPr>
            <w:tcW w:w="1700" w:type="dxa"/>
            <w:vAlign w:val="bottom"/>
            <w:shd w:val="clear" w:color="auto" w:fill="E6EFFF"/>
          </w:tcPr>
          <w:p>
            <w:pPr>
              <w:jc w:val="center"/>
              <w:ind w:left="30"/>
              <w:spacing w:after="0"/>
              <w:rPr>
                <w:sz w:val="20"/>
                <w:szCs w:val="20"/>
                <w:color w:val="auto"/>
              </w:rPr>
            </w:pPr>
            <w:r>
              <w:rPr>
                <w:rFonts w:ascii="Arial" w:cs="Arial" w:eastAsia="Arial" w:hAnsi="Arial"/>
                <w:sz w:val="18"/>
                <w:szCs w:val="18"/>
                <w:color w:val="auto"/>
                <w:w w:val="91"/>
              </w:rPr>
              <w:t>US$●</w:t>
            </w:r>
          </w:p>
        </w:tc>
        <w:tc>
          <w:tcPr>
            <w:tcW w:w="240" w:type="dxa"/>
            <w:vAlign w:val="bottom"/>
            <w:shd w:val="clear" w:color="auto" w:fill="E6EFFF"/>
          </w:tcPr>
          <w:p>
            <w:pPr>
              <w:spacing w:after="0"/>
              <w:rPr>
                <w:sz w:val="18"/>
                <w:szCs w:val="18"/>
                <w:color w:val="auto"/>
              </w:rPr>
            </w:pPr>
          </w:p>
        </w:tc>
        <w:tc>
          <w:tcPr>
            <w:tcW w:w="186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95"/>
              </w:rPr>
              <w:t>US$●</w:t>
            </w:r>
          </w:p>
        </w:tc>
        <w:tc>
          <w:tcPr>
            <w:tcW w:w="220" w:type="dxa"/>
            <w:vAlign w:val="bottom"/>
            <w:shd w:val="clear" w:color="auto" w:fill="E6EFFF"/>
          </w:tcPr>
          <w:p>
            <w:pPr>
              <w:spacing w:after="0"/>
              <w:rPr>
                <w:sz w:val="18"/>
                <w:szCs w:val="18"/>
                <w:color w:val="auto"/>
              </w:rPr>
            </w:pPr>
          </w:p>
        </w:tc>
        <w:tc>
          <w:tcPr>
            <w:tcW w:w="1820" w:type="dxa"/>
            <w:vAlign w:val="bottom"/>
            <w:shd w:val="clear" w:color="auto" w:fill="E6EFFF"/>
          </w:tcPr>
          <w:p>
            <w:pPr>
              <w:jc w:val="center"/>
              <w:ind w:right="30"/>
              <w:spacing w:after="0"/>
              <w:rPr>
                <w:sz w:val="20"/>
                <w:szCs w:val="20"/>
                <w:color w:val="auto"/>
              </w:rPr>
            </w:pPr>
            <w:r>
              <w:rPr>
                <w:rFonts w:ascii="Arial" w:cs="Arial" w:eastAsia="Arial" w:hAnsi="Arial"/>
                <w:sz w:val="18"/>
                <w:szCs w:val="18"/>
                <w:color w:val="auto"/>
                <w:w w:val="91"/>
              </w:rPr>
              <w:t>US$●</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jc w:val="center"/>
              <w:ind w:left="30"/>
              <w:spacing w:after="0"/>
              <w:rPr>
                <w:sz w:val="20"/>
                <w:szCs w:val="20"/>
                <w:color w:val="auto"/>
              </w:rPr>
            </w:pPr>
            <w:r>
              <w:rPr>
                <w:rFonts w:ascii="Arial" w:cs="Arial" w:eastAsia="Arial" w:hAnsi="Arial"/>
                <w:sz w:val="18"/>
                <w:szCs w:val="18"/>
                <w:color w:val="auto"/>
                <w:w w:val="91"/>
              </w:rPr>
              <w:t>US$●</w:t>
            </w:r>
          </w:p>
        </w:tc>
        <w:tc>
          <w:tcPr>
            <w:tcW w:w="240" w:type="dxa"/>
            <w:vAlign w:val="bottom"/>
          </w:tcPr>
          <w:p>
            <w:pPr>
              <w:spacing w:after="0"/>
              <w:rPr>
                <w:sz w:val="20"/>
                <w:szCs w:val="20"/>
                <w:color w:val="auto"/>
              </w:rPr>
            </w:pPr>
          </w:p>
        </w:tc>
        <w:tc>
          <w:tcPr>
            <w:tcW w:w="1860" w:type="dxa"/>
            <w:vAlign w:val="bottom"/>
          </w:tcPr>
          <w:p>
            <w:pPr>
              <w:jc w:val="center"/>
              <w:ind w:left="10"/>
              <w:spacing w:after="0"/>
              <w:rPr>
                <w:sz w:val="20"/>
                <w:szCs w:val="20"/>
                <w:color w:val="auto"/>
              </w:rPr>
            </w:pPr>
            <w:r>
              <w:rPr>
                <w:rFonts w:ascii="Arial" w:cs="Arial" w:eastAsia="Arial" w:hAnsi="Arial"/>
                <w:sz w:val="18"/>
                <w:szCs w:val="18"/>
                <w:color w:val="auto"/>
                <w:w w:val="95"/>
              </w:rPr>
              <w:t>US$●</w:t>
            </w:r>
          </w:p>
        </w:tc>
        <w:tc>
          <w:tcPr>
            <w:tcW w:w="220" w:type="dxa"/>
            <w:vAlign w:val="bottom"/>
          </w:tcPr>
          <w:p>
            <w:pPr>
              <w:spacing w:after="0"/>
              <w:rPr>
                <w:sz w:val="20"/>
                <w:szCs w:val="20"/>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color w:val="auto"/>
                <w:w w:val="91"/>
              </w:rPr>
              <w:t>US$●</w:t>
            </w:r>
          </w:p>
        </w:tc>
      </w:tr>
    </w:tbl>
    <w:p>
      <w:pPr>
        <w:spacing w:after="0" w:line="17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Notes:</w:t>
      </w:r>
    </w:p>
    <w:p>
      <w:pPr>
        <w:spacing w:after="0" w:line="212" w:lineRule="exact"/>
        <w:rPr>
          <w:sz w:val="20"/>
          <w:szCs w:val="20"/>
          <w:color w:val="auto"/>
        </w:rPr>
      </w:pPr>
    </w:p>
    <w:p>
      <w:pPr>
        <w:ind w:left="660" w:hanging="396"/>
        <w:spacing w:after="0" w:line="239" w:lineRule="auto"/>
        <w:tabs>
          <w:tab w:leader="none" w:pos="699"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Offering Price was determined by arm's length negotiation between the Corporation and the Lead Underwriter with reference to the then-current market price of the Common Shares.</w:t>
      </w:r>
    </w:p>
    <w:p>
      <w:pPr>
        <w:jc w:val="both"/>
        <w:ind w:left="660" w:hanging="396"/>
        <w:spacing w:after="0" w:line="230" w:lineRule="auto"/>
        <w:tabs>
          <w:tab w:leader="none" w:pos="699"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Corporation has agreed to pay the Underwriters a commission equal to 6% of the total gross proceeds of the Offering (the "</w:t>
      </w:r>
      <w:r>
        <w:rPr>
          <w:rFonts w:ascii="Arial" w:cs="Arial" w:eastAsia="Arial" w:hAnsi="Arial"/>
          <w:sz w:val="22"/>
          <w:szCs w:val="22"/>
          <w:b w:val="1"/>
          <w:bCs w:val="1"/>
          <w:color w:val="auto"/>
        </w:rPr>
        <w:t>Underwriters' Fee</w:t>
      </w:r>
      <w:r>
        <w:rPr>
          <w:rFonts w:ascii="Arial" w:cs="Arial" w:eastAsia="Arial" w:hAnsi="Arial"/>
          <w:sz w:val="22"/>
          <w:szCs w:val="22"/>
          <w:color w:val="auto"/>
        </w:rPr>
        <w:t>"). The Underwriters' Fee shall be reduced to 3% with respect to total gross proceeds received from the sale of Units to purchasers identified by the Corporation, which is to represent no more than $5,000,000 of the aggregate gross proceeds of the Offering (the "</w:t>
      </w:r>
      <w:r>
        <w:rPr>
          <w:rFonts w:ascii="Arial" w:cs="Arial" w:eastAsia="Arial" w:hAnsi="Arial"/>
          <w:sz w:val="22"/>
          <w:szCs w:val="22"/>
          <w:b w:val="1"/>
          <w:bCs w:val="1"/>
          <w:color w:val="auto"/>
        </w:rPr>
        <w:t>President's List</w:t>
      </w:r>
      <w:r>
        <w:rPr>
          <w:rFonts w:ascii="Arial" w:cs="Arial" w:eastAsia="Arial" w:hAnsi="Arial"/>
          <w:sz w:val="22"/>
          <w:szCs w:val="22"/>
          <w:color w:val="auto"/>
        </w:rPr>
        <w:t>").</w:t>
      </w:r>
    </w:p>
    <w:p>
      <w:pPr>
        <w:spacing w:after="0" w:line="2" w:lineRule="exact"/>
        <w:rPr>
          <w:rFonts w:ascii="Arial" w:cs="Arial" w:eastAsia="Arial" w:hAnsi="Arial"/>
          <w:sz w:val="22"/>
          <w:szCs w:val="22"/>
          <w:color w:val="auto"/>
        </w:rPr>
      </w:pPr>
    </w:p>
    <w:p>
      <w:pPr>
        <w:ind w:left="700" w:hanging="437"/>
        <w:spacing w:after="0"/>
        <w:tabs>
          <w:tab w:leader="none" w:pos="700" w:val="left"/>
        </w:tabs>
        <w:numPr>
          <w:ilvl w:val="0"/>
          <w:numId w:val="1"/>
        </w:numPr>
        <w:rPr>
          <w:rFonts w:ascii="Arial" w:cs="Arial" w:eastAsia="Arial" w:hAnsi="Arial"/>
          <w:sz w:val="19"/>
          <w:szCs w:val="19"/>
          <w:color w:val="auto"/>
        </w:rPr>
      </w:pPr>
      <w:r>
        <w:rPr>
          <w:rFonts w:ascii="Arial" w:cs="Arial" w:eastAsia="Arial" w:hAnsi="Arial"/>
          <w:sz w:val="19"/>
          <w:szCs w:val="19"/>
          <w:color w:val="auto"/>
        </w:rPr>
        <w:t>Assumes a total of ● Units, representing gross proceeds of US$●, are being purchased under the President's List.</w:t>
      </w:r>
    </w:p>
    <w:p>
      <w:pPr>
        <w:spacing w:after="0" w:line="24" w:lineRule="exact"/>
        <w:rPr>
          <w:rFonts w:ascii="Arial" w:cs="Arial" w:eastAsia="Arial" w:hAnsi="Arial"/>
          <w:sz w:val="19"/>
          <w:szCs w:val="19"/>
          <w:color w:val="auto"/>
        </w:rPr>
      </w:pPr>
    </w:p>
    <w:p>
      <w:pPr>
        <w:ind w:left="660" w:hanging="396"/>
        <w:spacing w:after="0" w:line="308" w:lineRule="auto"/>
        <w:tabs>
          <w:tab w:leader="none" w:pos="699" w:val="left"/>
        </w:tabs>
        <w:numPr>
          <w:ilvl w:val="0"/>
          <w:numId w:val="1"/>
        </w:numPr>
        <w:rPr>
          <w:rFonts w:ascii="Arial" w:cs="Arial" w:eastAsia="Arial" w:hAnsi="Arial"/>
          <w:sz w:val="19"/>
          <w:szCs w:val="19"/>
          <w:color w:val="auto"/>
        </w:rPr>
      </w:pPr>
      <w:r>
        <w:rPr>
          <w:rFonts w:ascii="Arial" w:cs="Arial" w:eastAsia="Arial" w:hAnsi="Arial"/>
          <w:sz w:val="19"/>
          <w:szCs w:val="19"/>
          <w:color w:val="auto"/>
        </w:rPr>
        <w:t>After deducting the Underwriters' Fee, but before deducting the expenses of the Offering (estimated to be approximately US$●, which together with the Underwriters' Fee, will be paid from the gross proceeds of the Offering).</w:t>
      </w:r>
    </w:p>
    <w:p>
      <w:pPr>
        <w:spacing w:after="0" w:line="12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Underwriters, as principals, conditionally offer the Units in connection with the Offering, subject to prior sale, if, as and when issued by the Corporation and accepted by the Underwriters in accordance with the conditions contained in the Underwriting Agreement referred to under </w:t>
      </w:r>
      <w:r>
        <w:rPr>
          <w:rFonts w:ascii="Arial" w:cs="Arial" w:eastAsia="Arial" w:hAnsi="Arial"/>
          <w:sz w:val="22"/>
          <w:szCs w:val="22"/>
          <w:i w:val="1"/>
          <w:iCs w:val="1"/>
          <w:color w:val="auto"/>
        </w:rPr>
        <w:t>"Plan of Distribution"</w:t>
      </w:r>
      <w:r>
        <w:rPr>
          <w:rFonts w:ascii="Arial" w:cs="Arial" w:eastAsia="Arial" w:hAnsi="Arial"/>
          <w:sz w:val="22"/>
          <w:szCs w:val="22"/>
          <w:color w:val="auto"/>
        </w:rPr>
        <w:t xml:space="preserve"> and subject to the passing upon of certain legal matters relating to the Offering on behalf of the Corporation by Aird &amp; Berlis LLP with respect to Canadian legal matters and Dorsey &amp; Whitney LLP with respect to United States legal matters, and on behalf of the Underwriters by Bennett Jones LLP with respect to certain Canadian legal matters, and by Mintz, Levin, Cohn, Ferris, Glovsky and Popeo, P.C. with respect to certain United States legal matters.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Subscriptions for the Units will be received subject to rejection or allotment in whole or in part and the Underwriters reserve the right to close the subscription books at any time without notice. Closing of the Offering is expected to occur on or about August 4, 2023, or such other date as the Corporation and the Underwriters may agree (the "</w:t>
      </w:r>
      <w:r>
        <w:rPr>
          <w:rFonts w:ascii="Arial" w:cs="Arial" w:eastAsia="Arial" w:hAnsi="Arial"/>
          <w:sz w:val="22"/>
          <w:szCs w:val="22"/>
          <w:b w:val="1"/>
          <w:bCs w:val="1"/>
          <w:color w:val="auto"/>
        </w:rPr>
        <w:t>Closing Date</w:t>
      </w:r>
      <w:r>
        <w:rPr>
          <w:rFonts w:ascii="Arial" w:cs="Arial" w:eastAsia="Arial" w:hAnsi="Arial"/>
          <w:sz w:val="22"/>
          <w:szCs w:val="22"/>
          <w:color w:val="auto"/>
        </w:rPr>
        <w:t>"), provided that the Units are to be taken up by the Underwriters on or before the date that is not later than 42 days after the date of this Prospectus Supplement. See "</w:t>
      </w:r>
      <w:r>
        <w:rPr>
          <w:rFonts w:ascii="Arial" w:cs="Arial" w:eastAsia="Arial" w:hAnsi="Arial"/>
          <w:sz w:val="22"/>
          <w:szCs w:val="22"/>
          <w:i w:val="1"/>
          <w:iCs w:val="1"/>
          <w:color w:val="auto"/>
        </w:rPr>
        <w:t>Plan of Distribution</w:t>
      </w:r>
      <w:r>
        <w:rPr>
          <w:rFonts w:ascii="Arial" w:cs="Arial" w:eastAsia="Arial" w:hAnsi="Arial"/>
          <w:sz w:val="22"/>
          <w:szCs w:val="22"/>
          <w:color w:val="auto"/>
        </w:rPr>
        <w: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It is expected that the Units, Unit Shares and Warrants (collectively, the "</w:t>
      </w:r>
      <w:r>
        <w:rPr>
          <w:rFonts w:ascii="Arial" w:cs="Arial" w:eastAsia="Arial" w:hAnsi="Arial"/>
          <w:sz w:val="19"/>
          <w:szCs w:val="19"/>
          <w:b w:val="1"/>
          <w:bCs w:val="1"/>
          <w:color w:val="auto"/>
        </w:rPr>
        <w:t>Securities</w:t>
      </w:r>
      <w:r>
        <w:rPr>
          <w:rFonts w:ascii="Arial" w:cs="Arial" w:eastAsia="Arial" w:hAnsi="Arial"/>
          <w:sz w:val="19"/>
          <w:szCs w:val="19"/>
          <w:color w:val="auto"/>
        </w:rPr>
        <w:t>") distributed under this Prospectus Supplement will be available for delivery in the book-based system of registration to be registered in the name of CDS Clearing and Depository Services Inc. ("</w:t>
      </w:r>
      <w:r>
        <w:rPr>
          <w:rFonts w:ascii="Arial" w:cs="Arial" w:eastAsia="Arial" w:hAnsi="Arial"/>
          <w:sz w:val="19"/>
          <w:szCs w:val="19"/>
          <w:b w:val="1"/>
          <w:bCs w:val="1"/>
          <w:color w:val="auto"/>
        </w:rPr>
        <w:t>CDS</w:t>
      </w:r>
      <w:r>
        <w:rPr>
          <w:rFonts w:ascii="Arial" w:cs="Arial" w:eastAsia="Arial" w:hAnsi="Arial"/>
          <w:sz w:val="19"/>
          <w:szCs w:val="19"/>
          <w:color w:val="auto"/>
        </w:rPr>
        <w:t>") or its nominee or The Depositary Trust Company ("</w:t>
      </w:r>
      <w:r>
        <w:rPr>
          <w:rFonts w:ascii="Arial" w:cs="Arial" w:eastAsia="Arial" w:hAnsi="Arial"/>
          <w:sz w:val="19"/>
          <w:szCs w:val="19"/>
          <w:b w:val="1"/>
          <w:bCs w:val="1"/>
          <w:color w:val="auto"/>
        </w:rPr>
        <w:t>DTC</w:t>
      </w:r>
      <w:r>
        <w:rPr>
          <w:rFonts w:ascii="Arial" w:cs="Arial" w:eastAsia="Arial" w:hAnsi="Arial"/>
          <w:sz w:val="19"/>
          <w:szCs w:val="19"/>
          <w:color w:val="auto"/>
        </w:rPr>
        <w:t>") and deposited with CDS or DTC on the Closing Date. Generally, a purchaser of Securities will receive only a customer confirmation from the Underwriters or other registered dealer who is a CDS participant (a "</w:t>
      </w:r>
      <w:r>
        <w:rPr>
          <w:rFonts w:ascii="Arial" w:cs="Arial" w:eastAsia="Arial" w:hAnsi="Arial"/>
          <w:sz w:val="19"/>
          <w:szCs w:val="19"/>
          <w:b w:val="1"/>
          <w:bCs w:val="1"/>
          <w:color w:val="auto"/>
        </w:rPr>
        <w:t>CDS Participant</w:t>
      </w:r>
      <w:r>
        <w:rPr>
          <w:rFonts w:ascii="Arial" w:cs="Arial" w:eastAsia="Arial" w:hAnsi="Arial"/>
          <w:sz w:val="19"/>
          <w:szCs w:val="19"/>
          <w:color w:val="auto"/>
        </w:rPr>
        <w:t>") through which the Securities are purchased. For purchasers receiving Securities through CDS's book-based system, CDS will record the CDS Participants who hold Securities on behalf of owners who have purchased Securities in accordance with the book-based system. No certificates evidencing the Unit Shares and Warrants comprising the Units are expected to be issued to purchasers of the Securities.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common shares in the capital of the Corporation (the “</w:t>
      </w:r>
      <w:r>
        <w:rPr>
          <w:rFonts w:ascii="Arial" w:cs="Arial" w:eastAsia="Arial" w:hAnsi="Arial"/>
          <w:sz w:val="19"/>
          <w:szCs w:val="19"/>
          <w:b w:val="1"/>
          <w:bCs w:val="1"/>
          <w:color w:val="auto"/>
        </w:rPr>
        <w:t>Common Shares</w:t>
      </w:r>
      <w:r>
        <w:rPr>
          <w:rFonts w:ascii="Arial" w:cs="Arial" w:eastAsia="Arial" w:hAnsi="Arial"/>
          <w:sz w:val="19"/>
          <w:szCs w:val="19"/>
          <w:color w:val="auto"/>
        </w:rPr>
        <w:t>”) are listed on the Neo Exchange Inc., now operating as Cboe Canada (the “</w:t>
      </w:r>
      <w:r>
        <w:rPr>
          <w:rFonts w:ascii="Arial" w:cs="Arial" w:eastAsia="Arial" w:hAnsi="Arial"/>
          <w:sz w:val="19"/>
          <w:szCs w:val="19"/>
          <w:b w:val="1"/>
          <w:bCs w:val="1"/>
          <w:color w:val="auto"/>
        </w:rPr>
        <w:t>NEO</w:t>
      </w:r>
      <w:r>
        <w:rPr>
          <w:rFonts w:ascii="Arial" w:cs="Arial" w:eastAsia="Arial" w:hAnsi="Arial"/>
          <w:sz w:val="19"/>
          <w:szCs w:val="19"/>
          <w:color w:val="auto"/>
        </w:rPr>
        <w:t>”) under the trading symbol “CYBN”, and in the United States on the NYSE American LLC (the “</w:t>
      </w:r>
      <w:r>
        <w:rPr>
          <w:rFonts w:ascii="Arial" w:cs="Arial" w:eastAsia="Arial" w:hAnsi="Arial"/>
          <w:sz w:val="19"/>
          <w:szCs w:val="19"/>
          <w:b w:val="1"/>
          <w:bCs w:val="1"/>
          <w:color w:val="auto"/>
        </w:rPr>
        <w:t>NYSE American</w:t>
      </w:r>
      <w:r>
        <w:rPr>
          <w:rFonts w:ascii="Arial" w:cs="Arial" w:eastAsia="Arial" w:hAnsi="Arial"/>
          <w:sz w:val="19"/>
          <w:szCs w:val="19"/>
          <w:color w:val="auto"/>
        </w:rPr>
        <w:t>”) under the symbol “CYBN”. On July 31, 2023, the last trading day prior to the announcement of the Offering, the closing prices of the Common Shares listed on the NEO and NYSE American were $0.49 and US$0.3999, respectively. The Corporation has applied and will apply to list the Unit Shares offered by this Prospectus Supplement, and the Warrant Shares issuable upon exercise of the Warrants, as applicable on the NEO and the NYSE American, respectively. Listing will be subject to the Corporation fulfilling all of the listing requirements of the NEO and the NYSE American, as applicable. The Warrants will not be listed on the NEO and the NYSE American. There is currently no market through which the Warrants may be sold and purchasers may not be able to resell the Warrants purchased under this Prospectus Supplement. This may affect the pricing of the securities in the secondary market, the transparency and availability of trading prices, the liquidity of the securities, and the extent of issuer regulation. See “</w:t>
      </w:r>
      <w:r>
        <w:rPr>
          <w:rFonts w:ascii="Arial" w:cs="Arial" w:eastAsia="Arial" w:hAnsi="Arial"/>
          <w:sz w:val="19"/>
          <w:szCs w:val="19"/>
          <w:i w:val="1"/>
          <w:iCs w:val="1"/>
          <w:color w:val="auto"/>
        </w:rPr>
        <w:t>Risk Factors</w:t>
      </w:r>
      <w:r>
        <w:rPr>
          <w:rFonts w:ascii="Arial" w:cs="Arial" w:eastAsia="Arial" w:hAnsi="Arial"/>
          <w:sz w:val="19"/>
          <w:szCs w:val="19"/>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404" w:gutter="0" w:footer="0" w:header="0"/>
        </w:sectPr>
      </w:pPr>
    </w:p>
    <w:bookmarkStart w:id="2" w:name="page3"/>
    <w:bookmarkEnd w:id="2"/>
    <w:p>
      <w:pPr>
        <w:jc w:val="both"/>
        <w:spacing w:after="0" w:line="282" w:lineRule="auto"/>
        <w:rPr>
          <w:sz w:val="20"/>
          <w:szCs w:val="20"/>
          <w:color w:val="auto"/>
        </w:rPr>
      </w:pPr>
      <w:r>
        <w:rPr>
          <w:rFonts w:ascii="Arial" w:cs="Arial" w:eastAsia="Arial" w:hAnsi="Arial"/>
          <w:sz w:val="19"/>
          <w:szCs w:val="19"/>
          <w:color w:val="auto"/>
        </w:rPr>
        <w:t xml:space="preserve">In connection with the Offering, the Underwriters may effect transactions that stabilize or maintain the market price of the Common Shares at levels other than those that may otherwise exist in the open market. Such transactions, if commenced, may be discontinued at any time. </w:t>
      </w:r>
      <w:r>
        <w:rPr>
          <w:rFonts w:ascii="Arial" w:cs="Arial" w:eastAsia="Arial" w:hAnsi="Arial"/>
          <w:sz w:val="19"/>
          <w:szCs w:val="19"/>
          <w:b w:val="1"/>
          <w:bCs w:val="1"/>
          <w:color w:val="auto"/>
        </w:rPr>
        <w:t>After the Underwriters have made reasonable efforts to sell all of the Units at the Offering Price,</w:t>
      </w:r>
      <w:r>
        <w:rPr>
          <w:rFonts w:ascii="Arial" w:cs="Arial" w:eastAsia="Arial" w:hAnsi="Arial"/>
          <w:sz w:val="19"/>
          <w:szCs w:val="19"/>
          <w:color w:val="auto"/>
        </w:rPr>
        <w:t xml:space="preserve"> </w:t>
      </w:r>
      <w:r>
        <w:rPr>
          <w:rFonts w:ascii="Arial" w:cs="Arial" w:eastAsia="Arial" w:hAnsi="Arial"/>
          <w:sz w:val="19"/>
          <w:szCs w:val="19"/>
          <w:b w:val="1"/>
          <w:bCs w:val="1"/>
          <w:color w:val="auto"/>
        </w:rPr>
        <w:t>the Underwriters may subsequently reduce the selling price to investors from time to time in order to sell any of the Units remaining unsold. Any such reduction will not affect the proceeds received by the Corporation. See "</w:t>
      </w:r>
      <w:r>
        <w:rPr>
          <w:rFonts w:ascii="Arial" w:cs="Arial" w:eastAsia="Arial" w:hAnsi="Arial"/>
          <w:sz w:val="19"/>
          <w:szCs w:val="19"/>
          <w:b w:val="1"/>
          <w:bCs w:val="1"/>
          <w:i w:val="1"/>
          <w:iCs w:val="1"/>
          <w:color w:val="auto"/>
        </w:rPr>
        <w:t>Plan of Distribution</w:t>
      </w:r>
      <w:r>
        <w:rPr>
          <w:rFonts w:ascii="Arial" w:cs="Arial" w:eastAsia="Arial" w:hAnsi="Arial"/>
          <w:sz w:val="19"/>
          <w:szCs w:val="19"/>
          <w:b w:val="1"/>
          <w:bCs w:val="1"/>
          <w:color w:val="auto"/>
        </w:rPr>
        <w:t>".</w:t>
      </w:r>
    </w:p>
    <w:p>
      <w:pPr>
        <w:spacing w:after="0" w:line="141"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Prospective investors should be aware that the acquisition of the Securities described herein may have tax consequences both in Canada and the United States. Such consequences, for investors who are resident in, or citizens of, the United States, may not be described fully in this Prospectus Supplement or the accompanying Prospectus, including the Canadian federal income tax consequences applicable to a foreign controlled Canadian corporation that acquires Securities pursuant to this Offering. Investors should read the tax discussion in this Prospectus Supplement and consult their own tax advisors with respect to their own particular circumstances. See "</w:t>
      </w:r>
      <w:r>
        <w:rPr>
          <w:rFonts w:ascii="Arial" w:cs="Arial" w:eastAsia="Arial" w:hAnsi="Arial"/>
          <w:sz w:val="19"/>
          <w:szCs w:val="19"/>
          <w:b w:val="1"/>
          <w:bCs w:val="1"/>
          <w:i w:val="1"/>
          <w:iCs w:val="1"/>
          <w:color w:val="auto"/>
        </w:rPr>
        <w:t>Certain Canadian Federal Income Tax</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Considerations</w:t>
      </w:r>
      <w:r>
        <w:rPr>
          <w:rFonts w:ascii="Arial" w:cs="Arial" w:eastAsia="Arial" w:hAnsi="Arial"/>
          <w:sz w:val="19"/>
          <w:szCs w:val="19"/>
          <w:b w:val="1"/>
          <w:bCs w:val="1"/>
          <w:color w:val="auto"/>
        </w:rPr>
        <w:t>", "</w:t>
      </w:r>
      <w:r>
        <w:rPr>
          <w:rFonts w:ascii="Arial" w:cs="Arial" w:eastAsia="Arial" w:hAnsi="Arial"/>
          <w:sz w:val="19"/>
          <w:szCs w:val="19"/>
          <w:b w:val="1"/>
          <w:bCs w:val="1"/>
          <w:i w:val="1"/>
          <w:iCs w:val="1"/>
          <w:color w:val="auto"/>
        </w:rPr>
        <w:t>Certain United States Federal Income Tax Considerations</w:t>
      </w:r>
      <w:r>
        <w:rPr>
          <w:rFonts w:ascii="Arial" w:cs="Arial" w:eastAsia="Arial" w:hAnsi="Arial"/>
          <w:sz w:val="19"/>
          <w:szCs w:val="19"/>
          <w:b w:val="1"/>
          <w:bCs w:val="1"/>
          <w:color w:val="auto"/>
        </w:rPr>
        <w:t>" and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An investment in the Securities is highly speculative and involves significant risks that investors should consider before purchasing such Securities. Investors should carefully review the "Risk Factors" section of this Prospectus Supplement, the Base Shelf Prospectus and the documents incorporated by reference herein and therein as well as the information under the heading "Cautionary Note Regarding Forward-Looking Information".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Offering is being made by a Canadian issuer that is permitted, under a multijurisdictional disclosure system adopted by the United States and Canada ("MJDS"), to prepare this Prospectus Supplement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SEC independence standards.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The enforcement by investors of civil liabilities under the United States federal securities laws may be affected adversely by the fact that the Corporation is incorporated under the laws of Ontario, Canada, that the majority of its officers and directors are residents of Canada and that a substantial portion of the assets of the Corporation and said persons are located outside the United States. See "</w:t>
      </w:r>
      <w:r>
        <w:rPr>
          <w:rFonts w:ascii="Arial" w:cs="Arial" w:eastAsia="Arial" w:hAnsi="Arial"/>
          <w:sz w:val="21"/>
          <w:szCs w:val="21"/>
          <w:b w:val="1"/>
          <w:bCs w:val="1"/>
          <w:i w:val="1"/>
          <w:iCs w:val="1"/>
          <w:color w:val="auto"/>
        </w:rPr>
        <w:t>Enforceability of Civil Liabilities by U.S. Investors."</w:t>
      </w:r>
    </w:p>
    <w:p>
      <w:pPr>
        <w:spacing w:after="0" w:line="17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financial information of the Corporation incorporated by reference in the Prospectus is presented in Canadian dollars. Unless otherwise noted herein, all references to "US$" are to United States dollars and all references to "C$" or "$", are to Canadian dollars. See "</w:t>
      </w:r>
      <w:r>
        <w:rPr>
          <w:rFonts w:ascii="Arial" w:cs="Arial" w:eastAsia="Arial" w:hAnsi="Arial"/>
          <w:sz w:val="22"/>
          <w:szCs w:val="22"/>
          <w:i w:val="1"/>
          <w:iCs w:val="1"/>
          <w:color w:val="auto"/>
        </w:rPr>
        <w:t>Currency and Exchange Rate</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The Corporation's head and registered office is located at 100 King Street West, Suite 5600, Toronto, ON M5X 1C9.</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THESE SECURITIES HAVE NOT BEEN APPROVED OR DISAPPROVED BY THE SEC OR BY ANY STATE OR CANADIAN SECURITIES COMMISSION OR REGULATORY AUTHORITY, NOR HAS THE SEC OR ANY STATE OR CANADIAN SECURITIES COMMISSION PASSED UPON THE ACCURACY OR ADEQUACY OF THIS PROSPECTUS SUPPLEMENT OR THE ACCOMPANYING PROSPECTUS. ANY REPRESENTATION TO THE CONTRARY IS A CRIMINAL OFFENCE.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Sole Book-Running Manager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Cantor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Lead Manager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 Supplement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900" w:type="dxa"/>
            <w:vAlign w:val="bottom"/>
            <w:gridSpan w:val="27"/>
            <w:shd w:val="clear" w:color="auto" w:fill="EEEEEE"/>
          </w:tcPr>
          <w:p>
            <w:pPr>
              <w:spacing w:after="0"/>
              <w:rPr>
                <w:sz w:val="20"/>
                <w:szCs w:val="20"/>
                <w:color w:val="auto"/>
              </w:rPr>
            </w:pPr>
            <w:r>
              <w:rPr>
                <w:rFonts w:ascii="Arial" w:cs="Arial" w:eastAsia="Arial" w:hAnsi="Arial"/>
                <w:sz w:val="18"/>
                <w:szCs w:val="18"/>
                <w:color w:val="0000EE"/>
              </w:rPr>
              <w:t>ABOUT THIS PROSPECTUS</w:t>
            </w:r>
          </w:p>
        </w:tc>
        <w:tc>
          <w:tcPr>
            <w:tcW w:w="3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0000EE"/>
              </w:rPr>
              <w:t>S-1</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CAUTIONARY STATEMENT REGARDING FORWARD-LOOKING INFORMATION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S-1</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DOCUMENTS FILED AS PART OF THE REGISTRATION STATEMENT</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CURRENCY AND EXCHANGE RATE INFORMATION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THE CORPORATION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DESCRIPTION OF SECURITIES BEING DISTRIBUTED</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S-8</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USE OF PROCEEDS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S-10</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CONSOLIDATED CAPITALIZATION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S-12</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PLAN OF DISTRIBUTION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S-12</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TRADING PRICE AND VOLUME</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PRIOR SALES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RISK FACTORS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S-19</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CERTAIN CANADIAN INCOME TAX CONSIDERATIONS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S-22</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CERTAIN UNITED STATES FEDERAL INCOME TAX CONSIDERATIONS TO U.S. HOLDERS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S-26</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EXPERTS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S-35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AUDITORS, TRANSFER AGENT AND REGISTRAR</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S-35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EXEMPTIONS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S-36</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ADDITIONAL INFORMATION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S-36</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5100" w:type="dxa"/>
            <w:vAlign w:val="bottom"/>
            <w:tcBorders>
              <w:bottom w:val="single" w:sz="8" w:color="0000EE"/>
            </w:tcBorders>
            <w:gridSpan w:val="22"/>
            <w:shd w:val="clear" w:color="auto" w:fill="EEEEEE"/>
          </w:tcPr>
          <w:p>
            <w:pPr>
              <w:spacing w:after="0" w:line="176" w:lineRule="exact"/>
              <w:rPr>
                <w:sz w:val="20"/>
                <w:szCs w:val="20"/>
                <w:color w:val="auto"/>
              </w:rPr>
            </w:pPr>
            <w:r>
              <w:rPr>
                <w:rFonts w:ascii="Arial" w:cs="Arial" w:eastAsia="Arial" w:hAnsi="Arial"/>
                <w:sz w:val="18"/>
                <w:szCs w:val="18"/>
                <w:color w:val="0000EE"/>
                <w:w w:val="98"/>
              </w:rPr>
              <w:t>ENFORCEABILITY OF CIVIL LIABILITIES BY U.S. INVESTORS</w:t>
            </w:r>
          </w:p>
        </w:tc>
        <w:tc>
          <w:tcPr>
            <w:tcW w:w="5800" w:type="dxa"/>
            <w:vAlign w:val="bottom"/>
            <w:tcBorders>
              <w:bottom w:val="single" w:sz="8" w:color="EEEEEE"/>
            </w:tcBorders>
            <w:gridSpan w:val="5"/>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w w:val="84"/>
              </w:rPr>
              <w:t>S-36</w:t>
            </w:r>
          </w:p>
        </w:tc>
      </w:tr>
      <w:tr>
        <w:trPr>
          <w:trHeight w:val="469"/>
        </w:trPr>
        <w:tc>
          <w:tcPr>
            <w:tcW w:w="10900" w:type="dxa"/>
            <w:vAlign w:val="bottom"/>
            <w:gridSpan w:val="27"/>
          </w:tcPr>
          <w:p>
            <w:pPr>
              <w:spacing w:after="0"/>
              <w:rPr>
                <w:sz w:val="20"/>
                <w:szCs w:val="20"/>
                <w:color w:val="auto"/>
              </w:rPr>
            </w:pPr>
            <w:r>
              <w:rPr>
                <w:rFonts w:ascii="Arial" w:cs="Arial" w:eastAsia="Arial" w:hAnsi="Arial"/>
                <w:sz w:val="22"/>
                <w:szCs w:val="22"/>
                <w:b w:val="1"/>
                <w:bCs w:val="1"/>
                <w:color w:val="auto"/>
              </w:rPr>
              <w:t>Base Shelf Prospectus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ABOUT THIS PROSPECTUS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CAUTION REGARDING FORWARD LOOKING INFORMATION AND STATEMENTS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EXEMPTION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TRADEMARKS AND SERVICE MARKS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MARKETING MATERIALS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MARKET AND INDUSTRY DATA</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THE CORPORATION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6</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REGULATORY OVERVIEW</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9</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COMPLIANCE PROGRAM</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23</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CONSOLIDATED CAPITALIZATION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23</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USE OF PROCEEDS</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24</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DIVIDEND POLICY</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25</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9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DESCRIPTION OF SECURITIES BEING DISTRIBUTED</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26</w:t>
            </w:r>
          </w:p>
        </w:tc>
      </w:tr>
      <w:tr>
        <w:trPr>
          <w:trHeight w:val="216"/>
        </w:trPr>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c>
          <w:tcPr>
            <w:tcW w:w="36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r>
      <w:tr>
        <w:trPr>
          <w:trHeight w:val="176"/>
        </w:trPr>
        <w:tc>
          <w:tcPr>
            <w:tcW w:w="10900" w:type="dxa"/>
            <w:vAlign w:val="bottom"/>
            <w:gridSpan w:val="27"/>
            <w:shd w:val="clear" w:color="auto" w:fill="EEEEEE"/>
          </w:tcPr>
          <w:p>
            <w:pPr>
              <w:spacing w:after="0" w:line="176" w:lineRule="exact"/>
              <w:rPr>
                <w:sz w:val="20"/>
                <w:szCs w:val="20"/>
                <w:color w:val="auto"/>
              </w:rPr>
            </w:pPr>
            <w:r>
              <w:rPr>
                <w:rFonts w:ascii="Arial" w:cs="Arial" w:eastAsia="Arial" w:hAnsi="Arial"/>
                <w:sz w:val="18"/>
                <w:szCs w:val="18"/>
                <w:color w:val="0000EE"/>
              </w:rPr>
              <w:t>PLAN OF DISTRIBUTION</w:t>
            </w:r>
          </w:p>
        </w:tc>
        <w:tc>
          <w:tcPr>
            <w:tcW w:w="340" w:type="dxa"/>
            <w:vAlign w:val="bottom"/>
            <w:gridSpan w:val="4"/>
            <w:shd w:val="clear" w:color="auto" w:fill="EEEEEE"/>
          </w:tcPr>
          <w:p>
            <w:pPr>
              <w:jc w:val="right"/>
              <w:spacing w:after="0" w:line="176" w:lineRule="exact"/>
              <w:rPr>
                <w:sz w:val="20"/>
                <w:szCs w:val="20"/>
                <w:color w:val="auto"/>
              </w:rPr>
            </w:pPr>
            <w:r>
              <w:rPr>
                <w:rFonts w:ascii="Arial" w:cs="Arial" w:eastAsia="Arial" w:hAnsi="Arial"/>
                <w:sz w:val="18"/>
                <w:szCs w:val="18"/>
                <w:color w:val="0000EE"/>
              </w:rPr>
              <w:t>30</w:t>
            </w: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c>
          <w:tcPr>
            <w:tcW w:w="36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r>
    </w:tbl>
    <w:p>
      <w:pPr>
        <w:sectPr>
          <w:pgSz w:w="11900" w:h="16838" w:orient="portrait"/>
          <w:cols w:equalWidth="0" w:num="1">
            <w:col w:w="11240"/>
          </w:cols>
          <w:pgMar w:left="320" w:top="328"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gridSpan w:val="4"/>
            <w:shd w:val="clear" w:color="auto" w:fill="EEEEEE"/>
          </w:tcPr>
          <w:p>
            <w:pPr>
              <w:spacing w:after="0"/>
              <w:rPr>
                <w:sz w:val="20"/>
                <w:szCs w:val="20"/>
                <w:color w:val="auto"/>
              </w:rPr>
            </w:pPr>
            <w:r>
              <w:rPr>
                <w:rFonts w:ascii="Arial" w:cs="Arial" w:eastAsia="Arial" w:hAnsi="Arial"/>
                <w:sz w:val="18"/>
                <w:szCs w:val="18"/>
                <w:color w:val="0000EE"/>
              </w:rPr>
              <w:t>RISK FACTORS</w:t>
            </w:r>
          </w:p>
        </w:tc>
        <w:tc>
          <w:tcPr>
            <w:tcW w:w="6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0000EE"/>
              </w:rPr>
              <w:t>31</w:t>
            </w: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67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r>
      <w:tr>
        <w:trPr>
          <w:trHeight w:val="196"/>
        </w:trPr>
        <w:tc>
          <w:tcPr>
            <w:tcW w:w="43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color w:val="0000EE"/>
                <w:w w:val="95"/>
              </w:rPr>
              <w:t>CERTAIN FEDERAL INCOME TAX CONSIDERATIONS</w:t>
            </w:r>
          </w:p>
        </w:tc>
        <w:tc>
          <w:tcPr>
            <w:tcW w:w="690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36</w:t>
            </w: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7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r>
      <w:tr>
        <w:trPr>
          <w:trHeight w:val="196"/>
        </w:trPr>
        <w:tc>
          <w:tcPr>
            <w:tcW w:w="43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color w:val="0000EE"/>
              </w:rPr>
              <w:t>LEGAL MATTERS</w:t>
            </w:r>
          </w:p>
        </w:tc>
        <w:tc>
          <w:tcPr>
            <w:tcW w:w="690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36</w:t>
            </w: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67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r>
      <w:tr>
        <w:trPr>
          <w:trHeight w:val="175"/>
        </w:trPr>
        <w:tc>
          <w:tcPr>
            <w:tcW w:w="43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color w:val="0000EE"/>
              </w:rPr>
              <w:t>AUDITORS,, TRANSFER AGENT AND REGISTRAR</w:t>
            </w:r>
          </w:p>
        </w:tc>
        <w:tc>
          <w:tcPr>
            <w:tcW w:w="6900" w:type="dxa"/>
            <w:vAlign w:val="bottom"/>
            <w:gridSpan w:val="2"/>
            <w:shd w:val="clear" w:color="auto" w:fill="EEEEEE"/>
          </w:tcPr>
          <w:p>
            <w:pPr>
              <w:jc w:val="right"/>
              <w:spacing w:after="0" w:line="176" w:lineRule="exact"/>
              <w:rPr>
                <w:sz w:val="20"/>
                <w:szCs w:val="20"/>
                <w:color w:val="auto"/>
              </w:rPr>
            </w:pPr>
            <w:r>
              <w:rPr>
                <w:rFonts w:ascii="Arial" w:cs="Arial" w:eastAsia="Arial" w:hAnsi="Arial"/>
                <w:sz w:val="18"/>
                <w:szCs w:val="18"/>
                <w:color w:val="0000EE"/>
              </w:rPr>
              <w:t>37</w:t>
            </w: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6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67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ABOUT THIS PROSPECTUS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document consists of two parts. The first part is this Prospectus Supplement, which describes certain terms of the Units that the Corporation is offering and also adds to and updates certain information contained in the Base Shelf Prospectus and the documents incorporated by reference therein. The second part, the Base Shelf Prospectus, gives more general information, some of which may not apply to the Units offered hereunder. Defined terms or abbreviations used in this Prospectus Supplement that are not defined herein have the meanings ascribed thereto in the Base Shelf Prospectus. Investors should rely only on the information contained or incorporated by reference in this Prospectus Supplement and the Base Shelf Prospectus. The Corporation has not, and the Underwriters have not, authorized anyone to provide investors with different or additional information. The Corporation is not, and the Underwriters are not, making an offer to sell Units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Corporation filed the Base Shelf Prospectus with the securities commissions in all Canadian provinces and territories (the "</w:t>
      </w:r>
      <w:r>
        <w:rPr>
          <w:rFonts w:ascii="Arial" w:cs="Arial" w:eastAsia="Arial" w:hAnsi="Arial"/>
          <w:sz w:val="19"/>
          <w:szCs w:val="19"/>
          <w:b w:val="1"/>
          <w:bCs w:val="1"/>
          <w:color w:val="auto"/>
        </w:rPr>
        <w:t>Canadian Qualifying Jurisdictions</w:t>
      </w:r>
      <w:r>
        <w:rPr>
          <w:rFonts w:ascii="Arial" w:cs="Arial" w:eastAsia="Arial" w:hAnsi="Arial"/>
          <w:sz w:val="19"/>
          <w:szCs w:val="19"/>
          <w:color w:val="auto"/>
        </w:rPr>
        <w:t xml:space="preserve"> ") in order to qualify the offering of the securities described in the Base Shelf Prospectus in accordance with National Instrument 44-102 </w:t>
      </w:r>
      <w:r>
        <w:rPr>
          <w:rFonts w:ascii="Arial" w:cs="Arial" w:eastAsia="Arial" w:hAnsi="Arial"/>
          <w:sz w:val="19"/>
          <w:szCs w:val="19"/>
          <w:i w:val="1"/>
          <w:iCs w:val="1"/>
          <w:color w:val="auto"/>
        </w:rPr>
        <w:t>Shelf Distributions</w:t>
      </w:r>
      <w:r>
        <w:rPr>
          <w:rFonts w:ascii="Arial" w:cs="Arial" w:eastAsia="Arial" w:hAnsi="Arial"/>
          <w:sz w:val="19"/>
          <w:szCs w:val="19"/>
          <w:color w:val="auto"/>
        </w:rPr>
        <w:t xml:space="preserve">. The Ontario Securities Commission issued a receipt dated July 5, 2021 in respect of the final Base Shelf Prospectus as the principal regulatory authority under Multilateral Instrument 11-102 </w:t>
      </w:r>
      <w:r>
        <w:rPr>
          <w:rFonts w:ascii="Arial" w:cs="Arial" w:eastAsia="Arial" w:hAnsi="Arial"/>
          <w:sz w:val="19"/>
          <w:szCs w:val="19"/>
          <w:i w:val="1"/>
          <w:iCs w:val="1"/>
          <w:color w:val="auto"/>
        </w:rPr>
        <w:t>Passport System</w:t>
      </w:r>
      <w:r>
        <w:rPr>
          <w:rFonts w:ascii="Arial" w:cs="Arial" w:eastAsia="Arial" w:hAnsi="Arial"/>
          <w:sz w:val="19"/>
          <w:szCs w:val="19"/>
          <w:color w:val="auto"/>
        </w:rPr>
        <w:t>, and each of the other commissions in the Canadian Qualifying Jurisdictions is deemed to have issued a receipt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under National Policy 11-202 </w:t>
      </w:r>
      <w:r>
        <w:rPr>
          <w:rFonts w:ascii="Arial" w:cs="Arial" w:eastAsia="Arial" w:hAnsi="Arial"/>
          <w:sz w:val="19"/>
          <w:szCs w:val="19"/>
          <w:i w:val="1"/>
          <w:iCs w:val="1"/>
          <w:color w:val="auto"/>
        </w:rPr>
        <w:t>Process for Prospectus Review in Multiple Jurisdictions</w:t>
      </w:r>
      <w:r>
        <w:rPr>
          <w:rFonts w:ascii="Arial" w:cs="Arial" w:eastAsia="Arial" w:hAnsi="Arial"/>
          <w:sz w:val="19"/>
          <w:szCs w:val="19"/>
          <w:color w:val="auto"/>
        </w:rPr>
        <w:t>.</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Base Shelf Prospectus also forms part of the Registration Statement on Form F-10 that the Corporation filed with the SEC on October 1, 2021 under the U.S. Securities Act utilizing the MJDS. The Registration Statement became effective under the U.S. Securities Act on October 8, 2021. The Registration Statement incorporates the Base Shelf Prospectus with certain modifications and deletions permitted by Form F-10. This Prospectus Supplement is being filed by the Corporation, with certain modifications and deletions permitted by Form F-10, with the SEC in accordance with the instructions to Form F-10.</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Unless otherwise indicated or the context otherwise requires, all references in this Prospectus Supplement to "</w:t>
      </w:r>
      <w:r>
        <w:rPr>
          <w:rFonts w:ascii="Arial" w:cs="Arial" w:eastAsia="Arial" w:hAnsi="Arial"/>
          <w:sz w:val="22"/>
          <w:szCs w:val="22"/>
          <w:b w:val="1"/>
          <w:bCs w:val="1"/>
          <w:color w:val="auto"/>
        </w:rPr>
        <w:t>Cybin</w:t>
      </w:r>
      <w:r>
        <w:rPr>
          <w:rFonts w:ascii="Arial" w:cs="Arial" w:eastAsia="Arial" w:hAnsi="Arial"/>
          <w:sz w:val="22"/>
          <w:szCs w:val="22"/>
          <w:color w:val="auto"/>
        </w:rPr>
        <w:t>" or the "</w:t>
      </w:r>
      <w:r>
        <w:rPr>
          <w:rFonts w:ascii="Arial" w:cs="Arial" w:eastAsia="Arial" w:hAnsi="Arial"/>
          <w:sz w:val="22"/>
          <w:szCs w:val="22"/>
          <w:b w:val="1"/>
          <w:bCs w:val="1"/>
          <w:color w:val="auto"/>
        </w:rPr>
        <w:t>Corporation</w:t>
      </w:r>
      <w:r>
        <w:rPr>
          <w:rFonts w:ascii="Arial" w:cs="Arial" w:eastAsia="Arial" w:hAnsi="Arial"/>
          <w:sz w:val="22"/>
          <w:szCs w:val="22"/>
          <w:color w:val="auto"/>
        </w:rPr>
        <w:t>", except as otherwise indicated or as the context otherwise indicates, mean Cybin Inc. and its subsidiaries and associated corporations</w:t>
      </w:r>
      <w:r>
        <w:rPr>
          <w:rFonts w:ascii="Arial" w:cs="Arial" w:eastAsia="Arial" w:hAnsi="Arial"/>
          <w:sz w:val="22"/>
          <w:szCs w:val="22"/>
          <w:i w:val="1"/>
          <w:iCs w:val="1"/>
          <w:color w:val="auto"/>
        </w:rPr>
        <w: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Arial" w:cs="Arial" w:eastAsia="Arial" w:hAnsi="Arial"/>
          <w:sz w:val="22"/>
          <w:szCs w:val="22"/>
          <w:i w:val="1"/>
          <w:iCs w:val="1"/>
          <w:color w:val="auto"/>
        </w:rPr>
        <w:t>Documents Incorporated by Reference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INFORMATION</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Certain statements contained in this Prospectus Supplement, and in certain documents incorporated by reference herein, constitute "forward-looking information" and "forward-looking statements," within the meaning of applicable securities laws.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and in documents incorporated by reference 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and the Corporation assumes no obligation to update or revise them to reflect subsequent information, events or circumstances or otherwise, except as required by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377" w:gutter="0" w:footer="0" w:header="0"/>
        </w:sectPr>
      </w:pPr>
    </w:p>
    <w:bookmarkStart w:id="7" w:name="page8"/>
    <w:bookmarkEnd w:id="7"/>
    <w:p>
      <w:pPr>
        <w:jc w:val="both"/>
        <w:spacing w:after="0" w:line="238" w:lineRule="auto"/>
        <w:rPr>
          <w:sz w:val="20"/>
          <w:szCs w:val="20"/>
          <w:color w:val="auto"/>
        </w:rPr>
      </w:pPr>
      <w:r>
        <w:rPr>
          <w:rFonts w:ascii="Arial" w:cs="Arial" w:eastAsia="Arial" w:hAnsi="Arial"/>
          <w:sz w:val="22"/>
          <w:szCs w:val="22"/>
          <w:color w:val="auto"/>
        </w:rPr>
        <w:t>The forward-looking statements in this Prospectus Supplement and in documents incorporated by reference 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Some of the risks which could affect future results and could cause results to differ materially from those expressed in the forward-looking statements contained herein include: completion of the Offering and receipt of all regulatory and stock exchange approvals; listing of the Unit Shares and Warrant Shares issuable under the Offering; the net proceeds, if any, from sales under this Prospectus Supplement; the Corporation's use of proceeds and business objectives and milestones and the anticipated timing of execution, see </w:t>
      </w:r>
      <w:r>
        <w:rPr>
          <w:rFonts w:ascii="Arial" w:cs="Arial" w:eastAsia="Arial" w:hAnsi="Arial"/>
          <w:sz w:val="19"/>
          <w:szCs w:val="19"/>
          <w:i w:val="1"/>
          <w:iCs w:val="1"/>
          <w:color w:val="auto"/>
        </w:rPr>
        <w:t>"Use of Proceeds"</w:t>
      </w:r>
      <w:r>
        <w:rPr>
          <w:rFonts w:ascii="Arial" w:cs="Arial" w:eastAsia="Arial" w:hAnsi="Arial"/>
          <w:sz w:val="19"/>
          <w:szCs w:val="19"/>
          <w:color w:val="auto"/>
        </w:rPr>
        <w:t>; effects of the coronavirus "COVID-19"; limited operating history; achieving publicly announced milestones; speculative nature of investment risk; early stage of the industry and product development; regulatory risks and uncertainties;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Securities is highly speculative; completion of the Offering; negative operating cash flow and going concern; discretion in the use of proceeds; potential dilution; trading market; significant sales of Common Shares; positive return not guaranteed; the Corporation's expectation that it will be a "passive foreign investment company"; speculative nature of Warrants.</w:t>
      </w:r>
    </w:p>
    <w:p>
      <w:pPr>
        <w:spacing w:after="0" w:line="200" w:lineRule="exact"/>
        <w:rPr>
          <w:sz w:val="20"/>
          <w:szCs w:val="20"/>
          <w:color w:val="auto"/>
        </w:rPr>
      </w:pPr>
    </w:p>
    <w:p>
      <w:pPr>
        <w:spacing w:after="0" w:line="21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4" w:lineRule="exact"/>
        <w:rPr>
          <w:sz w:val="20"/>
          <w:szCs w:val="20"/>
          <w:color w:val="auto"/>
        </w:rPr>
      </w:pPr>
    </w:p>
    <w:p>
      <w:pPr>
        <w:ind w:left="660" w:hanging="331"/>
        <w:spacing w:after="0" w:line="239"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substantial fluctuation of losses from quarter to quarter and year to year due to numerous external risk factors, and anticipation that the Corporation will continue to incur significant losses in the future;</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uncertainty as to the Corporation's ability to raise additional funding to support operations;</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Corporation's ability to access additional funding;</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fluctuation of foreign exchange rates;</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duration of COVID-19 and the extent of its economic and social impact;</w:t>
      </w:r>
    </w:p>
    <w:p>
      <w:pPr>
        <w:ind w:left="660" w:hanging="331"/>
        <w:spacing w:after="0" w:line="236"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risks associated with the development of the Corporation's product candidates which are at early stages of development;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 w:name="page9"/>
    <w:bookmarkEnd w:id="8"/>
    <w:p>
      <w:pPr>
        <w:ind w:left="680" w:hanging="351"/>
        <w:spacing w:after="0"/>
        <w:tabs>
          <w:tab w:leader="none" w:pos="680" w:val="left"/>
        </w:tabs>
        <w:numPr>
          <w:ilvl w:val="0"/>
          <w:numId w:val="3"/>
        </w:numPr>
        <w:rPr>
          <w:rFonts w:ascii="Arial" w:cs="Arial" w:eastAsia="Arial" w:hAnsi="Arial"/>
          <w:sz w:val="19"/>
          <w:szCs w:val="19"/>
          <w:color w:val="auto"/>
        </w:rPr>
      </w:pPr>
      <w:r>
        <w:rPr>
          <w:rFonts w:ascii="Arial" w:cs="Arial" w:eastAsia="Arial" w:hAnsi="Arial"/>
          <w:sz w:val="19"/>
          <w:szCs w:val="19"/>
          <w:color w:val="auto"/>
        </w:rPr>
        <w:t>reliance upon industry publications as the Corporation's primary sources for third-party industry data and forecasts;</w:t>
      </w:r>
    </w:p>
    <w:p>
      <w:pPr>
        <w:spacing w:after="0" w:line="42" w:lineRule="exact"/>
        <w:rPr>
          <w:rFonts w:ascii="Arial" w:cs="Arial" w:eastAsia="Arial" w:hAnsi="Arial"/>
          <w:sz w:val="19"/>
          <w:szCs w:val="19"/>
          <w:color w:val="auto"/>
        </w:rPr>
      </w:pP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reliance on third parties to plan, conduct and monitor the Corporation's preclinical studies and clinical trials;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reliance on third party contract manufacturers to deliver quality clinical and preclinical materials;</w:t>
      </w:r>
    </w:p>
    <w:p>
      <w:pPr>
        <w:ind w:left="660" w:hanging="331"/>
        <w:spacing w:after="0" w:line="230" w:lineRule="auto"/>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Arial" w:cs="Arial" w:eastAsia="Arial" w:hAnsi="Arial"/>
          <w:sz w:val="22"/>
          <w:szCs w:val="22"/>
          <w:color w:val="auto"/>
        </w:rPr>
      </w:pPr>
    </w:p>
    <w:p>
      <w:pPr>
        <w:ind w:left="660" w:hanging="331"/>
        <w:spacing w:after="0" w:line="230" w:lineRule="auto"/>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risks related to filing investigational new drug applications to commence clinical trials and to continue clinical trials if approved;</w:t>
      </w:r>
    </w:p>
    <w:p>
      <w:pPr>
        <w:spacing w:after="0" w:line="1" w:lineRule="exact"/>
        <w:rPr>
          <w:rFonts w:ascii="Arial" w:cs="Arial" w:eastAsia="Arial" w:hAnsi="Arial"/>
          <w:sz w:val="22"/>
          <w:szCs w:val="22"/>
          <w:color w:val="auto"/>
        </w:rPr>
      </w:pP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risks of delays and inability to complete clinical trials due to difficulties enrolling patients;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competition from other biotechnology and pharmaceutical companies;</w:t>
      </w:r>
    </w:p>
    <w:p>
      <w:pPr>
        <w:ind w:left="660" w:hanging="331"/>
        <w:spacing w:after="0" w:line="230" w:lineRule="auto"/>
        <w:tabs>
          <w:tab w:leader="none" w:pos="68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Arial" w:cs="Arial" w:eastAsia="Arial" w:hAnsi="Arial"/>
          <w:sz w:val="22"/>
          <w:szCs w:val="22"/>
          <w:color w:val="auto"/>
        </w:rPr>
      </w:pP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ability to fully realize the benefits of acquisitions;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risk of patent-related or other litigation; and</w:t>
      </w:r>
    </w:p>
    <w:p>
      <w:pPr>
        <w:ind w:left="660" w:hanging="331"/>
        <w:spacing w:after="0" w:line="236" w:lineRule="auto"/>
        <w:tabs>
          <w:tab w:leader="none" w:pos="67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risk of unforeseen changes to the laws or regulations in the United States, the United Kingdom, Canada, the Netherlands, Ireland and other jurisdictions in which the Corporation operates.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In addition to the factors set out above and those identified under the heading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Many of these factors are beyond the Corporation's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Corporation's behalf, are expressly qualified in their entirety by the cautionary statements. Except as required by law, the Corporation undertakes no obligation to update any forward-looking statement.</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Arial" w:cs="Arial" w:eastAsia="Arial" w:hAnsi="Arial"/>
          <w:sz w:val="21"/>
          <w:szCs w:val="21"/>
          <w:color w:val="auto"/>
        </w:rPr>
        <w:t>Investors should read this entire</w:t>
      </w:r>
      <w:r>
        <w:rPr>
          <w:rFonts w:ascii="Arial" w:cs="Arial" w:eastAsia="Arial" w:hAnsi="Arial"/>
          <w:sz w:val="21"/>
          <w:szCs w:val="21"/>
          <w:b w:val="1"/>
          <w:bCs w:val="1"/>
          <w:color w:val="auto"/>
        </w:rPr>
        <w:t xml:space="preserve"> </w:t>
      </w:r>
      <w:r>
        <w:rPr>
          <w:rFonts w:ascii="Arial" w:cs="Arial" w:eastAsia="Arial" w:hAnsi="Arial"/>
          <w:sz w:val="21"/>
          <w:szCs w:val="21"/>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ssecurities of the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This Prospectus Supplement is deemed to be incorporated by reference in the Base Shelf Prospectus solely for the purpose of the Offering.</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As at the date hereof, the following documents of the Corporation filed with the securities commissions or similar authorities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Canada are incorporated by reference in this Prospectus Supplement:</w:t>
      </w:r>
    </w:p>
    <w:p>
      <w:pPr>
        <w:spacing w:after="0" w:line="182" w:lineRule="exact"/>
        <w:rPr>
          <w:sz w:val="20"/>
          <w:szCs w:val="20"/>
          <w:color w:val="auto"/>
        </w:rPr>
      </w:pPr>
    </w:p>
    <w:p>
      <w:pPr>
        <w:ind w:left="520" w:hanging="256"/>
        <w:spacing w:after="0" w:line="256"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annual information form of the Corporation dated June 27, 2023 (the "</w:t>
      </w:r>
      <w:r>
        <w:rPr>
          <w:rFonts w:ascii="Arial" w:cs="Arial" w:eastAsia="Arial" w:hAnsi="Arial"/>
          <w:sz w:val="22"/>
          <w:szCs w:val="22"/>
          <w:b w:val="1"/>
          <w:bCs w:val="1"/>
          <w:color w:val="auto"/>
        </w:rPr>
        <w:t>Annual Information Form</w:t>
      </w:r>
      <w:r>
        <w:rPr>
          <w:rFonts w:ascii="Arial" w:cs="Arial" w:eastAsia="Arial" w:hAnsi="Arial"/>
          <w:sz w:val="22"/>
          <w:szCs w:val="22"/>
          <w:color w:val="auto"/>
        </w:rPr>
        <w:t>") for the year ended March 31, 2023;</w:t>
      </w:r>
    </w:p>
    <w:p>
      <w:pPr>
        <w:spacing w:after="0" w:line="168" w:lineRule="exact"/>
        <w:rPr>
          <w:rFonts w:ascii="Arial" w:cs="Arial" w:eastAsia="Arial" w:hAnsi="Arial"/>
          <w:sz w:val="22"/>
          <w:szCs w:val="22"/>
          <w:color w:val="auto"/>
        </w:rPr>
      </w:pPr>
    </w:p>
    <w:p>
      <w:pPr>
        <w:ind w:left="520" w:hanging="256"/>
        <w:spacing w:after="0" w:line="274" w:lineRule="auto"/>
        <w:tabs>
          <w:tab w:leader="none" w:pos="546"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audited consolidated financial statements of the Corporation and the notes thereto as at and for the fiscal years ended March 31, 2023 and 2022, together with the auditor's report thereon (the "</w:t>
      </w:r>
      <w:r>
        <w:rPr>
          <w:rFonts w:ascii="Arial" w:cs="Arial" w:eastAsia="Arial" w:hAnsi="Arial"/>
          <w:sz w:val="21"/>
          <w:szCs w:val="21"/>
          <w:b w:val="1"/>
          <w:bCs w:val="1"/>
          <w:color w:val="auto"/>
        </w:rPr>
        <w:t>Annual Financial Statements</w:t>
      </w:r>
      <w:r>
        <w:rPr>
          <w:rFonts w:ascii="Arial" w:cs="Arial" w:eastAsia="Arial" w:hAnsi="Arial"/>
          <w:sz w:val="21"/>
          <w:szCs w:val="21"/>
          <w:color w:val="auto"/>
        </w:rPr>
        <w:t>");</w:t>
      </w:r>
    </w:p>
    <w:p>
      <w:pPr>
        <w:spacing w:after="0" w:line="144" w:lineRule="exact"/>
        <w:rPr>
          <w:rFonts w:ascii="Arial" w:cs="Arial" w:eastAsia="Arial" w:hAnsi="Arial"/>
          <w:sz w:val="21"/>
          <w:szCs w:val="21"/>
          <w:color w:val="auto"/>
        </w:rPr>
      </w:pPr>
    </w:p>
    <w:p>
      <w:pPr>
        <w:ind w:left="540" w:hanging="276"/>
        <w:spacing w:after="0"/>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color w:val="auto"/>
        </w:rPr>
        <w:t>management's discussion and analysis of the Corporation for the year ended March 31, 2023 (the "</w:t>
      </w:r>
      <w:r>
        <w:rPr>
          <w:rFonts w:ascii="Arial" w:cs="Arial" w:eastAsia="Arial" w:hAnsi="Arial"/>
          <w:sz w:val="19"/>
          <w:szCs w:val="19"/>
          <w:b w:val="1"/>
          <w:bCs w:val="1"/>
          <w:color w:val="auto"/>
        </w:rPr>
        <w:t>Annual MD&amp;A</w:t>
      </w:r>
      <w:r>
        <w:rPr>
          <w:rFonts w:ascii="Arial" w:cs="Arial" w:eastAsia="Arial" w:hAnsi="Arial"/>
          <w:sz w:val="19"/>
          <w:szCs w:val="19"/>
          <w:color w:val="auto"/>
        </w:rPr>
        <w:t>"); and</w:t>
      </w:r>
    </w:p>
    <w:p>
      <w:pPr>
        <w:spacing w:after="0" w:line="246" w:lineRule="exact"/>
        <w:rPr>
          <w:rFonts w:ascii="Arial" w:cs="Arial" w:eastAsia="Arial" w:hAnsi="Arial"/>
          <w:sz w:val="19"/>
          <w:szCs w:val="19"/>
          <w:color w:val="auto"/>
        </w:rPr>
      </w:pPr>
    </w:p>
    <w:p>
      <w:pPr>
        <w:ind w:left="520" w:hanging="256"/>
        <w:spacing w:after="0" w:line="250"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management information circular of the Corporation dated July 13, 2022 relating to an annual meeting of shareholders of the Corporation held on August 15, 2022.</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Any document of the type referred to in Section 11.1 of Form 44-101F1 - </w:t>
      </w:r>
      <w:r>
        <w:rPr>
          <w:rFonts w:ascii="Arial" w:cs="Arial" w:eastAsia="Arial" w:hAnsi="Arial"/>
          <w:sz w:val="22"/>
          <w:szCs w:val="22"/>
          <w:i w:val="1"/>
          <w:iCs w:val="1"/>
          <w:color w:val="auto"/>
        </w:rPr>
        <w:t>Short Form Prospectus Distributions</w:t>
      </w:r>
      <w:r>
        <w:rPr>
          <w:rFonts w:ascii="Arial" w:cs="Arial" w:eastAsia="Arial" w:hAnsi="Arial"/>
          <w:sz w:val="22"/>
          <w:szCs w:val="22"/>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addition, to the extent any such document is included in any report on Form 6-K furnished to the SEC or in any report on Form 40-F or 20-F, as applicable, (or any respective successor form) filed with the SEC subsequent to the date of this Prospectus Supplement, such document shall be deemed to be incorporated by reference as exhibits to the Registration Statement of which this Prospectus Supplement forms a part (in the case of any report on Form 6-K, if and to the extent expressly set forth in such report). In addition, any other report on Form 6-K and the exhibits thereto filed or furnished by the Corporation with the SEC, and any other reports filed, under the United States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from the date of this Prospectus Supplement shall be deemed to be incorporated by reference as exhibits to the Registration Statement of which this Prospectus Supplement forms a part, but only if and to the extent expressly so provided in any such report.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jc w:val="both"/>
        <w:spacing w:after="0" w:line="297" w:lineRule="auto"/>
        <w:rPr>
          <w:sz w:val="20"/>
          <w:szCs w:val="20"/>
          <w:color w:val="auto"/>
        </w:rPr>
      </w:pPr>
      <w:r>
        <w:rPr>
          <w:rFonts w:ascii="Arial" w:cs="Arial" w:eastAsia="Arial" w:hAnsi="Arial"/>
          <w:sz w:val="19"/>
          <w:szCs w:val="19"/>
          <w:color w:val="auto"/>
        </w:rPr>
        <w:t xml:space="preserve">Copies of the documents incorporated by reference herein will be available electronically on the Corporation's SEDAR profile, which can be accessed at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from the Corporation's EDGAR profile at </w:t>
      </w:r>
      <w:r>
        <w:rPr>
          <w:rFonts w:ascii="Arial" w:cs="Arial" w:eastAsia="Arial" w:hAnsi="Arial"/>
          <w:sz w:val="19"/>
          <w:szCs w:val="19"/>
          <w:u w:val="single" w:color="auto"/>
          <w:color w:val="0563C1"/>
        </w:rPr>
        <w:t>www.sec.gov</w:t>
      </w:r>
      <w:r>
        <w:rPr>
          <w:rFonts w:ascii="Arial" w:cs="Arial" w:eastAsia="Arial" w:hAnsi="Arial"/>
          <w:sz w:val="19"/>
          <w:szCs w:val="19"/>
          <w:color w:val="auto"/>
        </w:rPr>
        <w:t>. The Corporation's filings through SEDAR and EDGAR are not incorporated by reference in the Prospectus except as specifically set out herein.</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Any statement contained in this Prospectus Supplement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FILED AS PART OF THE REGISTRATION STATEMENT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documents have been or will be filed with the SEC as part of Registration Statement: (i) the documents set out under the heading "Documents Incorporated by Reference" in this Prospectus Supplement and the Base Shelf Prospectus; (ii) the consents of the Corporation's auditor and legal counsels; (iii) powers of attorney from certain of the Corporation's directors and officers (included on the signature page of the Registration Statement); and (iv) the Underwriting Agreement described in this Prospectus Supplement.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CURRENCY AND EXCHANGE RATE INFORMATION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this Prospectus Supplement, unless otherwise indicated, all dollar amounts and references to "US$" are to U.S. dollars and references to "C$" and "$" are to Canadian dollars. This Prospectus Supplement contains translations of some Canadian dollar amounts into U.S. dollars solely for convenience.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sets forth, for the periods indicated, the high, low, average and period-end rates of exchange for US$1.00, expressed in Canadian dollars, posted by the Bank of Canada:</w:t>
      </w:r>
    </w:p>
    <w:p>
      <w:pPr>
        <w:spacing w:after="0" w:line="178"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r>
      <w:tr>
        <w:trPr>
          <w:trHeight w:val="234"/>
        </w:trPr>
        <w:tc>
          <w:tcPr>
            <w:tcW w:w="346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210"/>
        </w:trPr>
        <w:tc>
          <w:tcPr>
            <w:tcW w:w="3460" w:type="dxa"/>
            <w:vAlign w:val="bottom"/>
            <w:shd w:val="clear" w:color="auto" w:fill="E6EFFF"/>
          </w:tcPr>
          <w:p>
            <w:pPr>
              <w:ind w:left="20"/>
              <w:spacing w:after="0"/>
              <w:rPr>
                <w:sz w:val="20"/>
                <w:szCs w:val="20"/>
                <w:color w:val="auto"/>
              </w:rPr>
            </w:pPr>
            <w:r>
              <w:rPr>
                <w:rFonts w:ascii="Arial" w:cs="Arial" w:eastAsia="Arial" w:hAnsi="Arial"/>
                <w:sz w:val="18"/>
                <w:szCs w:val="18"/>
                <w:color w:val="auto"/>
              </w:rPr>
              <w:t>Highest rate during the period</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C$1.3856</w:t>
            </w: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Lowest rate during the period</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C$1.2540</w:t>
            </w:r>
          </w:p>
        </w:tc>
      </w:tr>
      <w:tr>
        <w:trPr>
          <w:trHeight w:val="216"/>
        </w:trPr>
        <w:tc>
          <w:tcPr>
            <w:tcW w:w="3460" w:type="dxa"/>
            <w:vAlign w:val="bottom"/>
            <w:shd w:val="clear" w:color="auto" w:fill="E6EFFF"/>
          </w:tcPr>
          <w:p>
            <w:pPr>
              <w:ind w:left="20"/>
              <w:spacing w:after="0"/>
              <w:rPr>
                <w:sz w:val="20"/>
                <w:szCs w:val="20"/>
                <w:color w:val="auto"/>
              </w:rPr>
            </w:pPr>
            <w:r>
              <w:rPr>
                <w:rFonts w:ascii="Arial" w:cs="Arial" w:eastAsia="Arial" w:hAnsi="Arial"/>
                <w:sz w:val="18"/>
                <w:szCs w:val="18"/>
                <w:color w:val="auto"/>
              </w:rPr>
              <w:t>Average rate for the period</w:t>
            </w:r>
          </w:p>
        </w:tc>
        <w:tc>
          <w:tcPr>
            <w:tcW w:w="21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C$1.3283</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Rate at the end of the period</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C$1.3544</w:t>
            </w:r>
          </w:p>
        </w:tc>
      </w:tr>
    </w:tbl>
    <w:p>
      <w:pPr>
        <w:spacing w:after="0" w:line="180"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July 31, 2023, the daily average exchange rate posted by the Bank of Canada for conversion of U.S. dollars into Canadian dollars was US$1.00 = C$1.3177 (the "</w:t>
      </w:r>
      <w:r>
        <w:rPr>
          <w:rFonts w:ascii="Arial" w:cs="Arial" w:eastAsia="Arial" w:hAnsi="Arial"/>
          <w:sz w:val="22"/>
          <w:szCs w:val="22"/>
          <w:b w:val="1"/>
          <w:bCs w:val="1"/>
          <w:color w:val="auto"/>
        </w:rPr>
        <w:t>2023 Rate</w:t>
      </w:r>
      <w:r>
        <w:rPr>
          <w:rFonts w:ascii="Arial" w:cs="Arial" w:eastAsia="Arial" w:hAnsi="Arial"/>
          <w:sz w:val="22"/>
          <w:szCs w:val="22"/>
          <w:color w:val="auto"/>
        </w:rPr>
        <w:t>"). Unless otherwise indicated, currency translation in this Prospectus Supplement reflects the 2023 Rate.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CORPORATION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This summary does not contain all the information that may be important to an investor in deciding whether to invest in the Securities. An investor should read the entire Prospectus, including the section entitled "Risk Factors", the applicable Prospectus Supplement, and the documents incorporated by reference herein, including the Annual Information Form, before making such decision.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Summary of the Business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Arial" w:cs="Arial" w:eastAsia="Arial" w:hAnsi="Arial"/>
          <w:sz w:val="35"/>
          <w:szCs w:val="35"/>
          <w:color w:val="auto"/>
          <w:vertAlign w:val="superscript"/>
        </w:rPr>
        <w:t>1</w:t>
      </w:r>
    </w:p>
    <w:p>
      <w:pPr>
        <w:spacing w:after="0" w:line="3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Corporation's research and development work focuses on a three-pillar strategy that leverages the Corporation's core competencies in preclinical innovation and clinical development. This strategy supports the creation of intellectual property focused on developing the Corporation's platform technology, the progression of clinical development programs including CYB003, a deuterated psilocybin analog, CYB004, a deuterated version of N, N-dimethyltryptamine, CYB005, phenethylamine derivatives, and an expansive list of preclinical molecules to facilitate future drug development opportunities.</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Corporation currently has more than 50 pending patent applications across six patent families and spanning seven research programs through a combination of internal filings and external licensing agreements.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Advancement of Mental Healthcare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Across its extensive research and development programs, the Corporation is evaluating a wide array of novel, synthetic psychedelic active pharmaceutical ingredients intended to be delivered through innovative drug delivery systems including orally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disintegrating tablets</w:t>
      </w:r>
      <w:r>
        <w:rPr>
          <w:rFonts w:ascii="Arial" w:cs="Arial" w:eastAsia="Arial" w:hAnsi="Arial"/>
          <w:sz w:val="35"/>
          <w:szCs w:val="35"/>
          <w:color w:val="auto"/>
          <w:vertAlign w:val="superscript"/>
        </w:rPr>
        <w:t>2</w:t>
      </w:r>
      <w:r>
        <w:rPr>
          <w:rFonts w:ascii="Arial" w:cs="Arial" w:eastAsia="Arial" w:hAnsi="Arial"/>
          <w:sz w:val="22"/>
          <w:szCs w:val="22"/>
          <w:color w:val="auto"/>
        </w:rPr>
        <w:t>, via inhalation, via intravenous, and intramuscular, or subcutaneous administration</w:t>
      </w:r>
      <w:r>
        <w:rPr>
          <w:rFonts w:ascii="Arial" w:cs="Arial" w:eastAsia="Arial" w:hAnsi="Arial"/>
          <w:sz w:val="35"/>
          <w:szCs w:val="35"/>
          <w:color w:val="auto"/>
          <w:vertAlign w:val="superscript"/>
        </w:rPr>
        <w:t>3.</w:t>
      </w:r>
    </w:p>
    <w:p>
      <w:pPr>
        <w:spacing w:after="0" w:line="10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Arial" w:cs="Arial" w:eastAsia="Arial" w:hAnsi="Arial"/>
          <w:sz w:val="35"/>
          <w:szCs w:val="35"/>
          <w:color w:val="auto"/>
          <w:vertAlign w:val="superscript"/>
        </w:rPr>
        <w:t>4</w:t>
      </w:r>
      <w:r>
        <w:rPr>
          <w:rFonts w:ascii="Arial" w:cs="Arial" w:eastAsia="Arial" w:hAnsi="Arial"/>
          <w:sz w:val="22"/>
          <w:szCs w:val="22"/>
          <w:color w:val="auto"/>
        </w:rPr>
        <w:t>. The Corporation is also developing compounds that may have the potential to address neuroinflammation</w:t>
      </w:r>
      <w:r>
        <w:rPr>
          <w:rFonts w:ascii="Arial" w:cs="Arial" w:eastAsia="Arial" w:hAnsi="Arial"/>
          <w:sz w:val="35"/>
          <w:szCs w:val="35"/>
          <w:color w:val="auto"/>
          <w:vertAlign w:val="superscript"/>
        </w:rPr>
        <w:t>5</w:t>
      </w:r>
      <w:r>
        <w:rPr>
          <w:rFonts w:ascii="Arial" w:cs="Arial" w:eastAsia="Arial" w:hAnsi="Arial"/>
          <w:sz w:val="22"/>
          <w:szCs w:val="22"/>
          <w:color w:val="auto"/>
        </w:rPr>
        <w:t>, central nervous system disorders, and psychiatric disorders</w:t>
      </w:r>
      <w:r>
        <w:rPr>
          <w:rFonts w:ascii="Arial" w:cs="Arial" w:eastAsia="Arial" w:hAnsi="Arial"/>
          <w:sz w:val="35"/>
          <w:szCs w:val="35"/>
          <w:color w:val="auto"/>
          <w:vertAlign w:val="superscript"/>
        </w:rPr>
        <w:t>6</w:t>
      </w:r>
      <w:r>
        <w:rPr>
          <w:rFonts w:ascii="Arial" w:cs="Arial" w:eastAsia="Arial" w:hAnsi="Arial"/>
          <w:sz w:val="22"/>
          <w:szCs w:val="22"/>
          <w:color w:val="auto"/>
        </w:rPr>
        <w:t>.</w:t>
      </w:r>
    </w:p>
    <w:p>
      <w:pPr>
        <w:spacing w:after="0" w:line="3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additional information in respect of the Corporation and its operation, please see the Annual MD&amp;A incorporated by reference into this Prospectus Supplement.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Other than as set forth below and generally in this Prospectus Supplement, the Base Shelf Prospectus or the documents incorporated by reference herein, there have been no material developments in the business of the Corporation since June 27, 2023, the date of the Corporation's most recently issued Annual Financial Statements and Annual MD&amp;A.</w:t>
      </w:r>
    </w:p>
    <w:p>
      <w:pPr>
        <w:spacing w:after="0" w:line="16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On June 29, 2023, the Corporation announced the appointment of Aaron Bartlone as Chief Operating Officer, effective July 1, 2023. Mr. Bartlone has served as Chief Operating Officer of Cybin's U.S. subsidiary, Cybin US Holdings, Inc., since March 2021.</w:t>
      </w:r>
    </w:p>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July 20, 2023, the Corporation commended HI, LLC dba Kernel ("</w:t>
      </w:r>
      <w:r>
        <w:rPr>
          <w:rFonts w:ascii="Arial" w:cs="Arial" w:eastAsia="Arial" w:hAnsi="Arial"/>
          <w:sz w:val="19"/>
          <w:szCs w:val="19"/>
          <w:b w:val="1"/>
          <w:bCs w:val="1"/>
          <w:color w:val="auto"/>
        </w:rPr>
        <w:t>Kernel</w:t>
      </w:r>
      <w:r>
        <w:rPr>
          <w:rFonts w:ascii="Arial" w:cs="Arial" w:eastAsia="Arial" w:hAnsi="Arial"/>
          <w:sz w:val="19"/>
          <w:szCs w:val="19"/>
          <w:color w:val="auto"/>
        </w:rPr>
        <w:t xml:space="preserve">") on their publication titled "Measuring acute effects of subanesthetic ketamine on cerebrovascular hemodynamics in humans using TD-fNIRS" in the journal </w:t>
      </w:r>
      <w:r>
        <w:rPr>
          <w:rFonts w:ascii="Arial" w:cs="Arial" w:eastAsia="Arial" w:hAnsi="Arial"/>
          <w:sz w:val="19"/>
          <w:szCs w:val="19"/>
          <w:i w:val="1"/>
          <w:iCs w:val="1"/>
          <w:color w:val="auto"/>
        </w:rPr>
        <w:t>Scientific</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Reports </w:t>
      </w:r>
      <w:r>
        <w:rPr>
          <w:rFonts w:ascii="Arial" w:cs="Arial" w:eastAsia="Arial" w:hAnsi="Arial"/>
          <w:sz w:val="19"/>
          <w:szCs w:val="19"/>
          <w:color w:val="auto"/>
        </w:rPr>
        <w:t>from the Nature Portfolio of Journals. The publication highlights the results of the Cybin-sponsored Kernel Flow1</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feasibility study demonstrating the capabilities of the Flow1 system to capture and analyze brain changes resulting from the administration of a psychoactive substance. The feasibility study is the largest functional near-infrared spectroscopy (" </w:t>
      </w:r>
      <w:r>
        <w:rPr>
          <w:rFonts w:ascii="Arial" w:cs="Arial" w:eastAsia="Arial" w:hAnsi="Arial"/>
          <w:sz w:val="19"/>
          <w:szCs w:val="19"/>
          <w:b w:val="1"/>
          <w:bCs w:val="1"/>
          <w:color w:val="auto"/>
        </w:rPr>
        <w:t>fNIRS</w:t>
      </w:r>
      <w:r>
        <w:rPr>
          <w:rFonts w:ascii="Arial" w:cs="Arial" w:eastAsia="Arial" w:hAnsi="Arial"/>
          <w:sz w:val="19"/>
          <w:szCs w:val="19"/>
          <w:color w:val="auto"/>
        </w:rPr>
        <w:t>") study to measure the acute effect of a psychedelic and is the first ever fNIRS neuroimaging study evaluating ketamine in humans. In this single-blind, placebo-controlled study, employing a non-randomized design, the Flow1 system, built with time-domain functional near-infrared spectroscopy (TD-fNIRS) was utilized to measure acute brain dynamics following intramuscular subanesthetic ketamine (0.75 mg/kg) and placebo (saline) administration in a clinical setting. The study was conducted at a traditional psychiatry office with 15 healthy participants (8 females, 7 males; average age 32.4 ± 7.5 years). Flow1 recorded that ketamine administration induced an altered state of consciousness and systemic physiological changes, such as an increase in pulse rate. Additionally, the data showed a brain-wide reduction in the fractional amplitude of low frequency fluctuations, coupled with a decrease in global brain connectivity within the prefrontal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239966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9665" cy="51435"/>
                    </a:xfrm>
                    <a:prstGeom prst="rect">
                      <a:avLst/>
                    </a:prstGeom>
                    <a:noFill/>
                  </pic:spPr>
                </pic:pic>
              </a:graphicData>
            </a:graphic>
          </wp:anchor>
        </w:drawing>
      </w:r>
    </w:p>
    <w:p>
      <w:pPr>
        <w:spacing w:after="0" w:line="349" w:lineRule="exact"/>
        <w:rPr>
          <w:sz w:val="20"/>
          <w:szCs w:val="20"/>
          <w:color w:val="auto"/>
        </w:rPr>
      </w:pPr>
    </w:p>
    <w:p>
      <w:pPr>
        <w:jc w:val="both"/>
        <w:ind w:firstLine="8"/>
        <w:spacing w:after="0" w:line="224" w:lineRule="auto"/>
        <w:tabs>
          <w:tab w:leader="none" w:pos="161" w:val="left"/>
        </w:tabs>
        <w:numPr>
          <w:ilvl w:val="0"/>
          <w:numId w:val="5"/>
        </w:numPr>
        <w:rPr>
          <w:rFonts w:ascii="Arial" w:cs="Arial" w:eastAsia="Arial" w:hAnsi="Arial"/>
          <w:sz w:val="35"/>
          <w:szCs w:val="35"/>
          <w:color w:val="auto"/>
          <w:vertAlign w:val="superscript"/>
        </w:rPr>
      </w:pPr>
      <w:r>
        <w:rPr>
          <w:rFonts w:ascii="Arial" w:cs="Arial" w:eastAsia="Arial" w:hAnsi="Arial"/>
          <w:sz w:val="21"/>
          <w:szCs w:val="21"/>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pgSz w:w="11900" w:h="16838" w:orient="portrait"/>
          <w:cols w:equalWidth="0" w:num="1">
            <w:col w:w="11240"/>
          </w:cols>
          <w:pgMar w:left="320" w:top="328" w:right="339" w:bottom="0" w:gutter="0" w:footer="0" w:header="0"/>
        </w:sectPr>
      </w:pPr>
    </w:p>
    <w:bookmarkStart w:id="12" w:name="page13"/>
    <w:bookmarkEnd w:id="12"/>
    <w:p>
      <w:pPr>
        <w:ind w:left="160" w:hanging="152"/>
        <w:spacing w:after="0"/>
        <w:tabs>
          <w:tab w:leader="none" w:pos="160" w:val="left"/>
        </w:tabs>
        <w:numPr>
          <w:ilvl w:val="0"/>
          <w:numId w:val="6"/>
        </w:numPr>
        <w:rPr>
          <w:rFonts w:ascii="Arial" w:cs="Arial" w:eastAsia="Arial" w:hAnsi="Arial"/>
          <w:sz w:val="36"/>
          <w:szCs w:val="36"/>
          <w:color w:val="auto"/>
          <w:vertAlign w:val="superscript"/>
        </w:rPr>
      </w:pPr>
      <w:r>
        <w:rPr>
          <w:rFonts w:ascii="Arial" w:cs="Arial" w:eastAsia="Arial" w:hAnsi="Arial"/>
          <w:sz w:val="22"/>
          <w:szCs w:val="22"/>
          <w:color w:val="auto"/>
        </w:rPr>
        <w:t>See footnote 1.</w:t>
      </w:r>
    </w:p>
    <w:p>
      <w:pPr>
        <w:spacing w:after="0" w:line="40" w:lineRule="exact"/>
        <w:rPr>
          <w:rFonts w:ascii="Arial" w:cs="Arial" w:eastAsia="Arial" w:hAnsi="Arial"/>
          <w:sz w:val="36"/>
          <w:szCs w:val="36"/>
          <w:color w:val="auto"/>
          <w:vertAlign w:val="superscript"/>
        </w:rPr>
      </w:pPr>
    </w:p>
    <w:p>
      <w:pPr>
        <w:spacing w:after="0" w:line="185" w:lineRule="auto"/>
        <w:rPr>
          <w:rFonts w:ascii="Arial" w:cs="Arial" w:eastAsia="Arial" w:hAnsi="Arial"/>
          <w:sz w:val="36"/>
          <w:szCs w:val="36"/>
          <w:color w:val="auto"/>
          <w:vertAlign w:val="superscript"/>
        </w:rPr>
      </w:pPr>
      <w:r>
        <w:rPr>
          <w:rFonts w:ascii="Arial" w:cs="Arial" w:eastAsia="Arial" w:hAnsi="Arial"/>
          <w:sz w:val="35"/>
          <w:szCs w:val="35"/>
          <w:color w:val="auto"/>
          <w:vertAlign w:val="superscript"/>
        </w:rPr>
        <w:t>3</w:t>
      </w:r>
      <w:r>
        <w:rPr>
          <w:rFonts w:ascii="Arial" w:cs="Arial" w:eastAsia="Arial" w:hAnsi="Arial"/>
          <w:sz w:val="22"/>
          <w:szCs w:val="22"/>
          <w:color w:val="auto"/>
        </w:rPr>
        <w:t xml:space="preserve"> See footnote 1.</w:t>
      </w:r>
    </w:p>
    <w:p>
      <w:pPr>
        <w:spacing w:after="0" w:line="182" w:lineRule="auto"/>
        <w:rPr>
          <w:rFonts w:ascii="Arial" w:cs="Arial" w:eastAsia="Arial" w:hAnsi="Arial"/>
          <w:sz w:val="36"/>
          <w:szCs w:val="36"/>
          <w:color w:val="auto"/>
          <w:vertAlign w:val="superscript"/>
        </w:rPr>
      </w:pPr>
      <w:r>
        <w:rPr>
          <w:rFonts w:ascii="Arial" w:cs="Arial" w:eastAsia="Arial" w:hAnsi="Arial"/>
          <w:sz w:val="34"/>
          <w:szCs w:val="34"/>
          <w:color w:val="auto"/>
          <w:vertAlign w:val="superscript"/>
        </w:rPr>
        <w:t>4</w:t>
      </w:r>
      <w:r>
        <w:rPr>
          <w:rFonts w:ascii="Arial" w:cs="Arial" w:eastAsia="Arial" w:hAnsi="Arial"/>
          <w:sz w:val="21"/>
          <w:szCs w:val="21"/>
          <w:color w:val="auto"/>
        </w:rPr>
        <w:t xml:space="preserve"> See footnote 1.</w:t>
      </w:r>
    </w:p>
    <w:p>
      <w:pPr>
        <w:spacing w:after="0" w:line="182" w:lineRule="auto"/>
        <w:rPr>
          <w:rFonts w:ascii="Arial" w:cs="Arial" w:eastAsia="Arial" w:hAnsi="Arial"/>
          <w:sz w:val="36"/>
          <w:szCs w:val="36"/>
          <w:color w:val="auto"/>
          <w:vertAlign w:val="superscript"/>
        </w:rPr>
      </w:pPr>
      <w:r>
        <w:rPr>
          <w:rFonts w:ascii="Arial" w:cs="Arial" w:eastAsia="Arial" w:hAnsi="Arial"/>
          <w:sz w:val="34"/>
          <w:szCs w:val="34"/>
          <w:color w:val="auto"/>
          <w:vertAlign w:val="superscript"/>
        </w:rPr>
        <w:t>5</w:t>
      </w:r>
      <w:r>
        <w:rPr>
          <w:rFonts w:ascii="Arial" w:cs="Arial" w:eastAsia="Arial" w:hAnsi="Arial"/>
          <w:sz w:val="21"/>
          <w:szCs w:val="21"/>
          <w:color w:val="auto"/>
        </w:rPr>
        <w:t xml:space="preserve"> See footnote 1</w:t>
      </w:r>
      <w:r>
        <w:rPr>
          <w:rFonts w:ascii="Arial" w:cs="Arial" w:eastAsia="Arial" w:hAnsi="Arial"/>
          <w:sz w:val="21"/>
          <w:szCs w:val="21"/>
          <w:b w:val="1"/>
          <w:bCs w:val="1"/>
          <w:color w:val="auto"/>
        </w:rPr>
        <w:t>.</w:t>
      </w:r>
    </w:p>
    <w:p>
      <w:pPr>
        <w:spacing w:after="0"/>
        <w:rPr>
          <w:rFonts w:ascii="Arial" w:cs="Arial" w:eastAsia="Arial" w:hAnsi="Arial"/>
          <w:sz w:val="36"/>
          <w:szCs w:val="36"/>
          <w:color w:val="auto"/>
          <w:vertAlign w:val="superscript"/>
        </w:rPr>
      </w:pPr>
      <w:r>
        <w:rPr>
          <w:rFonts w:ascii="Arial" w:cs="Arial" w:eastAsia="Arial" w:hAnsi="Arial"/>
          <w:sz w:val="35"/>
          <w:szCs w:val="35"/>
          <w:color w:val="auto"/>
          <w:vertAlign w:val="superscript"/>
        </w:rPr>
        <w:t>6</w:t>
      </w:r>
      <w:r>
        <w:rPr>
          <w:rFonts w:ascii="Arial" w:cs="Arial" w:eastAsia="Arial" w:hAnsi="Arial"/>
          <w:sz w:val="22"/>
          <w:szCs w:val="22"/>
          <w:color w:val="auto"/>
        </w:rPr>
        <w:t xml:space="preserve"> See footnote 1</w:t>
      </w:r>
      <w:r>
        <w:rPr>
          <w:rFonts w:ascii="Arial" w:cs="Arial" w:eastAsia="Arial" w:hAnsi="Arial"/>
          <w:sz w:val="22"/>
          <w:szCs w:val="22"/>
          <w:b w:val="1"/>
          <w:bCs w:val="1"/>
          <w:color w:val="auto"/>
        </w:rPr>
        <w:t>.</w:t>
      </w:r>
    </w:p>
    <w:p>
      <w:pPr>
        <w:spacing w:after="0" w:line="48" w:lineRule="exact"/>
        <w:rPr>
          <w:sz w:val="20"/>
          <w:szCs w:val="20"/>
          <w:color w:val="auto"/>
        </w:rPr>
      </w:pPr>
    </w:p>
    <w:p>
      <w:pPr>
        <w:jc w:val="right"/>
        <w:ind w:right="4359"/>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37" w:right="1440" w:bottom="1440" w:gutter="0" w:footer="0" w:header="0"/>
        </w:sectPr>
      </w:pPr>
    </w:p>
    <w:bookmarkStart w:id="13" w:name="page14"/>
    <w:bookmarkEnd w:id="13"/>
    <w:p>
      <w:pPr>
        <w:jc w:val="both"/>
        <w:spacing w:after="0" w:line="282" w:lineRule="auto"/>
        <w:rPr>
          <w:sz w:val="20"/>
          <w:szCs w:val="20"/>
          <w:color w:val="auto"/>
        </w:rPr>
      </w:pPr>
      <w:r>
        <w:rPr>
          <w:rFonts w:ascii="Arial" w:cs="Arial" w:eastAsia="Arial" w:hAnsi="Arial"/>
          <w:sz w:val="19"/>
          <w:szCs w:val="19"/>
          <w:color w:val="auto"/>
        </w:rPr>
        <w:t>On July 24, 2023, the Corporation announced that its Phase 2a trial evaluating CYB003, an investigational proprietary deuterated analog of psilocybin for the potential treatment of major depressive disorder, has completed a further stage of its trial, being the completed dosing of Cohort 5 with no serious adverse events or other adverse events that may preclude continued dosing. The Phase 2a trial, consisting so far of completed Cohorts 4 and 5, evaluated two 12mg doses of CYB003. Recruitment is underway to commence the final portion of the CYB003 Phase 2a study, being dosing in Cohort 6.</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May 30, 2023, the Corporation announced it had entered into a purchase agreement (the "</w:t>
      </w:r>
      <w:r>
        <w:rPr>
          <w:rFonts w:ascii="Arial" w:cs="Arial" w:eastAsia="Arial" w:hAnsi="Arial"/>
          <w:sz w:val="19"/>
          <w:szCs w:val="19"/>
          <w:b w:val="1"/>
          <w:bCs w:val="1"/>
          <w:color w:val="auto"/>
        </w:rPr>
        <w:t>Purchase Agreement</w:t>
      </w:r>
      <w:r>
        <w:rPr>
          <w:rFonts w:ascii="Arial" w:cs="Arial" w:eastAsia="Arial" w:hAnsi="Arial"/>
          <w:sz w:val="19"/>
          <w:szCs w:val="19"/>
          <w:color w:val="auto"/>
        </w:rPr>
        <w:t>") with Lincoln Park Capital Fund, LLC (the "</w:t>
      </w:r>
      <w:r>
        <w:rPr>
          <w:rFonts w:ascii="Arial" w:cs="Arial" w:eastAsia="Arial" w:hAnsi="Arial"/>
          <w:sz w:val="19"/>
          <w:szCs w:val="19"/>
          <w:b w:val="1"/>
          <w:bCs w:val="1"/>
          <w:color w:val="auto"/>
        </w:rPr>
        <w:t>Investor</w:t>
      </w:r>
      <w:r>
        <w:rPr>
          <w:rFonts w:ascii="Arial" w:cs="Arial" w:eastAsia="Arial" w:hAnsi="Arial"/>
          <w:sz w:val="19"/>
          <w:szCs w:val="19"/>
          <w:color w:val="auto"/>
        </w:rPr>
        <w:t>"), pursuant to which the Investor agreed to purchase from the Corporation, at the Corporation's direction from time to time, in the Corporation's sole discretion, from and after the date that the conditions to the Investor's purchase obligations set forth in the Purchase Agreement are satisfied, including the filing of the prospectus supplement dated May 30, 2023 qualifying the distribution and sale of the Common Shares (the "</w:t>
      </w:r>
      <w:r>
        <w:rPr>
          <w:rFonts w:ascii="Arial" w:cs="Arial" w:eastAsia="Arial" w:hAnsi="Arial"/>
          <w:sz w:val="19"/>
          <w:szCs w:val="19"/>
          <w:b w:val="1"/>
          <w:bCs w:val="1"/>
          <w:color w:val="auto"/>
        </w:rPr>
        <w:t>May Prospectus</w:t>
      </w:r>
      <w:r>
        <w:rPr>
          <w:rFonts w:ascii="Arial" w:cs="Arial" w:eastAsia="Arial" w:hAnsi="Arial"/>
          <w:sz w:val="19"/>
          <w:szCs w:val="19"/>
          <w:color w:val="auto"/>
        </w:rPr>
        <w:t xml:space="preserve"> </w:t>
      </w:r>
      <w:r>
        <w:rPr>
          <w:rFonts w:ascii="Arial" w:cs="Arial" w:eastAsia="Arial" w:hAnsi="Arial"/>
          <w:sz w:val="19"/>
          <w:szCs w:val="19"/>
          <w:b w:val="1"/>
          <w:bCs w:val="1"/>
          <w:color w:val="auto"/>
        </w:rPr>
        <w:t>Supplement</w:t>
      </w:r>
      <w:r>
        <w:rPr>
          <w:rFonts w:ascii="Arial" w:cs="Arial" w:eastAsia="Arial" w:hAnsi="Arial"/>
          <w:sz w:val="19"/>
          <w:szCs w:val="19"/>
          <w:color w:val="auto"/>
        </w:rPr>
        <w:t>"), and over a period of up to 36 months thereafter, Common Shares having a total maximum aggregate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price to the Investor of US$30,000,000 (subject to certain limitations contained in the Purchase Agreement), upon the terms and subject to the conditions contained in the Purchase Agreement. On July 31, 2023, the Corporation issued a notice of suspension of the Purchase Agreement to the Investor in the context of announcing the Offering. The Corporation sold a total of US$465,273 under the Purchase Agreement out of the total US$30,000,000 qualified under the May Prospectus Supplement, using the proceeds for the advancement of its research and development programs and for general corporate purposes. The Corporation has suspended all sales under the Purchase Agreement allowing it to use the balance of $29,534,727 available under the Base Shelf Prospectus for the Offering.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Intercorporate Relationship</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124460</wp:posOffset>
            </wp:positionV>
            <wp:extent cx="3162935" cy="3351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6293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Note:</w:t>
      </w:r>
    </w:p>
    <w:p>
      <w:pPr>
        <w:spacing w:after="0" w:line="206" w:lineRule="exact"/>
        <w:rPr>
          <w:sz w:val="20"/>
          <w:szCs w:val="20"/>
          <w:color w:val="auto"/>
        </w:rPr>
      </w:pPr>
    </w:p>
    <w:p>
      <w:pPr>
        <w:jc w:val="both"/>
        <w:ind w:left="1420" w:hanging="263"/>
        <w:spacing w:after="0" w:line="239" w:lineRule="auto"/>
        <w:tabs>
          <w:tab w:leader="none" w:pos="1468"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shareholders of Adelia Therapeutics Inc. ("</w:t>
      </w:r>
      <w:r>
        <w:rPr>
          <w:rFonts w:ascii="Arial" w:cs="Arial" w:eastAsia="Arial" w:hAnsi="Arial"/>
          <w:sz w:val="22"/>
          <w:szCs w:val="22"/>
          <w:b w:val="1"/>
          <w:bCs w:val="1"/>
          <w:color w:val="auto"/>
        </w:rPr>
        <w:t>Adelia</w:t>
      </w:r>
      <w:r>
        <w:rPr>
          <w:rFonts w:ascii="Arial" w:cs="Arial" w:eastAsia="Arial" w:hAnsi="Arial"/>
          <w:sz w:val="22"/>
          <w:szCs w:val="22"/>
          <w:color w:val="auto"/>
        </w:rPr>
        <w:t>") hold certain non-voting securities of Cybin U.S. issued in connection with the acquisition of Adelia on December 14, 2020 (the "</w:t>
      </w:r>
      <w:r>
        <w:rPr>
          <w:rFonts w:ascii="Arial" w:cs="Arial" w:eastAsia="Arial" w:hAnsi="Arial"/>
          <w:sz w:val="22"/>
          <w:szCs w:val="22"/>
          <w:b w:val="1"/>
          <w:bCs w:val="1"/>
          <w:color w:val="auto"/>
        </w:rPr>
        <w:t>Adelia Transaction</w:t>
      </w:r>
      <w:r>
        <w:rPr>
          <w:rFonts w:ascii="Arial" w:cs="Arial" w:eastAsia="Arial" w:hAnsi="Arial"/>
          <w:sz w:val="22"/>
          <w:szCs w:val="22"/>
          <w:color w:val="auto"/>
        </w:rPr>
        <w:t>"). For additional information in respect of the Adelia Transaction, please see the Annual Information Form incorporated by reference in this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 BEING DISTRIBUTED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Units</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The Offering consists of </w:t>
      </w:r>
      <w:r>
        <w:rPr>
          <w:rFonts w:ascii="Arial" w:cs="Arial" w:eastAsia="Arial" w:hAnsi="Arial"/>
          <w:sz w:val="22"/>
          <w:szCs w:val="22"/>
          <w:b w:val="1"/>
          <w:bCs w:val="1"/>
          <w:color w:val="auto"/>
        </w:rPr>
        <w:t>●</w:t>
      </w:r>
      <w:r>
        <w:rPr>
          <w:rFonts w:ascii="Arial" w:cs="Arial" w:eastAsia="Arial" w:hAnsi="Arial"/>
          <w:sz w:val="22"/>
          <w:szCs w:val="22"/>
          <w:color w:val="auto"/>
        </w:rPr>
        <w:t xml:space="preserve"> Units at a price of US$</w:t>
      </w:r>
      <w:r>
        <w:rPr>
          <w:rFonts w:ascii="Arial" w:cs="Arial" w:eastAsia="Arial" w:hAnsi="Arial"/>
          <w:sz w:val="22"/>
          <w:szCs w:val="22"/>
          <w:b w:val="1"/>
          <w:bCs w:val="1"/>
          <w:color w:val="auto"/>
        </w:rPr>
        <w:t>●</w:t>
      </w:r>
      <w:r>
        <w:rPr>
          <w:rFonts w:ascii="Arial" w:cs="Arial" w:eastAsia="Arial" w:hAnsi="Arial"/>
          <w:sz w:val="22"/>
          <w:szCs w:val="22"/>
          <w:color w:val="auto"/>
        </w:rPr>
        <w:t xml:space="preserve"> per Unit. Each Unit will consist of one Unit Share and one Warrant. The Units Shares and Warrant Shares comprising the Units and Warrants, respectively, will have the same rights and entitlements as the Common Shares set forth below.</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Shares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Corporation is authorized to issue an unlimited number of Common Shares and an unlimited number of preferred shares. As at July 31, 2023, the Corporation had 210,418,528 Common Shares and nil preferred shares issued and outstanding.</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jc w:val="both"/>
        <w:spacing w:after="0"/>
        <w:rPr>
          <w:sz w:val="20"/>
          <w:szCs w:val="20"/>
          <w:color w:val="auto"/>
        </w:rPr>
      </w:pPr>
      <w:r>
        <w:rPr>
          <w:rFonts w:ascii="Arial" w:cs="Arial" w:eastAsia="Arial" w:hAnsi="Arial"/>
          <w:sz w:val="22"/>
          <w:szCs w:val="22"/>
          <w:color w:val="auto"/>
        </w:rPr>
        <w:t>Common Shares may be sold separately or together with certain other Securities under this Prospectus Supplement. Common Shares may also be issuable on conversion, exchange, exercise or maturity of certain other Securities qualified for issuance under this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Warrants will be governed by the terms of the Warrant Indenture. The following summary of certain anticipated provisions of the Warrant Indenture does not purport to be complete and is subject in its entirety to the detailed provisions of the Warrant Indenture. Reference is made to the Warrant Indenture for the full text of the attributes of the Warrants which will be filed by the Corporation under its corporate profile on SEDAR following the closing of the Offering. A register of holders will be maintained at the principal offices of the Warrant Agent in Calgary, Alberta, and is the location at which Warrants may be surrendered for exercise or transfer.</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Warrant will entitle the holder thereof to acquire, subject to adjustment in certain circumstances, one Warrant Share at an exercise price of US$</w:t>
      </w:r>
      <w:r>
        <w:rPr>
          <w:rFonts w:ascii="Arial" w:cs="Arial" w:eastAsia="Arial" w:hAnsi="Arial"/>
          <w:sz w:val="19"/>
          <w:szCs w:val="19"/>
          <w:b w:val="1"/>
          <w:bCs w:val="1"/>
          <w:color w:val="auto"/>
        </w:rPr>
        <w:t>●</w:t>
      </w:r>
      <w:r>
        <w:rPr>
          <w:rFonts w:ascii="Arial" w:cs="Arial" w:eastAsia="Arial" w:hAnsi="Arial"/>
          <w:sz w:val="19"/>
          <w:szCs w:val="19"/>
          <w:color w:val="auto"/>
        </w:rPr>
        <w:t xml:space="preserve"> until the Warrant Expiry Date. In the event the closing price of the Common Shares on the NEO at any time following the Closing Date is greater than an amount equal to $ </w:t>
      </w:r>
      <w:r>
        <w:rPr>
          <w:rFonts w:ascii="Arial" w:cs="Arial" w:eastAsia="Arial" w:hAnsi="Arial"/>
          <w:sz w:val="19"/>
          <w:szCs w:val="19"/>
          <w:b w:val="1"/>
          <w:bCs w:val="1"/>
          <w:color w:val="auto"/>
        </w:rPr>
        <w:t>●</w:t>
      </w:r>
      <w:r>
        <w:rPr>
          <w:rFonts w:ascii="Arial" w:cs="Arial" w:eastAsia="Arial" w:hAnsi="Arial"/>
          <w:sz w:val="19"/>
          <w:szCs w:val="19"/>
          <w:color w:val="auto"/>
        </w:rPr>
        <w:t xml:space="preserve"> for a period of five (5) consecutive trading days, the Corporation shall have the right, but not the obligation, to accelerate the Warrant Expiry Date of the Warrants to the date that is thirty (30) days following the delivery of a notice to the holders of the Warrants, pursuant to the terms of the Warrant Indenture.</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Warrant Indenture provides for adjustment in the number of Warrant Shares issuable upon the exercise of the Warrants and/or the exercise price per Warrant Share upon the occurrence of certain events, including:</w:t>
      </w:r>
    </w:p>
    <w:p>
      <w:pPr>
        <w:spacing w:after="0" w:line="175" w:lineRule="exact"/>
        <w:rPr>
          <w:sz w:val="20"/>
          <w:szCs w:val="20"/>
          <w:color w:val="auto"/>
        </w:rPr>
      </w:pPr>
    </w:p>
    <w:p>
      <w:pPr>
        <w:jc w:val="both"/>
        <w:ind w:left="660" w:hanging="328"/>
        <w:spacing w:after="0"/>
        <w:tabs>
          <w:tab w:leader="none" w:pos="69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issuance of Common Shares or securities exchangeable for or convertible into Common Shares to all or substantially all of the holders of the Common Shares as a stock dividend or other distribution (other than a distribution of Common Shares upon the exercise of Warrants);</w:t>
      </w:r>
    </w:p>
    <w:p>
      <w:pPr>
        <w:spacing w:after="0" w:line="186" w:lineRule="exact"/>
        <w:rPr>
          <w:rFonts w:ascii="Arial" w:cs="Arial" w:eastAsia="Arial" w:hAnsi="Arial"/>
          <w:sz w:val="22"/>
          <w:szCs w:val="22"/>
          <w:color w:val="auto"/>
        </w:rPr>
      </w:pPr>
    </w:p>
    <w:p>
      <w:pPr>
        <w:ind w:left="700" w:hanging="368"/>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subdivision, redivision or change of the Common Shares into a greater number of shares;</w:t>
      </w:r>
    </w:p>
    <w:p>
      <w:pPr>
        <w:spacing w:after="0" w:line="206" w:lineRule="exact"/>
        <w:rPr>
          <w:rFonts w:ascii="Arial" w:cs="Arial" w:eastAsia="Arial" w:hAnsi="Arial"/>
          <w:sz w:val="22"/>
          <w:szCs w:val="22"/>
          <w:color w:val="auto"/>
        </w:rPr>
      </w:pPr>
    </w:p>
    <w:p>
      <w:pPr>
        <w:ind w:left="720" w:hanging="388"/>
        <w:spacing w:after="0"/>
        <w:tabs>
          <w:tab w:leader="none" w:pos="7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reduction, combination or consolidation of the Common Shares into a lesser number of shares;</w:t>
      </w:r>
    </w:p>
    <w:p>
      <w:pPr>
        <w:spacing w:after="0" w:line="206" w:lineRule="exact"/>
        <w:rPr>
          <w:rFonts w:ascii="Arial" w:cs="Arial" w:eastAsia="Arial" w:hAnsi="Arial"/>
          <w:sz w:val="22"/>
          <w:szCs w:val="22"/>
          <w:color w:val="auto"/>
        </w:rPr>
      </w:pPr>
    </w:p>
    <w:p>
      <w:pPr>
        <w:jc w:val="both"/>
        <w:ind w:left="660" w:hanging="328"/>
        <w:spacing w:after="0" w:line="282" w:lineRule="auto"/>
        <w:tabs>
          <w:tab w:leader="none" w:pos="712"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issuance to all or substantially all of the holders of the Common Shares of rights, options or warrants under which such holders are entitled, during a period expiring not more than 45 days after the record date for such issuance, to subscribe for or purchase Common Shares, or securities exchangeable for or convertible into Common Shares, at a price per share to the holder (or at an exchange or conversion price per share) of less than 95% of the "current market price", as defined in the Warrant Indenture, for the Common Shares on such record date; and</w:t>
      </w:r>
    </w:p>
    <w:p>
      <w:pPr>
        <w:spacing w:after="0" w:line="147" w:lineRule="exact"/>
        <w:rPr>
          <w:rFonts w:ascii="Arial" w:cs="Arial" w:eastAsia="Arial" w:hAnsi="Arial"/>
          <w:sz w:val="19"/>
          <w:szCs w:val="19"/>
          <w:color w:val="auto"/>
        </w:rPr>
      </w:pPr>
    </w:p>
    <w:p>
      <w:pPr>
        <w:jc w:val="both"/>
        <w:ind w:left="660" w:hanging="328"/>
        <w:spacing w:after="0" w:line="257" w:lineRule="auto"/>
        <w:tabs>
          <w:tab w:leader="none" w:pos="702"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issuance or distribution to all or substantially all of the holders of the Common Shares of shares of any class other than the Common Shares, rights, options or warrants to acquire Common Shares or securities exchangeable or convertible into Common Shares, of evidences of indebtedness, or any property or other assets.</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Warrant Indenture also provides for adjustments in the class and/or number of securities issuable upon exercise of the Warrants and/or exercise price per security in the event of the following additional events: (a) a reclassification of the Common Shares or any compulsory share exchange pursuant to which the Common Shares are effectively converted into or exchanged for other securities, cash or property (other than a share reorganization), (b) a consolidation, amalgamation, arrangement or merger of the Corporation with or into any other corporation or other entity, in which the Corporation is not the surviving entity or the shareholders of the Corporation immediately prior to such consolidation, amalgamation, arrangement or merger do not own, directly or indirectly, at least 50% of the voting power of the surviving entity immediately after such consolidation, amalgamation, arrangement or merger, or (c) a transfer of the undertaking or assets of the Corporation as an entirety or substantially as an entirety to or with another person (other than to a subsidiary) (each, a "</w:t>
      </w:r>
      <w:r>
        <w:rPr>
          <w:rFonts w:ascii="Arial" w:cs="Arial" w:eastAsia="Arial" w:hAnsi="Arial"/>
          <w:sz w:val="19"/>
          <w:szCs w:val="19"/>
          <w:b w:val="1"/>
          <w:bCs w:val="1"/>
          <w:color w:val="auto"/>
        </w:rPr>
        <w:t>Fundamental Transaction</w:t>
      </w:r>
      <w:r>
        <w:rPr>
          <w:rFonts w:ascii="Arial" w:cs="Arial" w:eastAsia="Arial" w:hAnsi="Arial"/>
          <w:sz w:val="19"/>
          <w:szCs w:val="19"/>
          <w:color w:val="auto"/>
        </w:rPr>
        <w:t>"), in which case each holder of a Warrant which is thereafter exercised will receive, in lieu of Common Shares, the kind and number or amount of other securities or property which such holder would have been entitled to receive as a result of such event if such holder had exercised the Warrants prior to the event.</w:t>
      </w:r>
    </w:p>
    <w:p>
      <w:pPr>
        <w:spacing w:after="0" w:line="200" w:lineRule="exact"/>
        <w:rPr>
          <w:sz w:val="20"/>
          <w:szCs w:val="20"/>
          <w:color w:val="auto"/>
        </w:rPr>
      </w:pP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in certain circumstances, in the event of a Fundamental Transaction, the holder may, subject to certain conditions including the NEO's prior written approval in certain circumstances, require the Corporation or a successor company to purchase the Warrants from the holder by paying to the holder an amount of cash equal to the Black-Scholes value of the remaining unexercised portion of the Warrant on the date of consummation of such Fundamental Transaction; provided, however, that, if the Fundamental Transaction is not within the Corporation's control, including not approved by the Corporation's board of directors, the holder will only be entitled to receive from the Corporation or any successor company, as of the date of consummation of such Fundamental Transaction, the same type or form of consideration (and in the same proportion), at the Black-Scholes value of the unexercised portion of the Warrant, that is being offered and paid to the shareholders of the Corporation in connection with the Fundamental Transaction, whether that consideration is in the form of securities, cash, other property or any combination thereof, or whether the shareholders are given the choice to receive from among alternative forms of consideration in connection with the Fundamental Transaction.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215" w:gutter="0" w:footer="0" w:header="0"/>
        </w:sectPr>
      </w:pPr>
    </w:p>
    <w:bookmarkStart w:id="16" w:name="page17"/>
    <w:bookmarkEnd w:id="16"/>
    <w:p>
      <w:pPr>
        <w:jc w:val="both"/>
        <w:ind w:right="40"/>
        <w:spacing w:after="0" w:line="238" w:lineRule="auto"/>
        <w:rPr>
          <w:sz w:val="20"/>
          <w:szCs w:val="20"/>
          <w:color w:val="auto"/>
        </w:rPr>
      </w:pPr>
      <w:r>
        <w:rPr>
          <w:rFonts w:ascii="Arial" w:cs="Arial" w:eastAsia="Arial" w:hAnsi="Arial"/>
          <w:sz w:val="22"/>
          <w:szCs w:val="22"/>
          <w:color w:val="auto"/>
        </w:rPr>
        <w:t>The Corporation also covenants in the Warrant Indenture that, during the period in which the Warrants are exercisable, it will give notice to holders of Warrants of certain stated events, including events that would result in an adjustment to the exercise price for the Warrants or the number of Warrant Shares issuable upon exercise of the Warrants, at least 14 days prior to the record date or effective date, as the case may be, of such events.</w:t>
      </w:r>
    </w:p>
    <w:p>
      <w:pPr>
        <w:spacing w:after="0" w:line="185" w:lineRule="exact"/>
        <w:rPr>
          <w:sz w:val="20"/>
          <w:szCs w:val="20"/>
          <w:color w:val="auto"/>
        </w:rPr>
      </w:pPr>
    </w:p>
    <w:p>
      <w:pPr>
        <w:jc w:val="both"/>
        <w:ind w:right="40"/>
        <w:spacing w:after="0" w:line="236" w:lineRule="auto"/>
        <w:rPr>
          <w:sz w:val="20"/>
          <w:szCs w:val="20"/>
          <w:color w:val="auto"/>
        </w:rPr>
      </w:pPr>
      <w:r>
        <w:rPr>
          <w:rFonts w:ascii="Arial" w:cs="Arial" w:eastAsia="Arial" w:hAnsi="Arial"/>
          <w:sz w:val="22"/>
          <w:szCs w:val="22"/>
          <w:color w:val="auto"/>
        </w:rPr>
        <w:t>No fractional Common Shares will be issuable to any holder of Warrants upon the exercise thereof, and no cash or other consideration will be paid in lieu of fractional shares. The holding of Warrants will not make the holder thereof a shareholder of the Corporation or entitle such holder to any right or interest in respect of the Warrants except as expressly provided in the Warrant Indenture. Holders of Warrants will not have any voting or pre-emptive rights or any other rights of a holder of Common Shares.</w:t>
      </w:r>
    </w:p>
    <w:p>
      <w:pPr>
        <w:spacing w:after="0" w:line="187" w:lineRule="exact"/>
        <w:rPr>
          <w:sz w:val="20"/>
          <w:szCs w:val="20"/>
          <w:color w:val="auto"/>
        </w:rPr>
      </w:pPr>
    </w:p>
    <w:p>
      <w:pPr>
        <w:jc w:val="both"/>
        <w:ind w:right="40"/>
        <w:spacing w:after="0" w:line="244" w:lineRule="auto"/>
        <w:rPr>
          <w:sz w:val="20"/>
          <w:szCs w:val="20"/>
          <w:color w:val="auto"/>
        </w:rPr>
      </w:pPr>
      <w:r>
        <w:rPr>
          <w:rFonts w:ascii="Arial" w:cs="Arial" w:eastAsia="Arial" w:hAnsi="Arial"/>
          <w:sz w:val="21"/>
          <w:szCs w:val="21"/>
          <w:color w:val="auto"/>
        </w:rPr>
        <w:t>The Warrant Indenture provides that, from time to time, the Warrant Agent and the Corporation, without the consent of the holders of Warrants, may be able to amend or supplement the Warrant Indenture for certain purposes, including rectifying any ambiguities, defective provisions, clerical omissions or mistakes, or other errors contained in the Warrant Indenture or in any deed or indenture supplemental or ancillary to the Warrant Indenture, provided that, in the opinion of the Warrant Agent, relying on counsel, the rights of the holders of Warrants are not prejudiced, as a group. Any amendment or supplement to the Warrant Indenture that is prejudicial to the interests of the holders of Warrants, as a group, will be subject to approval by an "Extraordinary Resolution", which will be defined in the Warrant Indenture as a resolution either: (i) passed at a meeting of the holders of Warrants at which there are holders of Warrants present in person or represented by proxy representing at least 20% of the aggregate number of the then outstanding Warrants and passed by the affirmative vote of holders of Warrants representing not less than 66 2/3% of the aggregate number of all the then outstanding Warrants represented at the meeting; or (ii) adopted by an instrument in writing signed by the holders of Warrants representing not less than 66 2/3% of the number of all of the then outstanding Warrants.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USE OF PROCEEDS</w:t>
      </w:r>
    </w:p>
    <w:p>
      <w:pPr>
        <w:spacing w:after="0" w:line="206" w:lineRule="exact"/>
        <w:rPr>
          <w:sz w:val="20"/>
          <w:szCs w:val="20"/>
          <w:color w:val="auto"/>
        </w:rPr>
      </w:pPr>
    </w:p>
    <w:p>
      <w:pPr>
        <w:jc w:val="both"/>
        <w:ind w:right="40"/>
        <w:spacing w:after="0" w:line="334" w:lineRule="auto"/>
        <w:rPr>
          <w:sz w:val="20"/>
          <w:szCs w:val="20"/>
          <w:color w:val="auto"/>
        </w:rPr>
      </w:pPr>
      <w:r>
        <w:rPr>
          <w:rFonts w:ascii="Arial" w:cs="Arial" w:eastAsia="Arial" w:hAnsi="Arial"/>
          <w:sz w:val="19"/>
          <w:szCs w:val="19"/>
          <w:color w:val="auto"/>
        </w:rPr>
        <w:t>The net proceeds to the Corporation from the Offering (after deducting the Underwriters’ Fee of US$</w:t>
      </w:r>
      <w:r>
        <w:rPr>
          <w:rFonts w:ascii="Arial" w:cs="Arial" w:eastAsia="Arial" w:hAnsi="Arial"/>
          <w:sz w:val="19"/>
          <w:szCs w:val="19"/>
          <w:b w:val="1"/>
          <w:bCs w:val="1"/>
          <w:color w:val="auto"/>
        </w:rPr>
        <w:t>●</w:t>
      </w:r>
      <w:r>
        <w:rPr>
          <w:rFonts w:ascii="Arial" w:cs="Arial" w:eastAsia="Arial" w:hAnsi="Arial"/>
          <w:sz w:val="19"/>
          <w:szCs w:val="19"/>
          <w:color w:val="auto"/>
        </w:rPr>
        <w:t xml:space="preserve"> and estimated expenses of this Offering of US$</w:t>
      </w:r>
      <w:r>
        <w:rPr>
          <w:rFonts w:ascii="Arial" w:cs="Arial" w:eastAsia="Arial" w:hAnsi="Arial"/>
          <w:sz w:val="19"/>
          <w:szCs w:val="19"/>
          <w:b w:val="1"/>
          <w:bCs w:val="1"/>
          <w:color w:val="auto"/>
        </w:rPr>
        <w:t>●</w:t>
      </w:r>
      <w:r>
        <w:rPr>
          <w:rFonts w:ascii="Arial" w:cs="Arial" w:eastAsia="Arial" w:hAnsi="Arial"/>
          <w:sz w:val="19"/>
          <w:szCs w:val="19"/>
          <w:color w:val="auto"/>
        </w:rPr>
        <w:t>) will be approximately US$</w:t>
      </w:r>
      <w:r>
        <w:rPr>
          <w:rFonts w:ascii="Arial" w:cs="Arial" w:eastAsia="Arial" w:hAnsi="Arial"/>
          <w:sz w:val="19"/>
          <w:szCs w:val="19"/>
          <w:b w:val="1"/>
          <w:bCs w:val="1"/>
          <w:color w:val="auto"/>
        </w:rPr>
        <w:t>●</w:t>
      </w:r>
      <w:r>
        <w:rPr>
          <w:rFonts w:ascii="Arial" w:cs="Arial" w:eastAsia="Arial" w:hAnsi="Arial"/>
          <w:sz w:val="19"/>
          <w:szCs w:val="19"/>
          <w:color w:val="auto"/>
        </w:rPr>
        <w:t xml:space="preserve"> (assuming a total of </w:t>
      </w:r>
      <w:r>
        <w:rPr>
          <w:rFonts w:ascii="Arial" w:cs="Arial" w:eastAsia="Arial" w:hAnsi="Arial"/>
          <w:sz w:val="19"/>
          <w:szCs w:val="19"/>
          <w:b w:val="1"/>
          <w:bCs w:val="1"/>
          <w:color w:val="auto"/>
        </w:rPr>
        <w:t>●</w:t>
      </w:r>
      <w:r>
        <w:rPr>
          <w:rFonts w:ascii="Arial" w:cs="Arial" w:eastAsia="Arial" w:hAnsi="Arial"/>
          <w:sz w:val="19"/>
          <w:szCs w:val="19"/>
          <w:color w:val="auto"/>
        </w:rPr>
        <w:t xml:space="preserve"> Units are sold to purchasers on the President’s List).</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The Corporation intends to use the net proceeds from the Offering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Proceeds</w:t>
            </w:r>
          </w:p>
        </w:tc>
        <w:tc>
          <w:tcPr>
            <w:tcW w:w="4880" w:type="dxa"/>
            <w:vAlign w:val="bottom"/>
            <w:tcBorders>
              <w:bottom w:val="single" w:sz="8" w:color="auto"/>
            </w:tcBorders>
          </w:tcPr>
          <w:p>
            <w:pPr>
              <w:jc w:val="center"/>
              <w:ind w:left="2949"/>
              <w:spacing w:after="0"/>
              <w:rPr>
                <w:sz w:val="20"/>
                <w:szCs w:val="20"/>
                <w:color w:val="auto"/>
              </w:rPr>
            </w:pPr>
            <w:r>
              <w:rPr>
                <w:rFonts w:ascii="Arial" w:cs="Arial" w:eastAsia="Arial" w:hAnsi="Arial"/>
                <w:sz w:val="18"/>
                <w:szCs w:val="18"/>
                <w:b w:val="1"/>
                <w:bCs w:val="1"/>
                <w:color w:val="auto"/>
                <w:w w:val="92"/>
              </w:rPr>
              <w:t>Offering Amount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120" w:type="dxa"/>
            <w:vAlign w:val="bottom"/>
            <w:shd w:val="clear" w:color="auto" w:fill="E6EFFF"/>
          </w:tcPr>
          <w:p>
            <w:pPr>
              <w:ind w:left="20"/>
              <w:spacing w:after="0"/>
              <w:rPr>
                <w:sz w:val="20"/>
                <w:szCs w:val="20"/>
                <w:color w:val="auto"/>
              </w:rPr>
            </w:pPr>
            <w:r>
              <w:rPr>
                <w:rFonts w:ascii="Arial" w:cs="Arial" w:eastAsia="Arial" w:hAnsi="Arial"/>
                <w:sz w:val="18"/>
                <w:szCs w:val="18"/>
                <w:color w:val="auto"/>
              </w:rPr>
              <w:t>Offering</w:t>
            </w:r>
          </w:p>
        </w:tc>
        <w:tc>
          <w:tcPr>
            <w:tcW w:w="4880" w:type="dxa"/>
            <w:vAlign w:val="bottom"/>
            <w:shd w:val="clear" w:color="auto" w:fill="E6EFFF"/>
          </w:tcPr>
          <w:p>
            <w:pPr>
              <w:jc w:val="center"/>
              <w:ind w:left="2949"/>
              <w:spacing w:after="0"/>
              <w:rPr>
                <w:sz w:val="20"/>
                <w:szCs w:val="20"/>
                <w:color w:val="auto"/>
              </w:rPr>
            </w:pPr>
            <w:r>
              <w:rPr>
                <w:rFonts w:ascii="Arial" w:cs="Arial" w:eastAsia="Arial" w:hAnsi="Arial"/>
                <w:sz w:val="18"/>
                <w:szCs w:val="18"/>
                <w:color w:val="auto"/>
                <w:w w:val="95"/>
              </w:rPr>
              <w:t>US$</w:t>
            </w:r>
            <w:r>
              <w:rPr>
                <w:rFonts w:ascii="Arial" w:cs="Arial" w:eastAsia="Arial" w:hAnsi="Arial"/>
                <w:sz w:val="18"/>
                <w:szCs w:val="18"/>
                <w:b w:val="1"/>
                <w:bCs w:val="1"/>
                <w:color w:val="auto"/>
                <w:w w:val="95"/>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4120" w:type="dxa"/>
            <w:vAlign w:val="bottom"/>
          </w:tcPr>
          <w:p>
            <w:pPr>
              <w:ind w:left="20"/>
              <w:spacing w:after="0" w:line="256" w:lineRule="exact"/>
              <w:rPr>
                <w:sz w:val="20"/>
                <w:szCs w:val="20"/>
                <w:color w:val="auto"/>
              </w:rPr>
            </w:pPr>
            <w:r>
              <w:rPr>
                <w:rFonts w:ascii="Arial" w:cs="Arial" w:eastAsia="Arial" w:hAnsi="Arial"/>
                <w:sz w:val="18"/>
                <w:szCs w:val="18"/>
                <w:color w:val="auto"/>
              </w:rPr>
              <w:t>Underwriters' Fee</w:t>
            </w:r>
            <w:r>
              <w:rPr>
                <w:rFonts w:ascii="Arial" w:cs="Arial" w:eastAsia="Arial" w:hAnsi="Arial"/>
                <w:sz w:val="29"/>
                <w:szCs w:val="29"/>
                <w:color w:val="auto"/>
                <w:vertAlign w:val="superscript"/>
              </w:rPr>
              <w:t>(1)</w:t>
            </w:r>
          </w:p>
        </w:tc>
        <w:tc>
          <w:tcPr>
            <w:tcW w:w="4880" w:type="dxa"/>
            <w:vAlign w:val="bottom"/>
          </w:tcPr>
          <w:p>
            <w:pPr>
              <w:jc w:val="center"/>
              <w:ind w:left="2949"/>
              <w:spacing w:after="0"/>
              <w:rPr>
                <w:sz w:val="20"/>
                <w:szCs w:val="20"/>
                <w:color w:val="auto"/>
              </w:rPr>
            </w:pPr>
            <w:r>
              <w:rPr>
                <w:rFonts w:ascii="Arial" w:cs="Arial" w:eastAsia="Arial" w:hAnsi="Arial"/>
                <w:sz w:val="18"/>
                <w:szCs w:val="18"/>
                <w:color w:val="auto"/>
                <w:w w:val="95"/>
              </w:rPr>
              <w:t>US$</w:t>
            </w:r>
            <w:r>
              <w:rPr>
                <w:rFonts w:ascii="Arial" w:cs="Arial" w:eastAsia="Arial" w:hAnsi="Arial"/>
                <w:sz w:val="18"/>
                <w:szCs w:val="18"/>
                <w:b w:val="1"/>
                <w:bCs w:val="1"/>
                <w:color w:val="auto"/>
                <w:w w:val="95"/>
              </w:rPr>
              <w:t>●</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shd w:val="clear" w:color="auto" w:fill="E6EFFF"/>
          </w:tcPr>
          <w:p>
            <w:pPr>
              <w:ind w:left="20"/>
              <w:spacing w:after="0"/>
              <w:rPr>
                <w:sz w:val="20"/>
                <w:szCs w:val="20"/>
                <w:color w:val="auto"/>
              </w:rPr>
            </w:pPr>
            <w:r>
              <w:rPr>
                <w:rFonts w:ascii="Arial" w:cs="Arial" w:eastAsia="Arial" w:hAnsi="Arial"/>
                <w:sz w:val="18"/>
                <w:szCs w:val="18"/>
                <w:color w:val="auto"/>
              </w:rPr>
              <w:t>Estimated expenses of the Offering</w:t>
            </w:r>
          </w:p>
        </w:tc>
        <w:tc>
          <w:tcPr>
            <w:tcW w:w="4880" w:type="dxa"/>
            <w:vAlign w:val="bottom"/>
            <w:shd w:val="clear" w:color="auto" w:fill="E6EFFF"/>
          </w:tcPr>
          <w:p>
            <w:pPr>
              <w:jc w:val="center"/>
              <w:ind w:left="2949"/>
              <w:spacing w:after="0"/>
              <w:rPr>
                <w:sz w:val="20"/>
                <w:szCs w:val="20"/>
                <w:color w:val="auto"/>
              </w:rPr>
            </w:pPr>
            <w:r>
              <w:rPr>
                <w:rFonts w:ascii="Arial" w:cs="Arial" w:eastAsia="Arial" w:hAnsi="Arial"/>
                <w:sz w:val="18"/>
                <w:szCs w:val="18"/>
                <w:color w:val="auto"/>
                <w:w w:val="95"/>
              </w:rPr>
              <w:t>US$</w:t>
            </w:r>
            <w:r>
              <w:rPr>
                <w:rFonts w:ascii="Arial" w:cs="Arial" w:eastAsia="Arial" w:hAnsi="Arial"/>
                <w:sz w:val="18"/>
                <w:szCs w:val="18"/>
                <w:b w:val="1"/>
                <w:bCs w:val="1"/>
                <w:color w:val="auto"/>
                <w:w w:val="95"/>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shd w:val="clear" w:color="auto" w:fill="E6EFFF"/>
          </w:tcPr>
          <w:p>
            <w:pPr>
              <w:ind w:left="20"/>
              <w:spacing w:after="0"/>
              <w:rPr>
                <w:sz w:val="20"/>
                <w:szCs w:val="20"/>
                <w:color w:val="auto"/>
              </w:rPr>
            </w:pPr>
            <w:r>
              <w:rPr>
                <w:rFonts w:ascii="Arial" w:cs="Arial" w:eastAsia="Arial" w:hAnsi="Arial"/>
                <w:sz w:val="18"/>
                <w:szCs w:val="18"/>
                <w:b w:val="1"/>
                <w:bCs w:val="1"/>
                <w:color w:val="auto"/>
              </w:rPr>
              <w:t>Net Proceeds</w:t>
            </w:r>
          </w:p>
        </w:tc>
        <w:tc>
          <w:tcPr>
            <w:tcW w:w="4880" w:type="dxa"/>
            <w:vAlign w:val="bottom"/>
            <w:shd w:val="clear" w:color="auto" w:fill="E6EFFF"/>
          </w:tcPr>
          <w:p>
            <w:pPr>
              <w:jc w:val="center"/>
              <w:ind w:left="2949"/>
              <w:spacing w:after="0"/>
              <w:rPr>
                <w:sz w:val="20"/>
                <w:szCs w:val="20"/>
                <w:color w:val="auto"/>
              </w:rPr>
            </w:pPr>
            <w:r>
              <w:rPr>
                <w:rFonts w:ascii="Arial" w:cs="Arial" w:eastAsia="Arial" w:hAnsi="Arial"/>
                <w:sz w:val="18"/>
                <w:szCs w:val="18"/>
                <w:color w:val="auto"/>
                <w:w w:val="95"/>
              </w:rPr>
              <w:t>US$</w:t>
            </w:r>
            <w:r>
              <w:rPr>
                <w:rFonts w:ascii="Arial" w:cs="Arial" w:eastAsia="Arial" w:hAnsi="Arial"/>
                <w:sz w:val="18"/>
                <w:szCs w:val="18"/>
                <w:b w:val="1"/>
                <w:bCs w:val="1"/>
                <w:color w:val="auto"/>
                <w:w w:val="95"/>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4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Use of Proceeds</w:t>
            </w:r>
          </w:p>
        </w:tc>
        <w:tc>
          <w:tcPr>
            <w:tcW w:w="4880" w:type="dxa"/>
            <w:vAlign w:val="bottom"/>
          </w:tcPr>
          <w:p>
            <w:pPr>
              <w:jc w:val="center"/>
              <w:ind w:left="2949"/>
              <w:spacing w:after="0"/>
              <w:rPr>
                <w:sz w:val="20"/>
                <w:szCs w:val="20"/>
                <w:color w:val="auto"/>
              </w:rPr>
            </w:pPr>
            <w:r>
              <w:rPr>
                <w:rFonts w:ascii="Arial" w:cs="Arial" w:eastAsia="Arial" w:hAnsi="Arial"/>
                <w:sz w:val="18"/>
                <w:szCs w:val="18"/>
                <w:b w:val="1"/>
                <w:bCs w:val="1"/>
                <w:color w:val="auto"/>
                <w:w w:val="96"/>
              </w:rPr>
              <w:t>Minimum Offering</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4120" w:type="dxa"/>
            <w:vAlign w:val="bottom"/>
            <w:vMerge w:val="continue"/>
          </w:tcPr>
          <w:p>
            <w:pPr>
              <w:spacing w:after="0"/>
              <w:rPr>
                <w:sz w:val="10"/>
                <w:szCs w:val="10"/>
                <w:color w:val="auto"/>
              </w:rPr>
            </w:pPr>
          </w:p>
        </w:tc>
        <w:tc>
          <w:tcPr>
            <w:tcW w:w="4880" w:type="dxa"/>
            <w:vAlign w:val="bottom"/>
            <w:vMerge w:val="restart"/>
          </w:tcPr>
          <w:p>
            <w:pPr>
              <w:jc w:val="center"/>
              <w:ind w:left="2949"/>
              <w:spacing w:after="0"/>
              <w:rPr>
                <w:sz w:val="20"/>
                <w:szCs w:val="20"/>
                <w:color w:val="auto"/>
              </w:rPr>
            </w:pPr>
            <w:r>
              <w:rPr>
                <w:rFonts w:ascii="Arial" w:cs="Arial" w:eastAsia="Arial" w:hAnsi="Arial"/>
                <w:sz w:val="18"/>
                <w:szCs w:val="18"/>
                <w:b w:val="1"/>
                <w:bCs w:val="1"/>
                <w:color w:val="auto"/>
                <w:w w:val="94"/>
              </w:rPr>
              <w:t>Amount</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4880" w:type="dxa"/>
            <w:vAlign w:val="bottom"/>
            <w:tcBorders>
              <w:bottom w:val="single" w:sz="8" w:color="auto"/>
            </w:tcBorders>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4120" w:type="dxa"/>
            <w:vAlign w:val="bottom"/>
            <w:shd w:val="clear" w:color="auto" w:fill="E6EFFF"/>
          </w:tcPr>
          <w:p>
            <w:pPr>
              <w:ind w:left="20"/>
              <w:spacing w:after="0" w:line="263" w:lineRule="exact"/>
              <w:rPr>
                <w:sz w:val="20"/>
                <w:szCs w:val="20"/>
                <w:color w:val="auto"/>
              </w:rPr>
            </w:pPr>
            <w:r>
              <w:rPr>
                <w:rFonts w:ascii="Arial" w:cs="Arial" w:eastAsia="Arial" w:hAnsi="Arial"/>
                <w:sz w:val="18"/>
                <w:szCs w:val="18"/>
                <w:color w:val="auto"/>
              </w:rPr>
              <w:t>Deuterated Psilocybin Analog Program</w:t>
            </w:r>
            <w:r>
              <w:rPr>
                <w:rFonts w:ascii="Arial" w:cs="Arial" w:eastAsia="Arial" w:hAnsi="Arial"/>
                <w:sz w:val="29"/>
                <w:szCs w:val="29"/>
                <w:color w:val="auto"/>
                <w:vertAlign w:val="superscript"/>
              </w:rPr>
              <w:t>(2)</w:t>
            </w:r>
          </w:p>
        </w:tc>
        <w:tc>
          <w:tcPr>
            <w:tcW w:w="4880" w:type="dxa"/>
            <w:vAlign w:val="bottom"/>
            <w:shd w:val="clear" w:color="auto" w:fill="E6EFFF"/>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Complete FDA Submission of Phase 1/2a Data</w:t>
            </w:r>
          </w:p>
        </w:tc>
        <w:tc>
          <w:tcPr>
            <w:tcW w:w="4880" w:type="dxa"/>
            <w:vAlign w:val="bottom"/>
          </w:tcPr>
          <w:p>
            <w:pPr>
              <w:jc w:val="center"/>
              <w:ind w:left="2949"/>
              <w:spacing w:after="0"/>
              <w:rPr>
                <w:sz w:val="20"/>
                <w:szCs w:val="20"/>
                <w:color w:val="auto"/>
              </w:rPr>
            </w:pPr>
            <w:r>
              <w:rPr>
                <w:rFonts w:ascii="Arial" w:cs="Arial" w:eastAsia="Arial" w:hAnsi="Arial"/>
                <w:sz w:val="18"/>
                <w:szCs w:val="18"/>
                <w:color w:val="auto"/>
                <w:w w:val="95"/>
              </w:rPr>
              <w:t>US$</w:t>
            </w:r>
            <w:r>
              <w:rPr>
                <w:rFonts w:ascii="Arial" w:cs="Arial" w:eastAsia="Arial" w:hAnsi="Arial"/>
                <w:sz w:val="18"/>
                <w:szCs w:val="18"/>
                <w:b w:val="1"/>
                <w:bCs w:val="1"/>
                <w:color w:val="auto"/>
                <w:w w:val="95"/>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4120" w:type="dxa"/>
            <w:vAlign w:val="bottom"/>
            <w:shd w:val="clear" w:color="auto" w:fill="E6EFFF"/>
          </w:tcPr>
          <w:p>
            <w:pPr>
              <w:ind w:left="20"/>
              <w:spacing w:after="0" w:line="256" w:lineRule="exact"/>
              <w:rPr>
                <w:sz w:val="20"/>
                <w:szCs w:val="20"/>
                <w:color w:val="auto"/>
              </w:rPr>
            </w:pPr>
            <w:r>
              <w:rPr>
                <w:rFonts w:ascii="Arial" w:cs="Arial" w:eastAsia="Arial" w:hAnsi="Arial"/>
                <w:sz w:val="18"/>
                <w:szCs w:val="18"/>
                <w:color w:val="auto"/>
              </w:rPr>
              <w:t>Deuterated Dimethyltryptamine Program</w:t>
            </w:r>
            <w:r>
              <w:rPr>
                <w:rFonts w:ascii="Arial" w:cs="Arial" w:eastAsia="Arial" w:hAnsi="Arial"/>
                <w:sz w:val="29"/>
                <w:szCs w:val="29"/>
                <w:color w:val="auto"/>
                <w:vertAlign w:val="superscript"/>
              </w:rPr>
              <w:t>(3)</w:t>
            </w:r>
          </w:p>
        </w:tc>
        <w:tc>
          <w:tcPr>
            <w:tcW w:w="4880" w:type="dxa"/>
            <w:vAlign w:val="bottom"/>
            <w:shd w:val="clear" w:color="auto" w:fill="E6EFFF"/>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w w:val="95"/>
              </w:rPr>
              <w:t>Provide Topline Data from Phase 1 CYB004-E Trial</w:t>
            </w:r>
          </w:p>
        </w:tc>
        <w:tc>
          <w:tcPr>
            <w:tcW w:w="4880" w:type="dxa"/>
            <w:vAlign w:val="bottom"/>
          </w:tcPr>
          <w:p>
            <w:pPr>
              <w:jc w:val="center"/>
              <w:ind w:left="2949"/>
              <w:spacing w:after="0"/>
              <w:rPr>
                <w:sz w:val="20"/>
                <w:szCs w:val="20"/>
                <w:color w:val="auto"/>
              </w:rPr>
            </w:pPr>
            <w:r>
              <w:rPr>
                <w:rFonts w:ascii="Arial" w:cs="Arial" w:eastAsia="Arial" w:hAnsi="Arial"/>
                <w:sz w:val="18"/>
                <w:szCs w:val="18"/>
                <w:color w:val="auto"/>
                <w:w w:val="95"/>
              </w:rPr>
              <w:t>US$</w:t>
            </w:r>
            <w:r>
              <w:rPr>
                <w:rFonts w:ascii="Arial" w:cs="Arial" w:eastAsia="Arial" w:hAnsi="Arial"/>
                <w:sz w:val="18"/>
                <w:szCs w:val="18"/>
                <w:b w:val="1"/>
                <w:bCs w:val="1"/>
                <w:color w:val="auto"/>
                <w:w w:val="95"/>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shd w:val="clear" w:color="auto" w:fill="E6EFFF"/>
          </w:tcPr>
          <w:p>
            <w:pPr>
              <w:ind w:left="200"/>
              <w:spacing w:after="0"/>
              <w:rPr>
                <w:sz w:val="20"/>
                <w:szCs w:val="20"/>
                <w:color w:val="auto"/>
              </w:rPr>
            </w:pPr>
            <w:r>
              <w:rPr>
                <w:rFonts w:ascii="Arial" w:cs="Arial" w:eastAsia="Arial" w:hAnsi="Arial"/>
                <w:sz w:val="18"/>
                <w:szCs w:val="18"/>
                <w:color w:val="auto"/>
              </w:rPr>
              <w:t>Complete FDA IND Submission</w:t>
            </w:r>
          </w:p>
        </w:tc>
        <w:tc>
          <w:tcPr>
            <w:tcW w:w="4880" w:type="dxa"/>
            <w:vAlign w:val="bottom"/>
            <w:shd w:val="clear" w:color="auto" w:fill="E6EFFF"/>
          </w:tcPr>
          <w:p>
            <w:pPr>
              <w:jc w:val="center"/>
              <w:ind w:left="2949"/>
              <w:spacing w:after="0"/>
              <w:rPr>
                <w:sz w:val="20"/>
                <w:szCs w:val="20"/>
                <w:color w:val="auto"/>
              </w:rPr>
            </w:pPr>
            <w:r>
              <w:rPr>
                <w:rFonts w:ascii="Arial" w:cs="Arial" w:eastAsia="Arial" w:hAnsi="Arial"/>
                <w:sz w:val="18"/>
                <w:szCs w:val="18"/>
                <w:color w:val="auto"/>
                <w:w w:val="95"/>
              </w:rPr>
              <w:t>US$</w:t>
            </w:r>
            <w:r>
              <w:rPr>
                <w:rFonts w:ascii="Arial" w:cs="Arial" w:eastAsia="Arial" w:hAnsi="Arial"/>
                <w:sz w:val="18"/>
                <w:szCs w:val="18"/>
                <w:b w:val="1"/>
                <w:bCs w:val="1"/>
                <w:color w:val="auto"/>
                <w:w w:val="95"/>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Phenethylamine Derivatives Program</w:t>
            </w:r>
          </w:p>
        </w:tc>
        <w:tc>
          <w:tcPr>
            <w:tcW w:w="4880" w:type="dxa"/>
            <w:vAlign w:val="bottom"/>
          </w:tcPr>
          <w:p>
            <w:pPr>
              <w:jc w:val="center"/>
              <w:ind w:left="2969"/>
              <w:spacing w:after="0"/>
              <w:rPr>
                <w:sz w:val="20"/>
                <w:szCs w:val="20"/>
                <w:color w:val="auto"/>
              </w:rPr>
            </w:pPr>
            <w:r>
              <w:rPr>
                <w:rFonts w:ascii="Arial" w:cs="Arial" w:eastAsia="Arial" w:hAnsi="Arial"/>
                <w:sz w:val="18"/>
                <w:szCs w:val="18"/>
                <w:color w:val="auto"/>
                <w:w w:val="99"/>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shd w:val="clear" w:color="auto" w:fill="E6EFFF"/>
          </w:tcPr>
          <w:p>
            <w:pPr>
              <w:ind w:left="20"/>
              <w:spacing w:after="0"/>
              <w:rPr>
                <w:sz w:val="20"/>
                <w:szCs w:val="20"/>
                <w:color w:val="auto"/>
              </w:rPr>
            </w:pPr>
            <w:r>
              <w:rPr>
                <w:rFonts w:ascii="Arial" w:cs="Arial" w:eastAsia="Arial" w:hAnsi="Arial"/>
                <w:sz w:val="18"/>
                <w:szCs w:val="18"/>
                <w:color w:val="auto"/>
              </w:rPr>
              <w:t>Technology Programs</w:t>
            </w:r>
          </w:p>
        </w:tc>
        <w:tc>
          <w:tcPr>
            <w:tcW w:w="4880" w:type="dxa"/>
            <w:vAlign w:val="bottom"/>
            <w:shd w:val="clear" w:color="auto" w:fill="E6EFFF"/>
          </w:tcPr>
          <w:p>
            <w:pPr>
              <w:jc w:val="center"/>
              <w:ind w:left="2969"/>
              <w:spacing w:after="0"/>
              <w:rPr>
                <w:sz w:val="20"/>
                <w:szCs w:val="20"/>
                <w:color w:val="auto"/>
              </w:rPr>
            </w:pPr>
            <w:r>
              <w:rPr>
                <w:rFonts w:ascii="Arial" w:cs="Arial" w:eastAsia="Arial" w:hAnsi="Arial"/>
                <w:sz w:val="18"/>
                <w:szCs w:val="18"/>
                <w:color w:val="auto"/>
                <w:w w:val="99"/>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120" w:type="dxa"/>
            <w:vAlign w:val="bottom"/>
          </w:tcPr>
          <w:p>
            <w:pPr>
              <w:ind w:left="20"/>
              <w:spacing w:after="0" w:line="270" w:lineRule="exact"/>
              <w:rPr>
                <w:sz w:val="20"/>
                <w:szCs w:val="20"/>
                <w:color w:val="auto"/>
              </w:rPr>
            </w:pPr>
            <w:r>
              <w:rPr>
                <w:rFonts w:ascii="Arial" w:cs="Arial" w:eastAsia="Arial" w:hAnsi="Arial"/>
                <w:sz w:val="18"/>
                <w:szCs w:val="18"/>
                <w:color w:val="auto"/>
                <w:w w:val="95"/>
              </w:rPr>
              <w:t>Working Capital, and General Corporate Purposes</w:t>
            </w:r>
            <w:r>
              <w:rPr>
                <w:rFonts w:ascii="Arial" w:cs="Arial" w:eastAsia="Arial" w:hAnsi="Arial"/>
                <w:sz w:val="29"/>
                <w:szCs w:val="29"/>
                <w:color w:val="auto"/>
                <w:w w:val="95"/>
                <w:vertAlign w:val="superscript"/>
              </w:rPr>
              <w:t>(4)</w:t>
            </w:r>
          </w:p>
        </w:tc>
        <w:tc>
          <w:tcPr>
            <w:tcW w:w="4880" w:type="dxa"/>
            <w:vAlign w:val="bottom"/>
          </w:tcPr>
          <w:p>
            <w:pPr>
              <w:jc w:val="center"/>
              <w:ind w:left="2949"/>
              <w:spacing w:after="0"/>
              <w:rPr>
                <w:sz w:val="20"/>
                <w:szCs w:val="20"/>
                <w:color w:val="auto"/>
              </w:rPr>
            </w:pPr>
            <w:r>
              <w:rPr>
                <w:rFonts w:ascii="Arial" w:cs="Arial" w:eastAsia="Arial" w:hAnsi="Arial"/>
                <w:sz w:val="18"/>
                <w:szCs w:val="18"/>
                <w:color w:val="auto"/>
                <w:w w:val="95"/>
              </w:rPr>
              <w:t>US$</w:t>
            </w:r>
            <w:r>
              <w:rPr>
                <w:rFonts w:ascii="Arial" w:cs="Arial" w:eastAsia="Arial" w:hAnsi="Arial"/>
                <w:sz w:val="18"/>
                <w:szCs w:val="18"/>
                <w:b w:val="1"/>
                <w:bCs w:val="1"/>
                <w:color w:val="auto"/>
                <w:w w:val="95"/>
              </w:rPr>
              <w:t>●</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20" w:type="dxa"/>
            <w:vAlign w:val="bottom"/>
            <w:shd w:val="clear" w:color="auto" w:fill="E6EFFF"/>
          </w:tcPr>
          <w:p>
            <w:pPr>
              <w:spacing w:after="0"/>
              <w:rPr>
                <w:sz w:val="18"/>
                <w:szCs w:val="18"/>
                <w:color w:val="auto"/>
              </w:rPr>
            </w:pPr>
          </w:p>
        </w:tc>
        <w:tc>
          <w:tcPr>
            <w:tcW w:w="4880" w:type="dxa"/>
            <w:vAlign w:val="bottom"/>
            <w:shd w:val="clear" w:color="auto" w:fill="E6EF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880" w:type="dxa"/>
            <w:vAlign w:val="bottom"/>
          </w:tcPr>
          <w:p>
            <w:pPr>
              <w:jc w:val="center"/>
              <w:ind w:left="2949"/>
              <w:spacing w:after="0"/>
              <w:rPr>
                <w:sz w:val="20"/>
                <w:szCs w:val="20"/>
                <w:color w:val="auto"/>
              </w:rPr>
            </w:pPr>
            <w:r>
              <w:rPr>
                <w:rFonts w:ascii="Arial" w:cs="Arial" w:eastAsia="Arial" w:hAnsi="Arial"/>
                <w:sz w:val="18"/>
                <w:szCs w:val="18"/>
                <w:color w:val="auto"/>
                <w:w w:val="95"/>
              </w:rPr>
              <w:t>US$</w:t>
            </w:r>
            <w:r>
              <w:rPr>
                <w:rFonts w:ascii="Arial" w:cs="Arial" w:eastAsia="Arial" w:hAnsi="Arial"/>
                <w:sz w:val="18"/>
                <w:szCs w:val="18"/>
                <w:b w:val="1"/>
                <w:bCs w:val="1"/>
                <w:color w:val="auto"/>
                <w:w w:val="95"/>
              </w:rPr>
              <w: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4"/>
        </w:trPr>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880" w:type="dxa"/>
            <w:vAlign w:val="bottom"/>
          </w:tcPr>
          <w:p>
            <w:pPr>
              <w:ind w:left="180"/>
              <w:spacing w:after="0"/>
              <w:rPr>
                <w:sz w:val="20"/>
                <w:szCs w:val="20"/>
                <w:color w:val="auto"/>
              </w:rPr>
            </w:pPr>
            <w:r>
              <w:rPr>
                <w:rFonts w:ascii="Arial" w:cs="Arial" w:eastAsia="Arial" w:hAnsi="Arial"/>
                <w:sz w:val="22"/>
                <w:szCs w:val="22"/>
                <w:color w:val="auto"/>
              </w:rPr>
              <w:t>S-10</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120" w:type="dxa"/>
            <w:vAlign w:val="bottom"/>
            <w:shd w:val="clear" w:color="auto" w:fill="000000"/>
          </w:tcPr>
          <w:p>
            <w:pPr>
              <w:spacing w:after="0"/>
              <w:rPr>
                <w:sz w:val="6"/>
                <w:szCs w:val="6"/>
                <w:color w:val="auto"/>
              </w:rPr>
            </w:pPr>
          </w:p>
        </w:tc>
        <w:tc>
          <w:tcPr>
            <w:tcW w:w="4120" w:type="dxa"/>
            <w:vAlign w:val="bottom"/>
            <w:shd w:val="clear" w:color="auto" w:fill="000000"/>
          </w:tcPr>
          <w:p>
            <w:pPr>
              <w:spacing w:after="0"/>
              <w:rPr>
                <w:sz w:val="6"/>
                <w:szCs w:val="6"/>
                <w:color w:val="auto"/>
              </w:rPr>
            </w:pPr>
          </w:p>
        </w:tc>
        <w:tc>
          <w:tcPr>
            <w:tcW w:w="488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334" w:right="29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Notes:</w:t>
      </w:r>
    </w:p>
    <w:p>
      <w:pPr>
        <w:spacing w:after="0" w:line="206"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Assuming US$</w:t>
      </w:r>
      <w:r>
        <w:rPr>
          <w:rFonts w:ascii="Arial" w:cs="Arial" w:eastAsia="Arial" w:hAnsi="Arial"/>
          <w:sz w:val="22"/>
          <w:szCs w:val="22"/>
          <w:b w:val="1"/>
          <w:bCs w:val="1"/>
          <w:color w:val="auto"/>
        </w:rPr>
        <w:t>●</w:t>
      </w:r>
      <w:r>
        <w:rPr>
          <w:rFonts w:ascii="Arial" w:cs="Arial" w:eastAsia="Arial" w:hAnsi="Arial"/>
          <w:sz w:val="22"/>
          <w:szCs w:val="22"/>
          <w:color w:val="auto"/>
        </w:rPr>
        <w:t xml:space="preserve"> of purchasers under the President's List.</w:t>
      </w:r>
    </w:p>
    <w:p>
      <w:pPr>
        <w:spacing w:after="0" w:line="14" w:lineRule="exact"/>
        <w:rPr>
          <w:rFonts w:ascii="Arial" w:cs="Arial" w:eastAsia="Arial" w:hAnsi="Arial"/>
          <w:sz w:val="22"/>
          <w:szCs w:val="22"/>
          <w:color w:val="auto"/>
        </w:rPr>
      </w:pPr>
    </w:p>
    <w:p>
      <w:pPr>
        <w:jc w:val="both"/>
        <w:ind w:left="340" w:hanging="332"/>
        <w:spacing w:after="0" w:line="241" w:lineRule="auto"/>
        <w:tabs>
          <w:tab w:leader="none" w:pos="379"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Corporation's Phase 1/2a trial is a randomized, double-blind, placebo-controlled study evaluating CYB003, an orally delivered deuterated psilocybin analog that aims to address the limitations of oral psilocybin, in participants with moderate to severe major depressive disorder ("</w:t>
      </w:r>
      <w:r>
        <w:rPr>
          <w:rFonts w:ascii="Arial" w:cs="Arial" w:eastAsia="Arial" w:hAnsi="Arial"/>
          <w:sz w:val="21"/>
          <w:szCs w:val="21"/>
          <w:b w:val="1"/>
          <w:bCs w:val="1"/>
          <w:color w:val="auto"/>
        </w:rPr>
        <w:t>MDD</w:t>
      </w:r>
      <w:r>
        <w:rPr>
          <w:rFonts w:ascii="Arial" w:cs="Arial" w:eastAsia="Arial" w:hAnsi="Arial"/>
          <w:sz w:val="21"/>
          <w:szCs w:val="21"/>
          <w:color w:val="auto"/>
        </w:rPr>
        <w:t>") and in healthy volunteers. The study will investigate the safety, tolerability, pharmacokinetics ("</w:t>
      </w:r>
      <w:r>
        <w:rPr>
          <w:rFonts w:ascii="Arial" w:cs="Arial" w:eastAsia="Arial" w:hAnsi="Arial"/>
          <w:sz w:val="21"/>
          <w:szCs w:val="21"/>
          <w:b w:val="1"/>
          <w:bCs w:val="1"/>
          <w:color w:val="auto"/>
        </w:rPr>
        <w:t>PK</w:t>
      </w:r>
      <w:r>
        <w:rPr>
          <w:rFonts w:ascii="Arial" w:cs="Arial" w:eastAsia="Arial" w:hAnsi="Arial"/>
          <w:sz w:val="21"/>
          <w:szCs w:val="21"/>
          <w:color w:val="auto"/>
        </w:rPr>
        <w:t>") and pharmacodynamics ("</w:t>
      </w:r>
      <w:r>
        <w:rPr>
          <w:rFonts w:ascii="Arial" w:cs="Arial" w:eastAsia="Arial" w:hAnsi="Arial"/>
          <w:sz w:val="21"/>
          <w:szCs w:val="21"/>
          <w:b w:val="1"/>
          <w:bCs w:val="1"/>
          <w:color w:val="auto"/>
        </w:rPr>
        <w:t>PD</w:t>
      </w:r>
      <w:r>
        <w:rPr>
          <w:rFonts w:ascii="Arial" w:cs="Arial" w:eastAsia="Arial" w:hAnsi="Arial"/>
          <w:sz w:val="21"/>
          <w:szCs w:val="21"/>
          <w:color w:val="auto"/>
        </w:rPr>
        <w:t>"), and psychedelic effect of ascending oral doses of CYB003. The Corporation has engaged Clinilabs Drug Development Corporation, a full-service contract research organization with deep expertise in central nervous system drug development, to carry out the Phase 1/2a clinical trial of CYB003. As of February 28, 2023, dosing in the Phase 1 portion of the study has been completed and dosing is ongoing in the Phase 2a portion. On July 24, 2023, the Corporation announced that it has completed dosing of Cohort 5 under the Phase 2a portion of the clinical trial. Recruitment is underway to commence the final portion of the CYB003 Phase 2a study, being dosing in Cohort 6. The Corporation expects to spend approximately $2,440,400 (US$1,852,000) to complete FDA submission of Phase 1/2a data in Q4 2023.</w:t>
      </w:r>
    </w:p>
    <w:p>
      <w:pPr>
        <w:spacing w:after="0" w:line="5" w:lineRule="exact"/>
        <w:rPr>
          <w:rFonts w:ascii="Arial" w:cs="Arial" w:eastAsia="Arial" w:hAnsi="Arial"/>
          <w:sz w:val="21"/>
          <w:szCs w:val="21"/>
          <w:color w:val="auto"/>
        </w:rPr>
      </w:pPr>
    </w:p>
    <w:p>
      <w:pPr>
        <w:jc w:val="both"/>
        <w:ind w:left="340" w:hanging="332"/>
        <w:spacing w:after="0" w:line="266" w:lineRule="auto"/>
        <w:tabs>
          <w:tab w:leader="none" w:pos="379"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Corporation's Deuterated Dimethyltryptamine Program is focused on the development of CYB004, a deuterated version of N, N-dimethyltryptamine ("</w:t>
      </w:r>
      <w:r>
        <w:rPr>
          <w:rFonts w:ascii="Arial" w:cs="Arial" w:eastAsia="Arial" w:hAnsi="Arial"/>
          <w:sz w:val="19"/>
          <w:szCs w:val="19"/>
          <w:b w:val="1"/>
          <w:bCs w:val="1"/>
          <w:color w:val="auto"/>
        </w:rPr>
        <w:t>DMT</w:t>
      </w:r>
      <w:r>
        <w:rPr>
          <w:rFonts w:ascii="Arial" w:cs="Arial" w:eastAsia="Arial" w:hAnsi="Arial"/>
          <w:sz w:val="19"/>
          <w:szCs w:val="19"/>
          <w:color w:val="auto"/>
        </w:rPr>
        <w:t>"). The Phase 1 trial of CYB004-E is a three-part study evaluating the safety, PK and PD of escalating doses of DMT and CYB004 in healthy volunteers. The three-part study design was established in a protocol amendment to the initial study design, allowing the Corporation to commence first-in-human dosing of CYB004 sooner than initially planned. The study is expected to provide essential safety and dosing optimization data to inform the clinical path forward for CYB004. The CYB004-E study, acquired from Entheon Biomedical Corp., is being conducted at the Centre for Human Drug Research in the Netherlands and is one of the largest Phase 1 DMT clinical trials to date. Per the protocol amendment, Cybin established a three-part study to include Part A (IV DMT infusion), Part B (IV DMT bolus + infusion) and Part C (IV CYB004 bolus + infusion) in healthy volunteers. The Corporation was able to rely upon completed preclinical data to gain regulatory authorization to add CYB004 to the CYB004-E DMT study. On May 9, 2023, the Corporation announced that it had completed dosing for the last subject in Part B of the Phase 1 CYB004-E trial. On May 24, 2023, the Corporation announced that it had initiated first-in-human dosing of CYB004 in Part C of the Phase 1 CYB004-E trial. The Corporation expects to spend approximately $1,238,600 (US$940,000) to provide topline data from the Phase 1 CYB004-E trial in Q3/Q4 2023 and $1,340,100 (US$1,017,000) to complete FDA IND submission for CYB004 by Q1 2024.</w:t>
      </w:r>
    </w:p>
    <w:p>
      <w:pPr>
        <w:spacing w:after="0" w:line="11" w:lineRule="exact"/>
        <w:rPr>
          <w:rFonts w:ascii="Arial" w:cs="Arial" w:eastAsia="Arial" w:hAnsi="Arial"/>
          <w:sz w:val="19"/>
          <w:szCs w:val="19"/>
          <w:color w:val="auto"/>
        </w:rPr>
      </w:pPr>
    </w:p>
    <w:p>
      <w:pPr>
        <w:jc w:val="both"/>
        <w:ind w:left="340" w:hanging="332"/>
        <w:spacing w:after="0" w:line="246" w:lineRule="auto"/>
        <w:tabs>
          <w:tab w:leader="none" w:pos="379" w:val="left"/>
        </w:tabs>
        <w:numPr>
          <w:ilvl w:val="0"/>
          <w:numId w:val="9"/>
        </w:numPr>
        <w:rPr>
          <w:rFonts w:ascii="Arial" w:cs="Arial" w:eastAsia="Arial" w:hAnsi="Arial"/>
          <w:sz w:val="21"/>
          <w:szCs w:val="21"/>
          <w:color w:val="auto"/>
        </w:rPr>
      </w:pPr>
      <w:r>
        <w:rPr>
          <w:rFonts w:ascii="Arial" w:cs="Arial" w:eastAsia="Arial" w:hAnsi="Arial"/>
          <w:sz w:val="21"/>
          <w:szCs w:val="21"/>
          <w:color w:val="auto"/>
        </w:rPr>
        <w:t>Includes personnel costs, professional services, overhead expenses and general expenses to be incurred by the Corporation in the normal course of business. In addition, the Company intends to use a portion of these proceeds to continue funding both its Deuterated Psilocybin Analog and Deuterated Dimethyltryptamine programs. The allocation between these programs and specific milestones within the programs have not yet been determined.</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 At any given time, the Corporation may be engaged in discussions and activities in respect of potential growth initiatives and other strategic opportunities that are complementary or accretive to the Corporation's business, which may include acquisitions or other investments. Some of the suppliers and services providers of the Corporation may be associated or affiliated with parties who have invested in the Corporation from time to time.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 Given uncertain market conditions, the Corporation believes it is prudent to complete the Offering in order to further increase the Corporation's cash on hand.</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use of the net proceeds of the Offering is subject to change due to the influence of many evolving variables, including those as described under </w:t>
      </w:r>
      <w:r>
        <w:rPr>
          <w:rFonts w:ascii="Arial" w:cs="Arial" w:eastAsia="Arial" w:hAnsi="Arial"/>
          <w:sz w:val="19"/>
          <w:szCs w:val="19"/>
          <w:i w:val="1"/>
          <w:iCs w:val="1"/>
          <w:color w:val="auto"/>
        </w:rPr>
        <w:t>"Stage of Development of Principal Products"</w:t>
      </w:r>
      <w:r>
        <w:rPr>
          <w:rFonts w:ascii="Arial" w:cs="Arial" w:eastAsia="Arial" w:hAnsi="Arial"/>
          <w:sz w:val="19"/>
          <w:szCs w:val="19"/>
          <w:color w:val="auto"/>
        </w:rPr>
        <w:t xml:space="preserve"> in the Annual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Arial" w:cs="Arial" w:eastAsia="Arial" w:hAnsi="Arial"/>
          <w:sz w:val="19"/>
          <w:szCs w:val="19"/>
          <w:i w:val="1"/>
          <w:iCs w:val="1"/>
          <w:color w:val="auto"/>
        </w:rPr>
        <w:t xml:space="preserve">"Cautionary Statement Regarding Forward-Looking Statements" </w:t>
      </w:r>
      <w:r>
        <w:rPr>
          <w:rFonts w:ascii="Arial" w:cs="Arial" w:eastAsia="Arial" w:hAnsi="Arial"/>
          <w:sz w:val="19"/>
          <w:szCs w:val="19"/>
          <w:color w:val="auto"/>
        </w:rPr>
        <w:t>and</w:t>
      </w:r>
      <w:r>
        <w:rPr>
          <w:rFonts w:ascii="Arial" w:cs="Arial" w:eastAsia="Arial" w:hAnsi="Arial"/>
          <w:sz w:val="19"/>
          <w:szCs w:val="19"/>
          <w:i w:val="1"/>
          <w:iCs w:val="1"/>
          <w:color w:val="auto"/>
        </w:rPr>
        <w:t xml:space="preserve"> "Risk Factors"</w:t>
      </w:r>
      <w:r>
        <w:rPr>
          <w:rFonts w:ascii="Arial" w:cs="Arial" w:eastAsia="Arial" w:hAnsi="Arial"/>
          <w:sz w:val="19"/>
          <w:szCs w:val="19"/>
          <w:color w:val="auto"/>
        </w:rPr>
        <w:t>.</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Arial" w:cs="Arial" w:eastAsia="Arial" w:hAnsi="Arial"/>
          <w:sz w:val="22"/>
          <w:szCs w:val="22"/>
          <w:i w:val="1"/>
          <w:iCs w:val="1"/>
          <w:color w:val="auto"/>
        </w:rPr>
        <w:t>"Risk Factors - Risks Related to the Offering - Discretion in</w:t>
      </w:r>
      <w:r>
        <w:rPr>
          <w:rFonts w:ascii="Arial" w:cs="Arial" w:eastAsia="Arial" w:hAnsi="Arial"/>
          <w:sz w:val="22"/>
          <w:szCs w:val="22"/>
          <w:color w:val="auto"/>
        </w:rPr>
        <w:t xml:space="preserve"> </w:t>
      </w:r>
      <w:r>
        <w:rPr>
          <w:rFonts w:ascii="Arial" w:cs="Arial" w:eastAsia="Arial" w:hAnsi="Arial"/>
          <w:sz w:val="22"/>
          <w:szCs w:val="22"/>
          <w:i w:val="1"/>
          <w:iCs w:val="1"/>
          <w:color w:val="auto"/>
        </w:rPr>
        <w:t>the Use of Proceeds"</w:t>
      </w:r>
      <w:r>
        <w:rPr>
          <w:rFonts w:ascii="Arial" w:cs="Arial" w:eastAsia="Arial" w:hAnsi="Arial"/>
          <w:sz w:val="22"/>
          <w:szCs w:val="22"/>
          <w:color w:val="auto"/>
        </w:rPr>
        <w:t>.</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Since inception, the Corporation has financed its operations primarily from the issuance of equity and interest income on funds available for investment. To date, the Corporation has raised approximately C$145,500,000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w:t>
      </w:r>
    </w:p>
    <w:p>
      <w:pPr>
        <w:sectPr>
          <w:pgSz w:w="11900" w:h="16838" w:orient="portrait"/>
          <w:cols w:equalWidth="0" w:num="1">
            <w:col w:w="11240"/>
          </w:cols>
          <w:pgMar w:left="320" w:top="571" w:right="339" w:bottom="0" w:gutter="0" w:footer="0" w:header="0"/>
        </w:sectPr>
      </w:pPr>
    </w:p>
    <w:bookmarkStart w:id="18" w:name="page19"/>
    <w:bookmarkEnd w:id="18"/>
    <w:p>
      <w:pPr>
        <w:jc w:val="both"/>
        <w:spacing w:after="0" w:line="236" w:lineRule="auto"/>
        <w:rPr>
          <w:sz w:val="20"/>
          <w:szCs w:val="20"/>
          <w:color w:val="auto"/>
        </w:rPr>
      </w:pPr>
      <w:r>
        <w:rPr>
          <w:rFonts w:ascii="Arial" w:cs="Arial" w:eastAsia="Arial" w:hAnsi="Arial"/>
          <w:sz w:val="22"/>
          <w:szCs w:val="22"/>
          <w:color w:val="auto"/>
        </w:rPr>
        <w:t xml:space="preserve">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22"/>
          <w:szCs w:val="22"/>
          <w:i w:val="1"/>
          <w:iCs w:val="1"/>
          <w:color w:val="auto"/>
        </w:rPr>
        <w:t>"Risk Factors - Risks Related to an Offering - Negative Operating Cash Flow and</w:t>
      </w:r>
      <w:r>
        <w:rPr>
          <w:rFonts w:ascii="Arial" w:cs="Arial" w:eastAsia="Arial" w:hAnsi="Arial"/>
          <w:sz w:val="22"/>
          <w:szCs w:val="22"/>
          <w:color w:val="auto"/>
        </w:rPr>
        <w:t xml:space="preserve"> </w:t>
      </w:r>
      <w:r>
        <w:rPr>
          <w:rFonts w:ascii="Arial" w:cs="Arial" w:eastAsia="Arial" w:hAnsi="Arial"/>
          <w:sz w:val="22"/>
          <w:szCs w:val="22"/>
          <w:i w:val="1"/>
          <w:iCs w:val="1"/>
          <w:color w:val="auto"/>
        </w:rPr>
        <w:t>Going Concern".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both"/>
        <w:spacing w:after="0"/>
        <w:rPr>
          <w:sz w:val="20"/>
          <w:szCs w:val="20"/>
          <w:color w:val="auto"/>
        </w:rPr>
      </w:pPr>
      <w:r>
        <w:rPr>
          <w:rFonts w:ascii="Arial" w:cs="Arial" w:eastAsia="Arial" w:hAnsi="Arial"/>
          <w:sz w:val="22"/>
          <w:szCs w:val="22"/>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Annual Information Form and the Annual MD&amp;A, to which there has been no material changes since the date of the applicable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CAPITALIZATION</w:t>
      </w:r>
    </w:p>
    <w:p>
      <w:pPr>
        <w:spacing w:after="0" w:line="212" w:lineRule="exact"/>
        <w:rPr>
          <w:sz w:val="20"/>
          <w:szCs w:val="20"/>
          <w:color w:val="auto"/>
        </w:rPr>
      </w:pPr>
    </w:p>
    <w:p>
      <w:pPr>
        <w:jc w:val="both"/>
        <w:ind w:left="80"/>
        <w:spacing w:after="0" w:line="250" w:lineRule="auto"/>
        <w:rPr>
          <w:sz w:val="20"/>
          <w:szCs w:val="20"/>
          <w:color w:val="auto"/>
        </w:rPr>
      </w:pPr>
      <w:r>
        <w:rPr>
          <w:rFonts w:ascii="Arial" w:cs="Arial" w:eastAsia="Arial" w:hAnsi="Arial"/>
          <w:sz w:val="22"/>
          <w:szCs w:val="22"/>
          <w:color w:val="auto"/>
        </w:rPr>
        <w:t>There have been no material changes in the Corporation's share or loan capitalization on a consolidated basis since the date of the Annual Financial Statements.</w:t>
      </w:r>
    </w:p>
    <w:p>
      <w:pPr>
        <w:spacing w:after="0" w:line="175" w:lineRule="exact"/>
        <w:rPr>
          <w:sz w:val="20"/>
          <w:szCs w:val="20"/>
          <w:color w:val="auto"/>
        </w:rPr>
      </w:pPr>
    </w:p>
    <w:p>
      <w:pPr>
        <w:jc w:val="both"/>
        <w:ind w:left="80"/>
        <w:spacing w:after="0"/>
        <w:rPr>
          <w:sz w:val="20"/>
          <w:szCs w:val="20"/>
          <w:color w:val="auto"/>
        </w:rPr>
      </w:pPr>
      <w:r>
        <w:rPr>
          <w:rFonts w:ascii="Arial" w:cs="Arial" w:eastAsia="Arial" w:hAnsi="Arial"/>
          <w:sz w:val="22"/>
          <w:szCs w:val="22"/>
          <w:color w:val="auto"/>
        </w:rPr>
        <w:t>The following table sets forth the Corporation's cash, indebtedness and shareholders' equity as of March 31, 2023, the Corporation's fiscal year end: (a) on an actual basis; and (b) after giving effect to the Offering. This table should be read in conjunction with the Annual Financial Statements and Annual MD&amp;A.</w:t>
      </w:r>
    </w:p>
    <w:p>
      <w:pPr>
        <w:spacing w:after="0" w:line="189" w:lineRule="exact"/>
        <w:rPr>
          <w:sz w:val="20"/>
          <w:szCs w:val="20"/>
          <w:color w:val="auto"/>
        </w:rPr>
      </w:pPr>
    </w:p>
    <w:tbl>
      <w:tblPr>
        <w:tblLayout w:type="fixed"/>
        <w:tblInd w:w="1120" w:type="dxa"/>
        <w:tblCellMar>
          <w:top w:w="0" w:type="dxa"/>
          <w:left w:w="0" w:type="dxa"/>
          <w:bottom w:w="0" w:type="dxa"/>
          <w:right w:w="0" w:type="dxa"/>
        </w:tblCellMar>
      </w:tblPr>
      <w:tr>
        <w:trPr>
          <w:trHeight w:val="220"/>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As at March 31, 2023, after</w:t>
            </w:r>
          </w:p>
        </w:tc>
      </w:tr>
      <w:tr>
        <w:trPr>
          <w:trHeight w:val="271"/>
        </w:trPr>
        <w:tc>
          <w:tcPr>
            <w:tcW w:w="4900" w:type="dxa"/>
            <w:vAlign w:val="bottom"/>
          </w:tcPr>
          <w:p>
            <w:pPr>
              <w:ind w:left="100"/>
              <w:spacing w:after="0"/>
              <w:rPr>
                <w:sz w:val="20"/>
                <w:szCs w:val="20"/>
                <w:color w:val="auto"/>
              </w:rPr>
            </w:pPr>
            <w:r>
              <w:rPr>
                <w:rFonts w:ascii="Arial" w:cs="Arial" w:eastAsia="Arial" w:hAnsi="Arial"/>
                <w:sz w:val="18"/>
                <w:szCs w:val="18"/>
                <w:b w:val="1"/>
                <w:bCs w:val="1"/>
                <w:color w:val="auto"/>
              </w:rPr>
              <w:t>Description of Capital</w:t>
            </w:r>
          </w:p>
        </w:tc>
        <w:tc>
          <w:tcPr>
            <w:tcW w:w="180" w:type="dxa"/>
            <w:vAlign w:val="bottom"/>
          </w:tcPr>
          <w:p>
            <w:pPr>
              <w:spacing w:after="0"/>
              <w:rPr>
                <w:sz w:val="23"/>
                <w:szCs w:val="23"/>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March 31, 2023</w:t>
            </w:r>
          </w:p>
        </w:tc>
        <w:tc>
          <w:tcPr>
            <w:tcW w:w="246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8"/>
              </w:rPr>
              <w:t>giving effect to the Offering</w:t>
            </w:r>
            <w:r>
              <w:rPr>
                <w:rFonts w:ascii="Arial" w:cs="Arial" w:eastAsia="Arial" w:hAnsi="Arial"/>
                <w:sz w:val="29"/>
                <w:szCs w:val="29"/>
                <w:b w:val="1"/>
                <w:bCs w:val="1"/>
                <w:color w:val="auto"/>
                <w:w w:val="88"/>
                <w:vertAlign w:val="superscript"/>
              </w:rPr>
              <w:t>(1)</w:t>
            </w:r>
          </w:p>
        </w:tc>
      </w:tr>
      <w:tr>
        <w:trPr>
          <w:trHeight w:val="264"/>
        </w:trPr>
        <w:tc>
          <w:tcPr>
            <w:tcW w:w="4900" w:type="dxa"/>
            <w:vAlign w:val="bottom"/>
            <w:tcBorders>
              <w:top w:val="single" w:sz="8" w:color="auto"/>
            </w:tcBorders>
            <w:shd w:val="clear" w:color="auto" w:fill="E6EFFF"/>
          </w:tcPr>
          <w:p>
            <w:pPr>
              <w:ind w:left="100"/>
              <w:spacing w:after="0" w:line="26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9"/>
                <w:szCs w:val="29"/>
                <w:color w:val="auto"/>
                <w:vertAlign w:val="superscript"/>
              </w:rPr>
              <w:t>(1)</w:t>
            </w:r>
          </w:p>
        </w:tc>
        <w:tc>
          <w:tcPr>
            <w:tcW w:w="180" w:type="dxa"/>
            <w:vAlign w:val="bottom"/>
            <w:shd w:val="clear" w:color="auto" w:fill="E6EFFF"/>
          </w:tcPr>
          <w:p>
            <w:pPr>
              <w:spacing w:after="0"/>
              <w:rPr>
                <w:sz w:val="22"/>
                <w:szCs w:val="22"/>
                <w:color w:val="auto"/>
              </w:rPr>
            </w:pPr>
          </w:p>
        </w:tc>
        <w:tc>
          <w:tcPr>
            <w:tcW w:w="1280" w:type="dxa"/>
            <w:vAlign w:val="bottom"/>
            <w:tcBorders>
              <w:top w:val="single" w:sz="8" w:color="auto"/>
            </w:tcBorders>
            <w:shd w:val="clear" w:color="auto" w:fill="E6EFFF"/>
          </w:tcPr>
          <w:p>
            <w:pPr>
              <w:jc w:val="center"/>
              <w:ind w:left="10"/>
              <w:spacing w:after="0"/>
              <w:rPr>
                <w:sz w:val="20"/>
                <w:szCs w:val="20"/>
                <w:color w:val="auto"/>
              </w:rPr>
            </w:pPr>
            <w:r>
              <w:rPr>
                <w:rFonts w:ascii="Arial" w:cs="Arial" w:eastAsia="Arial" w:hAnsi="Arial"/>
                <w:sz w:val="18"/>
                <w:szCs w:val="18"/>
                <w:color w:val="auto"/>
                <w:w w:val="89"/>
              </w:rPr>
              <w:t>$16,633,000</w:t>
            </w:r>
          </w:p>
        </w:tc>
        <w:tc>
          <w:tcPr>
            <w:tcW w:w="180" w:type="dxa"/>
            <w:vAlign w:val="bottom"/>
            <w:shd w:val="clear" w:color="auto" w:fill="E6EFFF"/>
          </w:tcPr>
          <w:p>
            <w:pPr>
              <w:spacing w:after="0"/>
              <w:rPr>
                <w:sz w:val="22"/>
                <w:szCs w:val="22"/>
                <w:color w:val="auto"/>
              </w:rPr>
            </w:pPr>
          </w:p>
        </w:tc>
        <w:tc>
          <w:tcPr>
            <w:tcW w:w="2460" w:type="dxa"/>
            <w:vAlign w:val="bottom"/>
            <w:tcBorders>
              <w:top w:val="single" w:sz="8" w:color="auto"/>
            </w:tcBorders>
            <w:shd w:val="clear" w:color="auto" w:fill="E6EFFF"/>
          </w:tcPr>
          <w:p>
            <w:pPr>
              <w:jc w:val="center"/>
              <w:spacing w:after="0"/>
              <w:rPr>
                <w:sz w:val="20"/>
                <w:szCs w:val="20"/>
                <w:color w:val="auto"/>
              </w:rPr>
            </w:pPr>
            <w:r>
              <w:rPr>
                <w:rFonts w:ascii="Arial" w:cs="Arial" w:eastAsia="Arial" w:hAnsi="Arial"/>
                <w:sz w:val="18"/>
                <w:szCs w:val="18"/>
                <w:color w:val="auto"/>
                <w:w w:val="95"/>
              </w:rPr>
              <w:t>$●</w:t>
            </w: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Loans and Borrowings</w:t>
            </w:r>
          </w:p>
        </w:tc>
        <w:tc>
          <w:tcPr>
            <w:tcW w:w="18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color w:val="auto"/>
              </w:rPr>
              <w:t>Nil</w:t>
            </w:r>
          </w:p>
        </w:tc>
        <w:tc>
          <w:tcPr>
            <w:tcW w:w="2460" w:type="dxa"/>
            <w:vAlign w:val="bottom"/>
          </w:tcPr>
          <w:p>
            <w:pPr>
              <w:jc w:val="center"/>
              <w:spacing w:after="0"/>
              <w:rPr>
                <w:sz w:val="20"/>
                <w:szCs w:val="20"/>
                <w:color w:val="auto"/>
              </w:rPr>
            </w:pPr>
            <w:r>
              <w:rPr>
                <w:rFonts w:ascii="Arial" w:cs="Arial" w:eastAsia="Arial" w:hAnsi="Arial"/>
                <w:sz w:val="18"/>
                <w:szCs w:val="18"/>
                <w:color w:val="auto"/>
              </w:rPr>
              <w:t>Nil</w:t>
            </w:r>
          </w:p>
        </w:tc>
      </w:tr>
      <w:tr>
        <w:trPr>
          <w:trHeight w:val="216"/>
        </w:trPr>
        <w:tc>
          <w:tcPr>
            <w:tcW w:w="4900" w:type="dxa"/>
            <w:vAlign w:val="bottom"/>
            <w:shd w:val="clear" w:color="auto" w:fill="E6EFFF"/>
          </w:tcPr>
          <w:p>
            <w:pPr>
              <w:ind w:left="100"/>
              <w:spacing w:after="0"/>
              <w:rPr>
                <w:sz w:val="20"/>
                <w:szCs w:val="20"/>
                <w:color w:val="auto"/>
              </w:rPr>
            </w:pPr>
            <w:r>
              <w:rPr>
                <w:rFonts w:ascii="Arial" w:cs="Arial" w:eastAsia="Arial" w:hAnsi="Arial"/>
                <w:sz w:val="18"/>
                <w:szCs w:val="18"/>
                <w:color w:val="auto"/>
              </w:rPr>
              <w:t>Common Shares</w:t>
            </w:r>
          </w:p>
        </w:tc>
        <w:tc>
          <w:tcPr>
            <w:tcW w:w="1460" w:type="dxa"/>
            <w:vAlign w:val="bottom"/>
            <w:gridSpan w:val="2"/>
            <w:shd w:val="clear" w:color="auto" w:fill="E6EFFF"/>
          </w:tcPr>
          <w:p>
            <w:pPr>
              <w:jc w:val="center"/>
              <w:ind w:left="190"/>
              <w:spacing w:after="0"/>
              <w:rPr>
                <w:sz w:val="20"/>
                <w:szCs w:val="20"/>
                <w:color w:val="auto"/>
              </w:rPr>
            </w:pPr>
            <w:r>
              <w:rPr>
                <w:rFonts w:ascii="Arial" w:cs="Arial" w:eastAsia="Arial" w:hAnsi="Arial"/>
                <w:sz w:val="18"/>
                <w:szCs w:val="18"/>
                <w:color w:val="auto"/>
                <w:w w:val="89"/>
              </w:rPr>
              <w:t>195,328,733</w:t>
            </w:r>
          </w:p>
        </w:tc>
        <w:tc>
          <w:tcPr>
            <w:tcW w:w="1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w:t>
            </w: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Stock options</w:t>
            </w:r>
          </w:p>
        </w:tc>
        <w:tc>
          <w:tcPr>
            <w:tcW w:w="146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29,569,800</w:t>
            </w:r>
          </w:p>
        </w:tc>
        <w:tc>
          <w:tcPr>
            <w:tcW w:w="1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29,569,800</w:t>
            </w:r>
          </w:p>
        </w:tc>
      </w:tr>
      <w:tr>
        <w:trPr>
          <w:trHeight w:val="216"/>
        </w:trPr>
        <w:tc>
          <w:tcPr>
            <w:tcW w:w="4900" w:type="dxa"/>
            <w:vAlign w:val="bottom"/>
            <w:shd w:val="clear" w:color="auto" w:fill="E6EFFF"/>
          </w:tcPr>
          <w:p>
            <w:pPr>
              <w:ind w:left="100"/>
              <w:spacing w:after="0"/>
              <w:rPr>
                <w:sz w:val="20"/>
                <w:szCs w:val="20"/>
                <w:color w:val="auto"/>
              </w:rPr>
            </w:pPr>
            <w:r>
              <w:rPr>
                <w:rFonts w:ascii="Arial" w:cs="Arial" w:eastAsia="Arial" w:hAnsi="Arial"/>
                <w:sz w:val="18"/>
                <w:szCs w:val="18"/>
                <w:color w:val="auto"/>
              </w:rPr>
              <w:t>Compensation warrants</w:t>
            </w:r>
          </w:p>
        </w:tc>
        <w:tc>
          <w:tcPr>
            <w:tcW w:w="1460" w:type="dxa"/>
            <w:vAlign w:val="bottom"/>
            <w:gridSpan w:val="2"/>
            <w:shd w:val="clear" w:color="auto" w:fill="E6EFFF"/>
          </w:tcPr>
          <w:p>
            <w:pPr>
              <w:jc w:val="center"/>
              <w:ind w:left="190"/>
              <w:spacing w:after="0"/>
              <w:rPr>
                <w:sz w:val="20"/>
                <w:szCs w:val="20"/>
                <w:color w:val="auto"/>
              </w:rPr>
            </w:pPr>
            <w:r>
              <w:rPr>
                <w:rFonts w:ascii="Arial" w:cs="Arial" w:eastAsia="Arial" w:hAnsi="Arial"/>
                <w:sz w:val="18"/>
                <w:szCs w:val="18"/>
                <w:color w:val="auto"/>
                <w:w w:val="89"/>
              </w:rPr>
              <w:t>868,740</w:t>
            </w:r>
          </w:p>
        </w:tc>
        <w:tc>
          <w:tcPr>
            <w:tcW w:w="1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868,740</w:t>
            </w: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Common Share purchase warrants</w:t>
            </w:r>
          </w:p>
        </w:tc>
        <w:tc>
          <w:tcPr>
            <w:tcW w:w="146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23,230,485</w:t>
            </w:r>
          </w:p>
        </w:tc>
        <w:tc>
          <w:tcPr>
            <w:tcW w:w="1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w:t>
            </w:r>
          </w:p>
        </w:tc>
      </w:tr>
      <w:tr>
        <w:trPr>
          <w:trHeight w:val="256"/>
        </w:trPr>
        <w:tc>
          <w:tcPr>
            <w:tcW w:w="4900" w:type="dxa"/>
            <w:vAlign w:val="bottom"/>
            <w:shd w:val="clear" w:color="auto" w:fill="E6EFFF"/>
          </w:tcPr>
          <w:p>
            <w:pPr>
              <w:ind w:left="100"/>
              <w:spacing w:after="0" w:line="256" w:lineRule="exact"/>
              <w:rPr>
                <w:sz w:val="20"/>
                <w:szCs w:val="20"/>
                <w:color w:val="auto"/>
              </w:rPr>
            </w:pPr>
            <w:r>
              <w:rPr>
                <w:rFonts w:ascii="Arial" w:cs="Arial" w:eastAsia="Arial" w:hAnsi="Arial"/>
                <w:sz w:val="18"/>
                <w:szCs w:val="18"/>
                <w:color w:val="auto"/>
              </w:rPr>
              <w:t>Class B Shares (as defined below)</w:t>
            </w:r>
            <w:r>
              <w:rPr>
                <w:rFonts w:ascii="Arial" w:cs="Arial" w:eastAsia="Arial" w:hAnsi="Arial"/>
                <w:sz w:val="29"/>
                <w:szCs w:val="29"/>
                <w:color w:val="auto"/>
                <w:vertAlign w:val="superscript"/>
              </w:rPr>
              <w:t>(2)</w:t>
            </w:r>
          </w:p>
        </w:tc>
        <w:tc>
          <w:tcPr>
            <w:tcW w:w="1460" w:type="dxa"/>
            <w:vAlign w:val="bottom"/>
            <w:gridSpan w:val="2"/>
            <w:shd w:val="clear" w:color="auto" w:fill="E6EFFF"/>
          </w:tcPr>
          <w:p>
            <w:pPr>
              <w:jc w:val="center"/>
              <w:ind w:left="210"/>
              <w:spacing w:after="0"/>
              <w:rPr>
                <w:sz w:val="20"/>
                <w:szCs w:val="20"/>
                <w:color w:val="auto"/>
              </w:rPr>
            </w:pPr>
            <w:r>
              <w:rPr>
                <w:rFonts w:ascii="Arial" w:cs="Arial" w:eastAsia="Arial" w:hAnsi="Arial"/>
                <w:sz w:val="18"/>
                <w:szCs w:val="18"/>
                <w:color w:val="auto"/>
                <w:w w:val="89"/>
              </w:rPr>
              <w:t>530,542.1</w:t>
            </w:r>
          </w:p>
        </w:tc>
        <w:tc>
          <w:tcPr>
            <w:tcW w:w="180" w:type="dxa"/>
            <w:vAlign w:val="bottom"/>
            <w:shd w:val="clear" w:color="auto" w:fill="E6EFFF"/>
          </w:tcPr>
          <w:p>
            <w:pPr>
              <w:spacing w:after="0"/>
              <w:rPr>
                <w:sz w:val="22"/>
                <w:szCs w:val="22"/>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530,542.1</w:t>
            </w:r>
          </w:p>
        </w:tc>
      </w:tr>
    </w:tbl>
    <w:p>
      <w:pPr>
        <w:spacing w:after="0" w:line="189"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Notes:</w:t>
      </w:r>
    </w:p>
    <w:p>
      <w:pPr>
        <w:spacing w:after="0" w:line="212" w:lineRule="exact"/>
        <w:rPr>
          <w:sz w:val="20"/>
          <w:szCs w:val="20"/>
          <w:color w:val="auto"/>
        </w:rPr>
      </w:pPr>
    </w:p>
    <w:p>
      <w:pPr>
        <w:ind w:left="660" w:hanging="269"/>
        <w:spacing w:after="0" w:line="239" w:lineRule="auto"/>
        <w:tabs>
          <w:tab w:leader="none" w:pos="699" w:val="left"/>
        </w:tabs>
        <w:numPr>
          <w:ilvl w:val="0"/>
          <w:numId w:val="10"/>
        </w:numPr>
        <w:rPr>
          <w:rFonts w:ascii="Arial" w:cs="Arial" w:eastAsia="Arial" w:hAnsi="Arial"/>
          <w:sz w:val="22"/>
          <w:szCs w:val="22"/>
          <w:color w:val="auto"/>
        </w:rPr>
      </w:pPr>
      <w:r>
        <w:rPr>
          <w:rFonts w:ascii="Arial" w:cs="Arial" w:eastAsia="Arial" w:hAnsi="Arial"/>
          <w:sz w:val="22"/>
          <w:szCs w:val="22"/>
          <w:color w:val="auto"/>
        </w:rPr>
        <w:t>Proceeds from the Offering are before deducting expenses but are net proceeds after deducting the Underwriters' Fee (assuming a total of ● Units are sold to purchasers on the President's List).</w:t>
      </w:r>
    </w:p>
    <w:p>
      <w:pPr>
        <w:ind w:left="660" w:hanging="269"/>
        <w:spacing w:after="0" w:line="236" w:lineRule="auto"/>
        <w:tabs>
          <w:tab w:leader="none" w:pos="699"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Class B Shares are exchangeable for Common Shares on the basis of 10 Common Shares for each Class B Share, at the option of the holder thereof, subject to customary adjustments.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OF DISTRIBUTION</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Units will be offered in each of the provinces of Canada, except Québec, and in the United States pursuant to the MJDS and, subject to applicable law and the Underwriting Agreement, certain jurisdictions outside of Canada and the United States. The Units will be offered in the United States by Cantor Fitzgerald &amp; Co., and ● under a prospectus supplement filed with the SEC, and in Canada by Cantor Fitzgerald Canada Corporation under this Prospectus Supplement. Pursuant to the Underwriting Agreement, the Underwriters have agreed to purchase, as principal, subject to the terms and conditions contained in the Underwriting Agreement, up to ● Units at a price of US$● per Unit, for aggregate gross proceeds of US$● payable in cash to the Corporation against delivery of the Units. The Offering Price has been determined by arm’s length negotiation between the Corporation and the Lead Underwriter, with reference to the prevailing market price of the Common Shares. The obligations of the Underwriters under the Underwriting Agreement are several (and not joint or joint and several), are subject to certain closing conditions and may be terminated at their discretion on the basis of “material change out”, “disaster out”, “regulatory proceedings out”, “breach of agreement out”, and “market out” provisions in the Underwriting Agreement and may also be terminated upon the occurrence of certain other stated events.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 w:name="page21"/>
    <w:bookmarkEnd w:id="20"/>
    <w:p>
      <w:pPr>
        <w:jc w:val="both"/>
        <w:spacing w:after="0" w:line="252" w:lineRule="auto"/>
        <w:rPr>
          <w:sz w:val="20"/>
          <w:szCs w:val="20"/>
          <w:color w:val="auto"/>
        </w:rPr>
      </w:pPr>
      <w:r>
        <w:rPr>
          <w:rFonts w:ascii="Arial" w:cs="Arial" w:eastAsia="Arial" w:hAnsi="Arial"/>
          <w:sz w:val="21"/>
          <w:szCs w:val="21"/>
          <w:color w:val="auto"/>
        </w:rPr>
        <w:t>Each Unit will consist of one Unit Share and one Warrant. Each Warrant will entitle the holder to acquire, subject to adjustment in certain circumstances, one Warrant Share at an exercise price of US$● until 5:00 p.m. (Eastern Time) on the date that is ● months from the Closing Date, after which time the Warrants will be void and of no value. This Prospectus Supplement qualifies the distribution of the Unit Shares and the Warrants included in the Units.</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Warrants will be created and issued pursuant to the terms of a warrant indenture (the "</w:t>
      </w:r>
      <w:r>
        <w:rPr>
          <w:rFonts w:ascii="Arial" w:cs="Arial" w:eastAsia="Arial" w:hAnsi="Arial"/>
          <w:sz w:val="22"/>
          <w:szCs w:val="22"/>
          <w:b w:val="1"/>
          <w:bCs w:val="1"/>
          <w:color w:val="auto"/>
        </w:rPr>
        <w:t>Warrant Indenture</w:t>
      </w:r>
      <w:r>
        <w:rPr>
          <w:rFonts w:ascii="Arial" w:cs="Arial" w:eastAsia="Arial" w:hAnsi="Arial"/>
          <w:sz w:val="22"/>
          <w:szCs w:val="22"/>
          <w:color w:val="auto"/>
        </w:rPr>
        <w:t>") to be entered into between the Corporation and Odyssey Trust Company (the "</w:t>
      </w:r>
      <w:r>
        <w:rPr>
          <w:rFonts w:ascii="Arial" w:cs="Arial" w:eastAsia="Arial" w:hAnsi="Arial"/>
          <w:sz w:val="22"/>
          <w:szCs w:val="22"/>
          <w:b w:val="1"/>
          <w:bCs w:val="1"/>
          <w:color w:val="auto"/>
        </w:rPr>
        <w:t>Warrant Agent</w:t>
      </w:r>
      <w:r>
        <w:rPr>
          <w:rFonts w:ascii="Arial" w:cs="Arial" w:eastAsia="Arial" w:hAnsi="Arial"/>
          <w:sz w:val="22"/>
          <w:szCs w:val="22"/>
          <w:color w:val="auto"/>
        </w:rPr>
        <w:t>"). The Warrant Indenture will contain provisions designed to protect holders of the Warrants against dilution upon the happening of certain events. See "Description of Securities Being Distributed".</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consideration for the services provided by the Underwriters in connection with the Offering, and pursuant to the terms of the Underwriting Agreement, the Corporation has agreed to pay the Underwriters the Underwriters' Fee equal to 6% of the gross proceeds from the Offering. The Underwriters' Fee shall be reduced to 3% in respect of President's List purchasers.</w:t>
      </w:r>
    </w:p>
    <w:p>
      <w:pPr>
        <w:spacing w:after="0" w:line="13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Pursuant to the Underwriting Agreement, the Corporation has agreed not to issue any Common Shares or securities convertible into Common Shares for a period of 45 days from the Closing Date without prior written consent of the Lead Underwriter (on its own behalf and on behalf of the other Underwriters), such consent not to be unreasonably withheld, delayed or denied, except: (i) pursuant to the Underwriting Agreement; (ii) the grant or exercise of equity compensation pursuant to the Company's existing equity compensation plans; (iii) the issuance of Common Shares upon the exercise or conversion of any options or warrants or other convertible securities outstanding as of the date of the Underwriting Agreement; (iv) obligations in respect of existing agreements described in this prospectus; (v) the issuance of Common Shares under the Corporation’s existing “at-the-market” equity distribution program pursuant to the Equity Distribution Agreement between the Company and the Lead Underwriter dated August 8, 2022; or (vi) the issuance of securities in connection with asset or share acquisitions, or other strategic, consulting, licensing, joint venture or similar transactions.</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a condition precedent to the Underwriters' obligation to close the Offering, all directors and senior officers of the Corporation shall execute and deliver written undertakings in favor of the Underwriters agreeing not to sell, transfer, pledge, assign, or otherwise dispose of any securities of the Corporation owned, directly or indirectly by such directors or senior officers, until the date that is 45 days following the Closing Date (subject to certain negotiated carve-outs and other customary exceptions) without the prior written consent of the Lead Underwriter, on behalf of the Underwriters, such consent not to be unreasonably withheld, delayed or denied.</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Pursuant to the rules and policy statements of certain Canadian securities regulators, the Underwriters may not, throughout the period of distribution under this Prospectus Supplement, bid for or purchase Common Shares for their own account or for accounts over which they exercise control or direction. The foregoing restriction is subject to certain exceptions, on the condition that the bid or purchase not be engaged in for the purpose of creating actual or apparent active trading in or raising the price of the Common Shares. These exceptions include a bid or purchase permitted under the Universal Market Integrity Rules for Canadian marketplaces administered by the Investment Industry Regulatory Organization of Canada relating to market stabilization and passive market-making activities and a bid or purchase made for or on behalf of a client where the client's order was not solicited during the period of distribution. Subject to applicable laws and in connection with the Offering, the Underwriters may effect transactions in connection with the Offering intended to stabilize or maintain the market price of the Common Shares at levels other than those which otherwise might prevail on the open market. Such transactions, if commenced, may be discontinued at any time.</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The Underwriters propose to initially offer, either directly or through their broker-dealer affiliates or agents, the Units at the Offering Price. After a reasonable effort has been made to sell all of the Units at the Offering Price, the Underwriters may subsequently reduce the selling price to investors from time to time in order to sell any of the Units remaining unsold. Any such reduction will have the effect of reducing the compensation realized by the Underwriters by the amount that the aggregate price paid by the purchasers for the Units is less than the gross proceeds paid by the Underwriters to the Corporation and will not affect the proceeds received by the Corporation.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Subscriptions will be received subject to rejection in whole or in part and the Underwriters reserve the right to close the subscription books at any time without notice. Closing of the Offering is expected to take place on or about August 4, 2023, or such other date as may be agreed upon by the Corporation and the Underwriters, but in any event, no Closing Date shall occur later than 42 days following the date of this Prospectus Supplement.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 w:name="page22"/>
    <w:bookmarkEnd w:id="21"/>
    <w:p>
      <w:pPr>
        <w:jc w:val="both"/>
        <w:spacing w:after="0" w:line="235" w:lineRule="auto"/>
        <w:rPr>
          <w:sz w:val="20"/>
          <w:szCs w:val="20"/>
          <w:color w:val="auto"/>
        </w:rPr>
      </w:pPr>
      <w:r>
        <w:rPr>
          <w:rFonts w:ascii="Arial" w:cs="Arial" w:eastAsia="Arial" w:hAnsi="Arial"/>
          <w:sz w:val="22"/>
          <w:szCs w:val="22"/>
          <w:color w:val="auto"/>
        </w:rPr>
        <w:t>It is expected that the Corporation will arrange for the instant deposit of the Securities distributed under this Prospectus Supplement under the book-based system of registration, to be registered in the name of CDS or its nominee or DTC and deposited with CDS or DTC on the Closing Date. No certificates evidencing the Unit Shares or Warrants underlying the Units are expected to be issued to purchasers of such Securities. In such event, purchasers of Securities will receive only a customer confirmation from the Underwriters or other registered dealer who is a CDS participant and from or through whom a beneficial interest in the Securities is purchased.</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The Offering is being made concurrently in the United States and in all the provinces of Canada, other than Québec, pursuant to the MJDS implemented by the SEC and the securities regulatory authorities in Canada. No Securities will be offered or sold in any jurisdiction except by or through brokers or dealers duly registered under the applicable securities laws of that jurisdiction, or in circumstances where an exemption from such registered dealer requirements is available.</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 has agreed to pay the reasonable fees, disbursements and expenses of counsel to the Underwriters in connection with the Offering, subject to the terms of the Underwriting Agreement and any other agreement in writing between the Corporation and the Underwriters. The Underwriters and their affiliates will not engage in any prohibited transactions to stabilize or maintain the price of the Common Shares in connection with any offer or sales of Common Shares pursuant to the Underwriting Agreement. No agent, underwriter or dealer involved in the distribution of Units under the Offering, no affiliate of such an agent, underwriter or dealer and no person or company acting jointly or in concert with such an agent, underwriter or dealer has over-allotted, or will over-allot, securities in connection with such distribution or effected, or will affect any other transactions that are intended to stabilize or maintain the market price of the Common Shares.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has applied and will apply to list the Unit Shares offered by this Prospectus Supplement, and the Warrant Shares issuable upon exercise of the Warrants, as applicable on the NEO and the NYSE American, respectively. Listing will be subject to the Corporation fulfilling all of the listing requirements of the NEO and the NYSE American, as applicable. The Warrants will not be listed on the NEO and the NYSE American. There is currently no market through which the Warrants may be sold and purchasers may not be able to resell the Warrants purchased under this Prospectus Supplement. This may affect the pricing of the securities in the secondary market, the transparency and availability of trading prices, the liquidity of the securities, and the extent of issuer regulation. See "</w:t>
      </w:r>
      <w:r>
        <w:rPr>
          <w:rFonts w:ascii="Arial" w:cs="Arial" w:eastAsia="Arial" w:hAnsi="Arial"/>
          <w:sz w:val="21"/>
          <w:szCs w:val="21"/>
          <w:i w:val="1"/>
          <w:iCs w:val="1"/>
          <w:color w:val="auto"/>
        </w:rPr>
        <w:t>Risk Factors</w:t>
      </w:r>
      <w:r>
        <w:rPr>
          <w:rFonts w:ascii="Arial" w:cs="Arial" w:eastAsia="Arial" w:hAnsi="Arial"/>
          <w:sz w:val="21"/>
          <w:szCs w:val="21"/>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TRADING PRICE AND VOLUME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Common Shares are listed for trading on the NEO and the NYSE American under the symbol "CYBN". The following table sets forth the reported monthly range of high and low prices per Common Share and total monthly volumes traded on the NEO and the NYSE American for each of the months indicated during the 12-month period prior to the date of this Prospectus Supplement.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3"/>
          </w:tcPr>
          <w:p>
            <w:pPr>
              <w:ind w:left="1660"/>
              <w:spacing w:after="0"/>
              <w:rPr>
                <w:sz w:val="20"/>
                <w:szCs w:val="20"/>
                <w:color w:val="auto"/>
              </w:rPr>
            </w:pPr>
            <w:r>
              <w:rPr>
                <w:rFonts w:ascii="Arial" w:cs="Arial" w:eastAsia="Arial" w:hAnsi="Arial"/>
                <w:sz w:val="18"/>
                <w:szCs w:val="18"/>
                <w:b w:val="1"/>
                <w:bCs w:val="1"/>
                <w:color w:val="auto"/>
              </w:rPr>
              <w:t>NEO Price Range</w:t>
            </w: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72"/>
        </w:trPr>
        <w:tc>
          <w:tcPr>
            <w:tcW w:w="2920" w:type="dxa"/>
            <w:vAlign w:val="bottom"/>
          </w:tcPr>
          <w:p>
            <w:pPr>
              <w:ind w:left="1240"/>
              <w:spacing w:after="0"/>
              <w:rPr>
                <w:sz w:val="20"/>
                <w:szCs w:val="20"/>
                <w:color w:val="auto"/>
              </w:rPr>
            </w:pPr>
            <w:r>
              <w:rPr>
                <w:rFonts w:ascii="Arial" w:cs="Arial" w:eastAsia="Arial" w:hAnsi="Arial"/>
                <w:sz w:val="18"/>
                <w:szCs w:val="18"/>
                <w:b w:val="1"/>
                <w:bCs w:val="1"/>
                <w:color w:val="auto"/>
              </w:rPr>
              <w:t>Month</w:t>
            </w:r>
          </w:p>
        </w:tc>
        <w:tc>
          <w:tcPr>
            <w:tcW w:w="240" w:type="dxa"/>
            <w:vAlign w:val="bottom"/>
          </w:tcPr>
          <w:p>
            <w:pPr>
              <w:spacing w:after="0"/>
              <w:rPr>
                <w:sz w:val="24"/>
                <w:szCs w:val="24"/>
                <w:color w:val="auto"/>
              </w:rPr>
            </w:pPr>
          </w:p>
        </w:tc>
        <w:tc>
          <w:tcPr>
            <w:tcW w:w="332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 xml:space="preserve">High </w:t>
            </w:r>
            <w:r>
              <w:rPr>
                <w:rFonts w:ascii="Arial" w:cs="Arial" w:eastAsia="Arial" w:hAnsi="Arial"/>
                <w:sz w:val="18"/>
                <w:szCs w:val="18"/>
                <w:color w:val="auto"/>
                <w:w w:val="90"/>
              </w:rPr>
              <w:t>($)</w:t>
            </w:r>
            <w:r>
              <w:rPr>
                <w:rFonts w:ascii="Arial" w:cs="Arial" w:eastAsia="Arial" w:hAnsi="Arial"/>
                <w:sz w:val="29"/>
                <w:szCs w:val="29"/>
                <w:b w:val="1"/>
                <w:bCs w:val="1"/>
                <w:color w:val="auto"/>
                <w:w w:val="90"/>
                <w:vertAlign w:val="superscript"/>
              </w:rPr>
              <w:t>(1)</w:t>
            </w: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w:t>
            </w:r>
            <w:r>
              <w:rPr>
                <w:rFonts w:ascii="Arial" w:cs="Arial" w:eastAsia="Arial" w:hAnsi="Arial"/>
                <w:sz w:val="29"/>
                <w:szCs w:val="29"/>
                <w:b w:val="1"/>
                <w:bCs w:val="1"/>
                <w:color w:val="auto"/>
                <w:vertAlign w:val="superscript"/>
              </w:rPr>
              <w:t>(1)</w:t>
            </w:r>
          </w:p>
        </w:tc>
        <w:tc>
          <w:tcPr>
            <w:tcW w:w="220" w:type="dxa"/>
            <w:vAlign w:val="bottom"/>
          </w:tcPr>
          <w:p>
            <w:pPr>
              <w:spacing w:after="0"/>
              <w:rPr>
                <w:sz w:val="24"/>
                <w:szCs w:val="24"/>
                <w:color w:val="auto"/>
              </w:rPr>
            </w:pPr>
          </w:p>
        </w:tc>
        <w:tc>
          <w:tcPr>
            <w:tcW w:w="2700" w:type="dxa"/>
            <w:vAlign w:val="bottom"/>
          </w:tcPr>
          <w:p>
            <w:pPr>
              <w:ind w:left="920"/>
              <w:spacing w:after="0"/>
              <w:rPr>
                <w:sz w:val="20"/>
                <w:szCs w:val="20"/>
                <w:color w:val="auto"/>
              </w:rPr>
            </w:pPr>
            <w:r>
              <w:rPr>
                <w:rFonts w:ascii="Arial" w:cs="Arial" w:eastAsia="Arial" w:hAnsi="Arial"/>
                <w:sz w:val="18"/>
                <w:szCs w:val="18"/>
                <w:b w:val="1"/>
                <w:bCs w:val="1"/>
                <w:color w:val="auto"/>
              </w:rPr>
              <w:t>Volume</w:t>
            </w:r>
            <w:r>
              <w:rPr>
                <w:rFonts w:ascii="Arial" w:cs="Arial" w:eastAsia="Arial" w:hAnsi="Arial"/>
                <w:sz w:val="29"/>
                <w:szCs w:val="29"/>
                <w:b w:val="1"/>
                <w:bCs w:val="1"/>
                <w:color w:val="auto"/>
                <w:vertAlign w:val="superscript"/>
              </w:rPr>
              <w:t>(1)</w:t>
            </w:r>
          </w:p>
        </w:tc>
      </w:tr>
      <w:tr>
        <w:trPr>
          <w:trHeight w:val="210"/>
        </w:trPr>
        <w:tc>
          <w:tcPr>
            <w:tcW w:w="2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August 2022</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1.50</w:t>
            </w:r>
          </w:p>
        </w:tc>
        <w:tc>
          <w:tcPr>
            <w:tcW w:w="24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0.75</w:t>
            </w:r>
          </w:p>
        </w:tc>
        <w:tc>
          <w:tcPr>
            <w:tcW w:w="2920" w:type="dxa"/>
            <w:vAlign w:val="bottom"/>
            <w:gridSpan w:val="2"/>
            <w:shd w:val="clear" w:color="auto" w:fill="E6EFFF"/>
          </w:tcPr>
          <w:p>
            <w:pPr>
              <w:ind w:left="1160"/>
              <w:spacing w:after="0"/>
              <w:rPr>
                <w:sz w:val="20"/>
                <w:szCs w:val="20"/>
                <w:color w:val="auto"/>
              </w:rPr>
            </w:pPr>
            <w:r>
              <w:rPr>
                <w:rFonts w:ascii="Arial" w:cs="Arial" w:eastAsia="Arial" w:hAnsi="Arial"/>
                <w:sz w:val="18"/>
                <w:szCs w:val="18"/>
                <w:color w:val="auto"/>
              </w:rPr>
              <w:t>4,557,716</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September 2022</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1.49</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0.64</w:t>
            </w:r>
          </w:p>
        </w:tc>
        <w:tc>
          <w:tcPr>
            <w:tcW w:w="2920" w:type="dxa"/>
            <w:vAlign w:val="bottom"/>
            <w:gridSpan w:val="2"/>
          </w:tcPr>
          <w:p>
            <w:pPr>
              <w:ind w:left="1160"/>
              <w:spacing w:after="0"/>
              <w:rPr>
                <w:sz w:val="20"/>
                <w:szCs w:val="20"/>
                <w:color w:val="auto"/>
              </w:rPr>
            </w:pPr>
            <w:r>
              <w:rPr>
                <w:rFonts w:ascii="Arial" w:cs="Arial" w:eastAsia="Arial" w:hAnsi="Arial"/>
                <w:sz w:val="18"/>
                <w:szCs w:val="18"/>
                <w:color w:val="auto"/>
              </w:rPr>
              <w:t>3,061,741</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October 2022</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0.89</w:t>
            </w:r>
          </w:p>
        </w:tc>
        <w:tc>
          <w:tcPr>
            <w:tcW w:w="24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0.61</w:t>
            </w:r>
          </w:p>
        </w:tc>
        <w:tc>
          <w:tcPr>
            <w:tcW w:w="2920" w:type="dxa"/>
            <w:vAlign w:val="bottom"/>
            <w:gridSpan w:val="2"/>
            <w:shd w:val="clear" w:color="auto" w:fill="E6EFFF"/>
          </w:tcPr>
          <w:p>
            <w:pPr>
              <w:ind w:left="1160"/>
              <w:spacing w:after="0"/>
              <w:rPr>
                <w:sz w:val="20"/>
                <w:szCs w:val="20"/>
                <w:color w:val="auto"/>
              </w:rPr>
            </w:pPr>
            <w:r>
              <w:rPr>
                <w:rFonts w:ascii="Arial" w:cs="Arial" w:eastAsia="Arial" w:hAnsi="Arial"/>
                <w:sz w:val="18"/>
                <w:szCs w:val="18"/>
                <w:color w:val="auto"/>
              </w:rPr>
              <w:t>2,200,569</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November 2022</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0.67</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0.49</w:t>
            </w:r>
          </w:p>
        </w:tc>
        <w:tc>
          <w:tcPr>
            <w:tcW w:w="2920" w:type="dxa"/>
            <w:vAlign w:val="bottom"/>
            <w:gridSpan w:val="2"/>
          </w:tcPr>
          <w:p>
            <w:pPr>
              <w:ind w:left="1160"/>
              <w:spacing w:after="0"/>
              <w:rPr>
                <w:sz w:val="20"/>
                <w:szCs w:val="20"/>
                <w:color w:val="auto"/>
              </w:rPr>
            </w:pPr>
            <w:r>
              <w:rPr>
                <w:rFonts w:ascii="Arial" w:cs="Arial" w:eastAsia="Arial" w:hAnsi="Arial"/>
                <w:sz w:val="18"/>
                <w:szCs w:val="18"/>
                <w:color w:val="auto"/>
              </w:rPr>
              <w:t>2,706,993</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December 2022</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0.51</w:t>
            </w:r>
          </w:p>
        </w:tc>
        <w:tc>
          <w:tcPr>
            <w:tcW w:w="24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88"/>
              </w:rPr>
              <w:t>0.375</w:t>
            </w:r>
          </w:p>
        </w:tc>
        <w:tc>
          <w:tcPr>
            <w:tcW w:w="2920" w:type="dxa"/>
            <w:vAlign w:val="bottom"/>
            <w:gridSpan w:val="2"/>
            <w:shd w:val="clear" w:color="auto" w:fill="E6EFFF"/>
          </w:tcPr>
          <w:p>
            <w:pPr>
              <w:ind w:left="1160"/>
              <w:spacing w:after="0"/>
              <w:rPr>
                <w:sz w:val="20"/>
                <w:szCs w:val="20"/>
                <w:color w:val="auto"/>
              </w:rPr>
            </w:pPr>
            <w:r>
              <w:rPr>
                <w:rFonts w:ascii="Arial" w:cs="Arial" w:eastAsia="Arial" w:hAnsi="Arial"/>
                <w:sz w:val="18"/>
                <w:szCs w:val="18"/>
                <w:color w:val="auto"/>
              </w:rPr>
              <w:t>3,307,124</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January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0.83</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0.40</w:t>
            </w:r>
          </w:p>
        </w:tc>
        <w:tc>
          <w:tcPr>
            <w:tcW w:w="2920" w:type="dxa"/>
            <w:vAlign w:val="bottom"/>
            <w:gridSpan w:val="2"/>
          </w:tcPr>
          <w:p>
            <w:pPr>
              <w:ind w:left="1160"/>
              <w:spacing w:after="0"/>
              <w:rPr>
                <w:sz w:val="20"/>
                <w:szCs w:val="20"/>
                <w:color w:val="auto"/>
              </w:rPr>
            </w:pPr>
            <w:r>
              <w:rPr>
                <w:rFonts w:ascii="Arial" w:cs="Arial" w:eastAsia="Arial" w:hAnsi="Arial"/>
                <w:sz w:val="18"/>
                <w:szCs w:val="18"/>
                <w:color w:val="auto"/>
              </w:rPr>
              <w:t>4,313,804</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February 2023</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0.82</w:t>
            </w:r>
          </w:p>
        </w:tc>
        <w:tc>
          <w:tcPr>
            <w:tcW w:w="24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0.52</w:t>
            </w:r>
          </w:p>
        </w:tc>
        <w:tc>
          <w:tcPr>
            <w:tcW w:w="2920" w:type="dxa"/>
            <w:vAlign w:val="bottom"/>
            <w:gridSpan w:val="2"/>
            <w:shd w:val="clear" w:color="auto" w:fill="E6EFFF"/>
          </w:tcPr>
          <w:p>
            <w:pPr>
              <w:ind w:left="1160"/>
              <w:spacing w:after="0"/>
              <w:rPr>
                <w:sz w:val="20"/>
                <w:szCs w:val="20"/>
                <w:color w:val="auto"/>
              </w:rPr>
            </w:pPr>
            <w:r>
              <w:rPr>
                <w:rFonts w:ascii="Arial" w:cs="Arial" w:eastAsia="Arial" w:hAnsi="Arial"/>
                <w:sz w:val="18"/>
                <w:szCs w:val="18"/>
                <w:color w:val="auto"/>
              </w:rPr>
              <w:t>4,039,711</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March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0.69</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0.48</w:t>
            </w:r>
          </w:p>
        </w:tc>
        <w:tc>
          <w:tcPr>
            <w:tcW w:w="2920" w:type="dxa"/>
            <w:vAlign w:val="bottom"/>
            <w:gridSpan w:val="2"/>
          </w:tcPr>
          <w:p>
            <w:pPr>
              <w:ind w:left="1160"/>
              <w:spacing w:after="0"/>
              <w:rPr>
                <w:sz w:val="20"/>
                <w:szCs w:val="20"/>
                <w:color w:val="auto"/>
              </w:rPr>
            </w:pPr>
            <w:r>
              <w:rPr>
                <w:rFonts w:ascii="Arial" w:cs="Arial" w:eastAsia="Arial" w:hAnsi="Arial"/>
                <w:sz w:val="18"/>
                <w:szCs w:val="18"/>
                <w:color w:val="auto"/>
              </w:rPr>
              <w:t>3,147,215</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April 2023</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0.55</w:t>
            </w:r>
          </w:p>
        </w:tc>
        <w:tc>
          <w:tcPr>
            <w:tcW w:w="24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0.40</w:t>
            </w:r>
          </w:p>
        </w:tc>
        <w:tc>
          <w:tcPr>
            <w:tcW w:w="2920" w:type="dxa"/>
            <w:vAlign w:val="bottom"/>
            <w:gridSpan w:val="2"/>
            <w:shd w:val="clear" w:color="auto" w:fill="E6EFFF"/>
          </w:tcPr>
          <w:p>
            <w:pPr>
              <w:ind w:left="1160"/>
              <w:spacing w:after="0"/>
              <w:rPr>
                <w:sz w:val="20"/>
                <w:szCs w:val="20"/>
                <w:color w:val="auto"/>
              </w:rPr>
            </w:pPr>
            <w:r>
              <w:rPr>
                <w:rFonts w:ascii="Arial" w:cs="Arial" w:eastAsia="Arial" w:hAnsi="Arial"/>
                <w:sz w:val="18"/>
                <w:szCs w:val="18"/>
                <w:color w:val="auto"/>
              </w:rPr>
              <w:t>1,906,116</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May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0.46</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0.35</w:t>
            </w:r>
          </w:p>
        </w:tc>
        <w:tc>
          <w:tcPr>
            <w:tcW w:w="2920" w:type="dxa"/>
            <w:vAlign w:val="bottom"/>
            <w:gridSpan w:val="2"/>
          </w:tcPr>
          <w:p>
            <w:pPr>
              <w:ind w:left="1160"/>
              <w:spacing w:after="0"/>
              <w:rPr>
                <w:sz w:val="20"/>
                <w:szCs w:val="20"/>
                <w:color w:val="auto"/>
              </w:rPr>
            </w:pPr>
            <w:r>
              <w:rPr>
                <w:rFonts w:ascii="Arial" w:cs="Arial" w:eastAsia="Arial" w:hAnsi="Arial"/>
                <w:sz w:val="18"/>
                <w:szCs w:val="18"/>
                <w:color w:val="auto"/>
              </w:rPr>
              <w:t>1,899,880</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June 2023</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0.52</w:t>
            </w:r>
          </w:p>
        </w:tc>
        <w:tc>
          <w:tcPr>
            <w:tcW w:w="24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840" w:type="dxa"/>
            <w:vAlign w:val="bottom"/>
            <w:shd w:val="clear" w:color="auto" w:fill="E6EFFF"/>
          </w:tcPr>
          <w:p>
            <w:pPr>
              <w:jc w:val="center"/>
              <w:ind w:right="430"/>
              <w:spacing w:after="0"/>
              <w:rPr>
                <w:sz w:val="20"/>
                <w:szCs w:val="20"/>
                <w:color w:val="auto"/>
              </w:rPr>
            </w:pPr>
            <w:r>
              <w:rPr>
                <w:rFonts w:ascii="Arial" w:cs="Arial" w:eastAsia="Arial" w:hAnsi="Arial"/>
                <w:sz w:val="18"/>
                <w:szCs w:val="18"/>
                <w:color w:val="auto"/>
                <w:w w:val="91"/>
              </w:rPr>
              <w:t>0.30</w:t>
            </w:r>
          </w:p>
        </w:tc>
        <w:tc>
          <w:tcPr>
            <w:tcW w:w="2920" w:type="dxa"/>
            <w:vAlign w:val="bottom"/>
            <w:gridSpan w:val="2"/>
            <w:shd w:val="clear" w:color="auto" w:fill="E6EFFF"/>
          </w:tcPr>
          <w:p>
            <w:pPr>
              <w:ind w:left="1160"/>
              <w:spacing w:after="0"/>
              <w:rPr>
                <w:sz w:val="20"/>
                <w:szCs w:val="20"/>
                <w:color w:val="auto"/>
              </w:rPr>
            </w:pPr>
            <w:r>
              <w:rPr>
                <w:rFonts w:ascii="Arial" w:cs="Arial" w:eastAsia="Arial" w:hAnsi="Arial"/>
                <w:sz w:val="18"/>
                <w:szCs w:val="18"/>
                <w:color w:val="auto"/>
              </w:rPr>
              <w:t>3,778,524</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July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0.70</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tcPr>
          <w:p>
            <w:pPr>
              <w:jc w:val="center"/>
              <w:ind w:right="430"/>
              <w:spacing w:after="0"/>
              <w:rPr>
                <w:sz w:val="20"/>
                <w:szCs w:val="20"/>
                <w:color w:val="auto"/>
              </w:rPr>
            </w:pPr>
            <w:r>
              <w:rPr>
                <w:rFonts w:ascii="Arial" w:cs="Arial" w:eastAsia="Arial" w:hAnsi="Arial"/>
                <w:sz w:val="18"/>
                <w:szCs w:val="18"/>
                <w:color w:val="auto"/>
                <w:w w:val="91"/>
              </w:rPr>
              <w:t>0.49</w:t>
            </w:r>
          </w:p>
        </w:tc>
        <w:tc>
          <w:tcPr>
            <w:tcW w:w="2920" w:type="dxa"/>
            <w:vAlign w:val="bottom"/>
            <w:gridSpan w:val="2"/>
          </w:tcPr>
          <w:p>
            <w:pPr>
              <w:ind w:left="1160"/>
              <w:spacing w:after="0"/>
              <w:rPr>
                <w:sz w:val="20"/>
                <w:szCs w:val="20"/>
                <w:color w:val="auto"/>
              </w:rPr>
            </w:pPr>
            <w:r>
              <w:rPr>
                <w:rFonts w:ascii="Arial" w:cs="Arial" w:eastAsia="Arial" w:hAnsi="Arial"/>
                <w:sz w:val="18"/>
                <w:szCs w:val="18"/>
                <w:color w:val="auto"/>
              </w:rPr>
              <w:t>4,373,988</w:t>
            </w:r>
          </w:p>
        </w:tc>
      </w:tr>
    </w:tbl>
    <w:p>
      <w:pPr>
        <w:spacing w:after="0" w:line="174"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22"/>
          <w:szCs w:val="22"/>
          <w:color w:val="auto"/>
        </w:rPr>
        <w:t>(1) Source: TMX Money as of the date of this Prospectus Supplement.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July 31, 2023, being the last day on which the Common Shares traded prior to the date of this Prospectus Supplement, the closing price of the Common Shares as reported on the NEO was $0.49.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80" w:type="dxa"/>
            <w:vAlign w:val="bottom"/>
            <w:gridSpan w:val="3"/>
          </w:tcPr>
          <w:p>
            <w:pPr>
              <w:ind w:left="1220"/>
              <w:spacing w:after="0"/>
              <w:rPr>
                <w:sz w:val="20"/>
                <w:szCs w:val="20"/>
                <w:color w:val="auto"/>
              </w:rPr>
            </w:pPr>
            <w:r>
              <w:rPr>
                <w:rFonts w:ascii="Arial" w:cs="Arial" w:eastAsia="Arial" w:hAnsi="Arial"/>
                <w:sz w:val="18"/>
                <w:szCs w:val="18"/>
                <w:b w:val="1"/>
                <w:bCs w:val="1"/>
                <w:color w:val="auto"/>
                <w:w w:val="91"/>
              </w:rPr>
              <w:t>NYSE American Price Range</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86"/>
        </w:trPr>
        <w:tc>
          <w:tcPr>
            <w:tcW w:w="2920" w:type="dxa"/>
            <w:vAlign w:val="bottom"/>
          </w:tcPr>
          <w:p>
            <w:pPr>
              <w:ind w:left="1240"/>
              <w:spacing w:after="0"/>
              <w:rPr>
                <w:sz w:val="20"/>
                <w:szCs w:val="20"/>
                <w:color w:val="auto"/>
              </w:rPr>
            </w:pPr>
            <w:r>
              <w:rPr>
                <w:rFonts w:ascii="Arial" w:cs="Arial" w:eastAsia="Arial" w:hAnsi="Arial"/>
                <w:sz w:val="18"/>
                <w:szCs w:val="18"/>
                <w:b w:val="1"/>
                <w:bCs w:val="1"/>
                <w:color w:val="auto"/>
              </w:rPr>
              <w:t>Month</w:t>
            </w:r>
          </w:p>
        </w:tc>
        <w:tc>
          <w:tcPr>
            <w:tcW w:w="240" w:type="dxa"/>
            <w:vAlign w:val="bottom"/>
          </w:tcPr>
          <w:p>
            <w:pPr>
              <w:spacing w:after="0"/>
              <w:rPr>
                <w:sz w:val="24"/>
                <w:szCs w:val="24"/>
                <w:color w:val="auto"/>
              </w:rPr>
            </w:pPr>
          </w:p>
        </w:tc>
        <w:tc>
          <w:tcPr>
            <w:tcW w:w="3480" w:type="dxa"/>
            <w:vAlign w:val="bottom"/>
            <w:gridSpan w:val="3"/>
          </w:tcPr>
          <w:p>
            <w:pPr>
              <w:ind w:left="760"/>
              <w:spacing w:after="0"/>
              <w:rPr>
                <w:sz w:val="20"/>
                <w:szCs w:val="20"/>
                <w:color w:val="auto"/>
              </w:rPr>
            </w:pPr>
            <w:r>
              <w:rPr>
                <w:rFonts w:ascii="Arial" w:cs="Arial" w:eastAsia="Arial" w:hAnsi="Arial"/>
                <w:sz w:val="18"/>
                <w:szCs w:val="18"/>
                <w:b w:val="1"/>
                <w:bCs w:val="1"/>
                <w:color w:val="auto"/>
              </w:rPr>
              <w:t xml:space="preserve">High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1680" w:type="dxa"/>
            <w:vAlign w:val="bottom"/>
          </w:tcPr>
          <w:p>
            <w:pPr>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220" w:type="dxa"/>
            <w:vAlign w:val="bottom"/>
          </w:tcPr>
          <w:p>
            <w:pPr>
              <w:spacing w:after="0"/>
              <w:rPr>
                <w:sz w:val="24"/>
                <w:szCs w:val="24"/>
                <w:color w:val="auto"/>
              </w:rPr>
            </w:pPr>
          </w:p>
        </w:tc>
        <w:tc>
          <w:tcPr>
            <w:tcW w:w="270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Volume</w:t>
            </w:r>
            <w:r>
              <w:rPr>
                <w:rFonts w:ascii="Arial" w:cs="Arial" w:eastAsia="Arial" w:hAnsi="Arial"/>
                <w:sz w:val="29"/>
                <w:szCs w:val="29"/>
                <w:b w:val="1"/>
                <w:bCs w:val="1"/>
                <w:color w:val="auto"/>
                <w:w w:val="85"/>
                <w:vertAlign w:val="superscript"/>
              </w:rPr>
              <w:t>(1)</w:t>
            </w:r>
          </w:p>
        </w:tc>
      </w:tr>
      <w:tr>
        <w:trPr>
          <w:trHeight w:val="210"/>
        </w:trPr>
        <w:tc>
          <w:tcPr>
            <w:tcW w:w="2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August 2022</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1.14</w:t>
            </w:r>
          </w:p>
        </w:tc>
        <w:tc>
          <w:tcPr>
            <w:tcW w:w="24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680" w:type="dxa"/>
            <w:vAlign w:val="bottom"/>
            <w:shd w:val="clear" w:color="auto" w:fill="E6EFFF"/>
          </w:tcPr>
          <w:p>
            <w:pPr>
              <w:jc w:val="center"/>
              <w:ind w:right="590"/>
              <w:spacing w:after="0"/>
              <w:rPr>
                <w:sz w:val="20"/>
                <w:szCs w:val="20"/>
                <w:color w:val="auto"/>
              </w:rPr>
            </w:pPr>
            <w:r>
              <w:rPr>
                <w:rFonts w:ascii="Arial" w:cs="Arial" w:eastAsia="Arial" w:hAnsi="Arial"/>
                <w:sz w:val="18"/>
                <w:szCs w:val="18"/>
                <w:color w:val="auto"/>
                <w:w w:val="91"/>
              </w:rPr>
              <w:t>0.58</w:t>
            </w:r>
          </w:p>
        </w:tc>
        <w:tc>
          <w:tcPr>
            <w:tcW w:w="2920" w:type="dxa"/>
            <w:vAlign w:val="bottom"/>
            <w:gridSpan w:val="2"/>
            <w:shd w:val="clear" w:color="auto" w:fill="E6EFFF"/>
          </w:tcPr>
          <w:p>
            <w:pPr>
              <w:jc w:val="center"/>
              <w:ind w:left="30"/>
              <w:spacing w:after="0"/>
              <w:rPr>
                <w:sz w:val="20"/>
                <w:szCs w:val="20"/>
                <w:color w:val="auto"/>
              </w:rPr>
            </w:pPr>
            <w:r>
              <w:rPr>
                <w:rFonts w:ascii="Arial" w:cs="Arial" w:eastAsia="Arial" w:hAnsi="Arial"/>
                <w:sz w:val="18"/>
                <w:szCs w:val="18"/>
                <w:color w:val="auto"/>
                <w:w w:val="88"/>
              </w:rPr>
              <w:t>37,402,882</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September 2022</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1.14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jc w:val="center"/>
              <w:ind w:right="590"/>
              <w:spacing w:after="0"/>
              <w:rPr>
                <w:sz w:val="20"/>
                <w:szCs w:val="20"/>
                <w:color w:val="auto"/>
              </w:rPr>
            </w:pPr>
            <w:r>
              <w:rPr>
                <w:rFonts w:ascii="Arial" w:cs="Arial" w:eastAsia="Arial" w:hAnsi="Arial"/>
                <w:sz w:val="18"/>
                <w:szCs w:val="18"/>
                <w:color w:val="auto"/>
                <w:w w:val="91"/>
              </w:rPr>
              <w:t>0.47</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25,585,300</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October 2022</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88"/>
              </w:rPr>
              <w:t>0.655</w:t>
            </w:r>
          </w:p>
        </w:tc>
        <w:tc>
          <w:tcPr>
            <w:tcW w:w="24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680" w:type="dxa"/>
            <w:vAlign w:val="bottom"/>
            <w:shd w:val="clear" w:color="auto" w:fill="E6EFFF"/>
          </w:tcPr>
          <w:p>
            <w:pPr>
              <w:jc w:val="center"/>
              <w:ind w:right="590"/>
              <w:spacing w:after="0"/>
              <w:rPr>
                <w:sz w:val="20"/>
                <w:szCs w:val="20"/>
                <w:color w:val="auto"/>
              </w:rPr>
            </w:pPr>
            <w:r>
              <w:rPr>
                <w:rFonts w:ascii="Arial" w:cs="Arial" w:eastAsia="Arial" w:hAnsi="Arial"/>
                <w:sz w:val="18"/>
                <w:szCs w:val="18"/>
                <w:color w:val="auto"/>
                <w:w w:val="88"/>
              </w:rPr>
              <w:t>0.445</w:t>
            </w:r>
          </w:p>
        </w:tc>
        <w:tc>
          <w:tcPr>
            <w:tcW w:w="2920" w:type="dxa"/>
            <w:vAlign w:val="bottom"/>
            <w:gridSpan w:val="2"/>
            <w:shd w:val="clear" w:color="auto" w:fill="E6EFFF"/>
          </w:tcPr>
          <w:p>
            <w:pPr>
              <w:jc w:val="center"/>
              <w:ind w:left="30"/>
              <w:spacing w:after="0"/>
              <w:rPr>
                <w:sz w:val="20"/>
                <w:szCs w:val="20"/>
                <w:color w:val="auto"/>
              </w:rPr>
            </w:pPr>
            <w:r>
              <w:rPr>
                <w:rFonts w:ascii="Arial" w:cs="Arial" w:eastAsia="Arial" w:hAnsi="Arial"/>
                <w:sz w:val="18"/>
                <w:szCs w:val="18"/>
                <w:color w:val="auto"/>
                <w:w w:val="88"/>
              </w:rPr>
              <w:t>18,602,731</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November 2022</w:t>
            </w:r>
          </w:p>
        </w:tc>
        <w:tc>
          <w:tcPr>
            <w:tcW w:w="270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0.4839</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jc w:val="center"/>
              <w:ind w:right="590"/>
              <w:spacing w:after="0"/>
              <w:rPr>
                <w:sz w:val="20"/>
                <w:szCs w:val="20"/>
                <w:color w:val="auto"/>
              </w:rPr>
            </w:pPr>
            <w:r>
              <w:rPr>
                <w:rFonts w:ascii="Arial" w:cs="Arial" w:eastAsia="Arial" w:hAnsi="Arial"/>
                <w:sz w:val="18"/>
                <w:szCs w:val="18"/>
                <w:color w:val="auto"/>
                <w:w w:val="91"/>
              </w:rPr>
              <w:t>0.36</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19,969,352</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December 2022</w:t>
            </w:r>
          </w:p>
        </w:tc>
        <w:tc>
          <w:tcPr>
            <w:tcW w:w="2700" w:type="dxa"/>
            <w:vAlign w:val="bottom"/>
            <w:gridSpan w:val="2"/>
            <w:shd w:val="clear" w:color="auto" w:fill="E6EFFF"/>
          </w:tcPr>
          <w:p>
            <w:pPr>
              <w:jc w:val="center"/>
              <w:ind w:left="270"/>
              <w:spacing w:after="0"/>
              <w:rPr>
                <w:sz w:val="20"/>
                <w:szCs w:val="20"/>
                <w:color w:val="auto"/>
              </w:rPr>
            </w:pPr>
            <w:r>
              <w:rPr>
                <w:rFonts w:ascii="Arial" w:cs="Arial" w:eastAsia="Arial" w:hAnsi="Arial"/>
                <w:sz w:val="18"/>
                <w:szCs w:val="18"/>
                <w:color w:val="auto"/>
                <w:w w:val="90"/>
              </w:rPr>
              <w:t>0.3888</w:t>
            </w:r>
          </w:p>
        </w:tc>
        <w:tc>
          <w:tcPr>
            <w:tcW w:w="24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680" w:type="dxa"/>
            <w:vAlign w:val="bottom"/>
            <w:shd w:val="clear" w:color="auto" w:fill="E6EFFF"/>
          </w:tcPr>
          <w:p>
            <w:pPr>
              <w:jc w:val="center"/>
              <w:ind w:right="590"/>
              <w:spacing w:after="0"/>
              <w:rPr>
                <w:sz w:val="20"/>
                <w:szCs w:val="20"/>
                <w:color w:val="auto"/>
              </w:rPr>
            </w:pPr>
            <w:r>
              <w:rPr>
                <w:rFonts w:ascii="Arial" w:cs="Arial" w:eastAsia="Arial" w:hAnsi="Arial"/>
                <w:sz w:val="18"/>
                <w:szCs w:val="18"/>
                <w:color w:val="auto"/>
                <w:w w:val="87"/>
              </w:rPr>
              <w:t>0.2649</w:t>
            </w:r>
          </w:p>
        </w:tc>
        <w:tc>
          <w:tcPr>
            <w:tcW w:w="2920" w:type="dxa"/>
            <w:vAlign w:val="bottom"/>
            <w:gridSpan w:val="2"/>
            <w:shd w:val="clear" w:color="auto" w:fill="E6EFFF"/>
          </w:tcPr>
          <w:p>
            <w:pPr>
              <w:jc w:val="center"/>
              <w:ind w:left="30"/>
              <w:spacing w:after="0"/>
              <w:rPr>
                <w:sz w:val="20"/>
                <w:szCs w:val="20"/>
                <w:color w:val="auto"/>
              </w:rPr>
            </w:pPr>
            <w:r>
              <w:rPr>
                <w:rFonts w:ascii="Arial" w:cs="Arial" w:eastAsia="Arial" w:hAnsi="Arial"/>
                <w:sz w:val="18"/>
                <w:szCs w:val="18"/>
                <w:color w:val="auto"/>
                <w:w w:val="88"/>
              </w:rPr>
              <w:t>23,739,104</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January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0.62</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jc w:val="center"/>
              <w:ind w:right="590"/>
              <w:spacing w:after="0"/>
              <w:rPr>
                <w:sz w:val="20"/>
                <w:szCs w:val="20"/>
                <w:color w:val="auto"/>
              </w:rPr>
            </w:pPr>
            <w:r>
              <w:rPr>
                <w:rFonts w:ascii="Arial" w:cs="Arial" w:eastAsia="Arial" w:hAnsi="Arial"/>
                <w:sz w:val="18"/>
                <w:szCs w:val="18"/>
                <w:color w:val="auto"/>
                <w:w w:val="87"/>
              </w:rPr>
              <w:t>0.2971</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38,677,475</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February 2023</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0.60</w:t>
            </w:r>
          </w:p>
        </w:tc>
        <w:tc>
          <w:tcPr>
            <w:tcW w:w="24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680" w:type="dxa"/>
            <w:vAlign w:val="bottom"/>
            <w:shd w:val="clear" w:color="auto" w:fill="E6EFFF"/>
          </w:tcPr>
          <w:p>
            <w:pPr>
              <w:jc w:val="center"/>
              <w:ind w:right="590"/>
              <w:spacing w:after="0"/>
              <w:rPr>
                <w:sz w:val="20"/>
                <w:szCs w:val="20"/>
                <w:color w:val="auto"/>
              </w:rPr>
            </w:pPr>
            <w:r>
              <w:rPr>
                <w:rFonts w:ascii="Arial" w:cs="Arial" w:eastAsia="Arial" w:hAnsi="Arial"/>
                <w:sz w:val="18"/>
                <w:szCs w:val="18"/>
                <w:color w:val="auto"/>
                <w:w w:val="88"/>
              </w:rPr>
              <w:t>0.385</w:t>
            </w:r>
          </w:p>
        </w:tc>
        <w:tc>
          <w:tcPr>
            <w:tcW w:w="2920" w:type="dxa"/>
            <w:vAlign w:val="bottom"/>
            <w:gridSpan w:val="2"/>
            <w:shd w:val="clear" w:color="auto" w:fill="E6EFFF"/>
          </w:tcPr>
          <w:p>
            <w:pPr>
              <w:jc w:val="center"/>
              <w:ind w:left="30"/>
              <w:spacing w:after="0"/>
              <w:rPr>
                <w:sz w:val="20"/>
                <w:szCs w:val="20"/>
                <w:color w:val="auto"/>
              </w:rPr>
            </w:pPr>
            <w:r>
              <w:rPr>
                <w:rFonts w:ascii="Arial" w:cs="Arial" w:eastAsia="Arial" w:hAnsi="Arial"/>
                <w:sz w:val="18"/>
                <w:szCs w:val="18"/>
                <w:color w:val="auto"/>
                <w:w w:val="88"/>
              </w:rPr>
              <w:t>35,754,753</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March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0.50</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jc w:val="center"/>
              <w:ind w:right="590"/>
              <w:spacing w:after="0"/>
              <w:rPr>
                <w:sz w:val="20"/>
                <w:szCs w:val="20"/>
                <w:color w:val="auto"/>
              </w:rPr>
            </w:pPr>
            <w:r>
              <w:rPr>
                <w:rFonts w:ascii="Arial" w:cs="Arial" w:eastAsia="Arial" w:hAnsi="Arial"/>
                <w:sz w:val="18"/>
                <w:szCs w:val="18"/>
                <w:color w:val="auto"/>
                <w:w w:val="91"/>
              </w:rPr>
              <w:t>0.35</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28,943,897</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April 2023</w:t>
            </w:r>
          </w:p>
        </w:tc>
        <w:tc>
          <w:tcPr>
            <w:tcW w:w="2700" w:type="dxa"/>
            <w:vAlign w:val="bottom"/>
            <w:gridSpan w:val="2"/>
            <w:shd w:val="clear" w:color="auto" w:fill="E6EFFF"/>
          </w:tcPr>
          <w:p>
            <w:pPr>
              <w:jc w:val="center"/>
              <w:ind w:left="270"/>
              <w:spacing w:after="0"/>
              <w:rPr>
                <w:sz w:val="20"/>
                <w:szCs w:val="20"/>
                <w:color w:val="auto"/>
              </w:rPr>
            </w:pPr>
            <w:r>
              <w:rPr>
                <w:rFonts w:ascii="Arial" w:cs="Arial" w:eastAsia="Arial" w:hAnsi="Arial"/>
                <w:sz w:val="18"/>
                <w:szCs w:val="18"/>
                <w:color w:val="auto"/>
                <w:w w:val="90"/>
              </w:rPr>
              <w:t>0.4046</w:t>
            </w:r>
          </w:p>
        </w:tc>
        <w:tc>
          <w:tcPr>
            <w:tcW w:w="24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680" w:type="dxa"/>
            <w:vAlign w:val="bottom"/>
            <w:shd w:val="clear" w:color="auto" w:fill="E6EFFF"/>
          </w:tcPr>
          <w:p>
            <w:pPr>
              <w:jc w:val="center"/>
              <w:ind w:right="590"/>
              <w:spacing w:after="0"/>
              <w:rPr>
                <w:sz w:val="20"/>
                <w:szCs w:val="20"/>
                <w:color w:val="auto"/>
              </w:rPr>
            </w:pPr>
            <w:r>
              <w:rPr>
                <w:rFonts w:ascii="Arial" w:cs="Arial" w:eastAsia="Arial" w:hAnsi="Arial"/>
                <w:sz w:val="18"/>
                <w:szCs w:val="18"/>
                <w:color w:val="auto"/>
                <w:w w:val="91"/>
              </w:rPr>
              <w:t>0.29</w:t>
            </w:r>
          </w:p>
        </w:tc>
        <w:tc>
          <w:tcPr>
            <w:tcW w:w="2920" w:type="dxa"/>
            <w:vAlign w:val="bottom"/>
            <w:gridSpan w:val="2"/>
            <w:shd w:val="clear" w:color="auto" w:fill="E6EFFF"/>
          </w:tcPr>
          <w:p>
            <w:pPr>
              <w:jc w:val="center"/>
              <w:ind w:left="30"/>
              <w:spacing w:after="0"/>
              <w:rPr>
                <w:sz w:val="20"/>
                <w:szCs w:val="20"/>
                <w:color w:val="auto"/>
              </w:rPr>
            </w:pPr>
            <w:r>
              <w:rPr>
                <w:rFonts w:ascii="Arial" w:cs="Arial" w:eastAsia="Arial" w:hAnsi="Arial"/>
                <w:sz w:val="18"/>
                <w:szCs w:val="18"/>
                <w:color w:val="auto"/>
                <w:w w:val="88"/>
              </w:rPr>
              <w:t>18,366,468</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May 2023</w:t>
            </w:r>
          </w:p>
        </w:tc>
        <w:tc>
          <w:tcPr>
            <w:tcW w:w="270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0.3466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jc w:val="center"/>
              <w:ind w:right="590"/>
              <w:spacing w:after="0"/>
              <w:rPr>
                <w:sz w:val="20"/>
                <w:szCs w:val="20"/>
                <w:color w:val="auto"/>
              </w:rPr>
            </w:pPr>
            <w:r>
              <w:rPr>
                <w:rFonts w:ascii="Arial" w:cs="Arial" w:eastAsia="Arial" w:hAnsi="Arial"/>
                <w:sz w:val="18"/>
                <w:szCs w:val="18"/>
                <w:color w:val="auto"/>
                <w:w w:val="87"/>
              </w:rPr>
              <w:t>0.2552</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26,443,776</w:t>
            </w:r>
          </w:p>
        </w:tc>
      </w:tr>
      <w:tr>
        <w:trPr>
          <w:trHeight w:val="216"/>
        </w:trPr>
        <w:tc>
          <w:tcPr>
            <w:tcW w:w="2920" w:type="dxa"/>
            <w:vAlign w:val="bottom"/>
            <w:shd w:val="clear" w:color="auto" w:fill="E6EFFF"/>
          </w:tcPr>
          <w:p>
            <w:pPr>
              <w:spacing w:after="0"/>
              <w:rPr>
                <w:sz w:val="20"/>
                <w:szCs w:val="20"/>
                <w:color w:val="auto"/>
              </w:rPr>
            </w:pPr>
            <w:r>
              <w:rPr>
                <w:rFonts w:ascii="Arial" w:cs="Arial" w:eastAsia="Arial" w:hAnsi="Arial"/>
                <w:sz w:val="18"/>
                <w:szCs w:val="18"/>
                <w:color w:val="auto"/>
              </w:rPr>
              <w:t>June 2023</w:t>
            </w:r>
          </w:p>
        </w:tc>
        <w:tc>
          <w:tcPr>
            <w:tcW w:w="2700" w:type="dxa"/>
            <w:vAlign w:val="bottom"/>
            <w:gridSpan w:val="2"/>
            <w:shd w:val="clear" w:color="auto" w:fill="E6EFFF"/>
          </w:tcPr>
          <w:p>
            <w:pPr>
              <w:jc w:val="center"/>
              <w:ind w:left="250"/>
              <w:spacing w:after="0"/>
              <w:rPr>
                <w:sz w:val="20"/>
                <w:szCs w:val="20"/>
                <w:color w:val="auto"/>
              </w:rPr>
            </w:pPr>
            <w:r>
              <w:rPr>
                <w:rFonts w:ascii="Arial" w:cs="Arial" w:eastAsia="Arial" w:hAnsi="Arial"/>
                <w:sz w:val="18"/>
                <w:szCs w:val="18"/>
                <w:color w:val="auto"/>
                <w:w w:val="91"/>
              </w:rPr>
              <w:t>0.39</w:t>
            </w:r>
          </w:p>
        </w:tc>
        <w:tc>
          <w:tcPr>
            <w:tcW w:w="24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680" w:type="dxa"/>
            <w:vAlign w:val="bottom"/>
            <w:shd w:val="clear" w:color="auto" w:fill="E6EFFF"/>
          </w:tcPr>
          <w:p>
            <w:pPr>
              <w:jc w:val="center"/>
              <w:ind w:right="590"/>
              <w:spacing w:after="0"/>
              <w:rPr>
                <w:sz w:val="20"/>
                <w:szCs w:val="20"/>
                <w:color w:val="auto"/>
              </w:rPr>
            </w:pPr>
            <w:r>
              <w:rPr>
                <w:rFonts w:ascii="Arial" w:cs="Arial" w:eastAsia="Arial" w:hAnsi="Arial"/>
                <w:sz w:val="18"/>
                <w:szCs w:val="18"/>
                <w:color w:val="auto"/>
                <w:w w:val="91"/>
              </w:rPr>
              <w:t>0.21</w:t>
            </w:r>
          </w:p>
        </w:tc>
        <w:tc>
          <w:tcPr>
            <w:tcW w:w="2920" w:type="dxa"/>
            <w:vAlign w:val="bottom"/>
            <w:gridSpan w:val="2"/>
            <w:shd w:val="clear" w:color="auto" w:fill="E6EFFF"/>
          </w:tcPr>
          <w:p>
            <w:pPr>
              <w:jc w:val="center"/>
              <w:ind w:left="30"/>
              <w:spacing w:after="0"/>
              <w:rPr>
                <w:sz w:val="20"/>
                <w:szCs w:val="20"/>
                <w:color w:val="auto"/>
              </w:rPr>
            </w:pPr>
            <w:r>
              <w:rPr>
                <w:rFonts w:ascii="Arial" w:cs="Arial" w:eastAsia="Arial" w:hAnsi="Arial"/>
                <w:sz w:val="18"/>
                <w:szCs w:val="18"/>
                <w:color w:val="auto"/>
                <w:w w:val="88"/>
              </w:rPr>
              <w:t>49,472,709</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July 2023</w:t>
            </w:r>
          </w:p>
        </w:tc>
        <w:tc>
          <w:tcPr>
            <w:tcW w:w="2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0.53</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80" w:type="dxa"/>
            <w:vAlign w:val="bottom"/>
          </w:tcPr>
          <w:p>
            <w:pPr>
              <w:jc w:val="center"/>
              <w:ind w:right="590"/>
              <w:spacing w:after="0"/>
              <w:rPr>
                <w:sz w:val="20"/>
                <w:szCs w:val="20"/>
                <w:color w:val="auto"/>
              </w:rPr>
            </w:pPr>
            <w:r>
              <w:rPr>
                <w:rFonts w:ascii="Arial" w:cs="Arial" w:eastAsia="Arial" w:hAnsi="Arial"/>
                <w:sz w:val="18"/>
                <w:szCs w:val="18"/>
                <w:color w:val="auto"/>
                <w:w w:val="87"/>
              </w:rPr>
              <w:t>0.3689</w:t>
            </w:r>
          </w:p>
        </w:tc>
        <w:tc>
          <w:tcPr>
            <w:tcW w:w="29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54,877,677</w:t>
            </w:r>
          </w:p>
        </w:tc>
      </w:tr>
    </w:tbl>
    <w:p>
      <w:pPr>
        <w:spacing w:after="0" w:line="174"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22"/>
          <w:szCs w:val="22"/>
          <w:color w:val="auto"/>
        </w:rPr>
        <w:t>(1) Source: The NYSE American as of the date of this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On July 31, 2023, being the last day on which the Common Shares traded prior to the date of this Prospectus Supplement, the closing price of the Common Shares as reported on the NYSE American was US$0.3999 .</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PRIOR SALES</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380" w:type="dxa"/>
            <w:vAlign w:val="bottom"/>
          </w:tcPr>
          <w:p>
            <w:pPr>
              <w:spacing w:after="0"/>
              <w:rPr>
                <w:sz w:val="19"/>
                <w:szCs w:val="19"/>
                <w:color w:val="auto"/>
              </w:rPr>
            </w:pPr>
          </w:p>
        </w:tc>
        <w:tc>
          <w:tcPr>
            <w:tcW w:w="2760" w:type="dxa"/>
            <w:vAlign w:val="bottom"/>
          </w:tcPr>
          <w:p>
            <w:pPr>
              <w:jc w:val="center"/>
              <w:ind w:left="190"/>
              <w:spacing w:after="0"/>
              <w:rPr>
                <w:sz w:val="20"/>
                <w:szCs w:val="20"/>
                <w:color w:val="auto"/>
              </w:rPr>
            </w:pPr>
            <w:r>
              <w:rPr>
                <w:rFonts w:ascii="Arial" w:cs="Arial" w:eastAsia="Arial" w:hAnsi="Arial"/>
                <w:sz w:val="18"/>
                <w:szCs w:val="18"/>
                <w:b w:val="1"/>
                <w:bCs w:val="1"/>
                <w:color w:val="auto"/>
                <w:w w:val="86"/>
              </w:rPr>
              <w:t>Issuance / Exercise</w:t>
            </w:r>
          </w:p>
        </w:tc>
      </w:tr>
      <w:tr>
        <w:trPr>
          <w:trHeight w:val="270"/>
        </w:trPr>
        <w:tc>
          <w:tcPr>
            <w:tcW w:w="330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Date of Issuance</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Securities Issued</w:t>
            </w:r>
          </w:p>
        </w:tc>
        <w:tc>
          <w:tcPr>
            <w:tcW w:w="23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0"/>
              </w:rPr>
              <w:t>Type</w:t>
            </w:r>
          </w:p>
        </w:tc>
        <w:tc>
          <w:tcPr>
            <w:tcW w:w="2760" w:type="dxa"/>
            <w:vAlign w:val="bottom"/>
            <w:tcBorders>
              <w:bottom w:val="single" w:sz="8" w:color="auto"/>
            </w:tcBorders>
          </w:tcPr>
          <w:p>
            <w:pPr>
              <w:jc w:val="center"/>
              <w:ind w:left="190"/>
              <w:spacing w:after="0" w:line="270" w:lineRule="exact"/>
              <w:rPr>
                <w:sz w:val="20"/>
                <w:szCs w:val="20"/>
                <w:color w:val="auto"/>
              </w:rPr>
            </w:pPr>
            <w:r>
              <w:rPr>
                <w:rFonts w:ascii="Arial" w:cs="Arial" w:eastAsia="Arial" w:hAnsi="Arial"/>
                <w:sz w:val="18"/>
                <w:szCs w:val="18"/>
                <w:b w:val="1"/>
                <w:bCs w:val="1"/>
                <w:color w:val="auto"/>
                <w:w w:val="90"/>
              </w:rPr>
              <w:t>Price Per Security (CAD)</w:t>
            </w:r>
            <w:r>
              <w:rPr>
                <w:rFonts w:ascii="Arial" w:cs="Arial" w:eastAsia="Arial" w:hAnsi="Arial"/>
                <w:sz w:val="29"/>
                <w:szCs w:val="29"/>
                <w:b w:val="1"/>
                <w:bCs w:val="1"/>
                <w:color w:val="auto"/>
                <w:w w:val="90"/>
                <w:vertAlign w:val="superscript"/>
              </w:rPr>
              <w:t>(1)</w:t>
            </w:r>
          </w:p>
        </w:tc>
      </w:tr>
      <w:tr>
        <w:trPr>
          <w:trHeight w:val="209"/>
        </w:trPr>
        <w:tc>
          <w:tcPr>
            <w:tcW w:w="33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August 15, 2022</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820,000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90"/>
              </w:rPr>
              <w:t>Options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$0.97</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7"/>
              </w:rPr>
              <w:t>August 15, 2022</w:t>
            </w:r>
            <w:r>
              <w:rPr>
                <w:rFonts w:ascii="Arial" w:cs="Arial" w:eastAsia="Arial" w:hAnsi="Arial"/>
                <w:sz w:val="29"/>
                <w:szCs w:val="29"/>
                <w:color w:val="auto"/>
                <w:w w:val="87"/>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130,200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$1.11</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August 16, 2022</w:t>
            </w:r>
            <w:r>
              <w:rPr>
                <w:rFonts w:ascii="Arial" w:cs="Arial" w:eastAsia="Arial" w:hAnsi="Arial"/>
                <w:sz w:val="29"/>
                <w:szCs w:val="29"/>
                <w:color w:val="auto"/>
                <w:w w:val="87"/>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100,000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$1.08</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7"/>
              </w:rPr>
              <w:t>August 17, 2022</w:t>
            </w:r>
            <w:r>
              <w:rPr>
                <w:rFonts w:ascii="Arial" w:cs="Arial" w:eastAsia="Arial" w:hAnsi="Arial"/>
                <w:sz w:val="29"/>
                <w:szCs w:val="29"/>
                <w:color w:val="auto"/>
                <w:w w:val="87"/>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92,300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$1.00</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August 18, 2022</w:t>
            </w:r>
            <w:r>
              <w:rPr>
                <w:rFonts w:ascii="Arial" w:cs="Arial" w:eastAsia="Arial" w:hAnsi="Arial"/>
                <w:sz w:val="29"/>
                <w:szCs w:val="29"/>
                <w:color w:val="auto"/>
                <w:w w:val="87"/>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17,302</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91"/>
              </w:rPr>
              <w:t>$.98</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7"/>
              </w:rPr>
              <w:t>August 19, 2022</w:t>
            </w:r>
            <w:r>
              <w:rPr>
                <w:rFonts w:ascii="Arial" w:cs="Arial" w:eastAsia="Arial" w:hAnsi="Arial"/>
                <w:sz w:val="29"/>
                <w:szCs w:val="29"/>
                <w:color w:val="auto"/>
                <w:w w:val="87"/>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175,000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$1.05</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August 22, 2022</w:t>
            </w:r>
            <w:r>
              <w:rPr>
                <w:rFonts w:ascii="Arial" w:cs="Arial" w:eastAsia="Arial" w:hAnsi="Arial"/>
                <w:sz w:val="29"/>
                <w:szCs w:val="29"/>
                <w:color w:val="auto"/>
                <w:w w:val="87"/>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554,450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$1.14</w:t>
            </w: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91"/>
              </w:rPr>
              <w:t>August 22, 2022</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65,000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$0.75</w:t>
            </w:r>
          </w:p>
        </w:tc>
      </w:tr>
      <w:tr>
        <w:trPr>
          <w:trHeight w:val="270"/>
        </w:trPr>
        <w:tc>
          <w:tcPr>
            <w:tcW w:w="330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August 23, 2022</w:t>
            </w:r>
            <w:r>
              <w:rPr>
                <w:rFonts w:ascii="Arial" w:cs="Arial" w:eastAsia="Arial" w:hAnsi="Arial"/>
                <w:sz w:val="29"/>
                <w:szCs w:val="29"/>
                <w:color w:val="auto"/>
                <w:w w:val="87"/>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57,496</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$1.18</w:t>
            </w:r>
          </w:p>
        </w:tc>
      </w:tr>
      <w:tr>
        <w:trPr>
          <w:trHeight w:val="257"/>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7"/>
              </w:rPr>
              <w:t>August 25, 2022</w:t>
            </w:r>
            <w:r>
              <w:rPr>
                <w:rFonts w:ascii="Arial" w:cs="Arial" w:eastAsia="Arial" w:hAnsi="Arial"/>
                <w:sz w:val="29"/>
                <w:szCs w:val="29"/>
                <w:color w:val="auto"/>
                <w:w w:val="87"/>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120,000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$1.06</w:t>
            </w:r>
          </w:p>
        </w:tc>
      </w:tr>
      <w:tr>
        <w:trPr>
          <w:trHeight w:val="256"/>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August 26, 2022</w:t>
            </w:r>
            <w:r>
              <w:rPr>
                <w:rFonts w:ascii="Arial" w:cs="Arial" w:eastAsia="Arial" w:hAnsi="Arial"/>
                <w:sz w:val="29"/>
                <w:szCs w:val="29"/>
                <w:color w:val="auto"/>
                <w:w w:val="87"/>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82,000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$1.11</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5"/>
              </w:rPr>
              <w:t>September 1, 2022</w:t>
            </w:r>
            <w:r>
              <w:rPr>
                <w:rFonts w:ascii="Arial" w:cs="Arial" w:eastAsia="Arial" w:hAnsi="Arial"/>
                <w:sz w:val="29"/>
                <w:szCs w:val="29"/>
                <w:color w:val="auto"/>
                <w:w w:val="85"/>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66,168</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$1.33</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5"/>
              </w:rPr>
              <w:t>September 2, 2022</w:t>
            </w:r>
            <w:r>
              <w:rPr>
                <w:rFonts w:ascii="Arial" w:cs="Arial" w:eastAsia="Arial" w:hAnsi="Arial"/>
                <w:sz w:val="29"/>
                <w:szCs w:val="29"/>
                <w:color w:val="auto"/>
                <w:w w:val="85"/>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200,000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$1.47</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5"/>
              </w:rPr>
              <w:t>September 6, 2022</w:t>
            </w:r>
            <w:r>
              <w:rPr>
                <w:rFonts w:ascii="Arial" w:cs="Arial" w:eastAsia="Arial" w:hAnsi="Arial"/>
                <w:sz w:val="29"/>
                <w:szCs w:val="29"/>
                <w:color w:val="auto"/>
                <w:w w:val="85"/>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88,000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$1.38</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5"/>
              </w:rPr>
              <w:t>September 7, 2022</w:t>
            </w:r>
            <w:r>
              <w:rPr>
                <w:rFonts w:ascii="Arial" w:cs="Arial" w:eastAsia="Arial" w:hAnsi="Arial"/>
                <w:sz w:val="29"/>
                <w:szCs w:val="29"/>
                <w:color w:val="auto"/>
                <w:w w:val="85"/>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108,000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$1.39</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5"/>
              </w:rPr>
              <w:t>September 8, 2022</w:t>
            </w:r>
            <w:r>
              <w:rPr>
                <w:rFonts w:ascii="Arial" w:cs="Arial" w:eastAsia="Arial" w:hAnsi="Arial"/>
                <w:sz w:val="29"/>
                <w:szCs w:val="29"/>
                <w:color w:val="auto"/>
                <w:w w:val="85"/>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64,547</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$1.35</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5"/>
              </w:rPr>
              <w:t>September 9, 2022</w:t>
            </w:r>
            <w:r>
              <w:rPr>
                <w:rFonts w:ascii="Arial" w:cs="Arial" w:eastAsia="Arial" w:hAnsi="Arial"/>
                <w:sz w:val="29"/>
                <w:szCs w:val="29"/>
                <w:color w:val="auto"/>
                <w:w w:val="85"/>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100,000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$1.28</w:t>
            </w:r>
          </w:p>
        </w:tc>
      </w:tr>
      <w:tr>
        <w:trPr>
          <w:trHeight w:val="256"/>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6"/>
              </w:rPr>
              <w:t>September 12,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166,153</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$1.19</w:t>
            </w:r>
          </w:p>
        </w:tc>
      </w:tr>
      <w:tr>
        <w:trPr>
          <w:trHeight w:val="270"/>
        </w:trPr>
        <w:tc>
          <w:tcPr>
            <w:tcW w:w="330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September 13,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100,000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$1.14</w:t>
            </w:r>
          </w:p>
        </w:tc>
      </w:tr>
      <w:tr>
        <w:trPr>
          <w:trHeight w:val="257"/>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6"/>
              </w:rPr>
              <w:t>September 14,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184,000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$1.08</w:t>
            </w:r>
          </w:p>
        </w:tc>
      </w:tr>
      <w:tr>
        <w:trPr>
          <w:trHeight w:val="270"/>
        </w:trPr>
        <w:tc>
          <w:tcPr>
            <w:tcW w:w="330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September 15,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40,000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$0.98</w:t>
            </w:r>
          </w:p>
        </w:tc>
      </w:tr>
      <w:tr>
        <w:trPr>
          <w:trHeight w:val="256"/>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6"/>
              </w:rPr>
              <w:t>September 16,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90,000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$0.92</w:t>
            </w:r>
          </w:p>
        </w:tc>
      </w:tr>
      <w:tr>
        <w:trPr>
          <w:trHeight w:val="270"/>
        </w:trPr>
        <w:tc>
          <w:tcPr>
            <w:tcW w:w="330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September 19,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192,000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$0.89</w:t>
            </w:r>
          </w:p>
        </w:tc>
      </w:tr>
      <w:tr>
        <w:trPr>
          <w:trHeight w:val="257"/>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6"/>
              </w:rPr>
              <w:t>September 20,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461,421</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$0.84</w:t>
            </w:r>
          </w:p>
        </w:tc>
      </w:tr>
      <w:tr>
        <w:trPr>
          <w:trHeight w:val="270"/>
        </w:trPr>
        <w:tc>
          <w:tcPr>
            <w:tcW w:w="330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September 21,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100,000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$0.84</w:t>
            </w:r>
          </w:p>
        </w:tc>
      </w:tr>
      <w:tr>
        <w:trPr>
          <w:trHeight w:val="256"/>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6"/>
              </w:rPr>
              <w:t>September 22,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380,896</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$0.88</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September 23,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113,000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$0.85</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6"/>
              </w:rPr>
              <w:t>September 26,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125,214</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$0.85</w:t>
            </w:r>
          </w:p>
        </w:tc>
      </w:tr>
      <w:tr>
        <w:trPr>
          <w:trHeight w:val="256"/>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September 27,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287,000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$0.77</w:t>
            </w: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8"/>
              </w:rPr>
              <w:t>September 28, 2022</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235,000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90"/>
              </w:rPr>
              <w:t>Options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$1.00</w:t>
            </w:r>
          </w:p>
        </w:tc>
      </w:tr>
      <w:tr>
        <w:trPr>
          <w:trHeight w:val="216"/>
        </w:trPr>
        <w:tc>
          <w:tcPr>
            <w:tcW w:w="33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September 28, 2022</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195,000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90"/>
              </w:rPr>
              <w:t>Options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$0.75</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6"/>
              </w:rPr>
              <w:t>September 28,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227,831</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$0.72</w:t>
            </w:r>
          </w:p>
        </w:tc>
      </w:tr>
      <w:tr>
        <w:trPr>
          <w:trHeight w:val="257"/>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September 29, 2022</w:t>
            </w:r>
            <w:r>
              <w:rPr>
                <w:rFonts w:ascii="Arial" w:cs="Arial" w:eastAsia="Arial" w:hAnsi="Arial"/>
                <w:sz w:val="29"/>
                <w:szCs w:val="29"/>
                <w:color w:val="auto"/>
                <w:w w:val="86"/>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328,900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$0.71</w:t>
            </w: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8"/>
              </w:rPr>
              <w:t>September 30, 2022</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90"/>
              </w:rPr>
              <w:t>Options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$1.00</w:t>
            </w:r>
          </w:p>
        </w:tc>
      </w:tr>
      <w:tr>
        <w:trPr>
          <w:trHeight w:val="216"/>
        </w:trPr>
        <w:tc>
          <w:tcPr>
            <w:tcW w:w="33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September 30, 2022</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75,000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90"/>
              </w:rPr>
              <w:t>Options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$0.75</w:t>
            </w:r>
          </w:p>
        </w:tc>
      </w:tr>
      <w:tr>
        <w:trPr>
          <w:trHeight w:val="270"/>
        </w:trPr>
        <w:tc>
          <w:tcPr>
            <w:tcW w:w="3300" w:type="dxa"/>
            <w:vAlign w:val="bottom"/>
          </w:tcPr>
          <w:p>
            <w:pPr>
              <w:jc w:val="center"/>
              <w:spacing w:after="0" w:line="270" w:lineRule="exact"/>
              <w:rPr>
                <w:sz w:val="20"/>
                <w:szCs w:val="20"/>
                <w:color w:val="auto"/>
              </w:rPr>
            </w:pPr>
            <w:r>
              <w:rPr>
                <w:rFonts w:ascii="Arial" w:cs="Arial" w:eastAsia="Arial" w:hAnsi="Arial"/>
                <w:sz w:val="18"/>
                <w:szCs w:val="18"/>
                <w:color w:val="auto"/>
                <w:w w:val="86"/>
              </w:rPr>
              <w:t>September 30, 2022</w:t>
            </w:r>
            <w:r>
              <w:rPr>
                <w:rFonts w:ascii="Arial" w:cs="Arial" w:eastAsia="Arial" w:hAnsi="Arial"/>
                <w:sz w:val="29"/>
                <w:szCs w:val="29"/>
                <w:color w:val="auto"/>
                <w:w w:val="86"/>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366,300</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$0.69</w:t>
            </w:r>
          </w:p>
        </w:tc>
      </w:tr>
      <w:tr>
        <w:trPr>
          <w:trHeight w:val="256"/>
        </w:trPr>
        <w:tc>
          <w:tcPr>
            <w:tcW w:w="33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October 3, 2022</w:t>
            </w:r>
            <w:r>
              <w:rPr>
                <w:rFonts w:ascii="Arial" w:cs="Arial" w:eastAsia="Arial" w:hAnsi="Arial"/>
                <w:sz w:val="29"/>
                <w:szCs w:val="29"/>
                <w:color w:val="auto"/>
                <w:w w:val="87"/>
                <w:vertAlign w:val="superscript"/>
              </w:rPr>
              <w:t>(3)</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150,000</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$0.66</w:t>
            </w:r>
          </w:p>
        </w:tc>
      </w:tr>
      <w:tr>
        <w:trPr>
          <w:trHeight w:val="257"/>
        </w:trPr>
        <w:tc>
          <w:tcPr>
            <w:tcW w:w="3300" w:type="dxa"/>
            <w:vAlign w:val="bottom"/>
          </w:tcPr>
          <w:p>
            <w:pPr>
              <w:jc w:val="center"/>
              <w:spacing w:after="0" w:line="256" w:lineRule="exact"/>
              <w:rPr>
                <w:sz w:val="20"/>
                <w:szCs w:val="20"/>
                <w:color w:val="auto"/>
              </w:rPr>
            </w:pPr>
            <w:r>
              <w:rPr>
                <w:rFonts w:ascii="Arial" w:cs="Arial" w:eastAsia="Arial" w:hAnsi="Arial"/>
                <w:sz w:val="18"/>
                <w:szCs w:val="18"/>
                <w:color w:val="auto"/>
                <w:w w:val="87"/>
              </w:rPr>
              <w:t>October 4, 2022</w:t>
            </w:r>
            <w:r>
              <w:rPr>
                <w:rFonts w:ascii="Arial" w:cs="Arial" w:eastAsia="Arial" w:hAnsi="Arial"/>
                <w:sz w:val="29"/>
                <w:szCs w:val="29"/>
                <w:color w:val="auto"/>
                <w:w w:val="87"/>
                <w:vertAlign w:val="superscript"/>
              </w:rPr>
              <w:t>(3)</w:t>
            </w:r>
          </w:p>
        </w:tc>
        <w:tc>
          <w:tcPr>
            <w:tcW w:w="2800" w:type="dxa"/>
            <w:vAlign w:val="bottom"/>
          </w:tcPr>
          <w:p>
            <w:pPr>
              <w:jc w:val="center"/>
              <w:spacing w:after="0"/>
              <w:rPr>
                <w:sz w:val="20"/>
                <w:szCs w:val="20"/>
                <w:color w:val="auto"/>
              </w:rPr>
            </w:pPr>
            <w:r>
              <w:rPr>
                <w:rFonts w:ascii="Arial" w:cs="Arial" w:eastAsia="Arial" w:hAnsi="Arial"/>
                <w:sz w:val="18"/>
                <w:szCs w:val="18"/>
                <w:color w:val="auto"/>
                <w:w w:val="87"/>
              </w:rPr>
              <w:t>63,452</w:t>
            </w: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tcPr>
          <w:p>
            <w:pPr>
              <w:jc w:val="center"/>
              <w:ind w:left="190"/>
              <w:spacing w:after="0"/>
              <w:rPr>
                <w:sz w:val="20"/>
                <w:szCs w:val="20"/>
                <w:color w:val="auto"/>
              </w:rPr>
            </w:pPr>
            <w:r>
              <w:rPr>
                <w:rFonts w:ascii="Arial" w:cs="Arial" w:eastAsia="Arial" w:hAnsi="Arial"/>
                <w:sz w:val="18"/>
                <w:szCs w:val="18"/>
                <w:color w:val="auto"/>
                <w:w w:val="88"/>
              </w:rPr>
              <w:t>$0.66</w:t>
            </w:r>
          </w:p>
        </w:tc>
      </w:tr>
      <w:tr>
        <w:trPr>
          <w:trHeight w:val="270"/>
        </w:trPr>
        <w:tc>
          <w:tcPr>
            <w:tcW w:w="330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October 7, 2022</w:t>
            </w:r>
            <w:r>
              <w:rPr>
                <w:rFonts w:ascii="Arial" w:cs="Arial" w:eastAsia="Arial" w:hAnsi="Arial"/>
                <w:sz w:val="29"/>
                <w:szCs w:val="29"/>
                <w:color w:val="auto"/>
                <w:w w:val="87"/>
                <w:vertAlign w:val="superscript"/>
              </w:rPr>
              <w:t>(2)</w:t>
            </w:r>
          </w:p>
        </w:tc>
        <w:tc>
          <w:tcPr>
            <w:tcW w:w="28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2"/>
              </w:rPr>
              <w:t>912,572</w:t>
            </w:r>
          </w:p>
        </w:tc>
        <w:tc>
          <w:tcPr>
            <w:tcW w:w="2380" w:type="dxa"/>
            <w:vAlign w:val="bottom"/>
            <w:shd w:val="clear" w:color="auto" w:fill="E6EFFF"/>
          </w:tcPr>
          <w:p>
            <w:pPr>
              <w:jc w:val="center"/>
              <w:ind w:left="170"/>
              <w:spacing w:after="0"/>
              <w:rPr>
                <w:sz w:val="20"/>
                <w:szCs w:val="20"/>
                <w:color w:val="auto"/>
              </w:rPr>
            </w:pPr>
            <w:r>
              <w:rPr>
                <w:rFonts w:ascii="Arial" w:cs="Arial" w:eastAsia="Arial" w:hAnsi="Arial"/>
                <w:sz w:val="18"/>
                <w:szCs w:val="18"/>
                <w:color w:val="auto"/>
                <w:w w:val="88"/>
              </w:rPr>
              <w:t>Common Shares</w:t>
            </w:r>
          </w:p>
        </w:tc>
        <w:tc>
          <w:tcPr>
            <w:tcW w:w="2760" w:type="dxa"/>
            <w:vAlign w:val="bottom"/>
            <w:shd w:val="clear" w:color="auto" w:fill="E6EFFF"/>
          </w:tcPr>
          <w:p>
            <w:pPr>
              <w:jc w:val="center"/>
              <w:ind w:left="190"/>
              <w:spacing w:after="0"/>
              <w:rPr>
                <w:sz w:val="20"/>
                <w:szCs w:val="20"/>
                <w:color w:val="auto"/>
              </w:rPr>
            </w:pPr>
            <w:r>
              <w:rPr>
                <w:rFonts w:ascii="Arial" w:cs="Arial" w:eastAsia="Arial" w:hAnsi="Arial"/>
                <w:sz w:val="18"/>
                <w:szCs w:val="18"/>
                <w:color w:val="auto"/>
                <w:w w:val="88"/>
              </w:rPr>
              <w:t>$0.82</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333"/>
        </w:trPr>
        <w:tc>
          <w:tcPr>
            <w:tcW w:w="3440" w:type="dxa"/>
            <w:vAlign w:val="bottom"/>
          </w:tcPr>
          <w:p>
            <w:pPr>
              <w:jc w:val="center"/>
              <w:spacing w:after="0"/>
              <w:rPr>
                <w:sz w:val="20"/>
                <w:szCs w:val="20"/>
                <w:color w:val="auto"/>
              </w:rPr>
            </w:pPr>
            <w:r>
              <w:rPr>
                <w:rFonts w:ascii="Arial" w:cs="Arial" w:eastAsia="Arial" w:hAnsi="Arial"/>
                <w:sz w:val="18"/>
                <w:szCs w:val="18"/>
                <w:color w:val="auto"/>
                <w:w w:val="88"/>
              </w:rPr>
              <w:t>October 17,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131,700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$0.80</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October 18,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153,600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$0.79</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October 19,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90"/>
              </w:rPr>
              <w:t>91,512</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$0.76</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October 20,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90"/>
              </w:rPr>
              <w:t>74,000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$0.75</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October 21,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530,000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$0.70</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October 24,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326,000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$0.70</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October 25,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317,000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$0.67</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October 26,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287,000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$0.64</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October 27,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224,000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$0.64</w:t>
            </w:r>
          </w:p>
        </w:tc>
      </w:tr>
      <w:tr>
        <w:trPr>
          <w:trHeight w:val="257"/>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October 28,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236,000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$0.63</w:t>
            </w:r>
          </w:p>
        </w:tc>
      </w:tr>
      <w:tr>
        <w:trPr>
          <w:trHeight w:val="270"/>
        </w:trPr>
        <w:tc>
          <w:tcPr>
            <w:tcW w:w="3440" w:type="dxa"/>
            <w:vAlign w:val="bottom"/>
          </w:tcPr>
          <w:p>
            <w:pPr>
              <w:jc w:val="center"/>
              <w:spacing w:after="0" w:line="270" w:lineRule="exact"/>
              <w:rPr>
                <w:sz w:val="20"/>
                <w:szCs w:val="20"/>
                <w:color w:val="auto"/>
              </w:rPr>
            </w:pPr>
            <w:r>
              <w:rPr>
                <w:rFonts w:ascii="Arial" w:cs="Arial" w:eastAsia="Arial" w:hAnsi="Arial"/>
                <w:sz w:val="18"/>
                <w:szCs w:val="18"/>
                <w:color w:val="auto"/>
                <w:w w:val="88"/>
              </w:rPr>
              <w:t>October 31,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323,900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$0.64</w:t>
            </w:r>
          </w:p>
        </w:tc>
      </w:tr>
      <w:tr>
        <w:trPr>
          <w:trHeight w:val="257"/>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November 1,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372,300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$0.64</w:t>
            </w:r>
          </w:p>
        </w:tc>
      </w:tr>
      <w:tr>
        <w:trPr>
          <w:trHeight w:val="270"/>
        </w:trPr>
        <w:tc>
          <w:tcPr>
            <w:tcW w:w="3440" w:type="dxa"/>
            <w:vAlign w:val="bottom"/>
          </w:tcPr>
          <w:p>
            <w:pPr>
              <w:jc w:val="center"/>
              <w:spacing w:after="0" w:line="270" w:lineRule="exact"/>
              <w:rPr>
                <w:sz w:val="20"/>
                <w:szCs w:val="20"/>
                <w:color w:val="auto"/>
              </w:rPr>
            </w:pPr>
            <w:r>
              <w:rPr>
                <w:rFonts w:ascii="Arial" w:cs="Arial" w:eastAsia="Arial" w:hAnsi="Arial"/>
                <w:sz w:val="18"/>
                <w:szCs w:val="18"/>
                <w:color w:val="auto"/>
                <w:w w:val="88"/>
              </w:rPr>
              <w:t>November 2,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159,600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$0.62</w:t>
            </w:r>
          </w:p>
        </w:tc>
      </w:tr>
      <w:tr>
        <w:trPr>
          <w:trHeight w:val="256"/>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November 3,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90"/>
              </w:rPr>
              <w:t>46,600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$0.64</w:t>
            </w:r>
          </w:p>
        </w:tc>
      </w:tr>
      <w:tr>
        <w:trPr>
          <w:trHeight w:val="270"/>
        </w:trPr>
        <w:tc>
          <w:tcPr>
            <w:tcW w:w="3440" w:type="dxa"/>
            <w:vAlign w:val="bottom"/>
          </w:tcPr>
          <w:p>
            <w:pPr>
              <w:jc w:val="center"/>
              <w:spacing w:after="0" w:line="270" w:lineRule="exact"/>
              <w:rPr>
                <w:sz w:val="20"/>
                <w:szCs w:val="20"/>
                <w:color w:val="auto"/>
              </w:rPr>
            </w:pPr>
            <w:r>
              <w:rPr>
                <w:rFonts w:ascii="Arial" w:cs="Arial" w:eastAsia="Arial" w:hAnsi="Arial"/>
                <w:sz w:val="18"/>
                <w:szCs w:val="18"/>
                <w:color w:val="auto"/>
                <w:w w:val="88"/>
              </w:rPr>
              <w:t>November 4, 2022</w:t>
            </w:r>
            <w:r>
              <w:rPr>
                <w:rFonts w:ascii="Arial" w:cs="Arial" w:eastAsia="Arial" w:hAnsi="Arial"/>
                <w:sz w:val="29"/>
                <w:szCs w:val="29"/>
                <w:color w:val="auto"/>
                <w:w w:val="88"/>
                <w:vertAlign w:val="superscript"/>
              </w:rPr>
              <w:t>(3)</w:t>
            </w: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11,465</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$0.63</w:t>
            </w:r>
          </w:p>
        </w:tc>
      </w:tr>
      <w:tr>
        <w:trPr>
          <w:trHeight w:val="257"/>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November 7,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90"/>
              </w:rPr>
              <w:t>87,584</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$0.62</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November 8,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293,648</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$0.62</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November 10,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344,000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$0.60</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November 14,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120,339</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$0.59</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November 15,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235,400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$0.59</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8"/>
              </w:rPr>
              <w:t>November 15, 2022</w:t>
            </w:r>
            <w:r>
              <w:rPr>
                <w:rFonts w:ascii="Arial" w:cs="Arial" w:eastAsia="Arial" w:hAnsi="Arial"/>
                <w:sz w:val="29"/>
                <w:szCs w:val="29"/>
                <w:color w:val="auto"/>
                <w:w w:val="88"/>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222,437</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$0.58</w:t>
            </w:r>
          </w:p>
        </w:tc>
      </w:tr>
      <w:tr>
        <w:trPr>
          <w:trHeight w:val="216"/>
        </w:trPr>
        <w:tc>
          <w:tcPr>
            <w:tcW w:w="34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November 16, 2022</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200,000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3"/>
              </w:rPr>
              <w:t>Options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$0.91</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91"/>
              </w:rPr>
              <w:t>November 16, 2022</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375,000</w:t>
            </w: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$0.75</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November 30, 2022</w:t>
            </w:r>
            <w:r>
              <w:rPr>
                <w:rFonts w:ascii="Arial" w:cs="Arial" w:eastAsia="Arial" w:hAnsi="Arial"/>
                <w:sz w:val="29"/>
                <w:szCs w:val="29"/>
                <w:color w:val="auto"/>
                <w:w w:val="88"/>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156,574</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$0.55</w:t>
            </w:r>
          </w:p>
        </w:tc>
      </w:tr>
      <w:tr>
        <w:trPr>
          <w:trHeight w:val="256"/>
        </w:trPr>
        <w:tc>
          <w:tcPr>
            <w:tcW w:w="3440" w:type="dxa"/>
            <w:vAlign w:val="bottom"/>
          </w:tcPr>
          <w:p>
            <w:pPr>
              <w:jc w:val="center"/>
              <w:ind w:right="10"/>
              <w:spacing w:after="0" w:line="256" w:lineRule="exact"/>
              <w:rPr>
                <w:sz w:val="20"/>
                <w:szCs w:val="20"/>
                <w:color w:val="auto"/>
              </w:rPr>
            </w:pPr>
            <w:r>
              <w:rPr>
                <w:rFonts w:ascii="Arial" w:cs="Arial" w:eastAsia="Arial" w:hAnsi="Arial"/>
                <w:sz w:val="18"/>
                <w:szCs w:val="18"/>
                <w:color w:val="auto"/>
                <w:w w:val="87"/>
              </w:rPr>
              <w:t>December 1, 2022</w:t>
            </w:r>
            <w:r>
              <w:rPr>
                <w:rFonts w:ascii="Arial" w:cs="Arial" w:eastAsia="Arial" w:hAnsi="Arial"/>
                <w:sz w:val="29"/>
                <w:szCs w:val="29"/>
                <w:color w:val="auto"/>
                <w:w w:val="87"/>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350,300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$0.55</w:t>
            </w:r>
          </w:p>
        </w:tc>
      </w:tr>
      <w:tr>
        <w:trPr>
          <w:trHeight w:val="270"/>
        </w:trPr>
        <w:tc>
          <w:tcPr>
            <w:tcW w:w="3440" w:type="dxa"/>
            <w:vAlign w:val="bottom"/>
            <w:shd w:val="clear" w:color="auto" w:fill="E6EFFF"/>
          </w:tcPr>
          <w:p>
            <w:pPr>
              <w:jc w:val="center"/>
              <w:ind w:right="10"/>
              <w:spacing w:after="0" w:line="270" w:lineRule="exact"/>
              <w:rPr>
                <w:sz w:val="20"/>
                <w:szCs w:val="20"/>
                <w:color w:val="auto"/>
              </w:rPr>
            </w:pPr>
            <w:r>
              <w:rPr>
                <w:rFonts w:ascii="Arial" w:cs="Arial" w:eastAsia="Arial" w:hAnsi="Arial"/>
                <w:sz w:val="18"/>
                <w:szCs w:val="18"/>
                <w:color w:val="auto"/>
                <w:w w:val="87"/>
              </w:rPr>
              <w:t>December 5, 2022</w:t>
            </w:r>
            <w:r>
              <w:rPr>
                <w:rFonts w:ascii="Arial" w:cs="Arial" w:eastAsia="Arial" w:hAnsi="Arial"/>
                <w:sz w:val="29"/>
                <w:szCs w:val="29"/>
                <w:color w:val="auto"/>
                <w:w w:val="87"/>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102,928</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$0.49</w:t>
            </w:r>
          </w:p>
        </w:tc>
      </w:tr>
      <w:tr>
        <w:trPr>
          <w:trHeight w:val="257"/>
        </w:trPr>
        <w:tc>
          <w:tcPr>
            <w:tcW w:w="3440" w:type="dxa"/>
            <w:vAlign w:val="bottom"/>
          </w:tcPr>
          <w:p>
            <w:pPr>
              <w:jc w:val="center"/>
              <w:ind w:right="10"/>
              <w:spacing w:after="0" w:line="256" w:lineRule="exact"/>
              <w:rPr>
                <w:sz w:val="20"/>
                <w:szCs w:val="20"/>
                <w:color w:val="auto"/>
              </w:rPr>
            </w:pPr>
            <w:r>
              <w:rPr>
                <w:rFonts w:ascii="Arial" w:cs="Arial" w:eastAsia="Arial" w:hAnsi="Arial"/>
                <w:sz w:val="18"/>
                <w:szCs w:val="18"/>
                <w:color w:val="auto"/>
                <w:w w:val="87"/>
              </w:rPr>
              <w:t>December 6, 2022</w:t>
            </w:r>
            <w:r>
              <w:rPr>
                <w:rFonts w:ascii="Arial" w:cs="Arial" w:eastAsia="Arial" w:hAnsi="Arial"/>
                <w:sz w:val="29"/>
                <w:szCs w:val="29"/>
                <w:color w:val="auto"/>
                <w:w w:val="87"/>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230,000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$0.48</w:t>
            </w:r>
          </w:p>
        </w:tc>
      </w:tr>
      <w:tr>
        <w:trPr>
          <w:trHeight w:val="257"/>
        </w:trPr>
        <w:tc>
          <w:tcPr>
            <w:tcW w:w="3440" w:type="dxa"/>
            <w:vAlign w:val="bottom"/>
            <w:shd w:val="clear" w:color="auto" w:fill="E6EFFF"/>
          </w:tcPr>
          <w:p>
            <w:pPr>
              <w:jc w:val="center"/>
              <w:ind w:right="10"/>
              <w:spacing w:after="0" w:line="256" w:lineRule="exact"/>
              <w:rPr>
                <w:sz w:val="20"/>
                <w:szCs w:val="20"/>
                <w:color w:val="auto"/>
              </w:rPr>
            </w:pPr>
            <w:r>
              <w:rPr>
                <w:rFonts w:ascii="Arial" w:cs="Arial" w:eastAsia="Arial" w:hAnsi="Arial"/>
                <w:sz w:val="18"/>
                <w:szCs w:val="18"/>
                <w:color w:val="auto"/>
                <w:w w:val="87"/>
              </w:rPr>
              <w:t>December 7, 2022</w:t>
            </w:r>
            <w:r>
              <w:rPr>
                <w:rFonts w:ascii="Arial" w:cs="Arial" w:eastAsia="Arial" w:hAnsi="Arial"/>
                <w:sz w:val="29"/>
                <w:szCs w:val="29"/>
                <w:color w:val="auto"/>
                <w:w w:val="87"/>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293,644</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$0.47</w:t>
            </w:r>
          </w:p>
        </w:tc>
      </w:tr>
      <w:tr>
        <w:trPr>
          <w:trHeight w:val="270"/>
        </w:trPr>
        <w:tc>
          <w:tcPr>
            <w:tcW w:w="3440" w:type="dxa"/>
            <w:vAlign w:val="bottom"/>
          </w:tcPr>
          <w:p>
            <w:pPr>
              <w:jc w:val="center"/>
              <w:ind w:right="10"/>
              <w:spacing w:after="0" w:line="270" w:lineRule="exact"/>
              <w:rPr>
                <w:sz w:val="20"/>
                <w:szCs w:val="20"/>
                <w:color w:val="auto"/>
              </w:rPr>
            </w:pPr>
            <w:r>
              <w:rPr>
                <w:rFonts w:ascii="Arial" w:cs="Arial" w:eastAsia="Arial" w:hAnsi="Arial"/>
                <w:sz w:val="18"/>
                <w:szCs w:val="18"/>
                <w:color w:val="auto"/>
                <w:w w:val="87"/>
              </w:rPr>
              <w:t>December 8, 2022</w:t>
            </w:r>
            <w:r>
              <w:rPr>
                <w:rFonts w:ascii="Arial" w:cs="Arial" w:eastAsia="Arial" w:hAnsi="Arial"/>
                <w:sz w:val="29"/>
                <w:szCs w:val="29"/>
                <w:color w:val="auto"/>
                <w:w w:val="87"/>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192,600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$0.46</w:t>
            </w:r>
          </w:p>
        </w:tc>
      </w:tr>
      <w:tr>
        <w:trPr>
          <w:trHeight w:val="256"/>
        </w:trPr>
        <w:tc>
          <w:tcPr>
            <w:tcW w:w="3440" w:type="dxa"/>
            <w:vAlign w:val="bottom"/>
            <w:shd w:val="clear" w:color="auto" w:fill="E6EFFF"/>
          </w:tcPr>
          <w:p>
            <w:pPr>
              <w:jc w:val="center"/>
              <w:ind w:right="10"/>
              <w:spacing w:after="0" w:line="256" w:lineRule="exact"/>
              <w:rPr>
                <w:sz w:val="20"/>
                <w:szCs w:val="20"/>
                <w:color w:val="auto"/>
              </w:rPr>
            </w:pPr>
            <w:r>
              <w:rPr>
                <w:rFonts w:ascii="Arial" w:cs="Arial" w:eastAsia="Arial" w:hAnsi="Arial"/>
                <w:sz w:val="18"/>
                <w:szCs w:val="18"/>
                <w:color w:val="auto"/>
                <w:w w:val="87"/>
              </w:rPr>
              <w:t>December 8, 2022</w:t>
            </w:r>
            <w:r>
              <w:rPr>
                <w:rFonts w:ascii="Arial" w:cs="Arial" w:eastAsia="Arial" w:hAnsi="Arial"/>
                <w:sz w:val="29"/>
                <w:szCs w:val="29"/>
                <w:color w:val="auto"/>
                <w:w w:val="87"/>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90"/>
              </w:rPr>
              <w:t>12,922</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$0.47</w:t>
            </w:r>
          </w:p>
        </w:tc>
      </w:tr>
      <w:tr>
        <w:trPr>
          <w:trHeight w:val="270"/>
        </w:trPr>
        <w:tc>
          <w:tcPr>
            <w:tcW w:w="3440" w:type="dxa"/>
            <w:vAlign w:val="bottom"/>
          </w:tcPr>
          <w:p>
            <w:pPr>
              <w:jc w:val="center"/>
              <w:spacing w:after="0" w:line="270" w:lineRule="exact"/>
              <w:rPr>
                <w:sz w:val="20"/>
                <w:szCs w:val="20"/>
                <w:color w:val="auto"/>
              </w:rPr>
            </w:pPr>
            <w:r>
              <w:rPr>
                <w:rFonts w:ascii="Arial" w:cs="Arial" w:eastAsia="Arial" w:hAnsi="Arial"/>
                <w:sz w:val="18"/>
                <w:szCs w:val="18"/>
                <w:color w:val="auto"/>
                <w:w w:val="86"/>
              </w:rPr>
              <w:t>January 12, 2023</w:t>
            </w:r>
            <w:r>
              <w:rPr>
                <w:rFonts w:ascii="Arial" w:cs="Arial" w:eastAsia="Arial" w:hAnsi="Arial"/>
                <w:sz w:val="29"/>
                <w:szCs w:val="29"/>
                <w:color w:val="auto"/>
                <w:w w:val="86"/>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163,000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$0.68</w:t>
            </w:r>
          </w:p>
        </w:tc>
      </w:tr>
      <w:tr>
        <w:trPr>
          <w:trHeight w:val="257"/>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January 12, 2023</w:t>
            </w:r>
            <w:r>
              <w:rPr>
                <w:rFonts w:ascii="Arial" w:cs="Arial" w:eastAsia="Arial" w:hAnsi="Arial"/>
                <w:sz w:val="29"/>
                <w:szCs w:val="29"/>
                <w:color w:val="auto"/>
                <w:w w:val="86"/>
                <w:vertAlign w:val="superscript"/>
              </w:rPr>
              <w:t>(2)</w:t>
            </w:r>
          </w:p>
        </w:tc>
        <w:tc>
          <w:tcPr>
            <w:tcW w:w="25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5,089,648</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$0.63</w:t>
            </w:r>
          </w:p>
        </w:tc>
      </w:tr>
      <w:tr>
        <w:trPr>
          <w:trHeight w:val="270"/>
        </w:trPr>
        <w:tc>
          <w:tcPr>
            <w:tcW w:w="3440" w:type="dxa"/>
            <w:vAlign w:val="bottom"/>
          </w:tcPr>
          <w:p>
            <w:pPr>
              <w:jc w:val="center"/>
              <w:spacing w:after="0" w:line="270" w:lineRule="exact"/>
              <w:rPr>
                <w:sz w:val="20"/>
                <w:szCs w:val="20"/>
                <w:color w:val="auto"/>
              </w:rPr>
            </w:pPr>
            <w:r>
              <w:rPr>
                <w:rFonts w:ascii="Arial" w:cs="Arial" w:eastAsia="Arial" w:hAnsi="Arial"/>
                <w:sz w:val="18"/>
                <w:szCs w:val="18"/>
                <w:color w:val="auto"/>
                <w:w w:val="86"/>
              </w:rPr>
              <w:t>January 17, 2023</w:t>
            </w:r>
            <w:r>
              <w:rPr>
                <w:rFonts w:ascii="Arial" w:cs="Arial" w:eastAsia="Arial" w:hAnsi="Arial"/>
                <w:sz w:val="29"/>
                <w:szCs w:val="29"/>
                <w:color w:val="auto"/>
                <w:w w:val="86"/>
                <w:vertAlign w:val="superscript"/>
              </w:rPr>
              <w:t>(3)</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1,200,000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$0.57</w:t>
            </w:r>
          </w:p>
        </w:tc>
      </w:tr>
      <w:tr>
        <w:trPr>
          <w:trHeight w:val="256"/>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January 18, 2023</w:t>
            </w:r>
            <w:r>
              <w:rPr>
                <w:rFonts w:ascii="Arial" w:cs="Arial" w:eastAsia="Arial" w:hAnsi="Arial"/>
                <w:sz w:val="29"/>
                <w:szCs w:val="29"/>
                <w:color w:val="auto"/>
                <w:w w:val="86"/>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200,000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$0.57</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6"/>
              </w:rPr>
              <w:t>January 19, 2023</w:t>
            </w:r>
            <w:r>
              <w:rPr>
                <w:rFonts w:ascii="Arial" w:cs="Arial" w:eastAsia="Arial" w:hAnsi="Arial"/>
                <w:sz w:val="29"/>
                <w:szCs w:val="29"/>
                <w:color w:val="auto"/>
                <w:w w:val="86"/>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150,000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$0.59</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January 20, 2023</w:t>
            </w:r>
            <w:r>
              <w:rPr>
                <w:rFonts w:ascii="Arial" w:cs="Arial" w:eastAsia="Arial" w:hAnsi="Arial"/>
                <w:sz w:val="29"/>
                <w:szCs w:val="29"/>
                <w:color w:val="auto"/>
                <w:w w:val="86"/>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270,000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$0.57</w:t>
            </w:r>
          </w:p>
        </w:tc>
      </w:tr>
      <w:tr>
        <w:trPr>
          <w:trHeight w:val="256"/>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6"/>
              </w:rPr>
              <w:t>January 23, 2023</w:t>
            </w:r>
            <w:r>
              <w:rPr>
                <w:rFonts w:ascii="Arial" w:cs="Arial" w:eastAsia="Arial" w:hAnsi="Arial"/>
                <w:sz w:val="29"/>
                <w:szCs w:val="29"/>
                <w:color w:val="auto"/>
                <w:w w:val="86"/>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171,900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$0.57</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January 24, 2023</w:t>
            </w:r>
            <w:r>
              <w:rPr>
                <w:rFonts w:ascii="Arial" w:cs="Arial" w:eastAsia="Arial" w:hAnsi="Arial"/>
                <w:sz w:val="29"/>
                <w:szCs w:val="29"/>
                <w:color w:val="auto"/>
                <w:w w:val="86"/>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286,000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$0.53</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6"/>
              </w:rPr>
              <w:t>January 26, 2023</w:t>
            </w:r>
            <w:r>
              <w:rPr>
                <w:rFonts w:ascii="Arial" w:cs="Arial" w:eastAsia="Arial" w:hAnsi="Arial"/>
                <w:sz w:val="29"/>
                <w:szCs w:val="29"/>
                <w:color w:val="auto"/>
                <w:w w:val="86"/>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266,000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$0.51</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6"/>
              </w:rPr>
              <w:t>January 30, 2023</w:t>
            </w:r>
            <w:r>
              <w:rPr>
                <w:rFonts w:ascii="Arial" w:cs="Arial" w:eastAsia="Arial" w:hAnsi="Arial"/>
                <w:sz w:val="29"/>
                <w:szCs w:val="29"/>
                <w:color w:val="auto"/>
                <w:w w:val="86"/>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333,000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$0.52</w:t>
            </w:r>
          </w:p>
        </w:tc>
      </w:tr>
      <w:tr>
        <w:trPr>
          <w:trHeight w:val="257"/>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6"/>
              </w:rPr>
              <w:t>January 31, 2023</w:t>
            </w:r>
            <w:r>
              <w:rPr>
                <w:rFonts w:ascii="Arial" w:cs="Arial" w:eastAsia="Arial" w:hAnsi="Arial"/>
                <w:sz w:val="29"/>
                <w:szCs w:val="29"/>
                <w:color w:val="auto"/>
                <w:w w:val="86"/>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235,000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$0.52</w:t>
            </w:r>
          </w:p>
        </w:tc>
      </w:tr>
      <w:tr>
        <w:trPr>
          <w:trHeight w:val="270"/>
        </w:trPr>
        <w:tc>
          <w:tcPr>
            <w:tcW w:w="344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February 1, 2023</w:t>
            </w:r>
            <w:r>
              <w:rPr>
                <w:rFonts w:ascii="Arial" w:cs="Arial" w:eastAsia="Arial" w:hAnsi="Arial"/>
                <w:sz w:val="29"/>
                <w:szCs w:val="29"/>
                <w:color w:val="auto"/>
                <w:w w:val="87"/>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124,600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$0.51</w:t>
            </w:r>
          </w:p>
        </w:tc>
      </w:tr>
      <w:tr>
        <w:trPr>
          <w:trHeight w:val="256"/>
        </w:trPr>
        <w:tc>
          <w:tcPr>
            <w:tcW w:w="3440" w:type="dxa"/>
            <w:vAlign w:val="bottom"/>
          </w:tcPr>
          <w:p>
            <w:pPr>
              <w:jc w:val="center"/>
              <w:spacing w:after="0" w:line="256" w:lineRule="exact"/>
              <w:rPr>
                <w:sz w:val="20"/>
                <w:szCs w:val="20"/>
                <w:color w:val="auto"/>
              </w:rPr>
            </w:pPr>
            <w:r>
              <w:rPr>
                <w:rFonts w:ascii="Arial" w:cs="Arial" w:eastAsia="Arial" w:hAnsi="Arial"/>
                <w:sz w:val="18"/>
                <w:szCs w:val="18"/>
                <w:color w:val="auto"/>
                <w:w w:val="87"/>
              </w:rPr>
              <w:t>February 2, 2023</w:t>
            </w:r>
            <w:r>
              <w:rPr>
                <w:rFonts w:ascii="Arial" w:cs="Arial" w:eastAsia="Arial" w:hAnsi="Arial"/>
                <w:sz w:val="29"/>
                <w:szCs w:val="29"/>
                <w:color w:val="auto"/>
                <w:w w:val="87"/>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167,400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$0.51</w:t>
            </w:r>
          </w:p>
        </w:tc>
      </w:tr>
      <w:tr>
        <w:trPr>
          <w:trHeight w:val="256"/>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February 6, 2023</w:t>
            </w:r>
            <w:r>
              <w:rPr>
                <w:rFonts w:ascii="Arial" w:cs="Arial" w:eastAsia="Arial" w:hAnsi="Arial"/>
                <w:sz w:val="29"/>
                <w:szCs w:val="29"/>
                <w:color w:val="auto"/>
                <w:w w:val="87"/>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212,000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$0.59</w:t>
            </w:r>
          </w:p>
        </w:tc>
      </w:tr>
      <w:tr>
        <w:trPr>
          <w:trHeight w:val="270"/>
        </w:trPr>
        <w:tc>
          <w:tcPr>
            <w:tcW w:w="3440" w:type="dxa"/>
            <w:vAlign w:val="bottom"/>
          </w:tcPr>
          <w:p>
            <w:pPr>
              <w:jc w:val="center"/>
              <w:spacing w:after="0" w:line="270" w:lineRule="exact"/>
              <w:rPr>
                <w:sz w:val="20"/>
                <w:szCs w:val="20"/>
                <w:color w:val="auto"/>
              </w:rPr>
            </w:pPr>
            <w:r>
              <w:rPr>
                <w:rFonts w:ascii="Arial" w:cs="Arial" w:eastAsia="Arial" w:hAnsi="Arial"/>
                <w:sz w:val="18"/>
                <w:szCs w:val="18"/>
                <w:color w:val="auto"/>
                <w:w w:val="87"/>
              </w:rPr>
              <w:t>February 7, 2023</w:t>
            </w:r>
            <w:r>
              <w:rPr>
                <w:rFonts w:ascii="Arial" w:cs="Arial" w:eastAsia="Arial" w:hAnsi="Arial"/>
                <w:sz w:val="29"/>
                <w:szCs w:val="29"/>
                <w:color w:val="auto"/>
                <w:w w:val="87"/>
                <w:vertAlign w:val="superscript"/>
              </w:rPr>
              <w:t>(3)</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125,000</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tcPr>
          <w:p>
            <w:pPr>
              <w:jc w:val="right"/>
              <w:ind w:right="930"/>
              <w:spacing w:after="0"/>
              <w:rPr>
                <w:sz w:val="20"/>
                <w:szCs w:val="20"/>
                <w:color w:val="auto"/>
              </w:rPr>
            </w:pPr>
            <w:r>
              <w:rPr>
                <w:rFonts w:ascii="Arial" w:cs="Arial" w:eastAsia="Arial" w:hAnsi="Arial"/>
                <w:sz w:val="18"/>
                <w:szCs w:val="18"/>
                <w:color w:val="auto"/>
              </w:rPr>
              <w:t>$0.57</w:t>
            </w:r>
          </w:p>
        </w:tc>
      </w:tr>
      <w:tr>
        <w:trPr>
          <w:trHeight w:val="257"/>
        </w:trPr>
        <w:tc>
          <w:tcPr>
            <w:tcW w:w="344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February 8, 2023</w:t>
            </w:r>
            <w:r>
              <w:rPr>
                <w:rFonts w:ascii="Arial" w:cs="Arial" w:eastAsia="Arial" w:hAnsi="Arial"/>
                <w:sz w:val="29"/>
                <w:szCs w:val="29"/>
                <w:color w:val="auto"/>
                <w:w w:val="87"/>
                <w:vertAlign w:val="superscript"/>
              </w:rPr>
              <w:t>(3)</w:t>
            </w:r>
          </w:p>
        </w:tc>
        <w:tc>
          <w:tcPr>
            <w:tcW w:w="2520" w:type="dxa"/>
            <w:vAlign w:val="bottom"/>
            <w:shd w:val="clear" w:color="auto" w:fill="E6EFFF"/>
          </w:tcPr>
          <w:p>
            <w:pPr>
              <w:jc w:val="center"/>
              <w:ind w:left="10"/>
              <w:spacing w:after="0"/>
              <w:rPr>
                <w:sz w:val="20"/>
                <w:szCs w:val="20"/>
                <w:color w:val="auto"/>
              </w:rPr>
            </w:pPr>
            <w:r>
              <w:rPr>
                <w:rFonts w:ascii="Arial" w:cs="Arial" w:eastAsia="Arial" w:hAnsi="Arial"/>
                <w:sz w:val="18"/>
                <w:szCs w:val="18"/>
                <w:color w:val="auto"/>
                <w:w w:val="89"/>
              </w:rPr>
              <w:t>290,000</w:t>
            </w:r>
          </w:p>
        </w:tc>
        <w:tc>
          <w:tcPr>
            <w:tcW w:w="29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20" w:type="dxa"/>
            <w:vAlign w:val="bottom"/>
            <w:shd w:val="clear" w:color="auto" w:fill="E6EFFF"/>
          </w:tcPr>
          <w:p>
            <w:pPr>
              <w:jc w:val="right"/>
              <w:ind w:right="930"/>
              <w:spacing w:after="0"/>
              <w:rPr>
                <w:sz w:val="20"/>
                <w:szCs w:val="20"/>
                <w:color w:val="auto"/>
              </w:rPr>
            </w:pPr>
            <w:r>
              <w:rPr>
                <w:rFonts w:ascii="Arial" w:cs="Arial" w:eastAsia="Arial" w:hAnsi="Arial"/>
                <w:sz w:val="18"/>
                <w:szCs w:val="18"/>
                <w:color w:val="auto"/>
              </w:rPr>
              <w:t>$0.58</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333"/>
        </w:trPr>
        <w:tc>
          <w:tcPr>
            <w:tcW w:w="3420" w:type="dxa"/>
            <w:vAlign w:val="bottom"/>
          </w:tcPr>
          <w:p>
            <w:pPr>
              <w:jc w:val="center"/>
              <w:spacing w:after="0"/>
              <w:rPr>
                <w:sz w:val="20"/>
                <w:szCs w:val="20"/>
                <w:color w:val="auto"/>
              </w:rPr>
            </w:pPr>
            <w:r>
              <w:rPr>
                <w:rFonts w:ascii="Arial" w:cs="Arial" w:eastAsia="Arial" w:hAnsi="Arial"/>
                <w:sz w:val="18"/>
                <w:szCs w:val="18"/>
                <w:color w:val="auto"/>
                <w:w w:val="88"/>
              </w:rPr>
              <w:t>February 9,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$0.58</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February 10, 2023</w:t>
            </w:r>
            <w:r>
              <w:rPr>
                <w:rFonts w:ascii="Arial" w:cs="Arial" w:eastAsia="Arial" w:hAnsi="Arial"/>
                <w:sz w:val="29"/>
                <w:szCs w:val="29"/>
                <w:color w:val="auto"/>
                <w:w w:val="87"/>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580,000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$0.59</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7"/>
              </w:rPr>
              <w:t>February 13, 2023</w:t>
            </w:r>
            <w:r>
              <w:rPr>
                <w:rFonts w:ascii="Arial" w:cs="Arial" w:eastAsia="Arial" w:hAnsi="Arial"/>
                <w:sz w:val="29"/>
                <w:szCs w:val="29"/>
                <w:color w:val="auto"/>
                <w:w w:val="87"/>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700,000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$0.58</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March 3, 2023</w:t>
            </w:r>
            <w:r>
              <w:rPr>
                <w:rFonts w:ascii="Arial" w:cs="Arial" w:eastAsia="Arial" w:hAnsi="Arial"/>
                <w:sz w:val="29"/>
                <w:szCs w:val="29"/>
                <w:color w:val="auto"/>
                <w:w w:val="87"/>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123,400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$0.66</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7"/>
              </w:rPr>
              <w:t>March 6, 2023</w:t>
            </w:r>
            <w:r>
              <w:rPr>
                <w:rFonts w:ascii="Arial" w:cs="Arial" w:eastAsia="Arial" w:hAnsi="Arial"/>
                <w:sz w:val="29"/>
                <w:szCs w:val="29"/>
                <w:color w:val="auto"/>
                <w:w w:val="87"/>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884,000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$0.61</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March 7, 2023</w:t>
            </w:r>
            <w:r>
              <w:rPr>
                <w:rFonts w:ascii="Arial" w:cs="Arial" w:eastAsia="Arial" w:hAnsi="Arial"/>
                <w:sz w:val="29"/>
                <w:szCs w:val="29"/>
                <w:color w:val="auto"/>
                <w:w w:val="87"/>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102,000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$0.60</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7"/>
              </w:rPr>
              <w:t>March 8, 2023</w:t>
            </w:r>
            <w:r>
              <w:rPr>
                <w:rFonts w:ascii="Arial" w:cs="Arial" w:eastAsia="Arial" w:hAnsi="Arial"/>
                <w:sz w:val="29"/>
                <w:szCs w:val="29"/>
                <w:color w:val="auto"/>
                <w:w w:val="87"/>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$0.60</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7"/>
              </w:rPr>
              <w:t>March 9, 2023</w:t>
            </w:r>
            <w:r>
              <w:rPr>
                <w:rFonts w:ascii="Arial" w:cs="Arial" w:eastAsia="Arial" w:hAnsi="Arial"/>
                <w:sz w:val="29"/>
                <w:szCs w:val="29"/>
                <w:color w:val="auto"/>
                <w:w w:val="87"/>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620,000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$0.55</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8"/>
              </w:rPr>
              <w:t>March 13,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125,837</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$0.55</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March 14,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446,000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$0.54</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8"/>
              </w:rPr>
              <w:t>March 14, 2023</w:t>
            </w:r>
            <w:r>
              <w:rPr>
                <w:rFonts w:ascii="Arial" w:cs="Arial" w:eastAsia="Arial" w:hAnsi="Arial"/>
                <w:sz w:val="29"/>
                <w:szCs w:val="29"/>
                <w:color w:val="auto"/>
                <w:w w:val="88"/>
                <w:vertAlign w:val="superscript"/>
              </w:rPr>
              <w:t>(2)</w:t>
            </w:r>
          </w:p>
        </w:tc>
        <w:tc>
          <w:tcPr>
            <w:tcW w:w="2540" w:type="dxa"/>
            <w:vAlign w:val="bottom"/>
          </w:tcPr>
          <w:p>
            <w:pPr>
              <w:jc w:val="center"/>
              <w:ind w:left="10"/>
              <w:spacing w:after="0"/>
              <w:rPr>
                <w:sz w:val="20"/>
                <w:szCs w:val="20"/>
                <w:color w:val="auto"/>
              </w:rPr>
            </w:pPr>
            <w:r>
              <w:rPr>
                <w:rFonts w:ascii="Arial" w:cs="Arial" w:eastAsia="Arial" w:hAnsi="Arial"/>
                <w:sz w:val="18"/>
                <w:szCs w:val="18"/>
                <w:color w:val="auto"/>
                <w:w w:val="89"/>
              </w:rPr>
              <w:t>2,387,222</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$0.52</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March 16,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200,000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$0.53</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8"/>
              </w:rPr>
              <w:t>March 17,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80,000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$0.52</w:t>
            </w:r>
          </w:p>
        </w:tc>
      </w:tr>
      <w:tr>
        <w:trPr>
          <w:trHeight w:val="256"/>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March 20,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254,000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$0.51</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8"/>
              </w:rPr>
              <w:t>March 21,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180,000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$0.51</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March 22,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170,000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$0.50</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8"/>
              </w:rPr>
              <w:t>March 28,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439,000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$0.52</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March 29,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47,300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$0.51</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90"/>
              </w:rPr>
              <w:t>April 19, 2023</w:t>
            </w:r>
            <w:r>
              <w:rPr>
                <w:rFonts w:ascii="Arial" w:cs="Arial" w:eastAsia="Arial" w:hAnsi="Arial"/>
                <w:sz w:val="29"/>
                <w:szCs w:val="29"/>
                <w:color w:val="auto"/>
                <w:w w:val="90"/>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350,000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$0.49</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90"/>
              </w:rPr>
              <w:t>April 20, 2023</w:t>
            </w:r>
            <w:r>
              <w:rPr>
                <w:rFonts w:ascii="Arial" w:cs="Arial" w:eastAsia="Arial" w:hAnsi="Arial"/>
                <w:sz w:val="29"/>
                <w:szCs w:val="29"/>
                <w:color w:val="auto"/>
                <w:w w:val="90"/>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200,000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$0.48</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90"/>
              </w:rPr>
              <w:t>April 21, 2023</w:t>
            </w:r>
            <w:r>
              <w:rPr>
                <w:rFonts w:ascii="Arial" w:cs="Arial" w:eastAsia="Arial" w:hAnsi="Arial"/>
                <w:sz w:val="29"/>
                <w:szCs w:val="29"/>
                <w:color w:val="auto"/>
                <w:w w:val="90"/>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153,000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$0.49</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90"/>
              </w:rPr>
              <w:t>April 26, 2023</w:t>
            </w:r>
            <w:r>
              <w:rPr>
                <w:rFonts w:ascii="Arial" w:cs="Arial" w:eastAsia="Arial" w:hAnsi="Arial"/>
                <w:sz w:val="29"/>
                <w:szCs w:val="29"/>
                <w:color w:val="auto"/>
                <w:w w:val="90"/>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257,600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$0.47</w:t>
            </w:r>
          </w:p>
        </w:tc>
      </w:tr>
      <w:tr>
        <w:trPr>
          <w:trHeight w:val="256"/>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9"/>
              </w:rPr>
              <w:t>May 4, 2023</w:t>
            </w:r>
            <w:r>
              <w:rPr>
                <w:rFonts w:ascii="Arial" w:cs="Arial" w:eastAsia="Arial" w:hAnsi="Arial"/>
                <w:sz w:val="29"/>
                <w:szCs w:val="29"/>
                <w:color w:val="auto"/>
                <w:w w:val="89"/>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$0.43</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9"/>
              </w:rPr>
              <w:t>May 5, 2023</w:t>
            </w:r>
            <w:r>
              <w:rPr>
                <w:rFonts w:ascii="Arial" w:cs="Arial" w:eastAsia="Arial" w:hAnsi="Arial"/>
                <w:sz w:val="29"/>
                <w:szCs w:val="29"/>
                <w:color w:val="auto"/>
                <w:w w:val="89"/>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323,000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$0.42</w:t>
            </w:r>
          </w:p>
        </w:tc>
      </w:tr>
      <w:tr>
        <w:trPr>
          <w:trHeight w:val="256"/>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9"/>
              </w:rPr>
              <w:t>May 9, 2023</w:t>
            </w:r>
            <w:r>
              <w:rPr>
                <w:rFonts w:ascii="Arial" w:cs="Arial" w:eastAsia="Arial" w:hAnsi="Arial"/>
                <w:sz w:val="29"/>
                <w:szCs w:val="29"/>
                <w:color w:val="auto"/>
                <w:w w:val="89"/>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250,000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$0.41</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May 10,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300,000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$0.40</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8"/>
              </w:rPr>
              <w:t>May 11,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250,000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$0.41</w:t>
            </w:r>
          </w:p>
        </w:tc>
      </w:tr>
      <w:tr>
        <w:trPr>
          <w:trHeight w:val="256"/>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May 12,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392,000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$0.40</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8"/>
              </w:rPr>
              <w:t>May 16,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400,000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$0.40</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May 17,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104,836</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$0.39</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8"/>
              </w:rPr>
              <w:t>May 18,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250,000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$0.40</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8"/>
              </w:rPr>
              <w:t>May 19,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$0.40</w:t>
            </w:r>
          </w:p>
        </w:tc>
      </w:tr>
      <w:tr>
        <w:trPr>
          <w:trHeight w:val="256"/>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8"/>
              </w:rPr>
              <w:t>May 23,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387,000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$0.39</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May 23,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429,000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$0.38</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8"/>
              </w:rPr>
              <w:t>May 24,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$0.37</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May 25,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463,000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$0.38</w:t>
            </w:r>
          </w:p>
        </w:tc>
      </w:tr>
      <w:tr>
        <w:trPr>
          <w:trHeight w:val="256"/>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8"/>
              </w:rPr>
              <w:t>May 26, 2023</w:t>
            </w:r>
            <w:r>
              <w:rPr>
                <w:rFonts w:ascii="Arial" w:cs="Arial" w:eastAsia="Arial" w:hAnsi="Arial"/>
                <w:sz w:val="29"/>
                <w:szCs w:val="29"/>
                <w:color w:val="auto"/>
                <w:w w:val="88"/>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400,000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$0.37</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May 30, 2023</w:t>
            </w:r>
            <w:r>
              <w:rPr>
                <w:rFonts w:ascii="Arial" w:cs="Arial" w:eastAsia="Arial" w:hAnsi="Arial"/>
                <w:sz w:val="29"/>
                <w:szCs w:val="29"/>
                <w:color w:val="auto"/>
                <w:w w:val="88"/>
                <w:vertAlign w:val="superscript"/>
              </w:rPr>
              <w:t>(3)</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248,400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$0.37</w:t>
            </w:r>
          </w:p>
        </w:tc>
      </w:tr>
      <w:tr>
        <w:trPr>
          <w:trHeight w:val="257"/>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8"/>
              </w:rPr>
              <w:t>May 30, 2023</w:t>
            </w:r>
            <w:r>
              <w:rPr>
                <w:rFonts w:ascii="Arial" w:cs="Arial" w:eastAsia="Arial" w:hAnsi="Arial"/>
                <w:sz w:val="29"/>
                <w:szCs w:val="29"/>
                <w:color w:val="auto"/>
                <w:w w:val="88"/>
                <w:vertAlign w:val="superscript"/>
              </w:rPr>
              <w:t>(4)</w:t>
            </w:r>
          </w:p>
        </w:tc>
        <w:tc>
          <w:tcPr>
            <w:tcW w:w="2540" w:type="dxa"/>
            <w:vAlign w:val="bottom"/>
          </w:tcPr>
          <w:p>
            <w:pPr>
              <w:jc w:val="center"/>
              <w:ind w:left="10"/>
              <w:spacing w:after="0"/>
              <w:rPr>
                <w:sz w:val="20"/>
                <w:szCs w:val="20"/>
                <w:color w:val="auto"/>
              </w:rPr>
            </w:pPr>
            <w:r>
              <w:rPr>
                <w:rFonts w:ascii="Arial" w:cs="Arial" w:eastAsia="Arial" w:hAnsi="Arial"/>
                <w:sz w:val="18"/>
                <w:szCs w:val="18"/>
                <w:color w:val="auto"/>
                <w:w w:val="89"/>
              </w:rPr>
              <w:t>2,538,844</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$0.40</w:t>
            </w:r>
          </w:p>
        </w:tc>
      </w:tr>
      <w:tr>
        <w:trPr>
          <w:trHeight w:val="270"/>
        </w:trPr>
        <w:tc>
          <w:tcPr>
            <w:tcW w:w="3420" w:type="dxa"/>
            <w:vAlign w:val="bottom"/>
            <w:shd w:val="clear" w:color="auto" w:fill="E6EFFF"/>
          </w:tcPr>
          <w:p>
            <w:pPr>
              <w:jc w:val="center"/>
              <w:spacing w:after="0" w:line="270" w:lineRule="exact"/>
              <w:rPr>
                <w:sz w:val="20"/>
                <w:szCs w:val="20"/>
                <w:color w:val="auto"/>
              </w:rPr>
            </w:pPr>
            <w:r>
              <w:rPr>
                <w:rFonts w:ascii="Arial" w:cs="Arial" w:eastAsia="Arial" w:hAnsi="Arial"/>
                <w:sz w:val="18"/>
                <w:szCs w:val="18"/>
                <w:color w:val="auto"/>
                <w:w w:val="88"/>
              </w:rPr>
              <w:t>May 31, 2023</w:t>
            </w:r>
            <w:r>
              <w:rPr>
                <w:rFonts w:ascii="Arial" w:cs="Arial" w:eastAsia="Arial" w:hAnsi="Arial"/>
                <w:sz w:val="29"/>
                <w:szCs w:val="29"/>
                <w:color w:val="auto"/>
                <w:w w:val="88"/>
                <w:vertAlign w:val="superscript"/>
              </w:rPr>
              <w:t>(5)</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$0.34</w:t>
            </w:r>
          </w:p>
        </w:tc>
      </w:tr>
      <w:tr>
        <w:trPr>
          <w:trHeight w:val="256"/>
        </w:trPr>
        <w:tc>
          <w:tcPr>
            <w:tcW w:w="3420" w:type="dxa"/>
            <w:vAlign w:val="bottom"/>
          </w:tcPr>
          <w:p>
            <w:pPr>
              <w:jc w:val="center"/>
              <w:spacing w:after="0" w:line="256" w:lineRule="exact"/>
              <w:rPr>
                <w:sz w:val="20"/>
                <w:szCs w:val="20"/>
                <w:color w:val="auto"/>
              </w:rPr>
            </w:pPr>
            <w:r>
              <w:rPr>
                <w:rFonts w:ascii="Arial" w:cs="Arial" w:eastAsia="Arial" w:hAnsi="Arial"/>
                <w:sz w:val="18"/>
                <w:szCs w:val="18"/>
                <w:color w:val="auto"/>
                <w:w w:val="86"/>
              </w:rPr>
              <w:t>June 1, 2023</w:t>
            </w:r>
            <w:r>
              <w:rPr>
                <w:rFonts w:ascii="Arial" w:cs="Arial" w:eastAsia="Arial" w:hAnsi="Arial"/>
                <w:sz w:val="29"/>
                <w:szCs w:val="29"/>
                <w:color w:val="auto"/>
                <w:w w:val="86"/>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300,000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$0.38</w:t>
            </w:r>
          </w:p>
        </w:tc>
      </w:tr>
      <w:tr>
        <w:trPr>
          <w:trHeight w:val="257"/>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June 1, 2023</w:t>
            </w:r>
            <w:r>
              <w:rPr>
                <w:rFonts w:ascii="Arial" w:cs="Arial" w:eastAsia="Arial" w:hAnsi="Arial"/>
                <w:sz w:val="29"/>
                <w:szCs w:val="29"/>
                <w:color w:val="auto"/>
                <w:w w:val="86"/>
                <w:vertAlign w:val="superscript"/>
              </w:rPr>
              <w:t>(5)</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$0.34</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6"/>
              </w:rPr>
              <w:t>June 2, 2023</w:t>
            </w:r>
            <w:r>
              <w:rPr>
                <w:rFonts w:ascii="Arial" w:cs="Arial" w:eastAsia="Arial" w:hAnsi="Arial"/>
                <w:sz w:val="29"/>
                <w:szCs w:val="29"/>
                <w:color w:val="auto"/>
                <w:w w:val="86"/>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337,000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$0.36</w:t>
            </w:r>
          </w:p>
        </w:tc>
      </w:tr>
      <w:tr>
        <w:trPr>
          <w:trHeight w:val="256"/>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June 2, 2023</w:t>
            </w:r>
            <w:r>
              <w:rPr>
                <w:rFonts w:ascii="Arial" w:cs="Arial" w:eastAsia="Arial" w:hAnsi="Arial"/>
                <w:sz w:val="29"/>
                <w:szCs w:val="29"/>
                <w:color w:val="auto"/>
                <w:w w:val="86"/>
                <w:vertAlign w:val="superscript"/>
              </w:rPr>
              <w:t>(5)</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$0.34</w:t>
            </w:r>
          </w:p>
        </w:tc>
      </w:tr>
      <w:tr>
        <w:trPr>
          <w:trHeight w:val="270"/>
        </w:trPr>
        <w:tc>
          <w:tcPr>
            <w:tcW w:w="3420" w:type="dxa"/>
            <w:vAlign w:val="bottom"/>
          </w:tcPr>
          <w:p>
            <w:pPr>
              <w:jc w:val="center"/>
              <w:spacing w:after="0" w:line="270" w:lineRule="exact"/>
              <w:rPr>
                <w:sz w:val="20"/>
                <w:szCs w:val="20"/>
                <w:color w:val="auto"/>
              </w:rPr>
            </w:pPr>
            <w:r>
              <w:rPr>
                <w:rFonts w:ascii="Arial" w:cs="Arial" w:eastAsia="Arial" w:hAnsi="Arial"/>
                <w:sz w:val="18"/>
                <w:szCs w:val="18"/>
                <w:color w:val="auto"/>
                <w:w w:val="86"/>
              </w:rPr>
              <w:t>June 5, 2023</w:t>
            </w:r>
            <w:r>
              <w:rPr>
                <w:rFonts w:ascii="Arial" w:cs="Arial" w:eastAsia="Arial" w:hAnsi="Arial"/>
                <w:sz w:val="29"/>
                <w:szCs w:val="29"/>
                <w:color w:val="auto"/>
                <w:w w:val="86"/>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245,000</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$0.35</w:t>
            </w:r>
          </w:p>
        </w:tc>
      </w:tr>
      <w:tr>
        <w:trPr>
          <w:trHeight w:val="256"/>
        </w:trPr>
        <w:tc>
          <w:tcPr>
            <w:tcW w:w="342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6"/>
              </w:rPr>
              <w:t>June 5, 2023</w:t>
            </w:r>
            <w:r>
              <w:rPr>
                <w:rFonts w:ascii="Arial" w:cs="Arial" w:eastAsia="Arial" w:hAnsi="Arial"/>
                <w:sz w:val="29"/>
                <w:szCs w:val="29"/>
                <w:color w:val="auto"/>
                <w:w w:val="86"/>
                <w:vertAlign w:val="superscript"/>
              </w:rPr>
              <w:t>(5)</w:t>
            </w:r>
          </w:p>
        </w:tc>
        <w:tc>
          <w:tcPr>
            <w:tcW w:w="2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275,000</w:t>
            </w:r>
          </w:p>
        </w:tc>
        <w:tc>
          <w:tcPr>
            <w:tcW w:w="2960" w:type="dxa"/>
            <w:vAlign w:val="bottom"/>
            <w:shd w:val="clear" w:color="auto" w:fill="E6EFFF"/>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$0.34</w:t>
            </w:r>
          </w:p>
        </w:tc>
      </w:tr>
      <w:tr>
        <w:trPr>
          <w:trHeight w:val="390"/>
        </w:trPr>
        <w:tc>
          <w:tcPr>
            <w:tcW w:w="3420" w:type="dxa"/>
            <w:vAlign w:val="bottom"/>
          </w:tcPr>
          <w:p>
            <w:pPr>
              <w:jc w:val="center"/>
              <w:spacing w:after="0"/>
              <w:rPr>
                <w:sz w:val="20"/>
                <w:szCs w:val="20"/>
                <w:color w:val="auto"/>
              </w:rPr>
            </w:pPr>
            <w:r>
              <w:rPr>
                <w:rFonts w:ascii="Arial" w:cs="Arial" w:eastAsia="Arial" w:hAnsi="Arial"/>
                <w:sz w:val="18"/>
                <w:szCs w:val="18"/>
                <w:color w:val="auto"/>
                <w:w w:val="86"/>
              </w:rPr>
              <w:t>June 6, 2023</w:t>
            </w:r>
            <w:r>
              <w:rPr>
                <w:rFonts w:ascii="Arial" w:cs="Arial" w:eastAsia="Arial" w:hAnsi="Arial"/>
                <w:sz w:val="29"/>
                <w:szCs w:val="29"/>
                <w:color w:val="auto"/>
                <w:w w:val="86"/>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39,733</w:t>
            </w:r>
          </w:p>
        </w:tc>
        <w:tc>
          <w:tcPr>
            <w:tcW w:w="2960" w:type="dxa"/>
            <w:vAlign w:val="bottom"/>
          </w:tcPr>
          <w:p>
            <w:pPr>
              <w:ind w:left="860"/>
              <w:spacing w:after="0"/>
              <w:rPr>
                <w:sz w:val="20"/>
                <w:szCs w:val="20"/>
                <w:color w:val="auto"/>
              </w:rPr>
            </w:pPr>
            <w:r>
              <w:rPr>
                <w:rFonts w:ascii="Arial" w:cs="Arial" w:eastAsia="Arial" w:hAnsi="Arial"/>
                <w:sz w:val="18"/>
                <w:szCs w:val="18"/>
                <w:color w:val="auto"/>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$0.35</w:t>
            </w: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333"/>
        </w:trPr>
        <w:tc>
          <w:tcPr>
            <w:tcW w:w="3320" w:type="dxa"/>
            <w:vAlign w:val="bottom"/>
            <w:shd w:val="clear" w:color="auto" w:fill="E6EFFF"/>
          </w:tcPr>
          <w:p>
            <w:pPr>
              <w:jc w:val="center"/>
              <w:ind w:left="50"/>
              <w:spacing w:after="0"/>
              <w:rPr>
                <w:sz w:val="20"/>
                <w:szCs w:val="20"/>
                <w:color w:val="auto"/>
              </w:rPr>
            </w:pPr>
            <w:r>
              <w:rPr>
                <w:rFonts w:ascii="Arial" w:cs="Arial" w:eastAsia="Arial" w:hAnsi="Arial"/>
                <w:sz w:val="18"/>
                <w:szCs w:val="18"/>
                <w:color w:val="auto"/>
                <w:w w:val="86"/>
              </w:rPr>
              <w:t>June 7, 2023</w:t>
            </w:r>
            <w:r>
              <w:rPr>
                <w:rFonts w:ascii="Arial" w:cs="Arial" w:eastAsia="Arial" w:hAnsi="Arial"/>
                <w:sz w:val="29"/>
                <w:szCs w:val="29"/>
                <w:color w:val="auto"/>
                <w:w w:val="86"/>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244,000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$0.35</w:t>
            </w:r>
          </w:p>
        </w:tc>
      </w:tr>
      <w:tr>
        <w:trPr>
          <w:trHeight w:val="270"/>
        </w:trPr>
        <w:tc>
          <w:tcPr>
            <w:tcW w:w="3320" w:type="dxa"/>
            <w:vAlign w:val="bottom"/>
          </w:tcPr>
          <w:p>
            <w:pPr>
              <w:jc w:val="center"/>
              <w:ind w:left="50"/>
              <w:spacing w:after="0" w:line="270" w:lineRule="exact"/>
              <w:rPr>
                <w:sz w:val="20"/>
                <w:szCs w:val="20"/>
                <w:color w:val="auto"/>
              </w:rPr>
            </w:pPr>
            <w:r>
              <w:rPr>
                <w:rFonts w:ascii="Arial" w:cs="Arial" w:eastAsia="Arial" w:hAnsi="Arial"/>
                <w:sz w:val="18"/>
                <w:szCs w:val="18"/>
                <w:color w:val="auto"/>
                <w:w w:val="86"/>
              </w:rPr>
              <w:t>June 7, 2023</w:t>
            </w:r>
            <w:r>
              <w:rPr>
                <w:rFonts w:ascii="Arial" w:cs="Arial" w:eastAsia="Arial" w:hAnsi="Arial"/>
                <w:sz w:val="29"/>
                <w:szCs w:val="29"/>
                <w:color w:val="auto"/>
                <w:w w:val="86"/>
                <w:vertAlign w:val="superscript"/>
              </w:rPr>
              <w:t>(5)</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275,000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$0.31</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6"/>
              </w:rPr>
              <w:t>June 8, 2023</w:t>
            </w:r>
            <w:r>
              <w:rPr>
                <w:rFonts w:ascii="Arial" w:cs="Arial" w:eastAsia="Arial" w:hAnsi="Arial"/>
                <w:sz w:val="29"/>
                <w:szCs w:val="29"/>
                <w:color w:val="auto"/>
                <w:w w:val="86"/>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451,000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$0.33</w:t>
            </w:r>
          </w:p>
        </w:tc>
      </w:tr>
      <w:tr>
        <w:trPr>
          <w:trHeight w:val="270"/>
        </w:trPr>
        <w:tc>
          <w:tcPr>
            <w:tcW w:w="3320" w:type="dxa"/>
            <w:vAlign w:val="bottom"/>
          </w:tcPr>
          <w:p>
            <w:pPr>
              <w:jc w:val="center"/>
              <w:ind w:left="50"/>
              <w:spacing w:after="0" w:line="270" w:lineRule="exact"/>
              <w:rPr>
                <w:sz w:val="20"/>
                <w:szCs w:val="20"/>
                <w:color w:val="auto"/>
              </w:rPr>
            </w:pPr>
            <w:r>
              <w:rPr>
                <w:rFonts w:ascii="Arial" w:cs="Arial" w:eastAsia="Arial" w:hAnsi="Arial"/>
                <w:sz w:val="18"/>
                <w:szCs w:val="18"/>
                <w:color w:val="auto"/>
                <w:w w:val="86"/>
              </w:rPr>
              <w:t>June 8, 2023</w:t>
            </w:r>
            <w:r>
              <w:rPr>
                <w:rFonts w:ascii="Arial" w:cs="Arial" w:eastAsia="Arial" w:hAnsi="Arial"/>
                <w:sz w:val="29"/>
                <w:szCs w:val="29"/>
                <w:color w:val="auto"/>
                <w:w w:val="86"/>
                <w:vertAlign w:val="superscript"/>
              </w:rPr>
              <w:t>(5)</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275,000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$0.30</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6"/>
              </w:rPr>
              <w:t>June 9, 2023</w:t>
            </w:r>
            <w:r>
              <w:rPr>
                <w:rFonts w:ascii="Arial" w:cs="Arial" w:eastAsia="Arial" w:hAnsi="Arial"/>
                <w:sz w:val="29"/>
                <w:szCs w:val="29"/>
                <w:color w:val="auto"/>
                <w:w w:val="86"/>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167,500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$0.33</w:t>
            </w:r>
          </w:p>
        </w:tc>
      </w:tr>
      <w:tr>
        <w:trPr>
          <w:trHeight w:val="270"/>
        </w:trPr>
        <w:tc>
          <w:tcPr>
            <w:tcW w:w="3320" w:type="dxa"/>
            <w:vAlign w:val="bottom"/>
          </w:tcPr>
          <w:p>
            <w:pPr>
              <w:jc w:val="center"/>
              <w:ind w:left="50"/>
              <w:spacing w:after="0" w:line="270" w:lineRule="exact"/>
              <w:rPr>
                <w:sz w:val="20"/>
                <w:szCs w:val="20"/>
                <w:color w:val="auto"/>
              </w:rPr>
            </w:pPr>
            <w:r>
              <w:rPr>
                <w:rFonts w:ascii="Arial" w:cs="Arial" w:eastAsia="Arial" w:hAnsi="Arial"/>
                <w:sz w:val="18"/>
                <w:szCs w:val="18"/>
                <w:color w:val="auto"/>
                <w:w w:val="86"/>
              </w:rPr>
              <w:t>June 9, 2023</w:t>
            </w:r>
            <w:r>
              <w:rPr>
                <w:rFonts w:ascii="Arial" w:cs="Arial" w:eastAsia="Arial" w:hAnsi="Arial"/>
                <w:sz w:val="29"/>
                <w:szCs w:val="29"/>
                <w:color w:val="auto"/>
                <w:w w:val="86"/>
                <w:vertAlign w:val="superscript"/>
              </w:rPr>
              <w:t>(5)</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275,000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$0.29</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5"/>
              </w:rPr>
              <w:t>June 12, 2023</w:t>
            </w:r>
            <w:r>
              <w:rPr>
                <w:rFonts w:ascii="Arial" w:cs="Arial" w:eastAsia="Arial" w:hAnsi="Arial"/>
                <w:sz w:val="29"/>
                <w:szCs w:val="29"/>
                <w:color w:val="auto"/>
                <w:w w:val="85"/>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191,000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$0.31</w:t>
            </w:r>
          </w:p>
        </w:tc>
      </w:tr>
      <w:tr>
        <w:trPr>
          <w:trHeight w:val="270"/>
        </w:trPr>
        <w:tc>
          <w:tcPr>
            <w:tcW w:w="3320" w:type="dxa"/>
            <w:vAlign w:val="bottom"/>
          </w:tcPr>
          <w:p>
            <w:pPr>
              <w:jc w:val="center"/>
              <w:ind w:left="50"/>
              <w:spacing w:after="0" w:line="270" w:lineRule="exact"/>
              <w:rPr>
                <w:sz w:val="20"/>
                <w:szCs w:val="20"/>
                <w:color w:val="auto"/>
              </w:rPr>
            </w:pPr>
            <w:r>
              <w:rPr>
                <w:rFonts w:ascii="Arial" w:cs="Arial" w:eastAsia="Arial" w:hAnsi="Arial"/>
                <w:sz w:val="18"/>
                <w:szCs w:val="18"/>
                <w:color w:val="auto"/>
                <w:w w:val="85"/>
              </w:rPr>
              <w:t>June 14, 2023</w:t>
            </w:r>
            <w:r>
              <w:rPr>
                <w:rFonts w:ascii="Arial" w:cs="Arial" w:eastAsia="Arial" w:hAnsi="Arial"/>
                <w:sz w:val="29"/>
                <w:szCs w:val="29"/>
                <w:color w:val="auto"/>
                <w:w w:val="85"/>
                <w:vertAlign w:val="superscript"/>
              </w:rPr>
              <w:t>(3)</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162,200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$0.31</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5"/>
              </w:rPr>
              <w:t>June 26, 2023</w:t>
            </w:r>
            <w:r>
              <w:rPr>
                <w:rFonts w:ascii="Arial" w:cs="Arial" w:eastAsia="Arial" w:hAnsi="Arial"/>
                <w:sz w:val="29"/>
                <w:szCs w:val="29"/>
                <w:color w:val="auto"/>
                <w:w w:val="85"/>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363,000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$0.38</w:t>
            </w:r>
          </w:p>
        </w:tc>
      </w:tr>
      <w:tr>
        <w:trPr>
          <w:trHeight w:val="216"/>
        </w:trPr>
        <w:tc>
          <w:tcPr>
            <w:tcW w:w="3320" w:type="dxa"/>
            <w:vAlign w:val="bottom"/>
          </w:tcPr>
          <w:p>
            <w:pPr>
              <w:jc w:val="center"/>
              <w:ind w:left="30"/>
              <w:spacing w:after="0"/>
              <w:rPr>
                <w:sz w:val="20"/>
                <w:szCs w:val="20"/>
                <w:color w:val="auto"/>
              </w:rPr>
            </w:pPr>
            <w:r>
              <w:rPr>
                <w:rFonts w:ascii="Arial" w:cs="Arial" w:eastAsia="Arial" w:hAnsi="Arial"/>
                <w:sz w:val="18"/>
                <w:szCs w:val="18"/>
                <w:color w:val="auto"/>
                <w:w w:val="87"/>
              </w:rPr>
              <w:t>June 28, 2023</w:t>
            </w:r>
          </w:p>
        </w:tc>
        <w:tc>
          <w:tcPr>
            <w:tcW w:w="2660" w:type="dxa"/>
            <w:vAlign w:val="bottom"/>
          </w:tcPr>
          <w:p>
            <w:pPr>
              <w:jc w:val="center"/>
              <w:ind w:left="90"/>
              <w:spacing w:after="0"/>
              <w:rPr>
                <w:sz w:val="20"/>
                <w:szCs w:val="20"/>
                <w:color w:val="auto"/>
              </w:rPr>
            </w:pPr>
            <w:r>
              <w:rPr>
                <w:rFonts w:ascii="Arial" w:cs="Arial" w:eastAsia="Arial" w:hAnsi="Arial"/>
                <w:sz w:val="18"/>
                <w:szCs w:val="18"/>
                <w:color w:val="auto"/>
                <w:w w:val="88"/>
              </w:rPr>
              <w:t>11,615,000</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$0.44</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7"/>
              </w:rPr>
              <w:t>July 7, 2023</w:t>
            </w:r>
            <w:r>
              <w:rPr>
                <w:rFonts w:ascii="Arial" w:cs="Arial" w:eastAsia="Arial" w:hAnsi="Arial"/>
                <w:sz w:val="29"/>
                <w:szCs w:val="29"/>
                <w:color w:val="auto"/>
                <w:w w:val="87"/>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90"/>
              </w:rPr>
              <w:t>82,602</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$0.69</w:t>
            </w:r>
          </w:p>
        </w:tc>
      </w:tr>
      <w:tr>
        <w:trPr>
          <w:trHeight w:val="270"/>
        </w:trPr>
        <w:tc>
          <w:tcPr>
            <w:tcW w:w="3320" w:type="dxa"/>
            <w:vAlign w:val="bottom"/>
          </w:tcPr>
          <w:p>
            <w:pPr>
              <w:jc w:val="center"/>
              <w:ind w:left="50"/>
              <w:spacing w:after="0" w:line="270" w:lineRule="exact"/>
              <w:rPr>
                <w:sz w:val="20"/>
                <w:szCs w:val="20"/>
                <w:color w:val="auto"/>
              </w:rPr>
            </w:pPr>
            <w:r>
              <w:rPr>
                <w:rFonts w:ascii="Arial" w:cs="Arial" w:eastAsia="Arial" w:hAnsi="Arial"/>
                <w:sz w:val="18"/>
                <w:szCs w:val="18"/>
                <w:color w:val="auto"/>
                <w:w w:val="87"/>
              </w:rPr>
              <w:t>July 10, 2023</w:t>
            </w:r>
            <w:r>
              <w:rPr>
                <w:rFonts w:ascii="Arial" w:cs="Arial" w:eastAsia="Arial" w:hAnsi="Arial"/>
                <w:sz w:val="29"/>
                <w:szCs w:val="29"/>
                <w:color w:val="auto"/>
                <w:w w:val="87"/>
                <w:vertAlign w:val="superscript"/>
              </w:rPr>
              <w:t>(3)</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419,000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$0.62</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7"/>
              </w:rPr>
              <w:t>July 11, 2023</w:t>
            </w:r>
            <w:r>
              <w:rPr>
                <w:rFonts w:ascii="Arial" w:cs="Arial" w:eastAsia="Arial" w:hAnsi="Arial"/>
                <w:sz w:val="29"/>
                <w:szCs w:val="29"/>
                <w:color w:val="auto"/>
                <w:w w:val="87"/>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147,000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$0.61</w:t>
            </w:r>
          </w:p>
        </w:tc>
      </w:tr>
      <w:tr>
        <w:trPr>
          <w:trHeight w:val="270"/>
        </w:trPr>
        <w:tc>
          <w:tcPr>
            <w:tcW w:w="3320" w:type="dxa"/>
            <w:vAlign w:val="bottom"/>
          </w:tcPr>
          <w:p>
            <w:pPr>
              <w:jc w:val="center"/>
              <w:ind w:left="50"/>
              <w:spacing w:after="0" w:line="270" w:lineRule="exact"/>
              <w:rPr>
                <w:sz w:val="20"/>
                <w:szCs w:val="20"/>
                <w:color w:val="auto"/>
              </w:rPr>
            </w:pPr>
            <w:r>
              <w:rPr>
                <w:rFonts w:ascii="Arial" w:cs="Arial" w:eastAsia="Arial" w:hAnsi="Arial"/>
                <w:sz w:val="18"/>
                <w:szCs w:val="18"/>
                <w:color w:val="auto"/>
                <w:w w:val="87"/>
              </w:rPr>
              <w:t>July 12, 2023</w:t>
            </w:r>
            <w:r>
              <w:rPr>
                <w:rFonts w:ascii="Arial" w:cs="Arial" w:eastAsia="Arial" w:hAnsi="Arial"/>
                <w:sz w:val="29"/>
                <w:szCs w:val="29"/>
                <w:color w:val="auto"/>
                <w:w w:val="87"/>
                <w:vertAlign w:val="superscript"/>
              </w:rPr>
              <w:t>(3)</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341,080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$0.58</w:t>
            </w:r>
          </w:p>
        </w:tc>
      </w:tr>
      <w:tr>
        <w:trPr>
          <w:trHeight w:val="257"/>
        </w:trPr>
        <w:tc>
          <w:tcPr>
            <w:tcW w:w="3320" w:type="dxa"/>
            <w:vAlign w:val="bottom"/>
            <w:shd w:val="clear" w:color="auto" w:fill="E6EFFF"/>
          </w:tcPr>
          <w:p>
            <w:pPr>
              <w:jc w:val="center"/>
              <w:ind w:left="50"/>
              <w:spacing w:after="0" w:line="256" w:lineRule="exact"/>
              <w:rPr>
                <w:sz w:val="20"/>
                <w:szCs w:val="20"/>
                <w:color w:val="auto"/>
              </w:rPr>
            </w:pPr>
            <w:r>
              <w:rPr>
                <w:rFonts w:ascii="Arial" w:cs="Arial" w:eastAsia="Arial" w:hAnsi="Arial"/>
                <w:sz w:val="18"/>
                <w:szCs w:val="18"/>
                <w:color w:val="auto"/>
                <w:w w:val="87"/>
              </w:rPr>
              <w:t>July 17, 2023</w:t>
            </w:r>
            <w:r>
              <w:rPr>
                <w:rFonts w:ascii="Arial" w:cs="Arial" w:eastAsia="Arial" w:hAnsi="Arial"/>
                <w:sz w:val="29"/>
                <w:szCs w:val="29"/>
                <w:color w:val="auto"/>
                <w:w w:val="87"/>
                <w:vertAlign w:val="superscript"/>
              </w:rPr>
              <w:t>(3)</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618,000</w:t>
            </w:r>
          </w:p>
        </w:tc>
        <w:tc>
          <w:tcPr>
            <w:tcW w:w="29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shd w:val="clear" w:color="auto" w:fill="E6EFFF"/>
          </w:tcPr>
          <w:p>
            <w:pPr>
              <w:jc w:val="right"/>
              <w:ind w:right="950"/>
              <w:spacing w:after="0"/>
              <w:rPr>
                <w:sz w:val="20"/>
                <w:szCs w:val="20"/>
                <w:color w:val="auto"/>
              </w:rPr>
            </w:pPr>
            <w:r>
              <w:rPr>
                <w:rFonts w:ascii="Arial" w:cs="Arial" w:eastAsia="Arial" w:hAnsi="Arial"/>
                <w:sz w:val="18"/>
                <w:szCs w:val="18"/>
                <w:color w:val="auto"/>
              </w:rPr>
              <w:t>$0.59</w:t>
            </w:r>
          </w:p>
        </w:tc>
      </w:tr>
      <w:tr>
        <w:trPr>
          <w:trHeight w:val="390"/>
        </w:trPr>
        <w:tc>
          <w:tcPr>
            <w:tcW w:w="3320" w:type="dxa"/>
            <w:vAlign w:val="bottom"/>
          </w:tcPr>
          <w:p>
            <w:pPr>
              <w:jc w:val="center"/>
              <w:ind w:left="50"/>
              <w:spacing w:after="0"/>
              <w:rPr>
                <w:sz w:val="20"/>
                <w:szCs w:val="20"/>
                <w:color w:val="auto"/>
              </w:rPr>
            </w:pPr>
            <w:r>
              <w:rPr>
                <w:rFonts w:ascii="Arial" w:cs="Arial" w:eastAsia="Arial" w:hAnsi="Arial"/>
                <w:sz w:val="18"/>
                <w:szCs w:val="18"/>
                <w:color w:val="auto"/>
                <w:w w:val="87"/>
              </w:rPr>
              <w:t>July 18, 2023</w:t>
            </w:r>
            <w:r>
              <w:rPr>
                <w:rFonts w:ascii="Arial" w:cs="Arial" w:eastAsia="Arial" w:hAnsi="Arial"/>
                <w:sz w:val="29"/>
                <w:szCs w:val="29"/>
                <w:color w:val="auto"/>
                <w:w w:val="87"/>
                <w:vertAlign w:val="superscript"/>
              </w:rPr>
              <w:t>(3)</w:t>
            </w:r>
          </w:p>
        </w:tc>
        <w:tc>
          <w:tcPr>
            <w:tcW w:w="2660" w:type="dxa"/>
            <w:vAlign w:val="bottom"/>
          </w:tcPr>
          <w:p>
            <w:pPr>
              <w:jc w:val="center"/>
              <w:ind w:left="70"/>
              <w:spacing w:after="0"/>
              <w:rPr>
                <w:sz w:val="20"/>
                <w:szCs w:val="20"/>
                <w:color w:val="auto"/>
              </w:rPr>
            </w:pPr>
            <w:r>
              <w:rPr>
                <w:rFonts w:ascii="Arial" w:cs="Arial" w:eastAsia="Arial" w:hAnsi="Arial"/>
                <w:sz w:val="18"/>
                <w:szCs w:val="18"/>
                <w:color w:val="auto"/>
                <w:w w:val="89"/>
              </w:rPr>
              <w:t>485,000</w:t>
            </w: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$0.56</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w:t>
      </w:r>
    </w:p>
    <w:p>
      <w:pPr>
        <w:spacing w:after="0" w:line="212" w:lineRule="exact"/>
        <w:rPr>
          <w:sz w:val="20"/>
          <w:szCs w:val="20"/>
          <w:color w:val="auto"/>
        </w:rPr>
      </w:pPr>
    </w:p>
    <w:p>
      <w:pPr>
        <w:ind w:left="660" w:hanging="328"/>
        <w:spacing w:after="0" w:line="239" w:lineRule="auto"/>
        <w:tabs>
          <w:tab w:leader="none" w:pos="699" w:val="left"/>
        </w:tabs>
        <w:numPr>
          <w:ilvl w:val="0"/>
          <w:numId w:val="11"/>
        </w:numPr>
        <w:rPr>
          <w:rFonts w:ascii="Arial" w:cs="Arial" w:eastAsia="Arial" w:hAnsi="Arial"/>
          <w:sz w:val="22"/>
          <w:szCs w:val="22"/>
          <w:color w:val="auto"/>
        </w:rPr>
      </w:pPr>
      <w:r>
        <w:rPr>
          <w:rFonts w:ascii="Arial" w:cs="Arial" w:eastAsia="Arial" w:hAnsi="Arial"/>
          <w:sz w:val="22"/>
          <w:szCs w:val="22"/>
          <w:color w:val="auto"/>
        </w:rPr>
        <w:t>Certain amounts have been converted from USD to CAD based on the average exchange rate posted by the Bank of Canada for the year ended December 31, 2022, being US$1.00 = C$1.3282.</w:t>
      </w:r>
    </w:p>
    <w:p>
      <w:pPr>
        <w:ind w:left="700" w:hanging="368"/>
        <w:spacing w:after="0" w:line="230" w:lineRule="auto"/>
        <w:tabs>
          <w:tab w:leader="none" w:pos="7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Common Shares issued in exchange for Class B Shares.</w:t>
      </w:r>
    </w:p>
    <w:p>
      <w:pPr>
        <w:jc w:val="both"/>
        <w:ind w:left="660" w:hanging="331"/>
        <w:spacing w:after="0" w:line="241" w:lineRule="auto"/>
        <w:tabs>
          <w:tab w:leader="none" w:pos="701" w:val="left"/>
        </w:tabs>
        <w:numPr>
          <w:ilvl w:val="0"/>
          <w:numId w:val="11"/>
        </w:numPr>
        <w:rPr>
          <w:rFonts w:ascii="Arial" w:cs="Arial" w:eastAsia="Arial" w:hAnsi="Arial"/>
          <w:sz w:val="21"/>
          <w:szCs w:val="21"/>
          <w:color w:val="auto"/>
        </w:rPr>
      </w:pPr>
      <w:r>
        <w:rPr>
          <w:rFonts w:ascii="Arial" w:cs="Arial" w:eastAsia="Arial" w:hAnsi="Arial"/>
          <w:sz w:val="21"/>
          <w:szCs w:val="21"/>
          <w:color w:val="auto"/>
        </w:rPr>
        <w:t>Common Shares issued in connection with the Corporation's at-the-market equity program (the "</w:t>
      </w:r>
      <w:r>
        <w:rPr>
          <w:rFonts w:ascii="Arial" w:cs="Arial" w:eastAsia="Arial" w:hAnsi="Arial"/>
          <w:sz w:val="21"/>
          <w:szCs w:val="21"/>
          <w:b w:val="1"/>
          <w:bCs w:val="1"/>
          <w:color w:val="auto"/>
        </w:rPr>
        <w:t>ATM Program</w:t>
      </w:r>
      <w:r>
        <w:rPr>
          <w:rFonts w:ascii="Arial" w:cs="Arial" w:eastAsia="Arial" w:hAnsi="Arial"/>
          <w:sz w:val="21"/>
          <w:szCs w:val="21"/>
          <w:color w:val="auto"/>
        </w:rPr>
        <w:t>") which allows the Corporation to issue and sell up to US$35,000,000 of Common Shares to the public, from time to time, at its discretion. The ATM Program is qualified by the prospectus supplement dated August 8, 2022.</w:t>
      </w:r>
    </w:p>
    <w:p>
      <w:pPr>
        <w:spacing w:after="0" w:line="1" w:lineRule="exact"/>
        <w:rPr>
          <w:rFonts w:ascii="Arial" w:cs="Arial" w:eastAsia="Arial" w:hAnsi="Arial"/>
          <w:sz w:val="21"/>
          <w:szCs w:val="21"/>
          <w:color w:val="auto"/>
        </w:rPr>
      </w:pPr>
    </w:p>
    <w:p>
      <w:pPr>
        <w:ind w:left="660" w:hanging="331"/>
        <w:spacing w:after="0" w:line="230" w:lineRule="auto"/>
        <w:tabs>
          <w:tab w:leader="none" w:pos="701"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Commitment Shares issued to Lincoln Park Capital Fund, LLC (the "</w:t>
      </w:r>
      <w:r>
        <w:rPr>
          <w:rFonts w:ascii="Arial" w:cs="Arial" w:eastAsia="Arial" w:hAnsi="Arial"/>
          <w:sz w:val="22"/>
          <w:szCs w:val="22"/>
          <w:b w:val="1"/>
          <w:bCs w:val="1"/>
          <w:color w:val="auto"/>
        </w:rPr>
        <w:t>Investor</w:t>
      </w:r>
      <w:r>
        <w:rPr>
          <w:rFonts w:ascii="Arial" w:cs="Arial" w:eastAsia="Arial" w:hAnsi="Arial"/>
          <w:sz w:val="22"/>
          <w:szCs w:val="22"/>
          <w:color w:val="auto"/>
        </w:rPr>
        <w:t>") pursuant to the purchase agreement entered into between the Investor and Corporation on May 30, 2023.</w:t>
      </w:r>
    </w:p>
    <w:p>
      <w:pPr>
        <w:spacing w:after="0" w:line="1" w:lineRule="exact"/>
        <w:rPr>
          <w:rFonts w:ascii="Arial" w:cs="Arial" w:eastAsia="Arial" w:hAnsi="Arial"/>
          <w:sz w:val="22"/>
          <w:szCs w:val="22"/>
          <w:color w:val="auto"/>
        </w:rPr>
      </w:pPr>
    </w:p>
    <w:p>
      <w:pPr>
        <w:ind w:left="700" w:hanging="371"/>
        <w:spacing w:after="0"/>
        <w:tabs>
          <w:tab w:leader="none" w:pos="7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Common Shares issued to the Investor pursuant to the Purchase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An investment in the Securities is highly speculative and subject to a number of risks. Before deciding whether to invest, investors should consider carefully the risk factors set forth below and in the documents incorporated by reference in the Base Shelf Prospectus and this Prospectus Supplement (including those discussed under the heading "Risk Factors" in the Base Shelf Prospectus and the Corporation's most recent Annual Information Form and Annual MD&amp;A)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Factors Related to the Offering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 Investment in the Units is Highly Speculative</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 investment in the Units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Completion of the Offering</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The completion of the Offering remains subject to a number of conditions, and there can be no certainty that the Offering will be completed. If the Offering is not completed, the Corporation may not be able to raise the funds set out herein for the purposes contemplated under </w:t>
      </w:r>
      <w:r>
        <w:rPr>
          <w:rFonts w:ascii="Arial" w:cs="Arial" w:eastAsia="Arial" w:hAnsi="Arial"/>
          <w:sz w:val="21"/>
          <w:szCs w:val="21"/>
          <w:i w:val="1"/>
          <w:iCs w:val="1"/>
          <w:color w:val="auto"/>
        </w:rPr>
        <w:t>"Use of Proceeds"</w:t>
      </w:r>
      <w:r>
        <w:rPr>
          <w:rFonts w:ascii="Arial" w:cs="Arial" w:eastAsia="Arial" w:hAnsi="Arial"/>
          <w:sz w:val="21"/>
          <w:szCs w:val="21"/>
          <w:color w:val="auto"/>
        </w:rPr>
        <w:t xml:space="preserve"> from other sources on commercially reasonable terms, or at all.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i w:val="1"/>
          <w:iCs w:val="1"/>
          <w:color w:val="auto"/>
        </w:rPr>
        <w:t>Negative Operating Cash Flow and Going Concern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22"/>
          <w:szCs w:val="22"/>
          <w:i w:val="1"/>
          <w:iCs w:val="1"/>
          <w:color w:val="auto"/>
        </w:rPr>
        <w:t>"Risk Factors - Risks Related to the Offering - Potential Need</w:t>
      </w:r>
      <w:r>
        <w:rPr>
          <w:rFonts w:ascii="Arial" w:cs="Arial" w:eastAsia="Arial" w:hAnsi="Arial"/>
          <w:sz w:val="22"/>
          <w:szCs w:val="22"/>
          <w:color w:val="auto"/>
        </w:rPr>
        <w:t xml:space="preserve"> </w:t>
      </w:r>
      <w:r>
        <w:rPr>
          <w:rFonts w:ascii="Arial" w:cs="Arial" w:eastAsia="Arial" w:hAnsi="Arial"/>
          <w:sz w:val="22"/>
          <w:szCs w:val="22"/>
          <w:i w:val="1"/>
          <w:iCs w:val="1"/>
          <w:color w:val="auto"/>
        </w:rPr>
        <w:t>for Additional Financing"</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Discretion in the Use of Proceeds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Arial" w:cs="Arial" w:eastAsia="Arial" w:hAnsi="Arial"/>
          <w:sz w:val="19"/>
          <w:szCs w:val="19"/>
          <w:i w:val="1"/>
          <w:iCs w:val="1"/>
          <w:color w:val="auto"/>
        </w:rPr>
        <w:t>"Use of Proceeds"</w:t>
      </w:r>
      <w:r>
        <w:rPr>
          <w:rFonts w:ascii="Arial" w:cs="Arial" w:eastAsia="Arial" w:hAnsi="Arial"/>
          <w:sz w:val="19"/>
          <w:szCs w:val="19"/>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Need for Additional Financing</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rFonts w:ascii="Arial" w:cs="Arial" w:eastAsia="Arial" w:hAnsi="Arial"/>
          <w:sz w:val="22"/>
          <w:szCs w:val="22"/>
          <w:i w:val="1"/>
          <w:iCs w:val="1"/>
          <w:color w:val="auto"/>
        </w:rPr>
        <w:t>See "Risk Factors - Risks Related to the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Offering - Negative Operating Cash Flow and Going Concern" </w:t>
      </w:r>
      <w:r>
        <w:rPr>
          <w:rFonts w:ascii="Arial" w:cs="Arial" w:eastAsia="Arial" w:hAnsi="Arial"/>
          <w:sz w:val="22"/>
          <w:szCs w:val="22"/>
          <w:color w:val="auto"/>
        </w:rPr>
        <w:t>and</w:t>
      </w:r>
      <w:r>
        <w:rPr>
          <w:rFonts w:ascii="Arial" w:cs="Arial" w:eastAsia="Arial" w:hAnsi="Arial"/>
          <w:sz w:val="22"/>
          <w:szCs w:val="22"/>
          <w:i w:val="1"/>
          <w:iCs w:val="1"/>
          <w:color w:val="auto"/>
        </w:rPr>
        <w:t xml:space="preserve"> "Risk Factors - Risks Related to the Offering - Potential Dilution".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Potential Dilution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w:t>
      </w:r>
      <w:r>
        <w:rPr>
          <w:rFonts w:ascii="Arial" w:cs="Arial" w:eastAsia="Arial" w:hAnsi="Arial"/>
          <w:sz w:val="22"/>
          <w:szCs w:val="22"/>
          <w:i w:val="1"/>
          <w:iCs w:val="1"/>
          <w:color w:val="auto"/>
        </w:rPr>
        <w:t>"Risk Factors - Risks Related</w:t>
      </w:r>
      <w:r>
        <w:rPr>
          <w:rFonts w:ascii="Arial" w:cs="Arial" w:eastAsia="Arial" w:hAnsi="Arial"/>
          <w:sz w:val="22"/>
          <w:szCs w:val="22"/>
          <w:color w:val="auto"/>
        </w:rPr>
        <w:t xml:space="preserve"> </w:t>
      </w:r>
      <w:r>
        <w:rPr>
          <w:rFonts w:ascii="Arial" w:cs="Arial" w:eastAsia="Arial" w:hAnsi="Arial"/>
          <w:sz w:val="22"/>
          <w:szCs w:val="22"/>
          <w:i w:val="1"/>
          <w:iCs w:val="1"/>
          <w:color w:val="auto"/>
        </w:rPr>
        <w:t>to an Offering - Potential Need for Additional Financing".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Trading Market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i w:val="1"/>
          <w:iCs w:val="1"/>
          <w:color w:val="auto"/>
        </w:rPr>
        <w:t>Significant Sales of Common Shares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Positive Return Not Guaranteed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Application and Interpretation of Tax Laws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Listing of the Unit Shares and Warrant Shares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applied to list the Unit Shares and Warrant Shares on the NEO and the NYSE American. Any potential listing remains subject to the approval of the NEO and the NYSE American and the satisfaction of all applicable regulatory requirements. No assurance can be given that the application will be approved.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Enforcement of Civil Liabilities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has subsidiaries incorporated in the United States and Ireland.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 consuming and costly process. Certain matters of procedure will also be governed by foreign law.</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Corporation Expects to be a "Passive Foreign Investment Company"</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Based on current business plans and financial expectations, the Corporation expects to be a PFIC (as defined below) for its current tax year and may be a PFIC in future tax years. If the Corporation is a PFIC for any year during a U.S. Holder's (as defined below) holding period of Unit Shares, Warrants or Warrant Shares, as applicable, then such U.S. Holder generally will be required to treat any gain realized upon a disposition of the Unit Shares, Warrants or Warrant Shares, as applicable, or any so-called "excess distribution" received on its Unit Shares or Warrant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mitigated if a U.S. Holder makes a timely and effective QEF Election (as defined below) or a Mark-to-Market Election (as defined below). Subject to certain limitations, such elections may be made with respect to the Unit Shares.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Holder who makes the Mark-to-Market Election generally must include as ordinary income each year the excess of the fair market value of the Unit Shares over the U.S. Holder's basis therein. Under proposed Treasury Regulations, a U.S. Holder may not make a QEF Election or Mark-to-Market Election in respect of the Warrants and, as a result, may not be able to make timely QEF Election with respect to Warrant Shares received upon exercise of the Warrants</w:t>
      </w:r>
      <w:r>
        <w:rPr>
          <w:rFonts w:ascii="Arial" w:cs="Arial" w:eastAsia="Arial" w:hAnsi="Arial"/>
          <w:sz w:val="19"/>
          <w:szCs w:val="19"/>
          <w:b w:val="1"/>
          <w:bCs w:val="1"/>
          <w:color w:val="auto"/>
        </w:rPr>
        <w:t>.</w:t>
      </w:r>
      <w:r>
        <w:rPr>
          <w:rFonts w:ascii="Arial" w:cs="Arial" w:eastAsia="Arial" w:hAnsi="Arial"/>
          <w:sz w:val="19"/>
          <w:szCs w:val="19"/>
          <w:color w:val="auto"/>
        </w:rPr>
        <w:t xml:space="preserve"> This paragraph is qualified in its entirety by the discussion below under the heading</w:t>
      </w:r>
    </w:p>
    <w:p>
      <w:pPr>
        <w:sectPr>
          <w:pgSz w:w="11900" w:h="16838" w:orient="portrait"/>
          <w:cols w:equalWidth="0" w:num="1">
            <w:col w:w="11240"/>
          </w:cols>
          <w:pgMar w:left="320" w:top="334" w:right="339" w:bottom="0" w:gutter="0" w:footer="0" w:header="0"/>
        </w:sectPr>
      </w:pPr>
    </w:p>
    <w:bookmarkStart w:id="29" w:name="page30"/>
    <w:bookmarkEnd w:id="29"/>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Certain United States Federal Income Tax Considerations - Passive Foreign Investment Company Rules</w:t>
      </w:r>
      <w:r>
        <w:rPr>
          <w:rFonts w:ascii="Arial" w:cs="Arial" w:eastAsia="Arial" w:hAnsi="Arial"/>
          <w:sz w:val="22"/>
          <w:szCs w:val="22"/>
          <w:color w:val="auto"/>
        </w:rPr>
        <w:t>." Each potential investor who is a U.S. Holder should consult its own tax advisor regarding the tax consequences of the PFIC rules and the acquisition, ownership, and disposition of Units, the Unit Shares and Warrants comprising the Units and Warrant Shares received upon exercise of the Warrants.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i w:val="1"/>
          <w:iCs w:val="1"/>
          <w:color w:val="auto"/>
        </w:rPr>
        <w:t>Speculative Nature of Warrants</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Warrants do not confer any rights of Common Share ownership on their holders, such as voting rights or the right to receive dividends, but rather merely represent the right to acquire Unit Shares at a fixed price for a limited period of time. Specifically, commencing on the date of issuance, holders of the Warrants may exercise their right to acquire Unit Shares and pay an exercise price of $</w:t>
      </w:r>
      <w:r>
        <w:rPr>
          <w:rFonts w:ascii="Arial" w:cs="Arial" w:eastAsia="Arial" w:hAnsi="Arial"/>
          <w:sz w:val="19"/>
          <w:szCs w:val="19"/>
          <w:b w:val="1"/>
          <w:bCs w:val="1"/>
          <w:color w:val="auto"/>
        </w:rPr>
        <w:t>●</w:t>
      </w:r>
      <w:r>
        <w:rPr>
          <w:rFonts w:ascii="Arial" w:cs="Arial" w:eastAsia="Arial" w:hAnsi="Arial"/>
          <w:sz w:val="19"/>
          <w:szCs w:val="19"/>
          <w:color w:val="auto"/>
        </w:rPr>
        <w:t xml:space="preserve"> per Warrant Share, subject to certain adjustments, prior to the Warrant Expiry Date, after which date any unexercised Warrants will expire and have no further value. Moreover, following completion of the Offering, the market value of the Warrants, if any, is uncertain and there can be no assurance that the market value of the Warrants will equal or exceed their imputed offering price. There can be no assurance that the market price of the Unit Shares will ever equal or exceed the exercise price of the Warrants, and consequently, whether it will ever be profitable for holders of the Warrants to exercise the Warrants.</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There is no existing trading market for the Warrants and there can be no assurance that a liquid market will develop or be maintained for the Warrants, or that an investor will be able to sell any of the Warrants at a particular time (if at all).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CANADIAN INCOME TAX CONSIDERATIONS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following is, as of the date hereof, a summary of the principal Canadian federal income tax considerations under the Tax Act and Regulations thereunder, generally applicable to an investor who acquires, as beneficial owner, Unit Shares and Warrants pursuant to the Offering, and Warrant Shares upon the exercise of the Warrants, and who, for the purposes of the Tax Act and at all relevant times, and holds the Unit Shares, including any Warrant Shares acquired on the exercise of Warrants, and Warrants as capital property and deals at arm's length and is not affiliated with the Corporation, the Underwriters and any subsequent purchaser of such securities (a "</w:t>
      </w:r>
      <w:r>
        <w:rPr>
          <w:rFonts w:ascii="Arial" w:cs="Arial" w:eastAsia="Arial" w:hAnsi="Arial"/>
          <w:sz w:val="19"/>
          <w:szCs w:val="19"/>
          <w:b w:val="1"/>
          <w:bCs w:val="1"/>
          <w:color w:val="auto"/>
        </w:rPr>
        <w:t>Holder</w:t>
      </w:r>
      <w:r>
        <w:rPr>
          <w:rFonts w:ascii="Arial" w:cs="Arial" w:eastAsia="Arial" w:hAnsi="Arial"/>
          <w:sz w:val="19"/>
          <w:szCs w:val="19"/>
          <w:color w:val="auto"/>
        </w:rPr>
        <w:t>"). Generally, the Unit Shares, Warrant Shares and Warrants will be considered to be capital property to a Holder, provided the Holder does not hold or use the Unit Shares, Warrant Shares and Warrants in the course of carrying on a business of trading or dealing in securities and such Holder has not acquired them in one or more transactions considered to be an adventure or concern in the nature of trade.</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summary is not applicable to a Holder (i) that is a "financial institution", as defined in the Tax Act, for the purposes of the mark-to-market rules in the Tax Act, (ii) that is a "specified financial institution", as defined in the Tax Act, (iii) of an interest in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as those terms are defined in the Tax Act, with respect to the Unit Shares, Warrants or Warrant Shares, or (vi) that receives dividends on the Unit Shares or Warrant Shares under or as part of a "dividend rental arrangement", as defined in the Tax Act. Any such holder should consult its own tax advisor with respect to an investment in offered Units. In addition, this summary does not address the deductibility of interest by a Holder who has borrowed money or otherwise incurred debt in connection with the acquisition of Unit Shares, Warrants or Warrant Shares.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Additional considerations, not discussed herein, may be applicable to a Holder that is a corporation resident in Canada, and is, or becomes as part of a transaction or event or series of transactions or events that includes the acquisition of the Units, controlled by a non-resident person (or group of non-resident persons that do not deal at arm's length with each other) for purposes of the "foreign affiliate dumping" rules in section 212.3 of the Tax Act. Such Holders should consult their tax advisors with respect to the consequences of acquiring offered Units.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1" w:name="page32"/>
    <w:bookmarkEnd w:id="31"/>
    <w:p>
      <w:pPr>
        <w:jc w:val="both"/>
        <w:spacing w:after="0" w:line="279" w:lineRule="auto"/>
        <w:rPr>
          <w:sz w:val="20"/>
          <w:szCs w:val="20"/>
          <w:color w:val="auto"/>
        </w:rPr>
      </w:pPr>
      <w:r>
        <w:rPr>
          <w:rFonts w:ascii="Arial" w:cs="Arial" w:eastAsia="Arial" w:hAnsi="Arial"/>
          <w:sz w:val="19"/>
          <w:szCs w:val="19"/>
          <w:color w:val="auto"/>
        </w:rPr>
        <w:t>This summary is based upon the current provisions of the Tax Act and the Regulations in force as of the date hereof, all specific proposals to amend the Tax Act and the Regulations that have been publicly and officially announced by or on behalf of the Minister of Finance (Canada) prior to the date hereof (the "</w:t>
      </w:r>
      <w:r>
        <w:rPr>
          <w:rFonts w:ascii="Arial" w:cs="Arial" w:eastAsia="Arial" w:hAnsi="Arial"/>
          <w:sz w:val="19"/>
          <w:szCs w:val="19"/>
          <w:b w:val="1"/>
          <w:bCs w:val="1"/>
          <w:color w:val="auto"/>
        </w:rPr>
        <w:t>Proposed Amendments</w:t>
      </w:r>
      <w:r>
        <w:rPr>
          <w:rFonts w:ascii="Arial" w:cs="Arial" w:eastAsia="Arial" w:hAnsi="Arial"/>
          <w:sz w:val="19"/>
          <w:szCs w:val="19"/>
          <w:color w:val="auto"/>
        </w:rPr>
        <w:t>"), and counsel's understanding of the current administrative policies and assessing practices of the Canada Revenue Agency (the "</w:t>
      </w:r>
      <w:r>
        <w:rPr>
          <w:rFonts w:ascii="Arial" w:cs="Arial" w:eastAsia="Arial" w:hAnsi="Arial"/>
          <w:sz w:val="19"/>
          <w:szCs w:val="19"/>
          <w:b w:val="1"/>
          <w:bCs w:val="1"/>
          <w:color w:val="auto"/>
        </w:rPr>
        <w:t>CRA</w:t>
      </w:r>
      <w:r>
        <w:rPr>
          <w:rFonts w:ascii="Arial" w:cs="Arial" w:eastAsia="Arial" w:hAnsi="Arial"/>
          <w:sz w:val="19"/>
          <w:szCs w:val="19"/>
          <w:color w:val="auto"/>
        </w:rPr>
        <w:t>"), published in writing by it prior to the date hereof. This summary assumes the Proposed Amendments will be enacted in the form proposed. However, no assurance can be given that the Proposed Amendments will be enacted in their current form, or at all.</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This summary is not exhaustive of all possible Canadian federal income tax considerations and, except for the Proposed Amendments, does not take into account or anticipate any changes in the law or any changes in the CRA's administrative policies and assessing practices, whether by legislative, governmental or judicial action or decision, nor does it take into account or anticipate any other federal or any provincial, territorial or foreign tax considerations, which may differ significantly from those discussed herein. This summary is not intended to be, nor should it be construed to be, legal or tax advice to any particular Holder, and no representations with respect to the income tax consequences to any Holder are made. </w:t>
      </w:r>
      <w:r>
        <w:rPr>
          <w:rFonts w:ascii="Arial" w:cs="Arial" w:eastAsia="Arial" w:hAnsi="Arial"/>
          <w:sz w:val="21"/>
          <w:szCs w:val="21"/>
          <w:b w:val="1"/>
          <w:bCs w:val="1"/>
          <w:color w:val="auto"/>
        </w:rPr>
        <w:t>Consequently, Holders</w:t>
      </w:r>
      <w:r>
        <w:rPr>
          <w:rFonts w:ascii="Arial" w:cs="Arial" w:eastAsia="Arial" w:hAnsi="Arial"/>
          <w:sz w:val="21"/>
          <w:szCs w:val="21"/>
          <w:color w:val="auto"/>
        </w:rPr>
        <w:t xml:space="preserve"> </w:t>
      </w:r>
      <w:r>
        <w:rPr>
          <w:rFonts w:ascii="Arial" w:cs="Arial" w:eastAsia="Arial" w:hAnsi="Arial"/>
          <w:sz w:val="21"/>
          <w:szCs w:val="21"/>
          <w:b w:val="1"/>
          <w:bCs w:val="1"/>
          <w:color w:val="auto"/>
        </w:rPr>
        <w:t>should consult their own tax advisors with respect to the tax consequences applicable to them, having regard to their own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Currency Conversion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For purposes of the Tax Act and the Regulations, all amounts relating to the acquisition, holding or disposition of Unit Shares, Warrants and Warrant Shares (including dividends, adjusted cost base and proceeds of disposition) must generally be expressed in Canadian Dollars. Amounts denominated in any other currency must be converted into Canadian Dollars generally based on the exchange rate quoted by the Bank of Canada on the date such amounts arise or such other rate of exchange as is acceptable to the </w:t>
      </w:r>
      <w:r>
        <w:rPr>
          <w:rFonts w:ascii="Arial" w:cs="Arial" w:eastAsia="Arial" w:hAnsi="Arial"/>
          <w:sz w:val="22"/>
          <w:szCs w:val="22"/>
          <w:i w:val="1"/>
          <w:iCs w:val="1"/>
          <w:color w:val="auto"/>
        </w:rPr>
        <w:t xml:space="preserve">Minister of National Revenue </w:t>
      </w:r>
      <w:r>
        <w:rPr>
          <w:rFonts w:ascii="Arial" w:cs="Arial" w:eastAsia="Arial" w:hAnsi="Arial"/>
          <w:sz w:val="22"/>
          <w:szCs w:val="22"/>
          <w:color w:val="auto"/>
        </w:rPr>
        <w:t>(Canada).</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Allocation of Cost</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Holders will be required to allocate the purchase price of each Unit between the Common Share and the Warrant comprising a Unit on a reasonable basis to determine their respective costs for the purposes of the Tax Act.</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Corporation intends to allocate the net proceeds of the Offering to Unit Shares and Warrants based on a pro-rata fair value allocation, which currently is estimated to be US$</w:t>
      </w:r>
      <w:r>
        <w:rPr>
          <w:rFonts w:ascii="Arial" w:cs="Arial" w:eastAsia="Arial" w:hAnsi="Arial"/>
          <w:sz w:val="22"/>
          <w:szCs w:val="22"/>
          <w:b w:val="1"/>
          <w:bCs w:val="1"/>
          <w:color w:val="auto"/>
        </w:rPr>
        <w:t>●</w:t>
      </w:r>
      <w:r>
        <w:rPr>
          <w:rFonts w:ascii="Arial" w:cs="Arial" w:eastAsia="Arial" w:hAnsi="Arial"/>
          <w:sz w:val="22"/>
          <w:szCs w:val="22"/>
          <w:color w:val="auto"/>
        </w:rPr>
        <w:t xml:space="preserve"> of the issue price of each Unit as consideration for the issue of each Unit Share and US$</w:t>
      </w:r>
      <w:r>
        <w:rPr>
          <w:rFonts w:ascii="Arial" w:cs="Arial" w:eastAsia="Arial" w:hAnsi="Arial"/>
          <w:sz w:val="22"/>
          <w:szCs w:val="22"/>
          <w:b w:val="1"/>
          <w:bCs w:val="1"/>
          <w:color w:val="auto"/>
        </w:rPr>
        <w:t>●</w:t>
      </w:r>
      <w:r>
        <w:rPr>
          <w:rFonts w:ascii="Arial" w:cs="Arial" w:eastAsia="Arial" w:hAnsi="Arial"/>
          <w:sz w:val="22"/>
          <w:szCs w:val="22"/>
          <w:color w:val="auto"/>
        </w:rPr>
        <w:t xml:space="preserve"> of the issue price of each Unit for the issue of each Warrant. As of the date of this Prospectus Supplement, the Corporation believes that such allocation is reasonable, but such allocation will not be binding on the CRA or a Holder. Counsels express no opinion with respect to such allocation.</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adjusted cost base to a Holder of a Unit Share acquired as part of an offered Unit will be determined by averaging the cost allocated to such Unit Share with the adjusted cost base to the Holder of all Common Shares of the Corporation held by the Holder as capital property immediately before such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of Warrants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No gain or loss will be realized by a Holder on the exercise of a Warrant to acquire a Warrant Share. When a Warrant is exercised, the Holder's cost of the Warrant Share acquired thereby will be equal to the aggregate of the Holder's adjusted cost base of such Warrant and the exercise price paid for the Warrant Share. The Holder's adjusted cost base of the Warrant Share so acquired will be determined by averaging the cost of the Warrant Share with the adjusted cost base to the Holder of all Common Shares of the Corporation held as capital property immediately before the acquisition of the Warrant Share.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 of Resident Holders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following portion of this summary applies to Holders who, for the purposes of the Tax Act, are or are deemed to be resident in Canada at all relevant times (herein, "</w:t>
      </w:r>
      <w:r>
        <w:rPr>
          <w:rFonts w:ascii="Arial" w:cs="Arial" w:eastAsia="Arial" w:hAnsi="Arial"/>
          <w:sz w:val="19"/>
          <w:szCs w:val="19"/>
          <w:b w:val="1"/>
          <w:bCs w:val="1"/>
          <w:color w:val="auto"/>
        </w:rPr>
        <w:t>Resident Holders</w:t>
      </w:r>
      <w:r>
        <w:rPr>
          <w:rFonts w:ascii="Arial" w:cs="Arial" w:eastAsia="Arial" w:hAnsi="Arial"/>
          <w:sz w:val="19"/>
          <w:szCs w:val="19"/>
          <w:color w:val="auto"/>
        </w:rPr>
        <w:t>"). A Resident Holder whose Unit Shares or Warrant Shares might not constitute capital property may, in certain circumstances, be entitled to make an irrevocable election permitted by subsection 39(4) of the Tax Act to have them, and every other "Canadian security" (as defined in the Tax Act) held by such Resident Holder in the taxation year of the election and each subsequent taxation year, be treated as capital property. This election does not apply to Warrants. Resident Holders contemplating making such an election should consult their own tax advisors for advice as to whether it is available and, if available, whether it is advisable in their particular circumstances.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i w:val="1"/>
          <w:iCs w:val="1"/>
          <w:color w:val="auto"/>
        </w:rPr>
        <w:t>Expiry of Warrants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expiry of an unexercised Warrant will generally result in the Resident Holder realizing a capital loss equal to the adjusted cost base to the Resident Holder of the Warrant immediately before its expiry. See discussion below under the heading "Capital Gains and Capital Losses".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Taxation of Dividends</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 Resident Holder will be required to include in computing income for a taxation year any dividends received, or deemed to be received, in the year by the Resident Holder on the Unit Shares or Warrant Shares. In the case of a Resident Holder that is an individual (other than certain trusts), such dividends will be subject to the gross-up and dividend tax credit rules normally applicable under the Tax Act to "taxable dividends" received from "taxable Canadian corporations" (as defined in the Tax Act), including the enhanced gross-up and dividend tax credit provisions where the Corporation designates the dividend as an "eligible dividend" in accordance with the provisions of the Tax Act. There may be restrictions on the ability of the Corporation to designate any particular dividend as an "eligible dividend".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 dividend received or deemed to be received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by a Resident Holder that is a corporation as proceeds of disposition or a capital gain. A corporation that is a "private corporation" or a "subject corporation" (each as defined in the Tax Act), generally will be liable to pay an additional tax (refundable under certain circumstances) under Part IV of the Tax Act on dividends received or deemed to be received on the Unit Shares or Warrant Shares in a year to the extent such dividends are deductible in computing taxable income for the year.</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Disposition of Unit Shares, Warrants and Warrant Shares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 Resident Holder who disposes, or is deemed to dispose, of a Unit Share or a Warrant Share (other than a disposition to the Corporation that is not a sale in the open market in the manner in which shares would normally be purchased by any member of the public in an open market) or a Warrant (other than a disposition arising on the expiry or exercise thereof) generally will realize a capital gain (or capital loss) equal to the amount, if any, by which the proceeds of disposition, net of any reasonable costs of disposition, exceed (or are exceeded by) the adjusted cost base to the Resident Holder of such Unit Shares, Warrants or Warrant Shares, as the case may be, immediately before the disposition or deemed disposition. The taxation of capital gains and losses is generally described below under the heading "Capital Gains and Capital Losses".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Capital Gains and Capital Losses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Generally, a Resident Holder is required to include in computing income for a taxation year one-half of the amount of any capital gain (a "</w:t>
      </w:r>
      <w:r>
        <w:rPr>
          <w:rFonts w:ascii="Arial" w:cs="Arial" w:eastAsia="Arial" w:hAnsi="Arial"/>
          <w:sz w:val="19"/>
          <w:szCs w:val="19"/>
          <w:b w:val="1"/>
          <w:bCs w:val="1"/>
          <w:color w:val="auto"/>
        </w:rPr>
        <w:t>taxable capital gain</w:t>
      </w:r>
      <w:r>
        <w:rPr>
          <w:rFonts w:ascii="Arial" w:cs="Arial" w:eastAsia="Arial" w:hAnsi="Arial"/>
          <w:sz w:val="19"/>
          <w:szCs w:val="19"/>
          <w:color w:val="auto"/>
        </w:rPr>
        <w:t>") realized by the Resident Holder in such taxation year. Subject to and in accordance with the rules contained in the Tax Act, a Resident Holder is required to deduct one-half of the amount of any capital loss (an "</w:t>
      </w:r>
      <w:r>
        <w:rPr>
          <w:rFonts w:ascii="Arial" w:cs="Arial" w:eastAsia="Arial" w:hAnsi="Arial"/>
          <w:sz w:val="19"/>
          <w:szCs w:val="19"/>
          <w:b w:val="1"/>
          <w:bCs w:val="1"/>
          <w:color w:val="auto"/>
        </w:rPr>
        <w:t>allowable</w:t>
      </w:r>
      <w:r>
        <w:rPr>
          <w:rFonts w:ascii="Arial" w:cs="Arial" w:eastAsia="Arial" w:hAnsi="Arial"/>
          <w:sz w:val="19"/>
          <w:szCs w:val="19"/>
          <w:color w:val="auto"/>
        </w:rPr>
        <w:t xml:space="preserve"> </w:t>
      </w:r>
      <w:r>
        <w:rPr>
          <w:rFonts w:ascii="Arial" w:cs="Arial" w:eastAsia="Arial" w:hAnsi="Arial"/>
          <w:sz w:val="19"/>
          <w:szCs w:val="19"/>
          <w:b w:val="1"/>
          <w:bCs w:val="1"/>
          <w:color w:val="auto"/>
        </w:rPr>
        <w:t>capital loss</w:t>
      </w:r>
      <w:r>
        <w:rPr>
          <w:rFonts w:ascii="Arial" w:cs="Arial" w:eastAsia="Arial" w:hAnsi="Arial"/>
          <w:sz w:val="19"/>
          <w:szCs w:val="19"/>
          <w:color w:val="auto"/>
        </w:rPr>
        <w:t>") realized in a particular taxation year against taxable capital gains realized by the Resident Holder in the year.</w:t>
      </w:r>
      <w:r>
        <w:rPr>
          <w:rFonts w:ascii="Arial" w:cs="Arial" w:eastAsia="Arial" w:hAnsi="Arial"/>
          <w:sz w:val="19"/>
          <w:szCs w:val="19"/>
          <w:b w:val="1"/>
          <w:bCs w:val="1"/>
          <w:color w:val="auto"/>
        </w:rPr>
        <w:t xml:space="preserve"> </w:t>
      </w:r>
      <w:r>
        <w:rPr>
          <w:rFonts w:ascii="Arial" w:cs="Arial" w:eastAsia="Arial" w:hAnsi="Arial"/>
          <w:sz w:val="19"/>
          <w:szCs w:val="19"/>
          <w:color w:val="auto"/>
        </w:rPr>
        <w:t>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amount of any capital loss realized by a Resident Holder that is a corporation on the disposition or deemed disposition of a Common Share or Warrant Share may be reduced by the amount of any dividends received or deemed to have been received by such Resident Holder on such shares, to the extent and under the circumstances described in the Tax Act. Similar rules may apply where a Resident Holder that is a corporation is a member of a partnership or a beneficiary of a trust that owns Unit Shares or Warrant Shares, directly or indirectly, through a partnership or trust. Resident Holders to whom these rules may be relevant should consult their own tax advisors.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Resident Holder that is throughout the relevant taxation year a "Canadian-controlled private corporation" (as defined in the Tax Act) or, at any time in the year, a "substantive CCPC" (as proposed to be defined in the Tax Act pursuant to Proposed Amendments released on August 9, 2022) may be liable to pay an additional tax (refundable in certain circumstances) on certain investment income, including amounts in respect of net taxable capital gains. Such Resident Holders should consult their own tax advisors.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i w:val="1"/>
          <w:iCs w:val="1"/>
          <w:color w:val="auto"/>
        </w:rPr>
        <w:t>Alternative Minimum Tax</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 gains realized (or deemed to be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Taxation of Non-Resident Holders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portion of this summary is generally applicable to Holders who, for the purposes of the Tax Act and at all relevant times: (i) are neither resident nor deemed to be resident in Canada, and (ii) do not use or hold, and are not deemed to hold or use, Unit Shares, Warrants or Warrant Shares in the course of business carried on or deemed to be carried on in Canada. Holders who meet all of the foregoing requirements are referred to herein as "</w:t>
      </w:r>
      <w:r>
        <w:rPr>
          <w:rFonts w:ascii="Arial" w:cs="Arial" w:eastAsia="Arial" w:hAnsi="Arial"/>
          <w:sz w:val="22"/>
          <w:szCs w:val="22"/>
          <w:b w:val="1"/>
          <w:bCs w:val="1"/>
          <w:color w:val="auto"/>
        </w:rPr>
        <w:t>Non-Resident Holders</w:t>
      </w:r>
      <w:r>
        <w:rPr>
          <w:rFonts w:ascii="Arial" w:cs="Arial" w:eastAsia="Arial" w:hAnsi="Arial"/>
          <w:sz w:val="22"/>
          <w:szCs w:val="22"/>
          <w:color w:val="auto"/>
        </w:rPr>
        <w:t>", and this portion of the summary only addresses such Non-Resident Holders.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Special rules, which are not discussed in this summary, may apply to a Non-Resident Holder that is an insurer carrying on, or deemed to carry on, business in Canada and elsewhere or that is an "authorized foreign bank" (as defined in the Tax Act). Such Non-Resident Holders should consult their own tax advisors.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Receipt of Dividends</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Dividends paid or credited or deemed to be paid or credited to a Non-Resident Holder by the Corporation are subject to Canadian withholding tax at the rate of 25% of the gross amount of the dividend unless such rate is reduced by the terms of an applicable tax treaty or convention between Canada and the country in which the Non-Resident Holder is resident. For example, under the </w:t>
      </w:r>
      <w:r>
        <w:rPr>
          <w:rFonts w:ascii="Arial" w:cs="Arial" w:eastAsia="Arial" w:hAnsi="Arial"/>
          <w:sz w:val="19"/>
          <w:szCs w:val="19"/>
          <w:i w:val="1"/>
          <w:iCs w:val="1"/>
          <w:color w:val="auto"/>
        </w:rPr>
        <w:t xml:space="preserve">Canada-United States Tax Convention (1980), </w:t>
      </w:r>
      <w:r>
        <w:rPr>
          <w:rFonts w:ascii="Arial" w:cs="Arial" w:eastAsia="Arial" w:hAnsi="Arial"/>
          <w:sz w:val="19"/>
          <w:szCs w:val="19"/>
          <w:color w:val="auto"/>
        </w:rPr>
        <w:t>as amended (the "</w:t>
      </w:r>
      <w:r>
        <w:rPr>
          <w:rFonts w:ascii="Arial" w:cs="Arial" w:eastAsia="Arial" w:hAnsi="Arial"/>
          <w:sz w:val="19"/>
          <w:szCs w:val="19"/>
          <w:b w:val="1"/>
          <w:bCs w:val="1"/>
          <w:color w:val="auto"/>
        </w:rPr>
        <w:t>Treaty</w:t>
      </w:r>
      <w:r>
        <w:rPr>
          <w:rFonts w:ascii="Arial" w:cs="Arial" w:eastAsia="Arial" w:hAnsi="Arial"/>
          <w:sz w:val="19"/>
          <w:szCs w:val="19"/>
          <w:color w:val="auto"/>
        </w:rPr>
        <w:t>"), the rate of withholding tax on dividends paid or</w:t>
      </w:r>
      <w:r>
        <w:rPr>
          <w:rFonts w:ascii="Arial" w:cs="Arial" w:eastAsia="Arial" w:hAnsi="Arial"/>
          <w:sz w:val="19"/>
          <w:szCs w:val="19"/>
          <w:i w:val="1"/>
          <w:iCs w:val="1"/>
          <w:color w:val="auto"/>
        </w:rPr>
        <w:t xml:space="preserve"> </w:t>
      </w:r>
      <w:r>
        <w:rPr>
          <w:rFonts w:ascii="Arial" w:cs="Arial" w:eastAsia="Arial" w:hAnsi="Arial"/>
          <w:sz w:val="19"/>
          <w:szCs w:val="19"/>
          <w:color w:val="auto"/>
        </w:rPr>
        <w:t>credited to a Non-Resident Holder who is the beneficial owner of the dividends, resident in the U.S. for purposes of the Treaty and entitled to full benefits under the Treaty (a "</w:t>
      </w:r>
      <w:r>
        <w:rPr>
          <w:rFonts w:ascii="Arial" w:cs="Arial" w:eastAsia="Arial" w:hAnsi="Arial"/>
          <w:sz w:val="19"/>
          <w:szCs w:val="19"/>
          <w:b w:val="1"/>
          <w:bCs w:val="1"/>
          <w:color w:val="auto"/>
        </w:rPr>
        <w:t>U.S. Holder</w:t>
      </w:r>
      <w:r>
        <w:rPr>
          <w:rFonts w:ascii="Arial" w:cs="Arial" w:eastAsia="Arial" w:hAnsi="Arial"/>
          <w:sz w:val="19"/>
          <w:szCs w:val="19"/>
          <w:color w:val="auto"/>
        </w:rPr>
        <w:t>") is generally reduced to 15% of the gross amount of the dividend (or 5% in the case of a U.S. Holder that is a company beneficially owning at least 10% of the Corporation's voting shares). Non-Resident Holders should consult their own tax advisors in this regard.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Disposition of Unit Shares, Warrants and Warrant Shares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 Non-Resident Holder generally will not be subject to tax under the Tax Act in respect of a capital gain realized on the disposition or deemed disposition of a Unit Share, a Warrant or a Warrant Share unless such Common Share, Warrant or Warrant Share, as the case may be, constitutes "taxable Canadian property" (as defined in the Tax Act) of the Non-Resident Holder at the time of disposition and the gain is not exempt from tax pursuant to the terms of an applicable tax treaty or convention.</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Provided the Shares are listed on a "designated stock exchange", as defined in the Tax Act (which currently includes the NEO) at the time of disposition, the Unit Shares, Warrants, and Warrant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Corporation; and (ii) more than 50% of the fair market value of the Unit Shares and Warrant Shares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Unit Shares, Warrants, and Warrant Shares may be deemed to be taxable Canadian property of a Non-Resident Holder.</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Even if the Unit Shares, Warrants, and Warrant Shares are taxable Canadian property of a Non-Resident Holder, such Non-Resident Holder may be exempt from tax under the Tax Act in respect of any capital gain arising on the disposition of such Unit Shares, Warrants, and Warrant Shares by virtue of an applicable income tax treaty or convention. In cases where a Non-Resident Holder disposes, or is deemed to have disposed, of a Common Share, a Warrant (other than on the exercise thereof) or a Warrant Share that is taxable Canadian property of that Non-Resident Holder, and the Non-Resident Holder is not entitled to an exemption from tax under the Tax Act or pursuant to the terms of an applicable income tax treaty or convention, the consequences under the heading "Taxation of Resident Holders - Capital Gains and Capital Losses" will generally be applicable to such disposition. Non-Resident Holders who may hold Unit Shares, Warrants or Warrant Shares as taxable Canadian property should consult their own tax advisors.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CERTAIN UNITED STATES FEDERAL INCOME TAX CONSIDERATIONS TO U.S. HOLDERS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following is a general summary of certain material U.S. federal income tax considerations applicable to a U.S. Holder (as defined below) arising from and relating to the acquisition, ownership and disposition of Units, the acquisition, ownership, and disposition of Unit Shares acquired as part of the Units, the exercise, disposition and lapse of Warrants acquired as part of the Units, and the acquisition, ownership, and disposition of Warrant Shares received upon exercise of the Warrants, all as acquired pursuant to this Offering. This summary is for general information purposes only and does not purport to be a complete analysis or listing of all potential U.S. federal income tax considerations that may apply to a U.S. Holder arising from or relating to the acquisition, ownership and disposition of Units, Unit Shares, Warrants and Warrant Shares. In addition, this summary does not take into account the individual facts and circumstances of any particular U.S. Holder that may affect the U.S. federal income tax consequences to such U.S. Holder, including, without limitation, specific tax consequences to a U.S. Holder under an applicable income tax treaty. Accordingly, this summary is not intended to be, and should not be construed as, legal or U.S. federal income tax advice with respect to any U.S. Holder. This summary does not address the U.S. federal alternative minimum, U.S. federal net investment income, U.S. federal estate and gift, U.S. state and local, and non-U.S. tax consequences to U.S. Holders of the acquisition, ownership and disposition of Units, Unit Shares, Warrants and Warrant Shares. In addition, except as specifically set forth below, this summary does not discuss applicable income tax reporting requirements. Each prospective U.S. Holder should consult its own tax advisors regarding the U.S. federal, U.S. federal alternative minimum, U.S. federal net investment income, U.S. federal estate and gift, U.S. state and local, and non-U.S. tax consequences relating to the acquisition, ownership and disposition of Units, Unit Shares, Warrants and Warrant Shares.</w:t>
      </w:r>
    </w:p>
    <w:p>
      <w:pPr>
        <w:spacing w:after="0" w:line="16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No ruling from the Internal Revenue Service (the "</w:t>
      </w:r>
      <w:r>
        <w:rPr>
          <w:rFonts w:ascii="Arial" w:cs="Arial" w:eastAsia="Arial" w:hAnsi="Arial"/>
          <w:sz w:val="19"/>
          <w:szCs w:val="19"/>
          <w:b w:val="1"/>
          <w:bCs w:val="1"/>
          <w:color w:val="auto"/>
        </w:rPr>
        <w:t>IRS</w:t>
      </w:r>
      <w:r>
        <w:rPr>
          <w:rFonts w:ascii="Arial" w:cs="Arial" w:eastAsia="Arial" w:hAnsi="Arial"/>
          <w:sz w:val="19"/>
          <w:szCs w:val="19"/>
          <w:color w:val="auto"/>
        </w:rPr>
        <w:t>") has been requested, or will be obtained, regarding the U.S. federal income tax consequences of the acquisition, ownership and disposition of Units, Unit Shares, Warrants and Warrant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Scope of this Summary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Authorities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summary is based on the U.S.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xml:space="preserve">"), Treasury Regulations (whether final, temporary, or proposed), published rulings of the IRS, published administrative positions of the IRS, the current provisions of the Canada-United States Tax Convention (1980) (the " </w:t>
      </w:r>
      <w:r>
        <w:rPr>
          <w:rFonts w:ascii="Arial" w:cs="Arial" w:eastAsia="Arial" w:hAnsi="Arial"/>
          <w:sz w:val="19"/>
          <w:szCs w:val="19"/>
          <w:b w:val="1"/>
          <w:bCs w:val="1"/>
          <w:color w:val="auto"/>
        </w:rPr>
        <w:t>Canada-U.S. Tax Convention</w:t>
      </w:r>
      <w:r>
        <w:rPr>
          <w:rFonts w:ascii="Arial" w:cs="Arial" w:eastAsia="Arial" w:hAnsi="Arial"/>
          <w:sz w:val="19"/>
          <w:szCs w:val="19"/>
          <w:color w:val="auto"/>
        </w:rPr>
        <w:t>"),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 Except as provided herein, this summary does not discuss the potential effects, whether adverse or beneficial, of any proposed legislation that, if enacted, could be applied on a retroactive or prospective basis.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purposes of this summary, the term "U.S. Holder" means a beneficial owner of Units, Unit Shares, Warrants and Warrant Shares acquired pursuant to this Offering that is for U.S. federal income tax purposes: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22"/>
          <w:szCs w:val="22"/>
          <w:color w:val="auto"/>
        </w:rPr>
        <w:t>an estate whose income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a trust that (1) is subject to the primary supervision of a court within the U.S.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Non-U.S. Holders</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purposes of this summary, a "non-U.S. Holder" is a beneficial owner of Units, Common Shares, Warrants and Warrant Shares that is not a U.S. Holder or an entity classified as a partnership for U.S. federal income tax purposes. This summary does not address the U.S. federal, state or local tax consequences to non-U.S. Holders arising from or relating to the acquisition, ownership and disposition of Units, Common Shares, Warrants and Warrant Shares. Accordingly, a non-U.S. Holder should consult its own tax advisors regarding the U.S. federal, state or local and non-U.S. tax consequences (including the potential application of and operation of any income tax treaties) relating to the acquisition, ownership and disposition of Units, Common Shares, Warrants and Warrant Shares.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 Subject to Special U.S. Federal Income Tax Rules Not Addressed</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Units, Unit Shares, Warrants and Warrant Shares as part of a straddle, hedging transaction, conversion transaction, constructive sale, or other integrated transaction; (f) acquire Units, Unit Shares, Warrants and Warrant Shares in connection with the exercise of employee stock options or otherwise as compensation for services; (g) hold Units, Unit Shares, Warrants and Warrant Shares other than as a capital asset within the meaning of Section 1221 of the Code (generally, property held for investment purposes); (h) are subject to the alternative minimum tax; (i) are subject to special tax accounting rules with respect to Units, Unit Shares, Warrants and Warrant Shares; (j) are partnerships or other "pass-through" entities (and partners or other owners thereof); (k) are S corporations (and shareholders thereof); (l) are U.S. expatriates or former long-term residents of the United States subject to Section 877 or 877A of the Code; (m) hold Units, Unit Shares, Warrants and Warrant Shares in connection with a trade or business, permanent establishment, or fixed base outside the United States; or (n) own or have owned or will own (directly, indirectly, or by attribution) 10% or more of the total combined voting power or value of the outstanding shares of the Corporation. U.S. Holders that are subject to special provisions under the Code, including, but not limited to, U.S. Holders described immediately above, should consult their own tax advisors regarding the U.S. federal, U.S. federal alternative minimum, U.S. federal net investment income, U.S. federal estate and gift, U.S. state and local, and non-U.S. tax consequences relating to the acquisition, ownership and disposition of Units, Unit Shares, Warrants and Warrant Shares.</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If an entity or arrangement that is classified as a partnership (or other "pass-through" entity) for U.S. federal income tax purposes holds Units, Unit Shares, Warrants and Warrant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Units, Unit Shares, Warrants and Warrant Shares.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Federal Income Tax Consequences of the Acquisition of Units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U.S. federal income tax purposes, the acquisition by a U.S. Holder of a Unit will be treated as the acquisition of one Common Share and one Warrant. The purchase price for each Unit will be allocated between these two components in proportion to their relative fair market values at the time the Unit is purchased by the U.S. Holder. This allocation of the purchase price for each Unit will establish a U.S. Holder's initial tax basis for U.S. federal income tax purposes in the one Common Share and the one Warrant that comprise each unit.</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For this purpose, the Corporation will allocate $● of the purchase price for each Unit to the one Common Share and $● of the purchase price for each unit to the one Warrant. However, the IRS will not be bound by such allocation of the purchase price for the Units, and therefore, the IRS or a U.S. court may not respect the allocation set forth above. Each U.S. Holder should consult its own tax advisor regarding the allocation of the purchase price for the Units.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Passive Foreign Investment Company Rules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PFIC Status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If the Corporation was to constitute a "passive foreign investment company" under the meaning of Section 1297 of the Code (a "</w:t>
      </w:r>
      <w:r>
        <w:rPr>
          <w:rFonts w:ascii="Arial" w:cs="Arial" w:eastAsia="Arial" w:hAnsi="Arial"/>
          <w:sz w:val="19"/>
          <w:szCs w:val="19"/>
          <w:b w:val="1"/>
          <w:bCs w:val="1"/>
          <w:color w:val="auto"/>
        </w:rPr>
        <w:t>PFIC</w:t>
      </w:r>
      <w:r>
        <w:rPr>
          <w:rFonts w:ascii="Arial" w:cs="Arial" w:eastAsia="Arial" w:hAnsi="Arial"/>
          <w:sz w:val="19"/>
          <w:szCs w:val="19"/>
          <w:color w:val="auto"/>
        </w:rPr>
        <w:t>", as defined below) for any year during a U.S. Holder's holding period, then certain potentially adverse rules would affect the U.S. federal income tax consequences to a U.S. Holder as a result of the acquisition, ownership and disposition of Units, Unit Shares, Warrants and Warrant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depends on the assets and income of such corporation over the course of each such tax year and, as a result,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Corporation generally will be a PFIC if, for a tax year, (a) 75% or more of the gross income of the Corporation is passive income (the "</w:t>
      </w:r>
      <w:r>
        <w:rPr>
          <w:rFonts w:ascii="Arial" w:cs="Arial" w:eastAsia="Arial" w:hAnsi="Arial"/>
          <w:sz w:val="19"/>
          <w:szCs w:val="19"/>
          <w:b w:val="1"/>
          <w:bCs w:val="1"/>
          <w:color w:val="auto"/>
        </w:rPr>
        <w:t>PFIC income test</w:t>
      </w:r>
      <w:r>
        <w:rPr>
          <w:rFonts w:ascii="Arial" w:cs="Arial" w:eastAsia="Arial" w:hAnsi="Arial"/>
          <w:sz w:val="19"/>
          <w:szCs w:val="19"/>
          <w:color w:val="auto"/>
        </w:rPr>
        <w:t>") or (b) 50% or more of the value of the Corporation's assets either produce passive income or are held for the production of passive income, based on the quarterly average of the fair market value of such assets (the "</w:t>
      </w:r>
      <w:r>
        <w:rPr>
          <w:rFonts w:ascii="Arial" w:cs="Arial" w:eastAsia="Arial" w:hAnsi="Arial"/>
          <w:sz w:val="19"/>
          <w:szCs w:val="19"/>
          <w:b w:val="1"/>
          <w:bCs w:val="1"/>
          <w:color w:val="auto"/>
        </w:rPr>
        <w:t>PFIC</w:t>
      </w:r>
      <w:r>
        <w:rPr>
          <w:rFonts w:ascii="Arial" w:cs="Arial" w:eastAsia="Arial" w:hAnsi="Arial"/>
          <w:sz w:val="19"/>
          <w:szCs w:val="19"/>
          <w:color w:val="auto"/>
        </w:rPr>
        <w:t xml:space="preserve"> </w:t>
      </w:r>
      <w:r>
        <w:rPr>
          <w:rFonts w:ascii="Arial" w:cs="Arial" w:eastAsia="Arial" w:hAnsi="Arial"/>
          <w:sz w:val="19"/>
          <w:szCs w:val="19"/>
          <w:b w:val="1"/>
          <w:bCs w:val="1"/>
          <w:color w:val="auto"/>
        </w:rPr>
        <w:t>asset test</w:t>
      </w:r>
      <w:r>
        <w:rPr>
          <w:rFonts w:ascii="Arial" w:cs="Arial" w:eastAsia="Arial" w:hAnsi="Arial"/>
          <w:sz w:val="19"/>
          <w:szCs w:val="19"/>
          <w:color w:val="auto"/>
        </w:rPr>
        <w:t>"). "Gross income" generally includes all sales revenues less the cost of goods sold, plus income from investments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Under certain attribution rules, if the Corporation is a PFIC, U.S. Holders will generally be deemed to own their proportionate share of the Corporation's direct or indirect equity interest in any company that is also a PFIC (a "</w:t>
      </w:r>
      <w:r>
        <w:rPr>
          <w:rFonts w:ascii="Arial" w:cs="Arial" w:eastAsia="Arial" w:hAnsi="Arial"/>
          <w:sz w:val="19"/>
          <w:szCs w:val="19"/>
          <w:b w:val="1"/>
          <w:bCs w:val="1"/>
          <w:color w:val="auto"/>
        </w:rPr>
        <w:t>Subsidiary PFIC</w:t>
      </w:r>
      <w:r>
        <w:rPr>
          <w:rFonts w:ascii="Arial" w:cs="Arial" w:eastAsia="Arial" w:hAnsi="Arial"/>
          <w:sz w:val="19"/>
          <w:szCs w:val="19"/>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Units, Unit Shares, Warrants and Warrant Shares. Accordingly, U.S. Holders should be aware that they could be subject to tax under the PFIC rules even if no distributions are received and no redemptions or other dispositions of Units, Unit Shares, Warrants and Warrant Shares are made.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i w:val="1"/>
          <w:iCs w:val="1"/>
          <w:color w:val="auto"/>
        </w:rPr>
        <w:t>Default PFIC Rules Under Section 1291 of the Code</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If the Corporation is a PFIC for any tax year during which a U.S. Holder owns Unit Shares, Warrants and Warrant Shares, the U.S. federal income tax consequences to such U.S. Holder of the acquisition, ownership, and disposition of Unit Shares, Warrants and Warrant Shares will depend on whether and when such U.S. Holder makes an election to treat the Corporation and each Subsidiary PFIC, if any, as a "qualified electing fund" or "QEF" under Section 1295 of the Code (a " </w:t>
      </w:r>
      <w:r>
        <w:rPr>
          <w:rFonts w:ascii="Arial" w:cs="Arial" w:eastAsia="Arial" w:hAnsi="Arial"/>
          <w:sz w:val="19"/>
          <w:szCs w:val="19"/>
          <w:b w:val="1"/>
          <w:bCs w:val="1"/>
          <w:color w:val="auto"/>
        </w:rPr>
        <w:t>QEF Election</w:t>
      </w:r>
      <w:r>
        <w:rPr>
          <w:rFonts w:ascii="Arial" w:cs="Arial" w:eastAsia="Arial" w:hAnsi="Arial"/>
          <w:sz w:val="19"/>
          <w:szCs w:val="19"/>
          <w:color w:val="auto"/>
        </w:rPr>
        <w:t>") or makes a mark-to-market election under Section 1296 of the Code (a "</w:t>
      </w:r>
      <w:r>
        <w:rPr>
          <w:rFonts w:ascii="Arial" w:cs="Arial" w:eastAsia="Arial" w:hAnsi="Arial"/>
          <w:sz w:val="19"/>
          <w:szCs w:val="19"/>
          <w:b w:val="1"/>
          <w:bCs w:val="1"/>
          <w:color w:val="auto"/>
        </w:rPr>
        <w:t>Mark-to-Market Election</w:t>
      </w:r>
      <w:r>
        <w:rPr>
          <w:rFonts w:ascii="Arial" w:cs="Arial" w:eastAsia="Arial" w:hAnsi="Arial"/>
          <w:sz w:val="19"/>
          <w:szCs w:val="19"/>
          <w:color w:val="auto"/>
        </w:rPr>
        <w:t>"). A U.S. Holder that does not make either a QEF Election or a Mark-to-Market Election will be referred to in this summary as a "Non-Electing U.S. Holder".</w:t>
      </w:r>
    </w:p>
    <w:p>
      <w:pPr>
        <w:spacing w:after="0" w:line="15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 Non-Electing U.S. Holder will be subject to the rules of Section 1291 of the Code (described below) with respect to: (a) any gain recognized on the sale or other taxable disposition of Unit Shares, Warrants and Warrant Shares; and (b) any "excess distribution" received on the Unit Shares or Warrant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Unit Shares or Warrant Shares, if shorter).</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Under Section 1291 of the Code, any gain recognized on the sale or other taxable disposition of Unit Shares, Warrants and Warrant Shares (including an indirect disposition of the stock of any Subsidiary PFIC), and any "excess distribution" received on Unit Shares, Warrant Shares or with respect to the stock of a Subsidiary PFIC, must be ratably allocated to each day in a Non-Electing U.S. Holder's holding period for the respective Unit Shares or Warrant Shares (as applicable).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If the Corporation is a PFIC for any tax year during which a Non-Electing U.S. Holder holds Unit Shares, Warrants and Warrant Shares, the Corporation will continue to be treated as a PFIC with respect to such Non-Electing U.S. Holder, regardless of whether the Corporation ceases to be a PFIC in one or more subsequent tax years. If the Corporation ceases to be a PFIC, a Non-Electing U.S. Holder may terminate this deemed PFIC status with respect to the Unit Shares and Warrant Shares by electing to recognize gain (which will be taxed under the rules of Section 1291 of the Code discussed above), but not loss, as if such Unit Shares or Warrant Shares were sold on the last day of the last tax year for which the Corporation was a PFIC. No such election, however, may be made with respect to the Warrants.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Under Section 1291(f) of the Code, the IRS has issued proposed Treasury Regulations (the "</w:t>
      </w:r>
      <w:r>
        <w:rPr>
          <w:rFonts w:ascii="Arial" w:cs="Arial" w:eastAsia="Arial" w:hAnsi="Arial"/>
          <w:sz w:val="22"/>
          <w:szCs w:val="22"/>
          <w:b w:val="1"/>
          <w:bCs w:val="1"/>
          <w:color w:val="auto"/>
        </w:rPr>
        <w:t>Proposed Treasury Regulations</w:t>
      </w:r>
      <w:r>
        <w:rPr>
          <w:rFonts w:ascii="Arial" w:cs="Arial" w:eastAsia="Arial" w:hAnsi="Arial"/>
          <w:sz w:val="22"/>
          <w:szCs w:val="22"/>
          <w:color w:val="auto"/>
        </w:rPr>
        <w:t>"), providing that if a U.S. Holder has an option, warrant or other right to acquire stock of a PFIC (such as the Warrants comprising a part of the Units), such option, warrant or other right is considered to be PFIC stock subject to the default rules of Section 1291 of the Code. Under rules described below, the holding period for the Warrant Shares will begin on the date a U.S. Holder acquires the Units. This will impact the availability of the QEF Election and Mark-to-Market Election with respect to the Warrant Shares. Accordingly, a U.S. Holder will have to account for Warrant Shares and Unit Shares under the PFIC rules and the applicable elections differently.</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QEF Election</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 U.S. Holder that makes a timely and effective QEF Election for the first tax year in which the holding period of its Unit Shares begins generally will not be subject to the rules of Section 1291 of the Code discussed above with respect to its Unit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w:t>
      </w:r>
    </w:p>
    <w:p>
      <w:pPr>
        <w:spacing w:after="0" w:line="1" w:lineRule="exact"/>
        <w:rPr>
          <w:sz w:val="20"/>
          <w:szCs w:val="20"/>
          <w:color w:val="auto"/>
        </w:rPr>
      </w:pPr>
    </w:p>
    <w:p>
      <w:pPr>
        <w:jc w:val="both"/>
        <w:ind w:firstLine="8"/>
        <w:spacing w:after="0" w:line="273" w:lineRule="auto"/>
        <w:tabs>
          <w:tab w:leader="none" w:pos="321" w:val="left"/>
        </w:tabs>
        <w:numPr>
          <w:ilvl w:val="0"/>
          <w:numId w:val="12"/>
        </w:numPr>
        <w:rPr>
          <w:rFonts w:ascii="Arial" w:cs="Arial" w:eastAsia="Arial" w:hAnsi="Arial"/>
          <w:sz w:val="19"/>
          <w:szCs w:val="19"/>
          <w:color w:val="auto"/>
        </w:rPr>
      </w:pPr>
      <w:r>
        <w:rPr>
          <w:rFonts w:ascii="Arial" w:cs="Arial" w:eastAsia="Arial" w:hAnsi="Arial"/>
          <w:sz w:val="19"/>
          <w:szCs w:val="19"/>
          <w:color w:val="auto"/>
        </w:rPr>
        <w:t>"earnings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8" w:name="page39"/>
    <w:bookmarkEnd w:id="38"/>
    <w:p>
      <w:pPr>
        <w:jc w:val="both"/>
        <w:spacing w:after="0" w:line="235" w:lineRule="auto"/>
        <w:rPr>
          <w:sz w:val="20"/>
          <w:szCs w:val="20"/>
          <w:color w:val="auto"/>
        </w:rPr>
      </w:pPr>
      <w:r>
        <w:rPr>
          <w:rFonts w:ascii="Arial" w:cs="Arial" w:eastAsia="Arial" w:hAnsi="Arial"/>
          <w:sz w:val="22"/>
          <w:szCs w:val="22"/>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Unit Shares to reflect the amount included in income or allowed as a tax-free distribution because of such QEF Election. In addition, a U.S. Holder that makes a QEF Election generally will recognize capital gain or loss on the sale or other taxable disposition of Unit Shares.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Unit Shares in which the Corporation was a PFIC. A U.S. Holder may make a timely QEF Election by filing the appropriate QEF Election documents at the time such U.S. Holder files a U.S. federal income tax return for such year. If a U.S. Holder does not make a timely and effective QEF Election for the first year in the U.S. Holder's holding period for the Unit Shares, the U.S. Holder may still be able to make a timely and effective QEF Election in a subsequent year if such U.S. Holder meets certain requirements and makes a "purging" election to recognize gain (which will be taxed under the rules of Section 1291 of the Code discussed above) as if such Unit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discussed above with respect to its Unit Shares. If a U.S. Holder owns PFIC stock indirectly through another PFIC, separate QEF Elections must be made for the PFIC in which the U.S. Holder is a direct shareholder and the Subsidiary PFIC for the QEF rules to apply to both PFICs.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discussed above, under the Proposed Treasury Regulations, if a U.S. Holder has an option, warrant or other right to acquire stock of a PFIC (such as the Warrants), such option, warrant or right is considered to be PFIC stock subject to the default rules of Section 1291 of the Code. However, a U.S. Holder of an option, warrant or other right to acquire stock of a PFIC may not make a QEF Election that will apply to the option, warrant or other right to acquire PFIC stock. In addition, under the Proposed Treasury Regulations, if a U.S. Holder holds an option, warrant or other right to acquire stock of a PFIC, the holding period with respect to shares of stock of the PFIC acquired upon exercise of such option, warrant or other right will include the period that the option, warrant or other right was held.</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Consequently, under the Proposed Treasury Regulations, if a U.S. Holder of Unit Shares makes a QEF Election, such election generally will not be treated as a timely QEF Election with respect to Warrant Shares (unless the Warrant Shares are acquired in the same tax year as the U.S. Holder acquired the Units) and the rules of Section 1291 of the Code discussed above will continue to apply with respect to such U.S. Holder's Warrant Shares. However, a U.S. Holder of Warrant Shares should be eligible to make a timely QEF Election if such U.S. Holder makes a "purging" or "deemed sale" election to recognize gain (which will be taxed under the rules of Section 1291 of the Code discussed above) as if such Warrant Shares were sold for fair market value. As a result of the "purging" or "deemed sale" election, the U.S. Holder will have a new basis and holding period in the Warrant Shares acquired upon the exercise of the Warrants for purposes of the PFIC rules. In addition, gain recognized on the sale or other taxable disposition (other than by exercise) of the Warrants by a U.S. Holder will be subject to the rules of Section 1291 of the Code discussed above. Each U.S. Holder should consult its own tax advisor regarding the application of the PFIC rules to the Units, Unit Shares, Warrants and Warrant Shares.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025" w:gutter="0" w:footer="0" w:header="0"/>
        </w:sectPr>
      </w:pPr>
    </w:p>
    <w:bookmarkStart w:id="39" w:name="page40"/>
    <w:bookmarkEnd w:id="39"/>
    <w:p>
      <w:pPr>
        <w:jc w:val="both"/>
        <w:spacing w:after="0" w:line="272" w:lineRule="auto"/>
        <w:rPr>
          <w:sz w:val="20"/>
          <w:szCs w:val="20"/>
          <w:color w:val="auto"/>
        </w:rPr>
      </w:pPr>
      <w:r>
        <w:rPr>
          <w:rFonts w:ascii="Arial" w:cs="Arial" w:eastAsia="Arial" w:hAnsi="Arial"/>
          <w:sz w:val="19"/>
          <w:szCs w:val="19"/>
          <w:color w:val="auto"/>
        </w:rPr>
        <w:t>A U.S. Holder makes a QEF Election by attaching a completed IRS Form 8621, including a PFIC Annual Information Statement, to a timely 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rules of Section 1291 of the Code discussed above that apply to Non-Electing U.S.</w:t>
      </w:r>
    </w:p>
    <w:p>
      <w:pPr>
        <w:ind w:right="5140"/>
        <w:spacing w:after="0" w:line="307" w:lineRule="auto"/>
        <w:rPr>
          <w:sz w:val="20"/>
          <w:szCs w:val="20"/>
          <w:color w:val="auto"/>
        </w:rPr>
      </w:pPr>
      <w:r>
        <w:rPr>
          <w:rFonts w:ascii="Arial" w:cs="Arial" w:eastAsia="Arial" w:hAnsi="Arial"/>
          <w:sz w:val="22"/>
          <w:szCs w:val="22"/>
          <w:color w:val="auto"/>
        </w:rPr>
        <w:t>Holders with respect to the taxation of gains and excess distributions.</w:t>
      </w:r>
      <w:r>
        <w:rPr>
          <w:rFonts w:ascii="Arial" w:cs="Arial" w:eastAsia="Arial" w:hAnsi="Arial"/>
          <w:sz w:val="35"/>
          <w:szCs w:val="35"/>
          <w:color w:val="auto"/>
          <w:vertAlign w:val="superscript"/>
        </w:rPr>
        <w:t>7</w:t>
      </w:r>
      <w:r>
        <w:rPr>
          <w:rFonts w:ascii="Arial" w:cs="Arial" w:eastAsia="Arial" w:hAnsi="Arial"/>
          <w:sz w:val="22"/>
          <w:szCs w:val="22"/>
          <w:color w:val="auto"/>
        </w:rPr>
        <w:t xml:space="preserve"> </w:t>
      </w:r>
      <w:r>
        <w:rPr>
          <w:rFonts w:ascii="Arial" w:cs="Arial" w:eastAsia="Arial" w:hAnsi="Arial"/>
          <w:sz w:val="22"/>
          <w:szCs w:val="22"/>
          <w:i w:val="1"/>
          <w:iCs w:val="1"/>
          <w:color w:val="auto"/>
        </w:rPr>
        <w:t>Mark-to-Market Election</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 U.S. Holder may make a Mark-to-Market Election with respect to the Unit Shares and Warrant Shares only if the Unit Shares and Warrant Shares are marketable stock. The Unit Shares and Warrant Shares generally will be "marketable stock" if the Unit Shares and Warrant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U.S. Holder that makes a Mark-to-Market Election with respect to its Unit Shares generally will not be subject to the rules of Section 1291 of the Code discussed above with respect to such Unit Shares. However, if a U.S. Holder does not make a Mark-to-Market Election beginning in the first tax year of such U.S. Holder's holding period for the Unit Shares for which the Corporation is a PFIC and such U.S. Holder has not made a timely QEF Election, the rules of Section 1291 of the Code discussed above will apply to certain dispositions of, and distributions on, the Unit Shares.</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Any Mark-to-Market Election made by a U.S. Holder for the Unit Shares will also apply to such U.S. Holder's Warrant Shares. As a result, if a Mark-to-Market Election has been made by a U.S. Holder with respect to Unit Shares, any Warrant Shares received will automatically be marked-to-market in the year of exercise. Because, under the Proposed Treasury Regulations, a U.S. Holder's holding period for Warrant Shares includes the period during which such U.S. Holder held the Warrants, a U.S. Holder will be treated as making a Mark-to-Market Election with respect to its Warrant Shares after the beginning of such U.S. Holder's holding period for the Warrant Shares unless the Warrant Shares are acquired in the same tax year as the year in which the U.S. Holder acquired its Units. Consequently, the default rules under Section 1291 of the Code described above generally will apply to the mark-to-market gain realized in the tax year in which Warrant Shares are received. However, the general mark-to-market rules will apply to subsequent tax years.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 U.S. Holder that makes a Mark-to-Market Election will include in ordinary income, for each tax year in which the Corporation is a PFIC, an amount equal to the excess, if any, of (a) the fair market value of the Unit Shares and any Warrant Shares, as of the close of such tax year over (b) such U.S. Holder's adjusted tax basis in such Unit Shares and Warrant Shares. A U.S. Holder that makes a Mark-to-Market Election will be allowed a deduction in an amount equal to the excess, if any, of (a) such U.S. Holder's adjusted tax basis in the Unit Shares and any Warrant Shares, over (b) the fair market value of such Unit Shares and any Warrant Shares (but only to the extent of the net amount of previously included income as a result of the Mark-to-Market Election for prior tax years).</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 U.S. Holder that makes a Mark-to-Market Election generally also will adjust such U.S. Holder's tax basis in the Unit Shares and Warrant Shares to reflect the amount included in gross income or allowed as a deduction because of such Mark-to-Market Election. In addition, upon a sale or other taxable disposition of Unit Shares and Warrant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rPr>
          <w:sz w:val="20"/>
          <w:szCs w:val="20"/>
          <w:color w:val="auto"/>
        </w:rPr>
      </w:pPr>
      <w:r>
        <w:rPr>
          <w:rFonts w:ascii="Arial" w:cs="Arial" w:eastAsia="Arial" w:hAnsi="Arial"/>
          <w:sz w:val="22"/>
          <w:szCs w:val="22"/>
          <w:color w:val="auto"/>
        </w:rPr>
        <w:t>_____________________________</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0" w:name="page41"/>
    <w:bookmarkEnd w:id="40"/>
    <w:p>
      <w:pPr>
        <w:jc w:val="both"/>
        <w:spacing w:after="0" w:line="236" w:lineRule="auto"/>
        <w:rPr>
          <w:sz w:val="20"/>
          <w:szCs w:val="20"/>
          <w:color w:val="auto"/>
        </w:rPr>
      </w:pPr>
      <w:r>
        <w:rPr>
          <w:rFonts w:ascii="Arial" w:cs="Arial" w:eastAsia="Arial" w:hAnsi="Arial"/>
          <w:sz w:val="22"/>
          <w:szCs w:val="22"/>
          <w:color w:val="auto"/>
        </w:rPr>
        <w:t>A U.S. Holder makes a Mark-to-Market Election by attaching a completed IRS Form 8621 to a timely filed United States federal income tax return. A timely Mark-to-Market Election applies to the tax year in which such Mark-to-Market Election is made and to each subsequent tax year, unless the Unit Shares and Warrant Shares cease to be "marketable stock" or the IRS consents to revocation of such election. Each U.S. Holder should consult its own tax advisors regarding the availability of, and procedure for making, a Mark-to-Market Election.</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Although a U.S. Holder may be eligible to make a Mark-to-Market Election with respect to the Unit Shares and Warrant Shares, no such election may be made with respect to the stock of any Subsidiary PFIC that a U.S. Holder is treated as owning, because such stock is not marketable. Hence, the Mark-to-Market Election will not be effective to avoid the interest charge and other income inclusion rules described above with respect to deemed dispositions of Subsidiary PFIC stock or excess distributions from a Subsidiary PFIC to its shareholder.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PFIC Rules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Under the Proposed Treasury Regulations, subject to certain exceptions, a U.S. Holder that had not made a timely QEF Election would recognize gain (but not loss) upon certain transfers of Unit Shares and Warrant Shares that would otherwise be tax-deferred (e.g., gifts and exchanges pursuant to corporate reorganizations). However, the specific U.S. federal income tax consequences to a U.S. Holder may vary based on the manner in which Unit Shares, Warrants and Warrant Shares are transferred.</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Certain additional adverse rules may apply with respect to a U.S. Holder if the Corporation is a PFIC, regardless of whether such U.S. Holder makes a QEF Election. For example, under Section 1298(b)(6) of the Code, a U.S. Holder that uses Unit Shares, Warrants or Warrant Shares as security for a loan will, except as may be provided in Treasury Regulations, be treated as having made a taxable disposition of such Unit Shares, Warrants or Warrant Shares.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addition, a U.S. Holder who acquires Unit Shares, Warrants or Warrant Shares from a decedent will not receive a "step up" in tax basis of such Unit Shares, Warrants or Warrant Shares to fair market value unless such decedent had a timely and effective QEF Election in place.</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PFIC rules are complex, and each U.S. Holder should consult its own tax advisors regarding the PFIC rules and how the PFIC rules may affect the U.S. federal income tax consequences of the acquisition, ownership, and disposition of Unit Shares, Warrants or Warrant Shares.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and Disposition of Warrants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1" w:name="page42"/>
    <w:bookmarkEnd w:id="41"/>
    <w:p>
      <w:pPr>
        <w:jc w:val="both"/>
        <w:spacing w:after="0" w:line="328" w:lineRule="auto"/>
        <w:rPr>
          <w:sz w:val="20"/>
          <w:szCs w:val="20"/>
          <w:color w:val="auto"/>
        </w:rPr>
      </w:pPr>
      <w:r>
        <w:rPr>
          <w:rFonts w:ascii="Arial" w:cs="Arial" w:eastAsia="Arial" w:hAnsi="Arial"/>
          <w:sz w:val="19"/>
          <w:szCs w:val="19"/>
          <w:color w:val="auto"/>
        </w:rPr>
        <w:t>The following discussion describes the general rules applicable to the ownership and disposition of the Warrants, but is subject in its entirety to the special rules described above under the heading "</w:t>
      </w:r>
      <w:r>
        <w:rPr>
          <w:rFonts w:ascii="Arial" w:cs="Arial" w:eastAsia="Arial" w:hAnsi="Arial"/>
          <w:sz w:val="19"/>
          <w:szCs w:val="19"/>
          <w:i w:val="1"/>
          <w:iCs w:val="1"/>
          <w:color w:val="auto"/>
        </w:rPr>
        <w:t>Passive Foreign Investment Company Rules."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Exercise of Warrants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 U.S. Holder should not recognize gain or loss on the exercise of a Warrant and related receipt of a Warrant Share (unless cash is received in lieu of the issuance of a fractional Warrant Share). A U.S. Holder's initial tax basis in the Warrant Share received on the exercise of a Warrant should be equal to the sum of (a) such U.S. Holder's tax basis in such Warrant plus (b) the exercise price paid by such U.S. Holder on the exercise of such Warrant. It is unclear whether a U.S. Holder's holding period for the Warrant Share received on the exercise of a Warrant would commence on the date of exercise of the Warrant or the day following the date of exercise of the Warrant. If the Corporation is a PFIC, a U.S. Holder's holding period for the Warrant Share for PFIC purposes will begin on the date on which such U.S. Holder acquired its Units.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Disposition of Warrants</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U.S. Holder will recognize gain or loss on the sale or other taxable disposition of a Warrant in an amount equal to the difference, if any, between (a) the amount of cash plus the fair market value of any property received and (b) such U.S. Holder's tax basis in the Warrant sold or otherwise disposed of. Subject to the PFIC rules discussed above, any such gain or loss generally will be a capital gain or loss, which will be long-term capital gain or loss if the Warrant is held for more than one year. Deductions for capital losses are subject to complex limitations under the Code.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Expiration of Warrants Without Exercise</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Upon the lapse or expiration of a Warrant, a U.S. Holder will recognize a loss in an amount equal to such U.S. Holder's tax basis in the Warrant. Any such loss generally will be a capital loss and will be long-term capital loss if the Warrants are held for more than one year. Deductions for capital losses are subject to complex limitations under the Code.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Certain Adjustments to the Warrants</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Under Section 305 of the Code, an adjustment to the number of Warrant Shares that will be issued on the exercise of the Warrants, or an adjustment to the exercise price of the Warrants, may be treated as a constructive distribution to a U.S. Holder of the Warrants if, and to the extent that, such adjustment has the effect of increasing such U.S. Holder's proportionate interest in the "earnings and profits" or the Corporation's assets, depending on the circumstances of such adjustment (for example, if such adjustment is to compensate for a distribution of cash or other property to the shareholders). Adjustments to the exercise price of Warrants made pursuant to a bona fide reasonable adjustment formula that has the effect of preventing dilution of the interest of the holders of the Warrants should generally not be considered to result in a constructive distribution. Any such constructive distribution would be taxable whether or not there is an actual distribution of cash or other property. (For a more detailed discussion of the rules applicable to distributions made by the Corporation, see the section below entitled "</w:t>
      </w:r>
      <w:r>
        <w:rPr>
          <w:rFonts w:ascii="Arial" w:cs="Arial" w:eastAsia="Arial" w:hAnsi="Arial"/>
          <w:sz w:val="21"/>
          <w:szCs w:val="21"/>
          <w:i w:val="1"/>
          <w:iCs w:val="1"/>
          <w:color w:val="auto"/>
        </w:rPr>
        <w:t>Distributions on Unit</w:t>
      </w:r>
      <w:r>
        <w:rPr>
          <w:rFonts w:ascii="Arial" w:cs="Arial" w:eastAsia="Arial" w:hAnsi="Arial"/>
          <w:sz w:val="21"/>
          <w:szCs w:val="21"/>
          <w:color w:val="auto"/>
        </w:rPr>
        <w:t xml:space="preserve"> </w:t>
      </w:r>
      <w:r>
        <w:rPr>
          <w:rFonts w:ascii="Arial" w:cs="Arial" w:eastAsia="Arial" w:hAnsi="Arial"/>
          <w:sz w:val="21"/>
          <w:szCs w:val="21"/>
          <w:i w:val="1"/>
          <w:iCs w:val="1"/>
          <w:color w:val="auto"/>
        </w:rPr>
        <w:t>Shares and Warrant Shares"</w:t>
      </w:r>
      <w:r>
        <w:rPr>
          <w:rFonts w:ascii="Arial" w:cs="Arial" w:eastAsia="Arial" w:hAnsi="Arial"/>
          <w:sz w:val="21"/>
          <w:szCs w:val="2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Rules Applicable to the Ownership and Disposition of Unit Shares and Warrant Shares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discussion is subject, in its entirety, to the rules described above under the heading "Passive Foreign Investment Company Rules".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Distributions on Unit Shares and Warrant Shares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 U.S. Holder that receives a distribution, including a constructive distribution, with respect to a Common Share or Warrant Share (as well as any constructive distribution on a Warrant, as described above) will be required to include the amount of such distribution in gross income as a dividend (without reduction for any Canadian income tax withheld from such distribution) to the extent of the current or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a U.S. Holder's tax basis in the Unit Shares or Warrant Shares, and thereafter as gain from the sale or exchange of such Unit Shares or Warrant Shares. (see the section below entitled "</w:t>
      </w:r>
      <w:r>
        <w:rPr>
          <w:rFonts w:ascii="Arial" w:cs="Arial" w:eastAsia="Arial" w:hAnsi="Arial"/>
          <w:sz w:val="19"/>
          <w:szCs w:val="19"/>
          <w:i w:val="1"/>
          <w:iCs w:val="1"/>
          <w:color w:val="auto"/>
        </w:rPr>
        <w:t>Sale or Other Taxable Disposition of Unit Shares and/or Warrant Shares</w:t>
      </w:r>
      <w:r>
        <w:rPr>
          <w:rFonts w:ascii="Arial" w:cs="Arial" w:eastAsia="Arial" w:hAnsi="Arial"/>
          <w:sz w:val="19"/>
          <w:szCs w:val="19"/>
          <w:color w:val="auto"/>
        </w:rPr>
        <w:t>"). However, the Corporation does not intend to maintain the calculations of its earnings and profits in accordance with U.S. federal income tax principles, and each U.S. Holder therefore should assume that any distribution by the Corporation with respect to the Unit Shares or Warrant Shares will constitute ordinary dividend income. Dividends received on Unit Shares or Warrant Shares by corporate U.S. Holders generally will not be eligible for the "dividends received deduction". Subject to applicable limitations and provided the Corporation is eligible for the benefits of the Canada-U.S. Tax Convention or the Unit Shares or Warrant Shares are readily tradable on a United States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S-33</w:t>
      </w:r>
    </w:p>
    <w:p>
      <w:pPr>
        <w:sectPr>
          <w:pgSz w:w="11900" w:h="16838" w:orient="portrait"/>
          <w:cols w:equalWidth="0" w:num="1">
            <w:col w:w="11240"/>
          </w:cols>
          <w:pgMar w:left="320" w:top="334" w:right="339" w:bottom="0"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4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rFonts w:ascii="Arial" w:cs="Arial" w:eastAsia="Arial" w:hAnsi="Arial"/>
          <w:sz w:val="22"/>
          <w:szCs w:val="22"/>
          <w:i w:val="1"/>
          <w:iCs w:val="1"/>
          <w:color w:val="auto"/>
        </w:rPr>
        <w:t>Sale or Other Taxable Disposition of Unit Shares and/or Warrant Shares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Upon the sale or other taxable disposition of Unit Shares or Warrant Shares, a U.S. Holder generally will recognize capital gain or loss in an amount equal to the difference between the U.S. dollar value of cash received plus the fair market value of any property received and such U.S. Holder's tax basis in such Unit Shares or Warrant Shares sold or otherwise disposed of. A U.S. Holder's tax basis in Unit Shares or Warrant Shares generally will be such U.S. Holder's U.S. dollar cost for such Unit Shares or Warrant Shares. Gain or loss recognized on such sale or other taxable disposition generally will be long-term capital gain or loss if, at the time of the sale or other disposition, the Unit Shares or Warrants have been held for more than one year.</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Receipt of Foreign Currency</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amount of any distribution paid to a U.S. Holder in foreign currency, or on the sale, exchange or other taxable disposition of Unit Shares, Warrants or Warrant Shares, generally will be equal to the U.S. dollar value of such foreign currency based on the exchange rate applicable on the date of receipt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Tax Credit</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Dividends paid on the Unit Shares or Warrant Shares (as well as any constructive distribution on a Warrant, as described above) will be treated as foreign-source income, and generally will be treated as "passive category income" or "general category income" for U.S. foreign tax credit purposes. Any gain or loss recognized on a sale or other disposition of Unit Shares, Warrants or Warrant Shares generally will be United States source gain or loss. Certain U.S. Holders that are eligible for the benefits of Canada-U.S. Tax Convention may elect to treat such gain or loss as Canadian source gain or loss for U.S. foreign tax credit purposes. The Code applies various complex limitations on the amount of foreign taxes that may be claimed as a credit by U.S. taxpayers. In addition, Treasury Regulations that apply to taxes paid or accrued (the "</w:t>
      </w:r>
      <w:r>
        <w:rPr>
          <w:rFonts w:ascii="Arial" w:cs="Arial" w:eastAsia="Arial" w:hAnsi="Arial"/>
          <w:sz w:val="21"/>
          <w:szCs w:val="21"/>
          <w:b w:val="1"/>
          <w:bCs w:val="1"/>
          <w:color w:val="auto"/>
        </w:rPr>
        <w:t>Foreign Tax Credit Regulations</w:t>
      </w:r>
      <w:r>
        <w:rPr>
          <w:rFonts w:ascii="Arial" w:cs="Arial" w:eastAsia="Arial" w:hAnsi="Arial"/>
          <w:sz w:val="21"/>
          <w:szCs w:val="21"/>
          <w:color w:val="auto"/>
        </w:rPr>
        <w:t>") impose additional requirements for Canadian withholding taxes to be eligible for a foreign tax credit, and there can be no assurance that those requirements will be satisfied. The Treasury Department has recently released guidance temporarily pausing the application of certain of the Foreign Tax Credit Regulations.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Subject to the PFIC rules and the Foreign Tax Credit Regulations, each as discussed above, a U.S. Holder that pays (whether directly or through withholding) Canadian income tax with respect to dividends paid on the Unit Shares or Warrant Shares (as well as any constructive distribution on a Warrant, as described above) generally will be entitled, at the election of such U.S. Holder, to receive either a deduction or a credit for such Canadian income tax.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i w:val="1"/>
          <w:iCs w:val="1"/>
          <w:color w:val="auto"/>
        </w:rPr>
        <w:t>Backup Withholding and Information Reporting</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Unit Shares, Warrants and Warrant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Payments made within the U.S. or by a U.S. payor or U.S. middleman, of dividends on, and proceeds arising from the sale or other taxable disposition of, Unit Shares, Warrants and Warrant Shares will generally be subject to information reporting and backup withholding tax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will be allowed as a credit against a U.S. Holder's U.S. federal income tax liability, if any, or will be refunded, if such U.S. Holder furnishes required information to the IRS in a timely manner.</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 ABOVE SUMMARY IS NOT INTENDED TO CONSTITUTE A COMPLETE ANALYSIS OF ALL TAX CONSIDERATIONS APPLICABLE TO U.S. HOLDERS WITH RESPECT TO THE ACQUISITION, OWNERSHIP AND DISPOSITION OF UNITS, UNIT SHARES, WARRANTS AND WARRANT SHARES. U.S. HOLDERS SHOULD CONSULT THEIR OWN TAX ADVISORS AS TO THE TAX CONSIDERATIONS APPLICABLE TO THEM IN LIGHT OF THEIR OWN PARTICULAR CIRCUMSTANCES.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EXPERTS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Certain legal matters relating to the issue and sale of the securities offered hereby will be passed upon on behalf of the Corporation by Aird &amp; Berlis LLP.</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the date of this Prospectus Supplement, the partners and associates of Aird &amp; Berlis LLP and Bennett Jones LLP, beneficially owned, directly or indirectly, less than 1% of the outstanding securities of the 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AUDITORS, TRANSFER AGENT AND REGISTRAR</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47" w:lineRule="exact"/>
        <w:rPr>
          <w:sz w:val="20"/>
          <w:szCs w:val="20"/>
          <w:color w:val="auto"/>
        </w:rPr>
      </w:pPr>
    </w:p>
    <w:p>
      <w:pPr>
        <w:jc w:val="center"/>
        <w:ind w:right="500"/>
        <w:spacing w:after="0" w:line="455" w:lineRule="auto"/>
        <w:rPr>
          <w:sz w:val="20"/>
          <w:szCs w:val="20"/>
          <w:color w:val="auto"/>
        </w:rPr>
      </w:pPr>
      <w:r>
        <w:rPr>
          <w:rFonts w:ascii="Arial" w:cs="Arial" w:eastAsia="Arial" w:hAnsi="Arial"/>
          <w:sz w:val="22"/>
          <w:szCs w:val="22"/>
          <w:color w:val="auto"/>
        </w:rPr>
        <w:t>The registrar and transfer agent of the Common Shares is Odyssey Trust Company at its principal office in Calgary, Alberta. 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532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EXEMPTIONS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Pursuant to a decision of the Autorité des marchés financiers dated June 10, 2021, the Corporation was granted a permanent exemption from the requirement to translate into French this Prospectus Supplement, the Base Shelf Prospectus as well as the documents incorporated by reference herein and therein. The exemption was granted on the condition that the Base Shelf Prospectus and any Prospectus Supplement (other than in relation to an "at-the-market distribution") be translated into French if the Corporation offers Securities to Québec purchasers in connection with an offering other than in relation to an "at-the-market distribution".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INFORMATION</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The Corporation has filed with the SEC the Registration Statement on Form F-10 under the U.S. Securities Act relating to the Corporation's Securities offered hereby, of which this Prospectus Supplement and accompanying Prospectus form a part. This Prospectus Supplement and the accompanying Prospectus do not contain all of the information set forth in the Registration Statement, certain parts of which are contained in the exhibits to the Registration Statement as permitted by the rules and regulations of the SEC. Reference is made to such Registration Statement and the exhibits thereto for further information with respect to us and the Securities offered hereby. Information omitted from this Prospectus Supplement and the accompanying Prospectus, but contained in the Registration Statement is available on EDGAR under the Corporation's profile at </w:t>
      </w:r>
      <w:r>
        <w:rPr>
          <w:rFonts w:ascii="Arial" w:cs="Arial" w:eastAsia="Arial" w:hAnsi="Arial"/>
          <w:sz w:val="19"/>
          <w:szCs w:val="19"/>
          <w:u w:val="single" w:color="auto"/>
          <w:color w:val="0563C1"/>
        </w:rPr>
        <w:t>www.sec.gov</w:t>
      </w:r>
      <w:r>
        <w:rPr>
          <w:rFonts w:ascii="Arial" w:cs="Arial" w:eastAsia="Arial" w:hAnsi="Arial"/>
          <w:sz w:val="19"/>
          <w:szCs w:val="19"/>
          <w:color w:val="auto"/>
        </w:rPr>
        <w:t>. Investors should review the Registration Statement and the exhibits thereto for further information with respect to us and the Securities offered hereby. Statements contained in this Prospectus Supplement and the accompanying Prospectus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 is required to file with the various securities commissions or similar authorities in each of the applicable provinces and territories of Canada, annual and quarterly reports, material change reports and other information. The Corporation is also an SEC registrant subject to the informational requirements of the Exchange Act, and, accordingly, file with, or furnish to, the SEC certain reports and other information. Under the MJDS adopted by the United States and Canada, these reports and other information (including financial information) may be prepared in accordance with the disclosure requirements of Canada, which differ from those of the United States. The Corporation is exempt from the rules under the Exchange Act prescribing the furnishing and content of proxy statements, and the officers, directors and principal shareholders are exempt from the reporting and short swing profit recovery provisions contained in Section 16 of the Exchange Act.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ENFORCEABILITY OF CIVIL LIABILITIES BY U.S. INVESTORS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The Corporation is a corporation existing under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(Ontario). Other than Douglas Drysdale, Chief Executive Officer, and Aaron Bartlone, Chief Operating Officer,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Securities who reside in the United States to effect service within the United States upon those directors, officers and experts who are not residents of the United States. It may also be difficult for holders of the Securities who reside in the United States to realize upon judgments of courts of the United States predicated upon the Corporation's civil liability and the civil liability of its directors, officers and experts under the United States federal securities laws.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 filed with the SEC, concurrently with the Registration Statement, an appointment of agent for service of process on Form F-X. Under the Form F-X, the Corporation appointed CT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Unit Shares and Warrant Shares under this Prospectus Supplement and the accompanying Base Shelf Prospectus.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ind w:left="120"/>
        <w:spacing w:after="0"/>
        <w:tabs>
          <w:tab w:leader="none" w:pos="10400" w:val="left"/>
        </w:tabs>
        <w:rPr>
          <w:sz w:val="20"/>
          <w:szCs w:val="20"/>
          <w:color w:val="auto"/>
        </w:rPr>
      </w:pPr>
      <w:r>
        <w:rPr>
          <w:rFonts w:ascii="Arial" w:cs="Arial" w:eastAsia="Arial" w:hAnsi="Arial"/>
          <w:sz w:val="14"/>
          <w:szCs w:val="14"/>
          <w:u w:val="single" w:color="auto"/>
          <w:color w:val="auto"/>
        </w:rPr>
        <w:t>New Issue</w:t>
      </w:r>
      <w:r>
        <w:rPr>
          <w:sz w:val="20"/>
          <w:szCs w:val="20"/>
          <w:color w:val="auto"/>
        </w:rPr>
        <w:tab/>
      </w:r>
      <w:r>
        <w:rPr>
          <w:rFonts w:ascii="Arial" w:cs="Arial" w:eastAsia="Arial" w:hAnsi="Arial"/>
          <w:sz w:val="13"/>
          <w:szCs w:val="13"/>
          <w:color w:val="auto"/>
        </w:rPr>
        <w:t>July 5, 2021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83820</wp:posOffset>
            </wp:positionV>
            <wp:extent cx="1414145" cy="848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14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auto"/>
        </w:rPr>
        <w:t>CYBIN INC.</w:t>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$125,000,000</w:t>
      </w:r>
    </w:p>
    <w:p>
      <w:pPr>
        <w:spacing w:after="0" w:line="61"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Common Shares</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Warrants</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Units</w:t>
      </w:r>
    </w:p>
    <w:p>
      <w:pPr>
        <w:jc w:val="center"/>
        <w:ind w:right="-119"/>
        <w:spacing w:after="0" w:line="230" w:lineRule="auto"/>
        <w:rPr>
          <w:sz w:val="20"/>
          <w:szCs w:val="20"/>
          <w:color w:val="auto"/>
        </w:rPr>
      </w:pPr>
      <w:r>
        <w:rPr>
          <w:rFonts w:ascii="Arial" w:cs="Arial" w:eastAsia="Arial" w:hAnsi="Arial"/>
          <w:sz w:val="22"/>
          <w:szCs w:val="22"/>
          <w:b w:val="1"/>
          <w:bCs w:val="1"/>
          <w:color w:val="auto"/>
        </w:rPr>
        <w:t>Debt Securities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4" w:lineRule="exact"/>
        <w:rPr>
          <w:sz w:val="20"/>
          <w:szCs w:val="20"/>
          <w:color w:val="auto"/>
        </w:rPr>
      </w:pPr>
    </w:p>
    <w:p>
      <w:pPr>
        <w:ind w:left="120" w:right="120"/>
        <w:spacing w:after="0" w:line="244" w:lineRule="auto"/>
        <w:rPr>
          <w:sz w:val="20"/>
          <w:szCs w:val="20"/>
          <w:color w:val="auto"/>
        </w:rPr>
      </w:pPr>
      <w:r>
        <w:rPr>
          <w:rFonts w:ascii="Arial" w:cs="Arial" w:eastAsia="Arial" w:hAnsi="Arial"/>
          <w:sz w:val="13"/>
          <w:szCs w:val="13"/>
          <w:color w:val="auto"/>
        </w:rPr>
        <w:t>This short form base shelf prospectus (“</w:t>
      </w:r>
      <w:r>
        <w:rPr>
          <w:rFonts w:ascii="Arial" w:cs="Arial" w:eastAsia="Arial" w:hAnsi="Arial"/>
          <w:sz w:val="13"/>
          <w:szCs w:val="13"/>
          <w:b w:val="1"/>
          <w:bCs w:val="1"/>
          <w:color w:val="auto"/>
        </w:rPr>
        <w:t>Prospectus</w:t>
      </w:r>
      <w:r>
        <w:rPr>
          <w:rFonts w:ascii="Arial" w:cs="Arial" w:eastAsia="Arial" w:hAnsi="Arial"/>
          <w:sz w:val="13"/>
          <w:szCs w:val="13"/>
          <w:color w:val="auto"/>
        </w:rPr>
        <w:t>”) relates to the offering for sale from time to time (each, an “</w:t>
      </w:r>
      <w:r>
        <w:rPr>
          <w:rFonts w:ascii="Arial" w:cs="Arial" w:eastAsia="Arial" w:hAnsi="Arial"/>
          <w:sz w:val="13"/>
          <w:szCs w:val="13"/>
          <w:b w:val="1"/>
          <w:bCs w:val="1"/>
          <w:color w:val="auto"/>
        </w:rPr>
        <w:t>Offering</w:t>
      </w:r>
      <w:r>
        <w:rPr>
          <w:rFonts w:ascii="Arial" w:cs="Arial" w:eastAsia="Arial" w:hAnsi="Arial"/>
          <w:sz w:val="13"/>
          <w:szCs w:val="13"/>
          <w:color w:val="auto"/>
        </w:rPr>
        <w:t>”) by Cybin Inc. (the “</w:t>
      </w:r>
      <w:r>
        <w:rPr>
          <w:rFonts w:ascii="Arial" w:cs="Arial" w:eastAsia="Arial" w:hAnsi="Arial"/>
          <w:sz w:val="13"/>
          <w:szCs w:val="13"/>
          <w:b w:val="1"/>
          <w:bCs w:val="1"/>
          <w:color w:val="auto"/>
        </w:rPr>
        <w:t>Corporation</w:t>
      </w:r>
      <w:r>
        <w:rPr>
          <w:rFonts w:ascii="Arial" w:cs="Arial" w:eastAsia="Arial" w:hAnsi="Arial"/>
          <w:sz w:val="13"/>
          <w:szCs w:val="13"/>
          <w:color w:val="auto"/>
        </w:rPr>
        <w:t>” or “</w:t>
      </w:r>
      <w:r>
        <w:rPr>
          <w:rFonts w:ascii="Arial" w:cs="Arial" w:eastAsia="Arial" w:hAnsi="Arial"/>
          <w:sz w:val="13"/>
          <w:szCs w:val="13"/>
          <w:b w:val="1"/>
          <w:bCs w:val="1"/>
          <w:color w:val="auto"/>
        </w:rPr>
        <w:t>Cybin</w:t>
      </w:r>
      <w:r>
        <w:rPr>
          <w:rFonts w:ascii="Arial" w:cs="Arial" w:eastAsia="Arial" w:hAnsi="Arial"/>
          <w:sz w:val="13"/>
          <w:szCs w:val="13"/>
          <w:color w:val="auto"/>
        </w:rPr>
        <w:t xml:space="preserve">”) during the 25-month period that this Prospectus, including any of amendments thereto, remains valid, of up to $125,000,000 in the aggregate of: (i) common shares (“ </w:t>
      </w:r>
      <w:r>
        <w:rPr>
          <w:rFonts w:ascii="Arial" w:cs="Arial" w:eastAsia="Arial" w:hAnsi="Arial"/>
          <w:sz w:val="13"/>
          <w:szCs w:val="13"/>
          <w:b w:val="1"/>
          <w:bCs w:val="1"/>
          <w:color w:val="auto"/>
        </w:rPr>
        <w:t>Common Shares</w:t>
      </w:r>
      <w:r>
        <w:rPr>
          <w:rFonts w:ascii="Arial" w:cs="Arial" w:eastAsia="Arial" w:hAnsi="Arial"/>
          <w:sz w:val="13"/>
          <w:szCs w:val="13"/>
          <w:color w:val="auto"/>
        </w:rPr>
        <w:t>”) of the Corporation; (ii) warrants (“</w:t>
      </w:r>
      <w:r>
        <w:rPr>
          <w:rFonts w:ascii="Arial" w:cs="Arial" w:eastAsia="Arial" w:hAnsi="Arial"/>
          <w:sz w:val="13"/>
          <w:szCs w:val="13"/>
          <w:b w:val="1"/>
          <w:bCs w:val="1"/>
          <w:color w:val="auto"/>
        </w:rPr>
        <w:t>Warrants</w:t>
      </w:r>
      <w:r>
        <w:rPr>
          <w:rFonts w:ascii="Arial" w:cs="Arial" w:eastAsia="Arial" w:hAnsi="Arial"/>
          <w:sz w:val="13"/>
          <w:szCs w:val="13"/>
          <w:color w:val="auto"/>
        </w:rPr>
        <w:t>”) to purchase other Securities (as defined below) of the Corporation; (iii) units (“</w:t>
      </w:r>
      <w:r>
        <w:rPr>
          <w:rFonts w:ascii="Arial" w:cs="Arial" w:eastAsia="Arial" w:hAnsi="Arial"/>
          <w:sz w:val="13"/>
          <w:szCs w:val="13"/>
          <w:b w:val="1"/>
          <w:bCs w:val="1"/>
          <w:color w:val="auto"/>
        </w:rPr>
        <w:t>Units</w:t>
      </w:r>
      <w:r>
        <w:rPr>
          <w:rFonts w:ascii="Arial" w:cs="Arial" w:eastAsia="Arial" w:hAnsi="Arial"/>
          <w:sz w:val="13"/>
          <w:szCs w:val="13"/>
          <w:color w:val="auto"/>
        </w:rPr>
        <w:t>”) comprising of one or more of the other Securities, (iv) senior and subordinated unsecured debt securities (collectively, “</w:t>
      </w:r>
      <w:r>
        <w:rPr>
          <w:rFonts w:ascii="Arial" w:cs="Arial" w:eastAsia="Arial" w:hAnsi="Arial"/>
          <w:sz w:val="13"/>
          <w:szCs w:val="13"/>
          <w:b w:val="1"/>
          <w:bCs w:val="1"/>
          <w:color w:val="auto"/>
        </w:rPr>
        <w:t>Debt Securities</w:t>
      </w:r>
      <w:r>
        <w:rPr>
          <w:rFonts w:ascii="Arial" w:cs="Arial" w:eastAsia="Arial" w:hAnsi="Arial"/>
          <w:sz w:val="13"/>
          <w:szCs w:val="13"/>
          <w:color w:val="auto"/>
        </w:rPr>
        <w:t>”), including debt securities convertible or exchangeable into other securities of the Corporation, and</w:t>
      </w:r>
    </w:p>
    <w:p>
      <w:pPr>
        <w:spacing w:after="0" w:line="2" w:lineRule="exact"/>
        <w:rPr>
          <w:sz w:val="20"/>
          <w:szCs w:val="20"/>
          <w:color w:val="auto"/>
        </w:rPr>
      </w:pPr>
    </w:p>
    <w:p>
      <w:pPr>
        <w:ind w:left="120" w:right="460" w:hanging="4"/>
        <w:spacing w:after="0" w:line="232" w:lineRule="auto"/>
        <w:tabs>
          <w:tab w:leader="none" w:pos="3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subscription receipts (“</w:t>
      </w:r>
      <w:r>
        <w:rPr>
          <w:rFonts w:ascii="Arial" w:cs="Arial" w:eastAsia="Arial" w:hAnsi="Arial"/>
          <w:sz w:val="14"/>
          <w:szCs w:val="14"/>
          <w:b w:val="1"/>
          <w:bCs w:val="1"/>
          <w:color w:val="auto"/>
        </w:rPr>
        <w:t>Subscription Receipts</w:t>
      </w:r>
      <w:r>
        <w:rPr>
          <w:rFonts w:ascii="Arial" w:cs="Arial" w:eastAsia="Arial" w:hAnsi="Arial"/>
          <w:sz w:val="14"/>
          <w:szCs w:val="14"/>
          <w:color w:val="auto"/>
        </w:rPr>
        <w:t>” and together with the Common Shares, Warrants, Units and Debt Securities, collectively referred to herein as the “</w:t>
      </w:r>
      <w:r>
        <w:rPr>
          <w:rFonts w:ascii="Arial" w:cs="Arial" w:eastAsia="Arial" w:hAnsi="Arial"/>
          <w:sz w:val="14"/>
          <w:szCs w:val="14"/>
          <w:b w:val="1"/>
          <w:bCs w:val="1"/>
          <w:color w:val="auto"/>
        </w:rPr>
        <w:t>Securities</w:t>
      </w:r>
      <w:r>
        <w:rPr>
          <w:rFonts w:ascii="Arial" w:cs="Arial" w:eastAsia="Arial" w:hAnsi="Arial"/>
          <w:sz w:val="14"/>
          <w:szCs w:val="14"/>
          <w:color w:val="auto"/>
        </w:rPr>
        <w:t>”). The Securities may be offered separately or together, in amounts, at prices and on terms determined based on market conditions at the time of the sale and as set forth in an accompanying prospectus supplement (“</w:t>
      </w:r>
      <w:r>
        <w:rPr>
          <w:rFonts w:ascii="Arial" w:cs="Arial" w:eastAsia="Arial" w:hAnsi="Arial"/>
          <w:sz w:val="14"/>
          <w:szCs w:val="14"/>
          <w:b w:val="1"/>
          <w:bCs w:val="1"/>
          <w:color w:val="auto"/>
        </w:rPr>
        <w:t>Prospectus Supplement</w:t>
      </w:r>
      <w:r>
        <w:rPr>
          <w:rFonts w:ascii="Arial" w:cs="Arial" w:eastAsia="Arial" w:hAnsi="Arial"/>
          <w:sz w:val="14"/>
          <w:szCs w:val="14"/>
          <w:color w:val="auto"/>
        </w:rPr>
        <w:t>”).</w:t>
      </w:r>
    </w:p>
    <w:p>
      <w:pPr>
        <w:spacing w:after="0" w:line="21" w:lineRule="exact"/>
        <w:rPr>
          <w:sz w:val="20"/>
          <w:szCs w:val="20"/>
          <w:color w:val="auto"/>
        </w:rPr>
      </w:pPr>
    </w:p>
    <w:p>
      <w:pPr>
        <w:ind w:left="120" w:right="20"/>
        <w:spacing w:after="0" w:line="233" w:lineRule="auto"/>
        <w:rPr>
          <w:sz w:val="20"/>
          <w:szCs w:val="20"/>
          <w:color w:val="auto"/>
        </w:rPr>
      </w:pPr>
      <w:r>
        <w:rPr>
          <w:rFonts w:ascii="Arial" w:cs="Arial" w:eastAsia="Arial" w:hAnsi="Arial"/>
          <w:sz w:val="14"/>
          <w:szCs w:val="14"/>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23" w:lineRule="exact"/>
        <w:rPr>
          <w:sz w:val="20"/>
          <w:szCs w:val="20"/>
          <w:color w:val="auto"/>
        </w:rPr>
      </w:pPr>
    </w:p>
    <w:p>
      <w:pPr>
        <w:ind w:left="120"/>
        <w:spacing w:after="0" w:line="242" w:lineRule="auto"/>
        <w:rPr>
          <w:sz w:val="20"/>
          <w:szCs w:val="20"/>
          <w:color w:val="auto"/>
        </w:rPr>
      </w:pPr>
      <w:r>
        <w:rPr>
          <w:rFonts w:ascii="Arial" w:cs="Arial" w:eastAsia="Arial" w:hAnsi="Arial"/>
          <w:sz w:val="13"/>
          <w:szCs w:val="13"/>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23" w:lineRule="exact"/>
        <w:rPr>
          <w:sz w:val="20"/>
          <w:szCs w:val="20"/>
          <w:color w:val="auto"/>
        </w:rPr>
      </w:pPr>
    </w:p>
    <w:p>
      <w:pPr>
        <w:ind w:left="120" w:right="200"/>
        <w:spacing w:after="0" w:line="231" w:lineRule="auto"/>
        <w:rPr>
          <w:sz w:val="20"/>
          <w:szCs w:val="20"/>
          <w:color w:val="auto"/>
        </w:rPr>
      </w:pPr>
      <w:r>
        <w:rPr>
          <w:rFonts w:ascii="Arial" w:cs="Arial" w:eastAsia="Arial" w:hAnsi="Arial"/>
          <w:sz w:val="14"/>
          <w:szCs w:val="14"/>
          <w:color w:val="auto"/>
        </w:rPr>
        <w:t xml:space="preserve">The Securities may be sold through underwriters or dealers, directly by us pursuant to applicable statutory exemptions, or through designated agents from time to time. See </w:t>
      </w:r>
      <w:r>
        <w:rPr>
          <w:rFonts w:ascii="Arial" w:cs="Arial" w:eastAsia="Arial" w:hAnsi="Arial"/>
          <w:sz w:val="14"/>
          <w:szCs w:val="14"/>
          <w:i w:val="1"/>
          <w:iCs w:val="1"/>
          <w:color w:val="auto"/>
        </w:rPr>
        <w:t>“Plan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Distribution”. </w:t>
      </w:r>
      <w:r>
        <w:rPr>
          <w:rFonts w:ascii="Arial" w:cs="Arial" w:eastAsia="Arial" w:hAnsi="Arial"/>
          <w:sz w:val="14"/>
          <w:szCs w:val="14"/>
          <w:color w:val="auto"/>
        </w:rPr>
        <w:t>The Prospectus Supplement relating to a particular Offering of Securities will identify each underwriter, dealer or agent, as the case may be, engaged by the Corporation in</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us and any other material terms of the plan of distribution.</w:t>
      </w:r>
    </w:p>
    <w:p>
      <w:pPr>
        <w:spacing w:after="0" w:line="22" w:lineRule="exact"/>
        <w:rPr>
          <w:sz w:val="20"/>
          <w:szCs w:val="20"/>
          <w:color w:val="auto"/>
        </w:rPr>
      </w:pPr>
    </w:p>
    <w:p>
      <w:pPr>
        <w:ind w:left="120" w:right="20"/>
        <w:spacing w:after="0" w:line="251" w:lineRule="auto"/>
        <w:rPr>
          <w:sz w:val="20"/>
          <w:szCs w:val="20"/>
          <w:color w:val="auto"/>
        </w:rPr>
      </w:pPr>
      <w:r>
        <w:rPr>
          <w:rFonts w:ascii="Arial" w:cs="Arial" w:eastAsia="Arial" w:hAnsi="Arial"/>
          <w:sz w:val="13"/>
          <w:szCs w:val="13"/>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Arial" w:cs="Arial" w:eastAsia="Arial" w:hAnsi="Arial"/>
          <w:sz w:val="13"/>
          <w:szCs w:val="13"/>
          <w:i w:val="1"/>
          <w:iCs w:val="1"/>
          <w:color w:val="auto"/>
        </w:rPr>
        <w:t>Shelf Distributions</w:t>
      </w:r>
      <w:r>
        <w:rPr>
          <w:rFonts w:ascii="Arial" w:cs="Arial" w:eastAsia="Arial" w:hAnsi="Arial"/>
          <w:sz w:val="13"/>
          <w:szCs w:val="13"/>
          <w:color w:val="auto"/>
        </w:rPr>
        <w:t xml:space="preserve"> (“</w:t>
      </w:r>
      <w:r>
        <w:rPr>
          <w:rFonts w:ascii="Arial" w:cs="Arial" w:eastAsia="Arial" w:hAnsi="Arial"/>
          <w:sz w:val="13"/>
          <w:szCs w:val="13"/>
          <w:b w:val="1"/>
          <w:bCs w:val="1"/>
          <w:color w:val="auto"/>
        </w:rPr>
        <w:t>NI 44-102</w:t>
      </w:r>
      <w:r>
        <w:rPr>
          <w:rFonts w:ascii="Arial" w:cs="Arial" w:eastAsia="Arial" w:hAnsi="Arial"/>
          <w:sz w:val="13"/>
          <w:szCs w:val="13"/>
          <w:color w:val="auto"/>
        </w:rPr>
        <w:t>”).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(the “</w:t>
      </w:r>
      <w:r>
        <w:rPr>
          <w:rFonts w:ascii="Arial" w:cs="Arial" w:eastAsia="Arial" w:hAnsi="Arial"/>
          <w:sz w:val="13"/>
          <w:szCs w:val="13"/>
          <w:b w:val="1"/>
          <w:bCs w:val="1"/>
          <w:color w:val="auto"/>
        </w:rPr>
        <w:t>NEO</w:t>
      </w:r>
      <w:r>
        <w:rPr>
          <w:rFonts w:ascii="Arial" w:cs="Arial" w:eastAsia="Arial" w:hAnsi="Arial"/>
          <w:sz w:val="13"/>
          <w:szCs w:val="13"/>
          <w:color w:val="auto"/>
        </w:rPr>
        <w:t>”) or other existing trading markets for the Securities, and as set forth in an accompanying Prospectus Supplement, in which case the compensation payable to an underwriter, dealer or agent in connection with any such sale will be decreased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40"/>
          </w:cols>
          <w:pgMar w:left="320" w:top="419"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right="160"/>
        <w:spacing w:after="0" w:line="253" w:lineRule="auto"/>
        <w:rPr>
          <w:sz w:val="20"/>
          <w:szCs w:val="20"/>
          <w:color w:val="auto"/>
        </w:rPr>
      </w:pPr>
      <w:r>
        <w:rPr>
          <w:rFonts w:ascii="Arial" w:cs="Arial" w:eastAsia="Arial" w:hAnsi="Arial"/>
          <w:sz w:val="14"/>
          <w:szCs w:val="14"/>
          <w:color w:val="auto"/>
        </w:rPr>
        <w:t xml:space="preserve">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Arial" w:cs="Arial" w:eastAsia="Arial" w:hAnsi="Arial"/>
          <w:sz w:val="14"/>
          <w:szCs w:val="14"/>
          <w:i w:val="1"/>
          <w:iCs w:val="1"/>
          <w:color w:val="auto"/>
        </w:rPr>
        <w:t>“Plan of Distribution”</w:t>
      </w:r>
      <w:r>
        <w:rPr>
          <w:rFonts w:ascii="Arial" w:cs="Arial" w:eastAsia="Arial" w:hAnsi="Arial"/>
          <w:sz w:val="14"/>
          <w:szCs w:val="14"/>
          <w:color w:val="auto"/>
        </w:rPr>
        <w:t>.</w:t>
      </w:r>
    </w:p>
    <w:p>
      <w:pPr>
        <w:spacing w:after="0" w:line="12" w:lineRule="exact"/>
        <w:rPr>
          <w:sz w:val="20"/>
          <w:szCs w:val="20"/>
          <w:color w:val="auto"/>
        </w:rPr>
      </w:pPr>
    </w:p>
    <w:p>
      <w:pPr>
        <w:ind w:left="120" w:right="100"/>
        <w:spacing w:after="0" w:line="248" w:lineRule="auto"/>
        <w:rPr>
          <w:sz w:val="20"/>
          <w:szCs w:val="20"/>
          <w:color w:val="auto"/>
        </w:rPr>
      </w:pPr>
      <w:r>
        <w:rPr>
          <w:rFonts w:ascii="Arial" w:cs="Arial" w:eastAsia="Arial" w:hAnsi="Arial"/>
          <w:sz w:val="13"/>
          <w:szCs w:val="13"/>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London Inter-Bank Offered Rate (LIBOR), Euro Inter-Bank Offered Rate (EURIBOR) or a United States federal funds rate.</w:t>
      </w:r>
    </w:p>
    <w:p>
      <w:pPr>
        <w:spacing w:after="0" w:line="18" w:lineRule="exact"/>
        <w:rPr>
          <w:sz w:val="20"/>
          <w:szCs w:val="20"/>
          <w:color w:val="auto"/>
        </w:rPr>
      </w:pPr>
    </w:p>
    <w:p>
      <w:pPr>
        <w:ind w:left="120" w:right="100"/>
        <w:spacing w:after="0" w:line="233" w:lineRule="auto"/>
        <w:rPr>
          <w:sz w:val="20"/>
          <w:szCs w:val="20"/>
          <w:color w:val="auto"/>
        </w:rPr>
      </w:pPr>
      <w:r>
        <w:rPr>
          <w:rFonts w:ascii="Arial" w:cs="Arial" w:eastAsia="Arial" w:hAnsi="Arial"/>
          <w:sz w:val="14"/>
          <w:szCs w:val="14"/>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23" w:lineRule="exact"/>
        <w:rPr>
          <w:sz w:val="20"/>
          <w:szCs w:val="20"/>
          <w:color w:val="auto"/>
        </w:rPr>
      </w:pPr>
    </w:p>
    <w:p>
      <w:pPr>
        <w:jc w:val="both"/>
        <w:ind w:left="120"/>
        <w:spacing w:after="0" w:line="238" w:lineRule="auto"/>
        <w:rPr>
          <w:sz w:val="20"/>
          <w:szCs w:val="20"/>
          <w:color w:val="auto"/>
        </w:rPr>
      </w:pPr>
      <w:r>
        <w:rPr>
          <w:rFonts w:ascii="Arial" w:cs="Arial" w:eastAsia="Arial" w:hAnsi="Arial"/>
          <w:sz w:val="14"/>
          <w:szCs w:val="14"/>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Arial" w:cs="Arial" w:eastAsia="Arial" w:hAnsi="Arial"/>
          <w:sz w:val="14"/>
          <w:szCs w:val="14"/>
          <w:i w:val="1"/>
          <w:iCs w:val="1"/>
          <w:color w:val="auto"/>
        </w:rPr>
        <w:t>“Plan of Distribution”</w:t>
      </w:r>
      <w:r>
        <w:rPr>
          <w:rFonts w:ascii="Arial" w:cs="Arial" w:eastAsia="Arial" w:hAnsi="Arial"/>
          <w:sz w:val="14"/>
          <w:szCs w:val="14"/>
          <w:color w:val="auto"/>
        </w:rPr>
        <w:t>.</w:t>
      </w:r>
    </w:p>
    <w:p>
      <w:pPr>
        <w:spacing w:after="0" w:line="21" w:lineRule="exact"/>
        <w:rPr>
          <w:sz w:val="20"/>
          <w:szCs w:val="20"/>
          <w:color w:val="auto"/>
        </w:rPr>
      </w:pPr>
    </w:p>
    <w:p>
      <w:pPr>
        <w:ind w:left="120" w:right="80"/>
        <w:spacing w:after="0" w:line="253" w:lineRule="auto"/>
        <w:rPr>
          <w:sz w:val="20"/>
          <w:szCs w:val="20"/>
          <w:color w:val="auto"/>
        </w:rPr>
      </w:pPr>
      <w:r>
        <w:rPr>
          <w:rFonts w:ascii="Arial" w:cs="Arial" w:eastAsia="Arial" w:hAnsi="Arial"/>
          <w:sz w:val="14"/>
          <w:szCs w:val="14"/>
          <w:color w:val="auto"/>
        </w:rPr>
        <w:t>The Common Shares are listed on the NEO under the trading symbol “CYBN”, and in the United States on the OTCQB under the trading symbol “CLXPF”. On July 2, 2021, the last trading day prior to the filing of this Prospectus, the closing prices of the Common Shares listed on the NEO and the OTCQB were $2.60 and US$2.12, respectively.</w:t>
      </w:r>
    </w:p>
    <w:p>
      <w:pPr>
        <w:spacing w:after="0" w:line="8" w:lineRule="exact"/>
        <w:rPr>
          <w:sz w:val="20"/>
          <w:szCs w:val="20"/>
          <w:color w:val="auto"/>
        </w:rPr>
      </w:pPr>
    </w:p>
    <w:p>
      <w:pPr>
        <w:ind w:left="120"/>
        <w:spacing w:after="0" w:line="235" w:lineRule="auto"/>
        <w:rPr>
          <w:sz w:val="20"/>
          <w:szCs w:val="20"/>
          <w:color w:val="auto"/>
        </w:rPr>
      </w:pPr>
      <w:r>
        <w:rPr>
          <w:rFonts w:ascii="Arial" w:cs="Arial" w:eastAsia="Arial" w:hAnsi="Arial"/>
          <w:sz w:val="14"/>
          <w:szCs w:val="14"/>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w:t>
      </w:r>
    </w:p>
    <w:p>
      <w:pPr>
        <w:spacing w:after="0" w:line="17" w:lineRule="exact"/>
        <w:rPr>
          <w:sz w:val="20"/>
          <w:szCs w:val="20"/>
          <w:color w:val="auto"/>
        </w:rPr>
      </w:pPr>
    </w:p>
    <w:p>
      <w:pPr>
        <w:ind w:left="120" w:right="700"/>
        <w:spacing w:after="0" w:line="297" w:lineRule="auto"/>
        <w:rPr>
          <w:sz w:val="20"/>
          <w:szCs w:val="20"/>
          <w:color w:val="auto"/>
        </w:rPr>
      </w:pPr>
      <w:r>
        <w:rPr>
          <w:rFonts w:ascii="Arial" w:cs="Arial" w:eastAsia="Arial" w:hAnsi="Arial"/>
          <w:sz w:val="13"/>
          <w:szCs w:val="13"/>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 xml:space="preserve">An investment in the Securities is subject to a number of risks, including those risks described in this Prospectus and documents incorporated by reference into this Prospectus.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this Prospectus and in the Corporation’s Annual Information Form and Annual MD&amp;A (each as defined herein) incorporated by reference herein.</w:t>
      </w:r>
    </w:p>
    <w:p>
      <w:pPr>
        <w:spacing w:after="0" w:line="9" w:lineRule="exact"/>
        <w:rPr>
          <w:sz w:val="20"/>
          <w:szCs w:val="20"/>
          <w:color w:val="auto"/>
        </w:rPr>
      </w:pPr>
    </w:p>
    <w:p>
      <w:pPr>
        <w:ind w:left="120" w:right="140"/>
        <w:spacing w:after="0" w:line="258" w:lineRule="auto"/>
        <w:rPr>
          <w:sz w:val="20"/>
          <w:szCs w:val="20"/>
          <w:color w:val="auto"/>
        </w:rPr>
      </w:pPr>
      <w:r>
        <w:rPr>
          <w:rFonts w:ascii="Arial" w:cs="Arial" w:eastAsia="Arial" w:hAnsi="Arial"/>
          <w:sz w:val="14"/>
          <w:szCs w:val="14"/>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No underwriter has been involved in the preparation of this Prospectus or performed any review of the contents hereof.</w:t>
      </w:r>
    </w:p>
    <w:p>
      <w:pPr>
        <w:spacing w:after="0" w:line="46" w:lineRule="exact"/>
        <w:rPr>
          <w:sz w:val="20"/>
          <w:szCs w:val="20"/>
          <w:color w:val="auto"/>
        </w:rPr>
      </w:pPr>
    </w:p>
    <w:p>
      <w:pPr>
        <w:ind w:left="120" w:right="60"/>
        <w:spacing w:after="0" w:line="233" w:lineRule="auto"/>
        <w:rPr>
          <w:sz w:val="20"/>
          <w:szCs w:val="20"/>
          <w:color w:val="auto"/>
        </w:rPr>
      </w:pPr>
      <w:r>
        <w:rPr>
          <w:rFonts w:ascii="Arial" w:cs="Arial" w:eastAsia="Arial" w:hAnsi="Arial"/>
          <w:sz w:val="14"/>
          <w:szCs w:val="14"/>
          <w:color w:val="auto"/>
        </w:rPr>
        <w:t xml:space="preserve">Each of Douglas Drysdale, Michael Palfreyman, Alex Nivorozhkin and Brett Green, officers of the Corporation, resides outside of Canada. They have each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Arial" w:cs="Arial" w:eastAsia="Arial" w:hAnsi="Arial"/>
          <w:sz w:val="14"/>
          <w:szCs w:val="14"/>
          <w:i w:val="1"/>
          <w:iCs w:val="1"/>
          <w:color w:val="auto"/>
        </w:rPr>
        <w:t>“Risk Factors – Risks Related to an Offering – Enforcement of Civil Liabilities”</w:t>
      </w:r>
      <w:r>
        <w:rPr>
          <w:rFonts w:ascii="Arial" w:cs="Arial" w:eastAsia="Arial" w:hAnsi="Arial"/>
          <w:sz w:val="14"/>
          <w:szCs w:val="14"/>
          <w:color w:val="auto"/>
        </w:rPr>
        <w:t>.</w:t>
      </w:r>
    </w:p>
    <w:p>
      <w:pPr>
        <w:spacing w:after="0" w:line="19" w:lineRule="exact"/>
        <w:rPr>
          <w:sz w:val="20"/>
          <w:szCs w:val="20"/>
          <w:color w:val="auto"/>
        </w:rPr>
      </w:pPr>
    </w:p>
    <w:p>
      <w:pPr>
        <w:ind w:left="120" w:right="20"/>
        <w:spacing w:after="0" w:line="258" w:lineRule="auto"/>
        <w:rPr>
          <w:sz w:val="20"/>
          <w:szCs w:val="20"/>
          <w:color w:val="auto"/>
        </w:rPr>
      </w:pPr>
      <w:r>
        <w:rPr>
          <w:rFonts w:ascii="Arial" w:cs="Arial" w:eastAsia="Arial" w:hAnsi="Arial"/>
          <w:sz w:val="14"/>
          <w:szCs w:val="14"/>
          <w:color w:val="auto"/>
        </w:rPr>
        <w:t>In this Prospectus, references to the “</w:t>
      </w:r>
      <w:r>
        <w:rPr>
          <w:rFonts w:ascii="Arial" w:cs="Arial" w:eastAsia="Arial" w:hAnsi="Arial"/>
          <w:sz w:val="14"/>
          <w:szCs w:val="14"/>
          <w:b w:val="1"/>
          <w:bCs w:val="1"/>
          <w:color w:val="auto"/>
        </w:rPr>
        <w:t>Corporation</w:t>
      </w:r>
      <w:r>
        <w:rPr>
          <w:rFonts w:ascii="Arial" w:cs="Arial" w:eastAsia="Arial" w:hAnsi="Arial"/>
          <w:sz w:val="14"/>
          <w:szCs w:val="14"/>
          <w:color w:val="auto"/>
        </w:rPr>
        <w:t>”, “</w:t>
      </w:r>
      <w:r>
        <w:rPr>
          <w:rFonts w:ascii="Arial" w:cs="Arial" w:eastAsia="Arial" w:hAnsi="Arial"/>
          <w:sz w:val="14"/>
          <w:szCs w:val="14"/>
          <w:b w:val="1"/>
          <w:bCs w:val="1"/>
          <w:color w:val="auto"/>
        </w:rPr>
        <w:t>Cybin</w:t>
      </w:r>
      <w:r>
        <w:rPr>
          <w:rFonts w:ascii="Arial" w:cs="Arial" w:eastAsia="Arial" w:hAnsi="Arial"/>
          <w:sz w:val="14"/>
          <w:szCs w:val="14"/>
          <w:color w:val="auto"/>
        </w:rPr>
        <w:t>”, “</w:t>
      </w:r>
      <w:r>
        <w:rPr>
          <w:rFonts w:ascii="Arial" w:cs="Arial" w:eastAsia="Arial" w:hAnsi="Arial"/>
          <w:sz w:val="14"/>
          <w:szCs w:val="14"/>
          <w:b w:val="1"/>
          <w:bCs w:val="1"/>
          <w:color w:val="auto"/>
        </w:rPr>
        <w:t>we</w:t>
      </w:r>
      <w:r>
        <w:rPr>
          <w:rFonts w:ascii="Arial" w:cs="Arial" w:eastAsia="Arial" w:hAnsi="Arial"/>
          <w:sz w:val="14"/>
          <w:szCs w:val="14"/>
          <w:color w:val="auto"/>
        </w:rPr>
        <w:t>”, “</w:t>
      </w:r>
      <w:r>
        <w:rPr>
          <w:rFonts w:ascii="Arial" w:cs="Arial" w:eastAsia="Arial" w:hAnsi="Arial"/>
          <w:sz w:val="14"/>
          <w:szCs w:val="14"/>
          <w:b w:val="1"/>
          <w:bCs w:val="1"/>
          <w:color w:val="auto"/>
        </w:rPr>
        <w:t>us</w:t>
      </w:r>
      <w:r>
        <w:rPr>
          <w:rFonts w:ascii="Arial" w:cs="Arial" w:eastAsia="Arial" w:hAnsi="Arial"/>
          <w:sz w:val="14"/>
          <w:szCs w:val="14"/>
          <w:color w:val="auto"/>
        </w:rPr>
        <w:t>” and “</w:t>
      </w:r>
      <w:r>
        <w:rPr>
          <w:rFonts w:ascii="Arial" w:cs="Arial" w:eastAsia="Arial" w:hAnsi="Arial"/>
          <w:sz w:val="14"/>
          <w:szCs w:val="14"/>
          <w:b w:val="1"/>
          <w:bCs w:val="1"/>
          <w:color w:val="auto"/>
        </w:rPr>
        <w:t>our</w:t>
      </w:r>
      <w:r>
        <w:rPr>
          <w:rFonts w:ascii="Arial" w:cs="Arial" w:eastAsia="Arial" w:hAnsi="Arial"/>
          <w:sz w:val="14"/>
          <w:szCs w:val="14"/>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24130</wp:posOffset>
            </wp:positionV>
            <wp:extent cx="6998970" cy="128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1281430"/>
                    </a:xfrm>
                    <a:prstGeom prst="rect">
                      <a:avLst/>
                    </a:prstGeom>
                    <a:noFill/>
                  </pic:spPr>
                </pic:pic>
              </a:graphicData>
            </a:graphic>
          </wp:anchor>
        </w:drawing>
      </w:r>
    </w:p>
    <w:p>
      <w:pPr>
        <w:spacing w:after="0" w:line="52" w:lineRule="exact"/>
        <w:rPr>
          <w:sz w:val="20"/>
          <w:szCs w:val="20"/>
          <w:color w:val="auto"/>
        </w:rPr>
      </w:pPr>
    </w:p>
    <w:p>
      <w:pPr>
        <w:ind w:left="240" w:right="160"/>
        <w:spacing w:after="0" w:line="253" w:lineRule="auto"/>
        <w:rPr>
          <w:sz w:val="20"/>
          <w:szCs w:val="20"/>
          <w:color w:val="auto"/>
        </w:rPr>
      </w:pPr>
      <w:r>
        <w:rPr>
          <w:rFonts w:ascii="Arial" w:cs="Arial" w:eastAsia="Arial" w:hAnsi="Arial"/>
          <w:sz w:val="13"/>
          <w:szCs w:val="13"/>
          <w:b w:val="1"/>
          <w:bCs w:val="1"/>
          <w:color w:val="auto"/>
        </w:rPr>
        <w:t xml:space="preserve">The Corporation currently has two business segments: (a) Serenity Life Sciences Inc. (“Serenity Life”) and Cybin US Holdings Inc. (“Cybin U.S.”) that focus on the research, development and commercialization of psychedelic-inspired regulated medicines; and (b) Natures Journey Inc. (“Natures Journey”) that focuses on consumer mental wellness, including, but not limited to, non-psychedelic mushroom nutraceutical products. Like most life sciences and pharmaceutical companies, Serenity Life’s and Cybin U.S.’s (psychedelic) business is focused on research and development, see </w:t>
      </w:r>
      <w:r>
        <w:rPr>
          <w:rFonts w:ascii="Arial" w:cs="Arial" w:eastAsia="Arial" w:hAnsi="Arial"/>
          <w:sz w:val="13"/>
          <w:szCs w:val="13"/>
          <w:b w:val="1"/>
          <w:bCs w:val="1"/>
          <w:i w:val="1"/>
          <w:iCs w:val="1"/>
          <w:color w:val="auto"/>
        </w:rPr>
        <w:t>“Use of Proceeds”</w:t>
      </w:r>
      <w:r>
        <w:rPr>
          <w:rFonts w:ascii="Arial" w:cs="Arial" w:eastAsia="Arial" w:hAnsi="Arial"/>
          <w:sz w:val="13"/>
          <w:szCs w:val="13"/>
          <w:b w:val="1"/>
          <w:bCs w:val="1"/>
          <w:color w:val="auto"/>
        </w:rPr>
        <w:t>. Currently the Corporation plans to conduct research and development on synthesized API from pharmaceutical manufacturers in Jamaica. No product will be commercialized prior to applicable legal or regulatory approval.</w:t>
      </w:r>
    </w:p>
    <w:p>
      <w:pPr>
        <w:spacing w:after="0" w:line="9" w:lineRule="exact"/>
        <w:rPr>
          <w:sz w:val="20"/>
          <w:szCs w:val="20"/>
          <w:color w:val="auto"/>
        </w:rPr>
      </w:pPr>
    </w:p>
    <w:p>
      <w:pPr>
        <w:jc w:val="both"/>
        <w:ind w:left="240" w:right="220"/>
        <w:spacing w:after="0"/>
        <w:rPr>
          <w:sz w:val="20"/>
          <w:szCs w:val="20"/>
          <w:color w:val="auto"/>
        </w:rPr>
      </w:pPr>
      <w:r>
        <w:rPr>
          <w:rFonts w:ascii="Arial" w:cs="Arial" w:eastAsia="Arial" w:hAnsi="Arial"/>
          <w:sz w:val="14"/>
          <w:szCs w:val="14"/>
          <w:b w:val="1"/>
          <w:bCs w:val="1"/>
          <w:color w:val="auto"/>
        </w:rPr>
        <w:t xml:space="preserve">The Canadian and United States federal governments regulate drugs through the </w:t>
      </w:r>
      <w:r>
        <w:rPr>
          <w:rFonts w:ascii="Arial" w:cs="Arial" w:eastAsia="Arial" w:hAnsi="Arial"/>
          <w:sz w:val="14"/>
          <w:szCs w:val="14"/>
          <w:b w:val="1"/>
          <w:bCs w:val="1"/>
          <w:i w:val="1"/>
          <w:iCs w:val="1"/>
          <w:color w:val="auto"/>
        </w:rPr>
        <w:t>Controlled Drugs and Substances Act</w:t>
      </w:r>
      <w:r>
        <w:rPr>
          <w:rFonts w:ascii="Arial" w:cs="Arial" w:eastAsia="Arial" w:hAnsi="Arial"/>
          <w:sz w:val="14"/>
          <w:szCs w:val="14"/>
          <w:b w:val="1"/>
          <w:bCs w:val="1"/>
          <w:color w:val="auto"/>
        </w:rPr>
        <w:t xml:space="preserve"> (Canada) (the “CDSA”) and the </w:t>
      </w:r>
      <w:r>
        <w:rPr>
          <w:rFonts w:ascii="Arial" w:cs="Arial" w:eastAsia="Arial" w:hAnsi="Arial"/>
          <w:sz w:val="14"/>
          <w:szCs w:val="14"/>
          <w:b w:val="1"/>
          <w:bCs w:val="1"/>
          <w:i w:val="1"/>
          <w:iCs w:val="1"/>
          <w:color w:val="auto"/>
        </w:rPr>
        <w:t>Controlled Substances</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Act </w:t>
      </w:r>
      <w:r>
        <w:rPr>
          <w:rFonts w:ascii="Arial" w:cs="Arial" w:eastAsia="Arial" w:hAnsi="Arial"/>
          <w:sz w:val="14"/>
          <w:szCs w:val="14"/>
          <w:b w:val="1"/>
          <w:bCs w:val="1"/>
          <w:color w:val="auto"/>
        </w:rPr>
        <w:t>(21 U.S.C. § 811) (the “CSA”), respectively, which place controlled substances in a schedule. Under the CDSA, psilocybin is currently a Schedule III drug. Under the CSA,</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psilocybin is currently a Schedule I drug.</w:t>
      </w:r>
    </w:p>
    <w:p>
      <w:pPr>
        <w:spacing w:after="0" w:line="17" w:lineRule="exact"/>
        <w:rPr>
          <w:sz w:val="20"/>
          <w:szCs w:val="20"/>
          <w:color w:val="auto"/>
        </w:rPr>
      </w:pPr>
    </w:p>
    <w:p>
      <w:pPr>
        <w:ind w:left="240" w:right="100"/>
        <w:spacing w:after="0" w:line="235" w:lineRule="auto"/>
        <w:rPr>
          <w:sz w:val="20"/>
          <w:szCs w:val="20"/>
          <w:color w:val="auto"/>
        </w:rPr>
      </w:pPr>
      <w:r>
        <w:rPr>
          <w:rFonts w:ascii="Arial" w:cs="Arial" w:eastAsia="Arial" w:hAnsi="Arial"/>
          <w:sz w:val="14"/>
          <w:szCs w:val="14"/>
          <w:b w:val="1"/>
          <w:bCs w:val="1"/>
          <w:color w:val="auto"/>
        </w:rPr>
        <w:t xml:space="preserve">Unlike in Canada and the United States, psilocybin mushrooms are not an illegal drug under Jamaica’s </w:t>
      </w:r>
      <w:r>
        <w:rPr>
          <w:rFonts w:ascii="Arial" w:cs="Arial" w:eastAsia="Arial" w:hAnsi="Arial"/>
          <w:sz w:val="14"/>
          <w:szCs w:val="14"/>
          <w:b w:val="1"/>
          <w:bCs w:val="1"/>
          <w:i w:val="1"/>
          <w:iCs w:val="1"/>
          <w:color w:val="auto"/>
        </w:rPr>
        <w:t>Dangerous Drugs Act, 1948</w:t>
      </w:r>
      <w:r>
        <w:rPr>
          <w:rFonts w:ascii="Arial" w:cs="Arial" w:eastAsia="Arial" w:hAnsi="Arial"/>
          <w:sz w:val="14"/>
          <w:szCs w:val="14"/>
          <w:b w:val="1"/>
          <w:bCs w:val="1"/>
          <w:color w:val="auto"/>
        </w:rPr>
        <w:t>. The Corporation’s activity in relation to the sponsored research of psilocybin mushrooms, botanicals and other related fungi is limited to the jurisdiction of Jamaica. The Corporation’s future business activities in Jamaica involve the import of psychedelic and pharmaceutical based medicines (derived from mushrooms) for the purposes of research and development and clinical trials in Jamaica.</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00"/>
          </w:cols>
          <w:pgMar w:left="320" w:top="419"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16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335" w:lineRule="exact"/>
        <w:rPr>
          <w:sz w:val="20"/>
          <w:szCs w:val="20"/>
          <w:color w:val="auto"/>
        </w:rPr>
      </w:pPr>
    </w:p>
    <w:p>
      <w:pPr>
        <w:ind w:left="240" w:right="100"/>
        <w:spacing w:after="0" w:line="258" w:lineRule="auto"/>
        <w:rPr>
          <w:sz w:val="20"/>
          <w:szCs w:val="20"/>
          <w:color w:val="auto"/>
        </w:rPr>
      </w:pPr>
      <w:r>
        <w:rPr>
          <w:rFonts w:ascii="Arial" w:cs="Arial" w:eastAsia="Arial" w:hAnsi="Arial"/>
          <w:sz w:val="13"/>
          <w:szCs w:val="13"/>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Food and Drug Administration (“FDA”) in the United States,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3"/>
          <w:szCs w:val="13"/>
          <w:b w:val="1"/>
          <w:bCs w:val="1"/>
          <w:i w:val="1"/>
          <w:iCs w:val="1"/>
          <w:color w:val="auto"/>
        </w:rPr>
        <w:t>“Regulatory Overview – Research and Development”</w:t>
      </w:r>
      <w:r>
        <w:rPr>
          <w:rFonts w:ascii="Arial" w:cs="Arial" w:eastAsia="Arial" w:hAnsi="Arial"/>
          <w:sz w:val="13"/>
          <w:szCs w:val="13"/>
          <w:b w:val="1"/>
          <w:bCs w:val="1"/>
          <w:color w:val="auto"/>
        </w:rPr>
        <w:t>.</w:t>
      </w:r>
    </w:p>
    <w:p>
      <w:pPr>
        <w:spacing w:after="0" w:line="5" w:lineRule="exact"/>
        <w:rPr>
          <w:sz w:val="20"/>
          <w:szCs w:val="20"/>
          <w:color w:val="auto"/>
        </w:rPr>
      </w:pPr>
    </w:p>
    <w:p>
      <w:pPr>
        <w:ind w:left="240" w:right="100"/>
        <w:spacing w:after="0" w:line="277" w:lineRule="auto"/>
        <w:rPr>
          <w:sz w:val="20"/>
          <w:szCs w:val="20"/>
          <w:color w:val="auto"/>
        </w:rPr>
      </w:pPr>
      <w:r>
        <w:rPr>
          <w:rFonts w:ascii="Arial" w:cs="Arial" w:eastAsia="Arial" w:hAnsi="Arial"/>
          <w:sz w:val="12"/>
          <w:szCs w:val="12"/>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initially intends to sponsor and work with licensed third parties in Jamaica to conduct any clinical trials and research relating to psychedelics and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ind w:left="240"/>
        <w:spacing w:after="0" w:line="230" w:lineRule="auto"/>
        <w:rPr>
          <w:sz w:val="20"/>
          <w:szCs w:val="20"/>
          <w:color w:val="auto"/>
        </w:rPr>
      </w:pPr>
      <w:r>
        <w:rPr>
          <w:rFonts w:ascii="Arial" w:cs="Arial" w:eastAsia="Arial" w:hAnsi="Arial"/>
          <w:sz w:val="14"/>
          <w:szCs w:val="14"/>
          <w:b w:val="1"/>
          <w:bCs w:val="1"/>
          <w:color w:val="auto"/>
        </w:rPr>
        <w:t xml:space="preserve">Natural health products (“NHPs”), prescription drugs, and non-prescription drugs are all classified and regulated under the federal </w:t>
      </w:r>
      <w:r>
        <w:rPr>
          <w:rFonts w:ascii="Arial" w:cs="Arial" w:eastAsia="Arial" w:hAnsi="Arial"/>
          <w:sz w:val="14"/>
          <w:szCs w:val="14"/>
          <w:b w:val="1"/>
          <w:bCs w:val="1"/>
          <w:i w:val="1"/>
          <w:iCs w:val="1"/>
          <w:color w:val="auto"/>
        </w:rPr>
        <w:t>Food and Drugs Act</w:t>
      </w:r>
      <w:r>
        <w:rPr>
          <w:rFonts w:ascii="Arial" w:cs="Arial" w:eastAsia="Arial" w:hAnsi="Arial"/>
          <w:sz w:val="14"/>
          <w:szCs w:val="14"/>
          <w:b w:val="1"/>
          <w:bCs w:val="1"/>
          <w:color w:val="auto"/>
        </w:rPr>
        <w:t xml:space="preserve"> (Canada) (the “Canadian FDA”). Labelling, marketing and selling of any NHPs must comply with the Canadian FDA, including by ensuring that the Corporation’s products are not packaged or marketed in a manner that is misleading or deceptive to a consumer. In the United States, foods, drugs and dietary supplements are subject to extensive regulation. The </w:t>
      </w:r>
      <w:r>
        <w:rPr>
          <w:rFonts w:ascii="Arial" w:cs="Arial" w:eastAsia="Arial" w:hAnsi="Arial"/>
          <w:sz w:val="14"/>
          <w:szCs w:val="14"/>
          <w:b w:val="1"/>
          <w:bCs w:val="1"/>
          <w:i w:val="1"/>
          <w:iCs w:val="1"/>
          <w:color w:val="auto"/>
        </w:rPr>
        <w:t>Federal Food, Drug, and Cosmetic Act</w:t>
      </w:r>
      <w:r>
        <w:rPr>
          <w:rFonts w:ascii="Arial" w:cs="Arial" w:eastAsia="Arial" w:hAnsi="Arial"/>
          <w:sz w:val="14"/>
          <w:szCs w:val="14"/>
          <w:b w:val="1"/>
          <w:bCs w:val="1"/>
          <w:color w:val="auto"/>
        </w:rPr>
        <w:t xml:space="preserve"> and the </w:t>
      </w:r>
      <w:r>
        <w:rPr>
          <w:rFonts w:ascii="Arial" w:cs="Arial" w:eastAsia="Arial" w:hAnsi="Arial"/>
          <w:sz w:val="14"/>
          <w:szCs w:val="14"/>
          <w:b w:val="1"/>
          <w:bCs w:val="1"/>
          <w:i w:val="1"/>
          <w:iCs w:val="1"/>
          <w:color w:val="auto"/>
        </w:rPr>
        <w:t>Dietary Supplement Health and Education Act of 1994</w:t>
      </w:r>
      <w:r>
        <w:rPr>
          <w:rFonts w:ascii="Arial" w:cs="Arial" w:eastAsia="Arial" w:hAnsi="Arial"/>
          <w:sz w:val="14"/>
          <w:szCs w:val="14"/>
          <w:b w:val="1"/>
          <w:bCs w:val="1"/>
          <w:color w:val="auto"/>
        </w:rPr>
        <w:t xml:space="preserve"> generally govern, among other things, the research, development, testing, manufacturing, storage, recordkeeping, approval, labeling, promotion and marketing, distribution, post-approval monitoring and reporting, sampling, and import and export of foods, drugs and dietary supplements. See </w:t>
      </w:r>
      <w:r>
        <w:rPr>
          <w:rFonts w:ascii="Arial" w:cs="Arial" w:eastAsia="Arial" w:hAnsi="Arial"/>
          <w:sz w:val="14"/>
          <w:szCs w:val="14"/>
          <w:b w:val="1"/>
          <w:bCs w:val="1"/>
          <w:i w:val="1"/>
          <w:iCs w:val="1"/>
          <w:color w:val="auto"/>
        </w:rPr>
        <w:t>“Regulatory Overview – United States”</w:t>
      </w:r>
      <w:r>
        <w:rPr>
          <w:rFonts w:ascii="Arial" w:cs="Arial" w:eastAsia="Arial" w:hAnsi="Arial"/>
          <w:sz w:val="14"/>
          <w:szCs w:val="14"/>
          <w:b w:val="1"/>
          <w:bCs w:val="1"/>
          <w:color w:val="auto"/>
        </w:rPr>
        <w:t>.</w:t>
      </w:r>
    </w:p>
    <w:p>
      <w:pPr>
        <w:spacing w:after="0" w:line="19" w:lineRule="exact"/>
        <w:rPr>
          <w:sz w:val="20"/>
          <w:szCs w:val="20"/>
          <w:color w:val="auto"/>
        </w:rPr>
      </w:pPr>
    </w:p>
    <w:p>
      <w:pPr>
        <w:ind w:left="240" w:right="480"/>
        <w:spacing w:after="0" w:line="258" w:lineRule="auto"/>
        <w:rPr>
          <w:sz w:val="20"/>
          <w:szCs w:val="20"/>
          <w:color w:val="auto"/>
        </w:rPr>
      </w:pPr>
      <w:r>
        <w:rPr>
          <w:rFonts w:ascii="Arial" w:cs="Arial" w:eastAsia="Arial" w:hAnsi="Arial"/>
          <w:sz w:val="14"/>
          <w:szCs w:val="14"/>
          <w:b w:val="1"/>
          <w:bCs w:val="1"/>
          <w:color w:val="auto"/>
        </w:rPr>
        <w:t>The Corporation’s operations are conducted in strict compliance with local laws where such activities are permissible and do not require any specific legal or regulatory approvals.</w:t>
      </w:r>
    </w:p>
    <w:p>
      <w:pPr>
        <w:spacing w:after="0" w:line="5" w:lineRule="exact"/>
        <w:rPr>
          <w:sz w:val="20"/>
          <w:szCs w:val="20"/>
          <w:color w:val="auto"/>
        </w:rPr>
      </w:pPr>
    </w:p>
    <w:p>
      <w:pPr>
        <w:ind w:left="240" w:right="180"/>
        <w:spacing w:after="0" w:line="230" w:lineRule="auto"/>
        <w:rPr>
          <w:sz w:val="20"/>
          <w:szCs w:val="20"/>
          <w:color w:val="auto"/>
        </w:rPr>
      </w:pPr>
      <w:r>
        <w:rPr>
          <w:rFonts w:ascii="Arial" w:cs="Arial" w:eastAsia="Arial" w:hAnsi="Arial"/>
          <w:sz w:val="14"/>
          <w:szCs w:val="14"/>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Ministry of Health (Jamaica),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herein and </w:t>
      </w:r>
      <w:r>
        <w:rPr>
          <w:rFonts w:ascii="Arial" w:cs="Arial" w:eastAsia="Arial" w:hAnsi="Arial"/>
          <w:sz w:val="14"/>
          <w:szCs w:val="14"/>
          <w:b w:val="1"/>
          <w:bCs w:val="1"/>
          <w:i w:val="1"/>
          <w:iCs w:val="1"/>
          <w:color w:val="auto"/>
        </w:rPr>
        <w:t>“Risk</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Factors” </w:t>
      </w:r>
      <w:r>
        <w:rPr>
          <w:rFonts w:ascii="Arial" w:cs="Arial" w:eastAsia="Arial" w:hAnsi="Arial"/>
          <w:sz w:val="14"/>
          <w:szCs w:val="14"/>
          <w:b w:val="1"/>
          <w:bCs w:val="1"/>
          <w:color w:val="auto"/>
        </w:rPr>
        <w:t>in the Annual Information Form.</w:t>
      </w:r>
    </w:p>
    <w:p>
      <w:pPr>
        <w:spacing w:after="0" w:line="19" w:lineRule="exact"/>
        <w:rPr>
          <w:sz w:val="20"/>
          <w:szCs w:val="20"/>
          <w:color w:val="auto"/>
        </w:rPr>
      </w:pPr>
    </w:p>
    <w:p>
      <w:pPr>
        <w:ind w:left="240"/>
        <w:spacing w:after="0" w:line="248" w:lineRule="auto"/>
        <w:rPr>
          <w:sz w:val="20"/>
          <w:szCs w:val="20"/>
          <w:color w:val="auto"/>
        </w:rPr>
      </w:pPr>
      <w:r>
        <w:rPr>
          <w:rFonts w:ascii="Arial" w:cs="Arial" w:eastAsia="Arial" w:hAnsi="Arial"/>
          <w:sz w:val="13"/>
          <w:szCs w:val="13"/>
          <w:b w:val="1"/>
          <w:bCs w:val="1"/>
          <w:color w:val="auto"/>
        </w:rPr>
        <w:t xml:space="preserve">Certain statements throughout this Prospectus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herein and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in the Annual Information Form.</w:t>
      </w:r>
    </w:p>
    <w:p>
      <w:pPr>
        <w:spacing w:after="0" w:line="12" w:lineRule="exact"/>
        <w:rPr>
          <w:sz w:val="20"/>
          <w:szCs w:val="20"/>
          <w:color w:val="auto"/>
        </w:rPr>
      </w:pPr>
    </w:p>
    <w:p>
      <w:pPr>
        <w:ind w:left="240" w:right="80"/>
        <w:spacing w:after="0" w:line="281" w:lineRule="auto"/>
        <w:rPr>
          <w:sz w:val="20"/>
          <w:szCs w:val="20"/>
          <w:color w:val="auto"/>
        </w:rPr>
      </w:pPr>
      <w:r>
        <w:rPr>
          <w:rFonts w:ascii="Arial" w:cs="Arial" w:eastAsia="Arial" w:hAnsi="Arial"/>
          <w:sz w:val="12"/>
          <w:szCs w:val="12"/>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Arial" w:cs="Arial" w:eastAsia="Arial" w:hAnsi="Arial"/>
          <w:sz w:val="12"/>
          <w:szCs w:val="12"/>
          <w:b w:val="1"/>
          <w:bCs w:val="1"/>
          <w:i w:val="1"/>
          <w:iCs w:val="1"/>
          <w:color w:val="auto"/>
        </w:rPr>
        <w:t>“Compliance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Program”</w:t>
      </w:r>
      <w:r>
        <w:rPr>
          <w:rFonts w:ascii="Arial" w:cs="Arial" w:eastAsia="Arial" w:hAnsi="Arial"/>
          <w:sz w:val="12"/>
          <w:szCs w:val="12"/>
          <w:b w:val="1"/>
          <w:bCs w:val="1"/>
          <w:color w:val="auto"/>
        </w:rPr>
        <w:t>. Additionally, the Corporation has received legal opinions or advice in each jurisdiction where it currently operates regarding (a) compliance with applicable</w:t>
      </w:r>
      <w:r>
        <w:rPr>
          <w:rFonts w:ascii="Arial" w:cs="Arial" w:eastAsia="Arial" w:hAnsi="Arial"/>
          <w:sz w:val="12"/>
          <w:szCs w:val="12"/>
          <w:b w:val="1"/>
          <w:bCs w:val="1"/>
          <w:i w:val="1"/>
          <w:iCs w:val="1"/>
          <w:color w:val="auto"/>
        </w:rPr>
        <w:t xml:space="preserve"> </w:t>
      </w:r>
      <w:r>
        <w:rPr>
          <w:rFonts w:ascii="Arial" w:cs="Arial" w:eastAsia="Arial" w:hAnsi="Arial"/>
          <w:sz w:val="12"/>
          <w:szCs w:val="12"/>
          <w:b w:val="1"/>
          <w:bCs w:val="1"/>
          <w:color w:val="auto"/>
        </w:rPr>
        <w:t>regulatory frameworks and (b) potential exposure and implications arising from applicable laws in jurisdictions where the Corporation has operations or intends to operate.</w:t>
      </w:r>
    </w:p>
    <w:p>
      <w:pPr>
        <w:spacing w:after="0" w:line="2" w:lineRule="exact"/>
        <w:rPr>
          <w:sz w:val="20"/>
          <w:szCs w:val="20"/>
          <w:color w:val="auto"/>
        </w:rPr>
      </w:pPr>
    </w:p>
    <w:p>
      <w:pPr>
        <w:ind w:left="240" w:right="120"/>
        <w:spacing w:after="0"/>
        <w:rPr>
          <w:sz w:val="20"/>
          <w:szCs w:val="20"/>
          <w:color w:val="auto"/>
        </w:rPr>
      </w:pPr>
      <w:r>
        <w:rPr>
          <w:rFonts w:ascii="Arial" w:cs="Arial" w:eastAsia="Arial" w:hAnsi="Arial"/>
          <w:sz w:val="14"/>
          <w:szCs w:val="14"/>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herein and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in the Annual Information Form.</w:t>
      </w:r>
    </w:p>
    <w:p>
      <w:pPr>
        <w:spacing w:after="0" w:line="17" w:lineRule="exact"/>
        <w:rPr>
          <w:sz w:val="20"/>
          <w:szCs w:val="20"/>
          <w:color w:val="auto"/>
        </w:rPr>
      </w:pPr>
    </w:p>
    <w:p>
      <w:pPr>
        <w:ind w:left="240" w:right="60"/>
        <w:spacing w:after="0" w:line="232" w:lineRule="auto"/>
        <w:rPr>
          <w:sz w:val="20"/>
          <w:szCs w:val="20"/>
          <w:color w:val="auto"/>
        </w:rPr>
      </w:pPr>
      <w:r>
        <w:rPr>
          <w:rFonts w:ascii="Arial" w:cs="Arial" w:eastAsia="Arial" w:hAnsi="Arial"/>
          <w:sz w:val="14"/>
          <w:szCs w:val="14"/>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in this Prospectus, prior to investing in the Securities. See </w:t>
      </w:r>
      <w:r>
        <w:rPr>
          <w:rFonts w:ascii="Arial" w:cs="Arial" w:eastAsia="Arial" w:hAnsi="Arial"/>
          <w:sz w:val="14"/>
          <w:szCs w:val="14"/>
          <w:b w:val="1"/>
          <w:bCs w:val="1"/>
          <w:i w:val="1"/>
          <w:iCs w:val="1"/>
          <w:color w:val="auto"/>
        </w:rPr>
        <w:t>“Cautionary Note Regarding Forward-Looking</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Information” </w:t>
      </w:r>
      <w:r>
        <w:rPr>
          <w:rFonts w:ascii="Arial" w:cs="Arial" w:eastAsia="Arial" w:hAnsi="Arial"/>
          <w:sz w:val="14"/>
          <w:szCs w:val="14"/>
          <w:b w:val="1"/>
          <w:bCs w:val="1"/>
          <w:color w:val="auto"/>
        </w:rPr>
        <w:t>and</w:t>
      </w:r>
      <w:r>
        <w:rPr>
          <w:rFonts w:ascii="Arial" w:cs="Arial" w:eastAsia="Arial" w:hAnsi="Arial"/>
          <w:sz w:val="14"/>
          <w:szCs w:val="14"/>
          <w:b w:val="1"/>
          <w:bCs w:val="1"/>
          <w:i w:val="1"/>
          <w:iCs w:val="1"/>
          <w:color w:val="auto"/>
        </w:rPr>
        <w:t xml:space="preserve"> “Risk Factors”</w:t>
      </w:r>
      <w:r>
        <w:rPr>
          <w:rFonts w:ascii="Arial" w:cs="Arial" w:eastAsia="Arial" w:hAnsi="Arial"/>
          <w:sz w:val="14"/>
          <w:szCs w:val="14"/>
          <w:b w:val="1"/>
          <w:bCs w:val="1"/>
          <w:color w:val="auto"/>
        </w:rPr>
        <w:t>.</w:t>
      </w:r>
    </w:p>
    <w:p>
      <w:pPr>
        <w:spacing w:after="0" w:line="1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00"/>
          </w:cols>
          <w:pgMar w:left="320" w:top="419" w:right="5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8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228"/>
        </w:trPr>
        <w:tc>
          <w:tcPr>
            <w:tcW w:w="120" w:type="dxa"/>
            <w:vAlign w:val="bottom"/>
          </w:tcPr>
          <w:p>
            <w:pPr>
              <w:spacing w:after="0"/>
              <w:rPr>
                <w:sz w:val="19"/>
                <w:szCs w:val="19"/>
                <w:color w:val="auto"/>
              </w:rPr>
            </w:pPr>
          </w:p>
        </w:tc>
        <w:tc>
          <w:tcPr>
            <w:tcW w:w="17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4"/>
              </w:rPr>
              <w:t>GENERAL MATTERS</w:t>
            </w:r>
          </w:p>
        </w:tc>
        <w:tc>
          <w:tcPr>
            <w:tcW w:w="6580" w:type="dxa"/>
            <w:vAlign w:val="bottom"/>
            <w:gridSpan w:val="12"/>
          </w:tcPr>
          <w:p>
            <w:pPr>
              <w:spacing w:after="0"/>
              <w:rPr>
                <w:sz w:val="19"/>
                <w:szCs w:val="19"/>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1</w:t>
            </w:r>
          </w:p>
        </w:tc>
      </w:tr>
      <w:tr>
        <w:trPr>
          <w:trHeight w:val="263"/>
        </w:trPr>
        <w:tc>
          <w:tcPr>
            <w:tcW w:w="120" w:type="dxa"/>
            <w:vAlign w:val="bottom"/>
          </w:tcPr>
          <w:p>
            <w:pPr>
              <w:spacing w:after="0"/>
              <w:rPr>
                <w:sz w:val="22"/>
                <w:szCs w:val="22"/>
                <w:color w:val="auto"/>
              </w:rPr>
            </w:pPr>
          </w:p>
        </w:tc>
        <w:tc>
          <w:tcPr>
            <w:tcW w:w="58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CAUTIONARY NOTE REGARDING FORWARD-LOOKING INFORMATION</w:t>
            </w:r>
          </w:p>
        </w:tc>
        <w:tc>
          <w:tcPr>
            <w:tcW w:w="2400" w:type="dxa"/>
            <w:vAlign w:val="bottom"/>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1</w:t>
            </w:r>
          </w:p>
        </w:tc>
      </w:tr>
      <w:tr>
        <w:trPr>
          <w:trHeight w:val="263"/>
        </w:trPr>
        <w:tc>
          <w:tcPr>
            <w:tcW w:w="120" w:type="dxa"/>
            <w:vAlign w:val="bottom"/>
          </w:tcPr>
          <w:p>
            <w:pPr>
              <w:spacing w:after="0"/>
              <w:rPr>
                <w:sz w:val="22"/>
                <w:szCs w:val="22"/>
                <w:color w:val="auto"/>
              </w:rPr>
            </w:pPr>
          </w:p>
        </w:tc>
        <w:tc>
          <w:tcPr>
            <w:tcW w:w="10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6"/>
              </w:rPr>
              <w:t>EXEMPTION</w:t>
            </w:r>
          </w:p>
        </w:tc>
        <w:tc>
          <w:tcPr>
            <w:tcW w:w="7240" w:type="dxa"/>
            <w:vAlign w:val="bottom"/>
            <w:gridSpan w:val="18"/>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4</w:t>
            </w:r>
          </w:p>
        </w:tc>
      </w:tr>
      <w:tr>
        <w:trPr>
          <w:trHeight w:val="263"/>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TRADEMARKS AND SERVICE MARKS</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4</w:t>
            </w:r>
          </w:p>
        </w:tc>
      </w:tr>
      <w:tr>
        <w:trPr>
          <w:trHeight w:val="264"/>
        </w:trPr>
        <w:tc>
          <w:tcPr>
            <w:tcW w:w="120" w:type="dxa"/>
            <w:vAlign w:val="bottom"/>
          </w:tcPr>
          <w:p>
            <w:pPr>
              <w:spacing w:after="0"/>
              <w:rPr>
                <w:sz w:val="22"/>
                <w:szCs w:val="22"/>
                <w:color w:val="auto"/>
              </w:rPr>
            </w:pPr>
          </w:p>
        </w:tc>
        <w:tc>
          <w:tcPr>
            <w:tcW w:w="214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9"/>
              </w:rPr>
              <w:t>MARKETING MATERIALS</w:t>
            </w:r>
          </w:p>
        </w:tc>
        <w:tc>
          <w:tcPr>
            <w:tcW w:w="980" w:type="dxa"/>
            <w:vAlign w:val="bottom"/>
            <w:tcBorders>
              <w:top w:val="single" w:sz="8" w:color="0000EE"/>
            </w:tcBorders>
            <w:gridSpan w:val="4"/>
          </w:tcPr>
          <w:p>
            <w:pPr>
              <w:spacing w:after="0"/>
              <w:rPr>
                <w:sz w:val="22"/>
                <w:szCs w:val="22"/>
                <w:color w:val="auto"/>
              </w:rPr>
            </w:pPr>
          </w:p>
        </w:tc>
        <w:tc>
          <w:tcPr>
            <w:tcW w:w="5160" w:type="dxa"/>
            <w:vAlign w:val="bottom"/>
            <w:gridSpan w:val="6"/>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4</w:t>
            </w:r>
          </w:p>
        </w:tc>
      </w:tr>
      <w:tr>
        <w:trPr>
          <w:trHeight w:val="263"/>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MARKET AND INDUSTRY DATA</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4</w:t>
            </w:r>
          </w:p>
        </w:tc>
      </w:tr>
      <w:tr>
        <w:trPr>
          <w:trHeight w:val="20"/>
        </w:trPr>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9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4"/>
              </w:rPr>
              <w:t>DOCUMENTS INCORPORATED BY REFERENCE</w:t>
            </w:r>
          </w:p>
        </w:tc>
        <w:tc>
          <w:tcPr>
            <w:tcW w:w="4380" w:type="dxa"/>
            <w:vAlign w:val="bottom"/>
            <w:gridSpan w:val="5"/>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5</w:t>
            </w:r>
          </w:p>
        </w:tc>
      </w:tr>
      <w:tr>
        <w:trPr>
          <w:trHeight w:val="263"/>
        </w:trPr>
        <w:tc>
          <w:tcPr>
            <w:tcW w:w="120" w:type="dxa"/>
            <w:vAlign w:val="bottom"/>
          </w:tcPr>
          <w:p>
            <w:pPr>
              <w:spacing w:after="0"/>
              <w:rPr>
                <w:sz w:val="22"/>
                <w:szCs w:val="22"/>
                <w:color w:val="auto"/>
              </w:rPr>
            </w:pPr>
          </w:p>
        </w:tc>
        <w:tc>
          <w:tcPr>
            <w:tcW w:w="16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3"/>
              </w:rPr>
              <w:t>THE CORPORATION</w:t>
            </w:r>
          </w:p>
        </w:tc>
        <w:tc>
          <w:tcPr>
            <w:tcW w:w="6620" w:type="dxa"/>
            <w:vAlign w:val="bottom"/>
            <w:gridSpan w:val="13"/>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6</w:t>
            </w:r>
          </w:p>
        </w:tc>
      </w:tr>
      <w:tr>
        <w:trPr>
          <w:trHeight w:val="263"/>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REGULATORY OVERVIEW</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9</w:t>
            </w:r>
          </w:p>
        </w:tc>
      </w:tr>
      <w:tr>
        <w:trPr>
          <w:trHeight w:val="264"/>
        </w:trPr>
        <w:tc>
          <w:tcPr>
            <w:tcW w:w="120" w:type="dxa"/>
            <w:vAlign w:val="bottom"/>
          </w:tcPr>
          <w:p>
            <w:pPr>
              <w:spacing w:after="0"/>
              <w:rPr>
                <w:sz w:val="22"/>
                <w:szCs w:val="22"/>
                <w:color w:val="auto"/>
              </w:rPr>
            </w:pPr>
          </w:p>
        </w:tc>
        <w:tc>
          <w:tcPr>
            <w:tcW w:w="216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w w:val="98"/>
              </w:rPr>
              <w:t>COMPLIANCE PROGRAM</w:t>
            </w:r>
          </w:p>
        </w:tc>
        <w:tc>
          <w:tcPr>
            <w:tcW w:w="6120" w:type="dxa"/>
            <w:vAlign w:val="bottom"/>
            <w:gridSpan w:val="9"/>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CONSOLIDATED CAPITALIZATION</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23</w:t>
            </w:r>
          </w:p>
        </w:tc>
      </w:tr>
      <w:tr>
        <w:trPr>
          <w:trHeight w:val="263"/>
        </w:trPr>
        <w:tc>
          <w:tcPr>
            <w:tcW w:w="120" w:type="dxa"/>
            <w:vAlign w:val="bottom"/>
          </w:tcPr>
          <w:p>
            <w:pPr>
              <w:spacing w:after="0"/>
              <w:rPr>
                <w:sz w:val="22"/>
                <w:szCs w:val="22"/>
                <w:color w:val="auto"/>
              </w:rPr>
            </w:pPr>
          </w:p>
        </w:tc>
        <w:tc>
          <w:tcPr>
            <w:tcW w:w="16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1"/>
              </w:rPr>
              <w:t>USE OF PROCEEDS</w:t>
            </w:r>
          </w:p>
        </w:tc>
        <w:tc>
          <w:tcPr>
            <w:tcW w:w="1260" w:type="dxa"/>
            <w:vAlign w:val="bottom"/>
            <w:tcBorders>
              <w:top w:val="single" w:sz="8" w:color="0000EE"/>
            </w:tcBorders>
            <w:gridSpan w:val="7"/>
          </w:tcPr>
          <w:p>
            <w:pPr>
              <w:spacing w:after="0"/>
              <w:rPr>
                <w:sz w:val="22"/>
                <w:szCs w:val="22"/>
                <w:color w:val="auto"/>
              </w:rPr>
            </w:pPr>
          </w:p>
        </w:tc>
        <w:tc>
          <w:tcPr>
            <w:tcW w:w="5420" w:type="dxa"/>
            <w:vAlign w:val="bottom"/>
            <w:gridSpan w:val="7"/>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24</w:t>
            </w:r>
          </w:p>
        </w:tc>
      </w:tr>
      <w:tr>
        <w:trPr>
          <w:trHeight w:val="263"/>
        </w:trPr>
        <w:tc>
          <w:tcPr>
            <w:tcW w:w="120" w:type="dxa"/>
            <w:vAlign w:val="bottom"/>
          </w:tcPr>
          <w:p>
            <w:pPr>
              <w:spacing w:after="0"/>
              <w:rPr>
                <w:sz w:val="22"/>
                <w:szCs w:val="22"/>
                <w:color w:val="auto"/>
              </w:rPr>
            </w:pPr>
          </w:p>
        </w:tc>
        <w:tc>
          <w:tcPr>
            <w:tcW w:w="1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DIVIDEND POLICY</w:t>
            </w:r>
          </w:p>
        </w:tc>
        <w:tc>
          <w:tcPr>
            <w:tcW w:w="6700" w:type="dxa"/>
            <w:vAlign w:val="bottom"/>
            <w:gridSpan w:val="15"/>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25</w:t>
            </w:r>
          </w:p>
        </w:tc>
      </w:tr>
      <w:tr>
        <w:trPr>
          <w:trHeight w:val="263"/>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DESCRIPTION OF SECURITIES BEING DISTRIBUTED</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26</w:t>
            </w:r>
          </w:p>
        </w:tc>
      </w:tr>
      <w:tr>
        <w:trPr>
          <w:trHeight w:val="264"/>
        </w:trPr>
        <w:tc>
          <w:tcPr>
            <w:tcW w:w="120" w:type="dxa"/>
            <w:vAlign w:val="bottom"/>
          </w:tcPr>
          <w:p>
            <w:pPr>
              <w:spacing w:after="0"/>
              <w:rPr>
                <w:sz w:val="22"/>
                <w:szCs w:val="22"/>
                <w:color w:val="auto"/>
              </w:rPr>
            </w:pPr>
          </w:p>
        </w:tc>
        <w:tc>
          <w:tcPr>
            <w:tcW w:w="432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PLAN OF DISTRIBUTION</w:t>
            </w:r>
          </w:p>
        </w:tc>
        <w:tc>
          <w:tcPr>
            <w:tcW w:w="3960" w:type="dxa"/>
            <w:vAlign w:val="bottom"/>
            <w:gridSpan w:val="3"/>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30</w:t>
            </w:r>
          </w:p>
        </w:tc>
      </w:tr>
      <w:tr>
        <w:trPr>
          <w:trHeight w:val="263"/>
        </w:trPr>
        <w:tc>
          <w:tcPr>
            <w:tcW w:w="120" w:type="dxa"/>
            <w:vAlign w:val="bottom"/>
          </w:tcPr>
          <w:p>
            <w:pPr>
              <w:spacing w:after="0"/>
              <w:rPr>
                <w:sz w:val="22"/>
                <w:szCs w:val="22"/>
                <w:color w:val="auto"/>
              </w:rPr>
            </w:pPr>
          </w:p>
        </w:tc>
        <w:tc>
          <w:tcPr>
            <w:tcW w:w="21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RISK FACTORS</w:t>
            </w:r>
          </w:p>
        </w:tc>
        <w:tc>
          <w:tcPr>
            <w:tcW w:w="6180" w:type="dxa"/>
            <w:vAlign w:val="bottom"/>
            <w:gridSpan w:val="11"/>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43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5"/>
              </w:rPr>
              <w:t>CERTAIN FEDERAL INCOME TAX CONSIDERATIONS</w:t>
            </w:r>
          </w:p>
        </w:tc>
        <w:tc>
          <w:tcPr>
            <w:tcW w:w="3940" w:type="dxa"/>
            <w:vAlign w:val="bottom"/>
            <w:gridSpan w:val="2"/>
          </w:tcPr>
          <w:p>
            <w:pPr>
              <w:spacing w:after="0"/>
              <w:rPr>
                <w:sz w:val="22"/>
                <w:szCs w:val="22"/>
                <w:color w:val="auto"/>
              </w:rPr>
            </w:pP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36</w:t>
            </w:r>
          </w:p>
        </w:tc>
      </w:tr>
      <w:tr>
        <w:trPr>
          <w:trHeight w:val="263"/>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LEGAL MATTERS</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36</w:t>
            </w:r>
          </w:p>
        </w:tc>
      </w:tr>
      <w:tr>
        <w:trPr>
          <w:trHeight w:val="20"/>
        </w:trPr>
        <w:tc>
          <w:tcPr>
            <w:tcW w:w="1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8280" w:type="dxa"/>
            <w:vAlign w:val="bottom"/>
            <w:gridSpan w:val="19"/>
          </w:tcPr>
          <w:p>
            <w:pPr>
              <w:spacing w:after="0"/>
              <w:rPr>
                <w:sz w:val="20"/>
                <w:szCs w:val="20"/>
                <w:color w:val="auto"/>
              </w:rPr>
            </w:pPr>
            <w:r>
              <w:rPr>
                <w:rFonts w:ascii="Arial" w:cs="Arial" w:eastAsia="Arial" w:hAnsi="Arial"/>
                <w:sz w:val="18"/>
                <w:szCs w:val="18"/>
                <w:color w:val="0000EE"/>
              </w:rPr>
              <w:t>AUDITORS, TRANSFER AGENT AND REGISTRAR</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37</w:t>
            </w:r>
          </w:p>
        </w:tc>
      </w:tr>
      <w:tr>
        <w:trPr>
          <w:trHeight w:val="490"/>
        </w:trPr>
        <w:tc>
          <w:tcPr>
            <w:tcW w:w="1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74"/>
        </w:trPr>
        <w:tc>
          <w:tcPr>
            <w:tcW w:w="12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40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540" w:type="dxa"/>
            <w:vAlign w:val="bottom"/>
            <w:shd w:val="clear" w:color="auto" w:fill="000000"/>
          </w:tcPr>
          <w:p>
            <w:pPr>
              <w:spacing w:after="0"/>
              <w:rPr>
                <w:sz w:val="6"/>
                <w:szCs w:val="6"/>
                <w:color w:val="auto"/>
              </w:rPr>
            </w:pPr>
          </w:p>
        </w:tc>
        <w:tc>
          <w:tcPr>
            <w:tcW w:w="2400" w:type="dxa"/>
            <w:vAlign w:val="bottom"/>
            <w:shd w:val="clear" w:color="auto" w:fill="000000"/>
          </w:tcPr>
          <w:p>
            <w:pPr>
              <w:spacing w:after="0"/>
              <w:rPr>
                <w:sz w:val="6"/>
                <w:szCs w:val="6"/>
                <w:color w:val="auto"/>
              </w:rPr>
            </w:pPr>
          </w:p>
        </w:tc>
        <w:tc>
          <w:tcPr>
            <w:tcW w:w="288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419" w:right="2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MATTERS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Arial" w:cs="Arial" w:eastAsia="Arial" w:hAnsi="Arial"/>
          <w:sz w:val="16"/>
          <w:szCs w:val="16"/>
          <w:b w:val="1"/>
          <w:bCs w:val="1"/>
          <w:color w:val="auto"/>
        </w:rPr>
        <w:t>Information contained on the Corporation’s website shall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Arial" w:cs="Arial" w:eastAsia="Arial" w:hAnsi="Arial"/>
          <w:sz w:val="16"/>
          <w:szCs w:val="16"/>
          <w:color w:val="auto"/>
        </w:rPr>
        <w:t>The Corporation is not making an offer of these Securities in any jurisdiction where the offer is not permitted. Investors should not assume</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6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information contained on www.cybin.com is not intended to be included in or incorporated by reference herein, and prospective purchasers should not rely on such information when deciding whether or not to invest in any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Prospectus, unless stated otherwise or the context requires otherwise, all dollar amounts are expressed in Canadian dollars.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229" w:lineRule="exact"/>
        <w:rPr>
          <w:sz w:val="20"/>
          <w:szCs w:val="20"/>
          <w:color w:val="auto"/>
        </w:rPr>
      </w:pPr>
    </w:p>
    <w:p>
      <w:pPr>
        <w:ind w:left="120" w:right="300"/>
        <w:spacing w:after="0" w:line="272" w:lineRule="auto"/>
        <w:rPr>
          <w:sz w:val="20"/>
          <w:szCs w:val="20"/>
          <w:color w:val="auto"/>
        </w:rPr>
      </w:pPr>
      <w:r>
        <w:rPr>
          <w:rFonts w:ascii="Arial" w:cs="Arial" w:eastAsia="Arial" w:hAnsi="Arial"/>
          <w:sz w:val="17"/>
          <w:szCs w:val="17"/>
          <w:color w:val="auto"/>
        </w:rPr>
        <w:t>Certain statements contained in this Prospectus, and in certain documents incorporated by reference in this Prospectus, constitute “forward-looking information” and “forward-looking statements”. All statements other than statements of historical fact contained in this Prospectus and in documents incorporated by reference in this Prospectus, including, without limitation, those regarding the Corporation’s future financial position and results of operations, strategy, plans, objectives, goals and targets, future developments in the markets where the Corporation participates or is seeking to participate, and any statements preceded by, followed by or that include the words “believe”, “expect”, “aim”, “intend”, “plan”, “continue”, “will”, “may”, “would”, “anticipate”, “estimate”, “forecast”, “predict”, “project”, “seek”, “should”, “objective”, “assumes” or similar expressions or the negative thereof, are forward-looking statements.</w:t>
      </w:r>
    </w:p>
    <w:p>
      <w:pPr>
        <w:spacing w:after="0" w:line="17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72"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Some of the risks which could affect future results and could cause results to differ materially from those expressed in the forward-looking statements contained herein include: novel coronavirus “COVID-19”; limited operating history; achieving publicly announced milestones; speculative nature of investment risk; early stage of the industry and product development; regulatory risks and uncertainties; Jamaican operations; emerging market risk;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Risks related to the Common Shares: market for the Common Shares; significant sales of Common Shares; volatile market price for the Common Shares; tax issues; no dividends; Risks related to an Offering and the Corporation: an investment in the Securities is speculative; completion of an Offering; receipt of all regulatory and stock exchange approvals in respect of an Offering; forward-looking statements may prove to be inaccurate; potential dilution; potential need for additional financing; negative operating cash flow and going concern; discretion over the use of proceeds; management of growth; the Common Shares are subject to market price volatility; no history of payment of cash dividends; limited operating history as a public company; and risks relating to research and development objectives and milestones.</w:t>
      </w:r>
    </w:p>
    <w:p>
      <w:pPr>
        <w:spacing w:after="0" w:line="18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89" w:lineRule="exact"/>
        <w:rPr>
          <w:sz w:val="20"/>
          <w:szCs w:val="20"/>
          <w:color w:val="auto"/>
        </w:rPr>
      </w:pPr>
    </w:p>
    <w:p>
      <w:pPr>
        <w:ind w:left="1100" w:hanging="433"/>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we will continue to incur significant losses in the future;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as to the Corporation’s ability to raise additional funding to support operations;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Corporation’s ability to access additional funding;</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of COVID-19 and the extent of its economic and social impact;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Corporation’s product candidates which are at early stages of development;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upon industry publications as the Corporation’s primary sources for third-party industry data and forecasts;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Corporation’s preclinical studies and clinical trials;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spacing w:after="0" w:line="130"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Corporation’s product candidates may fail to demonstrate safety and efficacy to the satisfaction of regulatory authorities or may not otherwise produce positive results;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spacing w:after="0" w:line="130"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Corporation’s reliance on the capabilities and experience of the Corporation’s key executives and scientists and the resulting loss of any of these individuals;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Corporation’s ability to fully realize the benefits of acquisitions;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Corporation’s ability to adequately protect the Corporation’s intellectual property and trade secrets;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spacing w:after="0" w:line="130" w:lineRule="exact"/>
        <w:rPr>
          <w:rFonts w:ascii="Arial" w:cs="Arial" w:eastAsia="Arial" w:hAnsi="Arial"/>
          <w:sz w:val="18"/>
          <w:szCs w:val="18"/>
          <w:color w:val="auto"/>
        </w:rPr>
      </w:pPr>
    </w:p>
    <w:p>
      <w:pPr>
        <w:ind w:left="1100" w:right="360" w:hanging="433"/>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of unforeseen changes to the laws or regulations in the United States, Jamaica and Canada and other jurisdictions in which the Corporation operates.</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7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 xml:space="preserve">In addition to the factors set out above and those identified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2"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Many of these factors are beyond the Corporation</w:t>
      </w:r>
      <w:r>
        <w:rPr>
          <w:rFonts w:ascii="Arial" w:cs="Arial" w:eastAsia="Arial" w:hAnsi="Arial"/>
          <w:sz w:val="18"/>
          <w:szCs w:val="18"/>
          <w:color w:val="auto"/>
        </w:rPr>
        <w:t>’</w:t>
      </w:r>
      <w:r>
        <w:rPr>
          <w:rFonts w:ascii="Arial" w:cs="Arial" w:eastAsia="Arial" w:hAnsi="Arial"/>
          <w:sz w:val="18"/>
          <w:szCs w:val="18"/>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Arial" w:cs="Arial" w:eastAsia="Arial" w:hAnsi="Arial"/>
          <w:sz w:val="18"/>
          <w:szCs w:val="18"/>
          <w:color w:val="auto"/>
        </w:rPr>
        <w:t>’</w:t>
      </w:r>
      <w:r>
        <w:rPr>
          <w:rFonts w:ascii="Arial" w:cs="Arial" w:eastAsia="Arial" w:hAnsi="Arial"/>
          <w:sz w:val="18"/>
          <w:szCs w:val="18"/>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18"/>
          <w:szCs w:val="18"/>
          <w:color w:val="auto"/>
        </w:rPr>
        <w:t>.</w:t>
      </w:r>
    </w:p>
    <w:p>
      <w:pPr>
        <w:spacing w:after="0" w:line="187" w:lineRule="exact"/>
        <w:rPr>
          <w:sz w:val="20"/>
          <w:szCs w:val="20"/>
          <w:color w:val="auto"/>
        </w:rPr>
      </w:pPr>
    </w:p>
    <w:p>
      <w:pPr>
        <w:ind w:left="120" w:right="220"/>
        <w:spacing w:after="0" w:line="281" w:lineRule="auto"/>
        <w:rPr>
          <w:sz w:val="20"/>
          <w:szCs w:val="20"/>
          <w:color w:val="auto"/>
        </w:rPr>
      </w:pPr>
      <w:r>
        <w:rPr>
          <w:rFonts w:ascii="Arial" w:cs="Arial" w:eastAsia="Arial" w:hAnsi="Arial"/>
          <w:sz w:val="17"/>
          <w:szCs w:val="17"/>
          <w:b w:val="1"/>
          <w:bCs w:val="1"/>
          <w:color w:val="auto"/>
        </w:rPr>
        <w:t xml:space="preserve">The forward-looking statements contained in this Prospectus and the documents incorporated by reference herein are expressly qualified in their entirety by the foregoing cautionary statement. </w:t>
      </w:r>
      <w:r>
        <w:rPr>
          <w:rFonts w:ascii="Arial" w:cs="Arial" w:eastAsia="Arial" w:hAnsi="Arial"/>
          <w:sz w:val="17"/>
          <w:szCs w:val="17"/>
          <w:color w:val="auto"/>
        </w:rPr>
        <w:t>Investors should read this entire Prospectus, including the Annual Information Form, the</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incorporated by reference herein, and each applicable Prospectus Supplement, and consult their own professional advisers to ascertain and assess the income tax and legal risks and other aspects associated with holding Securities.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EXEMPTION</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Pursuant to a decision of the Autorité des marchés financiers dated June 10, 2021, the Corporation was granted a permanent exemption from the requirement to translate into French this Prospectus as well as the documents incorporated by reference therein and any Prospectus Supplement to be filed in relation to an “at-the-market distribution”. This exemption is granted on the condition that this Prospectus and any Prospectus Supplement (other than in relation to an “at-the-market distribution”) be translated into French if the Corporation offers Securities to Québec purchasers in connection with an Offering of Securities other than in relation to an “at-the-market distribution”.</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This prospectus includes trademarks, trade names and service marks which are protected under applicable intellectual property laws for use in connection with the operation of our business, and which are the property of the Corporation. All other trade names, trademarks or service marks appearing in this prospectus that are not identified as marks owned by us are the property of their respective owners. Solely for convenience, trademarks, service marks and trade names referred to in this prospectus may be listed without the </w:t>
      </w:r>
      <w:r>
        <w:rPr>
          <w:rFonts w:ascii="Arial" w:cs="Arial" w:eastAsia="Arial" w:hAnsi="Arial"/>
          <w:sz w:val="14"/>
          <w:szCs w:val="14"/>
          <w:color w:val="auto"/>
        </w:rPr>
        <w:t>®</w:t>
      </w:r>
      <w:r>
        <w:rPr>
          <w:rFonts w:ascii="Arial" w:cs="Arial" w:eastAsia="Arial" w:hAnsi="Arial"/>
          <w:sz w:val="17"/>
          <w:szCs w:val="17"/>
          <w:color w:val="auto"/>
        </w:rPr>
        <w:t>, (</w:t>
      </w:r>
      <w:r>
        <w:rPr>
          <w:rFonts w:ascii="Arial" w:cs="Arial" w:eastAsia="Arial" w:hAnsi="Arial"/>
          <w:sz w:val="14"/>
          <w:szCs w:val="14"/>
          <w:color w:val="auto"/>
        </w:rPr>
        <w:t>TM</w:t>
      </w:r>
      <w:r>
        <w:rPr>
          <w:rFonts w:ascii="Arial" w:cs="Arial" w:eastAsia="Arial" w:hAnsi="Arial"/>
          <w:sz w:val="17"/>
          <w:szCs w:val="17"/>
          <w:color w:val="auto"/>
        </w:rPr>
        <w:t>) and (sm) symbols, however, we will assert, to the fullest extent under applicable law, our applicable rights in these trademarks, service marks and trade names.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MARKETING MATERIALS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Any template version of marketing materials (as such terms are defined in National Instrument 41-101 – </w:t>
      </w:r>
      <w:r>
        <w:rPr>
          <w:rFonts w:ascii="Arial" w:cs="Arial" w:eastAsia="Arial" w:hAnsi="Arial"/>
          <w:sz w:val="17"/>
          <w:szCs w:val="17"/>
          <w:i w:val="1"/>
          <w:iCs w:val="1"/>
          <w:color w:val="auto"/>
        </w:rPr>
        <w:t>General Prospectus Requirements</w:t>
      </w:r>
      <w:r>
        <w:rPr>
          <w:rFonts w:ascii="Arial" w:cs="Arial" w:eastAsia="Arial" w:hAnsi="Arial"/>
          <w:sz w:val="17"/>
          <w:szCs w:val="17"/>
          <w:color w:val="auto"/>
        </w:rPr>
        <w:t>) that are utilized in connection with the distribution of Securities will be filed under the Corporation’s profile on www.sedar.com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Market and industry data contained and incorporated by reference in this Prospectus or any applicable Prospectus Supplement concerning economic and industry trends is based upon good faith estimates of our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Arial" w:cs="Arial" w:eastAsia="Arial" w:hAnsi="Arial"/>
          <w:sz w:val="18"/>
          <w:szCs w:val="18"/>
          <w:i w:val="1"/>
          <w:iCs w:val="1"/>
          <w:color w:val="auto"/>
        </w:rPr>
        <w:t>Cautionary Note Regarding Forward-Looking Information”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in this Prospectus.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ind w:left="120" w:right="80"/>
        <w:spacing w:after="0" w:line="314" w:lineRule="auto"/>
        <w:rPr>
          <w:sz w:val="20"/>
          <w:szCs w:val="20"/>
          <w:color w:val="auto"/>
        </w:rPr>
      </w:pPr>
      <w:r>
        <w:rPr>
          <w:rFonts w:ascii="Arial" w:cs="Arial" w:eastAsia="Arial" w:hAnsi="Arial"/>
          <w:sz w:val="16"/>
          <w:szCs w:val="16"/>
          <w:b w:val="1"/>
          <w:bCs w:val="1"/>
          <w:color w:val="auto"/>
        </w:rPr>
        <w:t xml:space="preserve">Information has been incorporated by reference in this Prospectus from documents filed with securities commissions or similar authorities in Canada. </w:t>
      </w:r>
      <w:r>
        <w:rPr>
          <w:rFonts w:ascii="Arial" w:cs="Arial" w:eastAsia="Arial" w:hAnsi="Arial"/>
          <w:sz w:val="16"/>
          <w:szCs w:val="16"/>
          <w:color w:val="auto"/>
        </w:rPr>
        <w:t>Copies of the documents incorporated herein by reference may be obtained on request without charge from the Secretary of the Corporation at</w:t>
      </w:r>
      <w:r>
        <w:rPr>
          <w:rFonts w:ascii="Arial" w:cs="Arial" w:eastAsia="Arial" w:hAnsi="Arial"/>
          <w:sz w:val="16"/>
          <w:szCs w:val="16"/>
          <w:b w:val="1"/>
          <w:bCs w:val="1"/>
          <w:color w:val="auto"/>
        </w:rPr>
        <w:t xml:space="preserve"> </w:t>
      </w:r>
      <w:r>
        <w:rPr>
          <w:rFonts w:ascii="Arial" w:cs="Arial" w:eastAsia="Arial" w:hAnsi="Arial"/>
          <w:sz w:val="16"/>
          <w:szCs w:val="16"/>
          <w:color w:val="auto"/>
        </w:rPr>
        <w:t>100 King Street West, Suite 5600, Toronto, Ontario M5X 1C9, telephone (908) 764-8385, and are also available electronically on SEDAR.</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documents of the Corporation filed with the securities commissions or similar authorities in Canada are incorporated by reference in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w:t>
      </w:r>
    </w:p>
    <w:p>
      <w:pPr>
        <w:spacing w:after="0" w:line="112" w:lineRule="exact"/>
        <w:rPr>
          <w:sz w:val="20"/>
          <w:szCs w:val="20"/>
          <w:color w:val="auto"/>
        </w:rPr>
      </w:pPr>
    </w:p>
    <w:p>
      <w:pPr>
        <w:ind w:left="1100" w:hanging="544"/>
        <w:spacing w:after="0"/>
        <w:tabs>
          <w:tab w:leader="none" w:pos="1100" w:val="left"/>
        </w:tabs>
        <w:numPr>
          <w:ilvl w:val="0"/>
          <w:numId w:val="16"/>
        </w:numPr>
        <w:rPr>
          <w:rFonts w:ascii="Arial" w:cs="Arial" w:eastAsia="Arial" w:hAnsi="Arial"/>
          <w:sz w:val="16"/>
          <w:szCs w:val="16"/>
          <w:u w:val="single" w:color="auto"/>
          <w:color w:val="0000EE"/>
        </w:rPr>
      </w:pPr>
      <w:hyperlink r:id="rId68">
        <w:r>
          <w:rPr>
            <w:rFonts w:ascii="Arial" w:cs="Arial" w:eastAsia="Arial" w:hAnsi="Arial"/>
            <w:sz w:val="16"/>
            <w:szCs w:val="16"/>
            <w:u w:val="single" w:color="auto"/>
            <w:color w:val="0000EE"/>
          </w:rPr>
          <w:t>annual information form of the Corporation dated June 24, 2021 (the “</w:t>
        </w:r>
        <w:r>
          <w:rPr>
            <w:rFonts w:ascii="Arial" w:cs="Arial" w:eastAsia="Arial" w:hAnsi="Arial"/>
            <w:sz w:val="16"/>
            <w:szCs w:val="16"/>
            <w:b w:val="1"/>
            <w:bCs w:val="1"/>
            <w:u w:val="single" w:color="auto"/>
            <w:color w:val="0000EE"/>
          </w:rPr>
          <w:t>Annual Information Form</w:t>
        </w:r>
        <w:r>
          <w:rPr>
            <w:rFonts w:ascii="Arial" w:cs="Arial" w:eastAsia="Arial" w:hAnsi="Arial"/>
            <w:sz w:val="16"/>
            <w:szCs w:val="16"/>
            <w:u w:val="single" w:color="auto"/>
            <w:color w:val="0000EE"/>
          </w:rPr>
          <w:t>”) for the year ended March 31, 2021;</w:t>
        </w:r>
      </w:hyperlink>
    </w:p>
    <w:p>
      <w:pPr>
        <w:spacing w:after="0" w:line="157" w:lineRule="exact"/>
        <w:rPr>
          <w:rFonts w:ascii="Arial" w:cs="Arial" w:eastAsia="Arial" w:hAnsi="Arial"/>
          <w:sz w:val="16"/>
          <w:szCs w:val="16"/>
          <w:u w:val="single" w:color="auto"/>
          <w:color w:val="0000EE"/>
        </w:rPr>
      </w:pPr>
    </w:p>
    <w:p>
      <w:pPr>
        <w:ind w:left="1100" w:right="200" w:hanging="544"/>
        <w:spacing w:after="0" w:line="277" w:lineRule="auto"/>
        <w:tabs>
          <w:tab w:leader="none" w:pos="1100" w:val="left"/>
        </w:tabs>
        <w:numPr>
          <w:ilvl w:val="0"/>
          <w:numId w:val="16"/>
        </w:numPr>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the audited consolidated financial statements of the Corporation and the notes thereto as at and for the fiscal year ended March 31, 2021,</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together with the auditor’s report thereon (the “</w:t>
        </w:r>
        <w:r>
          <w:rPr>
            <w:rFonts w:ascii="Arial" w:cs="Arial" w:eastAsia="Arial" w:hAnsi="Arial"/>
            <w:sz w:val="18"/>
            <w:szCs w:val="18"/>
            <w:b w:val="1"/>
            <w:bCs w:val="1"/>
            <w:u w:val="single" w:color="auto"/>
            <w:color w:val="0000EE"/>
          </w:rPr>
          <w:t>Annual Financial Statements</w:t>
        </w:r>
        <w:r>
          <w:rPr>
            <w:rFonts w:ascii="Arial" w:cs="Arial" w:eastAsia="Arial" w:hAnsi="Arial"/>
            <w:sz w:val="18"/>
            <w:szCs w:val="18"/>
            <w:u w:val="single" w:color="auto"/>
            <w:color w:val="0000EE"/>
          </w:rPr>
          <w:t>”);</w:t>
        </w:r>
      </w:hyperlink>
    </w:p>
    <w:p>
      <w:pPr>
        <w:spacing w:after="0" w:line="71" w:lineRule="exact"/>
        <w:rPr>
          <w:rFonts w:ascii="Arial" w:cs="Arial" w:eastAsia="Arial" w:hAnsi="Arial"/>
          <w:sz w:val="18"/>
          <w:szCs w:val="18"/>
          <w:u w:val="single" w:color="auto"/>
          <w:color w:val="0000EE"/>
        </w:rPr>
      </w:pPr>
    </w:p>
    <w:p>
      <w:pPr>
        <w:ind w:left="1100" w:hanging="544"/>
        <w:spacing w:after="0"/>
        <w:tabs>
          <w:tab w:leader="none" w:pos="1100" w:val="left"/>
        </w:tabs>
        <w:numPr>
          <w:ilvl w:val="0"/>
          <w:numId w:val="16"/>
        </w:numPr>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management’s discussion and analysis of the Corporation for the year ended March 31, 2021 (the “</w:t>
        </w:r>
        <w:r>
          <w:rPr>
            <w:rFonts w:ascii="Arial" w:cs="Arial" w:eastAsia="Arial" w:hAnsi="Arial"/>
            <w:sz w:val="18"/>
            <w:szCs w:val="18"/>
            <w:b w:val="1"/>
            <w:bCs w:val="1"/>
            <w:u w:val="single" w:color="auto"/>
            <w:color w:val="0000EE"/>
          </w:rPr>
          <w:t>Annual MD&amp;A</w:t>
        </w:r>
        <w:r>
          <w:rPr>
            <w:rFonts w:ascii="Arial" w:cs="Arial" w:eastAsia="Arial" w:hAnsi="Arial"/>
            <w:sz w:val="18"/>
            <w:szCs w:val="18"/>
            <w:u w:val="single" w:color="auto"/>
            <w:color w:val="0000EE"/>
          </w:rPr>
          <w:t>”);</w:t>
        </w:r>
      </w:hyperlink>
    </w:p>
    <w:p>
      <w:pPr>
        <w:spacing w:after="0" w:line="134" w:lineRule="exact"/>
        <w:rPr>
          <w:rFonts w:ascii="Arial" w:cs="Arial" w:eastAsia="Arial" w:hAnsi="Arial"/>
          <w:sz w:val="18"/>
          <w:szCs w:val="18"/>
          <w:u w:val="single" w:color="auto"/>
          <w:color w:val="0000EE"/>
        </w:rPr>
      </w:pPr>
    </w:p>
    <w:p>
      <w:pPr>
        <w:ind w:left="1100" w:right="120" w:hanging="544"/>
        <w:spacing w:after="0" w:line="277" w:lineRule="auto"/>
        <w:tabs>
          <w:tab w:leader="none" w:pos="1100" w:val="left"/>
        </w:tabs>
        <w:numPr>
          <w:ilvl w:val="0"/>
          <w:numId w:val="16"/>
        </w:numPr>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management information circular of the Corporation dated April 22, 2021 relating to a special meeting of shareholders of the Corporation</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held on May 21, 2021;</w:t>
        </w:r>
      </w:hyperlink>
    </w:p>
    <w:p>
      <w:pPr>
        <w:spacing w:after="0" w:line="75" w:lineRule="exact"/>
        <w:rPr>
          <w:rFonts w:ascii="Arial" w:cs="Arial" w:eastAsia="Arial" w:hAnsi="Arial"/>
          <w:sz w:val="18"/>
          <w:szCs w:val="18"/>
          <w:u w:val="single" w:color="auto"/>
          <w:color w:val="0000EE"/>
        </w:rPr>
      </w:pPr>
    </w:p>
    <w:p>
      <w:pPr>
        <w:ind w:left="1100" w:right="200" w:hanging="544"/>
        <w:spacing w:after="0" w:line="277" w:lineRule="auto"/>
        <w:tabs>
          <w:tab w:leader="none" w:pos="1100" w:val="left"/>
        </w:tabs>
        <w:numPr>
          <w:ilvl w:val="0"/>
          <w:numId w:val="16"/>
        </w:numPr>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management information circular of Clarmin Exploration Inc. (now the Corporation) date July 15, 2020 relating to an annual and special</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meeting of shareholders held August 13, 2020; and</w:t>
        </w:r>
      </w:hyperlink>
    </w:p>
    <w:p>
      <w:pPr>
        <w:spacing w:after="0" w:line="71" w:lineRule="exact"/>
        <w:rPr>
          <w:rFonts w:ascii="Arial" w:cs="Arial" w:eastAsia="Arial" w:hAnsi="Arial"/>
          <w:sz w:val="18"/>
          <w:szCs w:val="18"/>
          <w:u w:val="single" w:color="auto"/>
          <w:color w:val="0000EE"/>
        </w:rPr>
      </w:pPr>
    </w:p>
    <w:p>
      <w:pPr>
        <w:ind w:left="1100" w:right="340" w:hanging="544"/>
        <w:spacing w:after="0" w:line="282" w:lineRule="auto"/>
        <w:tabs>
          <w:tab w:leader="none" w:pos="1100" w:val="left"/>
        </w:tabs>
        <w:numPr>
          <w:ilvl w:val="0"/>
          <w:numId w:val="16"/>
        </w:numPr>
        <w:rPr>
          <w:rFonts w:ascii="Arial" w:cs="Arial" w:eastAsia="Arial" w:hAnsi="Arial"/>
          <w:sz w:val="18"/>
          <w:szCs w:val="18"/>
          <w:b w:val="1"/>
          <w:bCs w:val="1"/>
          <w:u w:val="single" w:color="auto"/>
          <w:color w:val="0000EE"/>
        </w:rPr>
      </w:pPr>
      <w:hyperlink r:id="rId73">
        <w:r>
          <w:rPr>
            <w:rFonts w:ascii="Arial" w:cs="Arial" w:eastAsia="Arial" w:hAnsi="Arial"/>
            <w:sz w:val="18"/>
            <w:szCs w:val="18"/>
            <w:u w:val="single" w:color="auto"/>
            <w:color w:val="0000EE"/>
          </w:rPr>
          <w:t>business acquisition report dated January 22, 2021 in respect of the Corporation’s acquisition of Adelia Therapeutics Inc. (the “</w:t>
        </w:r>
        <w:r>
          <w:rPr>
            <w:rFonts w:ascii="Arial" w:cs="Arial" w:eastAsia="Arial" w:hAnsi="Arial"/>
            <w:sz w:val="18"/>
            <w:szCs w:val="18"/>
            <w:b w:val="1"/>
            <w:bCs w:val="1"/>
            <w:u w:val="single" w:color="auto"/>
            <w:color w:val="0000EE"/>
          </w:rPr>
          <w:t>Adelia</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b w:val="1"/>
            <w:bCs w:val="1"/>
            <w:u w:val="single" w:color="auto"/>
            <w:color w:val="0000EE"/>
          </w:rPr>
          <w:t>Transaction</w:t>
        </w:r>
        <w:r>
          <w:rPr>
            <w:rFonts w:ascii="Arial" w:cs="Arial" w:eastAsia="Arial" w:hAnsi="Arial"/>
            <w:sz w:val="18"/>
            <w:szCs w:val="18"/>
            <w:u w:val="single" w:color="auto"/>
            <w:color w:val="0000EE"/>
          </w:rPr>
          <w:t>”), see</w:t>
        </w:r>
        <w:r>
          <w:rPr>
            <w:rFonts w:ascii="Arial" w:cs="Arial" w:eastAsia="Arial" w:hAnsi="Arial"/>
            <w:sz w:val="18"/>
            <w:szCs w:val="18"/>
            <w:b w:val="1"/>
            <w:bCs w:val="1"/>
            <w:u w:val="single" w:color="auto"/>
            <w:color w:val="0000EE"/>
          </w:rPr>
          <w:t xml:space="preserve"> </w:t>
        </w:r>
        <w:r>
          <w:rPr>
            <w:rFonts w:ascii="Arial" w:cs="Arial" w:eastAsia="Arial" w:hAnsi="Arial"/>
            <w:sz w:val="18"/>
            <w:szCs w:val="18"/>
            <w:i w:val="1"/>
            <w:iCs w:val="1"/>
            <w:u w:val="single" w:color="auto"/>
            <w:color w:val="0000EE"/>
          </w:rPr>
          <w:t>“Select Recent Developments”</w:t>
        </w:r>
        <w:r>
          <w:rPr>
            <w:rFonts w:ascii="Arial" w:cs="Arial" w:eastAsia="Arial" w:hAnsi="Arial"/>
            <w:sz w:val="18"/>
            <w:szCs w:val="18"/>
            <w:u w:val="single" w:color="auto"/>
            <w:color w:val="0000EE"/>
          </w:rPr>
          <w:t>.</w:t>
        </w:r>
      </w:hyperlink>
    </w:p>
    <w:p>
      <w:pPr>
        <w:spacing w:after="0" w:line="166" w:lineRule="exact"/>
        <w:rPr>
          <w:rFonts w:ascii="Arial" w:cs="Arial" w:eastAsia="Arial" w:hAnsi="Arial"/>
          <w:sz w:val="18"/>
          <w:szCs w:val="18"/>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Any document of the type referred to in Section 11.1 of Form 44-101F1 – </w:t>
      </w:r>
      <w:r>
        <w:rPr>
          <w:rFonts w:ascii="Arial" w:cs="Arial" w:eastAsia="Arial" w:hAnsi="Arial"/>
          <w:sz w:val="18"/>
          <w:szCs w:val="18"/>
          <w:i w:val="1"/>
          <w:iCs w:val="1"/>
          <w:color w:val="auto"/>
        </w:rPr>
        <w:t>Short Form Prospectus Distributions</w:t>
      </w:r>
      <w:r>
        <w:rPr>
          <w:rFonts w:ascii="Arial" w:cs="Arial" w:eastAsia="Arial" w:hAnsi="Arial"/>
          <w:sz w:val="18"/>
          <w:szCs w:val="18"/>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80" w:lineRule="exact"/>
        <w:rPr>
          <w:rFonts w:ascii="Arial" w:cs="Arial" w:eastAsia="Arial" w:hAnsi="Arial"/>
          <w:sz w:val="18"/>
          <w:szCs w:val="18"/>
          <w:color w:val="auto"/>
        </w:rPr>
      </w:pPr>
    </w:p>
    <w:p>
      <w:pPr>
        <w:ind w:left="120" w:right="140"/>
        <w:spacing w:after="0" w:line="271" w:lineRule="auto"/>
        <w:rPr>
          <w:sz w:val="20"/>
          <w:szCs w:val="20"/>
          <w:color w:val="auto"/>
        </w:rPr>
      </w:pPr>
      <w:r>
        <w:rPr>
          <w:rFonts w:ascii="Arial" w:cs="Arial" w:eastAsia="Arial" w:hAnsi="Arial"/>
          <w:sz w:val="17"/>
          <w:szCs w:val="17"/>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78" w:lineRule="exact"/>
        <w:rPr>
          <w:rFonts w:ascii="Arial" w:cs="Arial" w:eastAsia="Arial" w:hAnsi="Arial"/>
          <w:sz w:val="18"/>
          <w:szCs w:val="18"/>
          <w:color w:val="auto"/>
        </w:rPr>
      </w:pPr>
    </w:p>
    <w:p>
      <w:pPr>
        <w:ind w:left="120" w:right="160"/>
        <w:spacing w:after="0" w:line="296" w:lineRule="auto"/>
        <w:rPr>
          <w:sz w:val="20"/>
          <w:szCs w:val="20"/>
          <w:color w:val="auto"/>
        </w:rPr>
      </w:pPr>
      <w:r>
        <w:rPr>
          <w:rFonts w:ascii="Arial" w:cs="Arial" w:eastAsia="Arial" w:hAnsi="Arial"/>
          <w:sz w:val="16"/>
          <w:szCs w:val="16"/>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57" w:lineRule="exact"/>
        <w:rPr>
          <w:rFonts w:ascii="Arial" w:cs="Arial" w:eastAsia="Arial" w:hAnsi="Arial"/>
          <w:sz w:val="18"/>
          <w:szCs w:val="18"/>
          <w:color w:val="auto"/>
        </w:rPr>
      </w:pPr>
    </w:p>
    <w:p>
      <w:pPr>
        <w:jc w:val="both"/>
        <w:ind w:left="120" w:right="240"/>
        <w:spacing w:after="0" w:line="343" w:lineRule="auto"/>
        <w:rPr>
          <w:sz w:val="20"/>
          <w:szCs w:val="20"/>
          <w:color w:val="auto"/>
        </w:rPr>
      </w:pPr>
      <w:r>
        <w:rPr>
          <w:rFonts w:ascii="Arial" w:cs="Arial" w:eastAsia="Arial" w:hAnsi="Arial"/>
          <w:sz w:val="15"/>
          <w:szCs w:val="15"/>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61"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40"/>
          </w:cols>
          <w:pgMar w:left="320" w:top="419"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CORPORATION</w:t>
      </w:r>
    </w:p>
    <w:p>
      <w:pPr>
        <w:spacing w:after="0" w:line="22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the Business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Corporation is a biotechnology company focused on advancing pharmaceutical therapies, delivery mechanisms, novel compounds and protocols as potential therapies for various psychiatric and neurological conditions. The Corporation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spacing w:after="0" w:line="18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Corporation believes that there is presently a sizeable legal market for psychedelic pharmaceutical and nutraceutical products and, further, believes that there is a promising prospect for a strong, legal psychedelic pharmaceutical and nutraceutical industry to emerge globally. In particular, although the legal market for psychedelic pharmaceutical products is presently limited, globally, and in some jurisdictions it is still in its early stages, the Corporation believes that , in time, owing to generally increased acceptance and regulation of psychedelic-based treatments, this will give way to the emergence of numerous and sizable opportunities for market participants, including the Corporation.</w:t>
      </w:r>
    </w:p>
    <w:p>
      <w:pPr>
        <w:spacing w:after="0" w:line="17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Psychedelics are progressively emerging as potential alternative candidates for conventional therapies for individuals suffering from elusive maladies like post-traumatic stress disorder (“</w:t>
      </w:r>
      <w:r>
        <w:rPr>
          <w:rFonts w:ascii="Arial" w:cs="Arial" w:eastAsia="Arial" w:hAnsi="Arial"/>
          <w:sz w:val="16"/>
          <w:szCs w:val="16"/>
          <w:b w:val="1"/>
          <w:bCs w:val="1"/>
          <w:color w:val="auto"/>
        </w:rPr>
        <w:t>PTSD</w:t>
      </w:r>
      <w:r>
        <w:rPr>
          <w:rFonts w:ascii="Arial" w:cs="Arial" w:eastAsia="Arial" w:hAnsi="Arial"/>
          <w:sz w:val="16"/>
          <w:szCs w:val="16"/>
          <w:color w:val="auto"/>
        </w:rPr>
        <w:t>”), addiction, anxiety, and depression.</w:t>
      </w:r>
      <w:r>
        <w:rPr>
          <w:rFonts w:ascii="Arial" w:cs="Arial" w:eastAsia="Arial" w:hAnsi="Arial"/>
          <w:sz w:val="13"/>
          <w:szCs w:val="13"/>
          <w:color w:val="auto"/>
        </w:rPr>
        <w:t>1</w:t>
      </w:r>
      <w:r>
        <w:rPr>
          <w:rFonts w:ascii="Arial" w:cs="Arial" w:eastAsia="Arial" w:hAnsi="Arial"/>
          <w:sz w:val="16"/>
          <w:szCs w:val="16"/>
          <w:color w:val="auto"/>
        </w:rPr>
        <w:t xml:space="preserve"> For example, in August of 2020, as a result of the efforts of TheraPsil, a non-profit coalition that advocates for a legal, Special Access Programme access to psilocybin therapy for palliative care of Canadians, four Canadians with incurable cancer were approved by the Canadian federal Minister of Health, to use psilocybin therapy in the treatment of their end-of-life distress.</w:t>
      </w:r>
      <w:r>
        <w:rPr>
          <w:rFonts w:ascii="Arial" w:cs="Arial" w:eastAsia="Arial" w:hAnsi="Arial"/>
          <w:sz w:val="13"/>
          <w:szCs w:val="13"/>
          <w:color w:val="auto"/>
        </w:rPr>
        <w:t>2</w:t>
      </w:r>
    </w:p>
    <w:p>
      <w:pPr>
        <w:spacing w:after="0" w:line="15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 of the date of this Prospectus, certain synthetic psychoactive tryptamines and phenthylamines are being researched as candidates for the treatment of several psychiatric conditions, such as PTSD and depression.</w:t>
      </w:r>
      <w:r>
        <w:rPr>
          <w:rFonts w:ascii="Arial" w:cs="Arial" w:eastAsia="Arial" w:hAnsi="Arial"/>
          <w:sz w:val="13"/>
          <w:szCs w:val="13"/>
          <w:color w:val="auto"/>
        </w:rPr>
        <w:t>3</w:t>
      </w:r>
      <w:r>
        <w:rPr>
          <w:rFonts w:ascii="Arial" w:cs="Arial" w:eastAsia="Arial" w:hAnsi="Arial"/>
          <w:sz w:val="16"/>
          <w:szCs w:val="16"/>
          <w:color w:val="auto"/>
        </w:rPr>
        <w:t xml:space="preserve"> In 2018 and 2019, for example, the FDA granted breakthrough therapy designation for psilocybin for use as a candidate in the treatment of Major Depressive Disorder (“</w:t>
      </w:r>
      <w:r>
        <w:rPr>
          <w:rFonts w:ascii="Arial" w:cs="Arial" w:eastAsia="Arial" w:hAnsi="Arial"/>
          <w:sz w:val="16"/>
          <w:szCs w:val="16"/>
          <w:b w:val="1"/>
          <w:bCs w:val="1"/>
          <w:color w:val="auto"/>
        </w:rPr>
        <w:t>MDD</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xml:space="preserve"> At present, treatments for such conditions are limited in effectiveness, with some traditional treatment methods posing a heightened risk of complications. By contrast, the Corporation expects that psychoactive compounds, such as psilocybin, may in time also emerge as a safer and healthier medical treatment alternative for various ailments.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340" w:hanging="224"/>
        <w:spacing w:after="0"/>
        <w:tabs>
          <w:tab w:leader="none" w:pos="340" w:val="left"/>
        </w:tabs>
        <w:numPr>
          <w:ilvl w:val="0"/>
          <w:numId w:val="17"/>
        </w:numPr>
        <w:rPr>
          <w:rFonts w:ascii="Arial" w:cs="Arial" w:eastAsia="Arial" w:hAnsi="Arial"/>
          <w:sz w:val="15"/>
          <w:szCs w:val="15"/>
          <w:color w:val="auto"/>
        </w:rPr>
      </w:pPr>
      <w:r>
        <w:rPr>
          <w:rFonts w:ascii="Arial" w:cs="Arial" w:eastAsia="Arial" w:hAnsi="Arial"/>
          <w:sz w:val="18"/>
          <w:szCs w:val="18"/>
          <w:color w:val="auto"/>
        </w:rPr>
        <w:t>https://www.baystreet.ca/stockstowatch/7145/Magic-Mushroom-Market-Set-to-Grow-10-Feet-Tall.</w:t>
      </w:r>
    </w:p>
    <w:p>
      <w:pPr>
        <w:spacing w:after="0" w:line="22" w:lineRule="exact"/>
        <w:rPr>
          <w:sz w:val="20"/>
          <w:szCs w:val="20"/>
          <w:color w:val="auto"/>
        </w:rPr>
      </w:pPr>
    </w:p>
    <w:p>
      <w:pPr>
        <w:ind w:left="340" w:right="340" w:hanging="224"/>
        <w:spacing w:after="0" w:line="250"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https://www.forbes.com/sites/davidcarpenter/2020/08/08/four-terminally-ill-canadians-gain-legal-right-to-use-magic-mushrooms-for-end-of-life-distress/#3194f50a2bdf.</w:t>
      </w:r>
    </w:p>
    <w:p>
      <w:pPr>
        <w:spacing w:after="0" w:line="1" w:lineRule="exact"/>
        <w:rPr>
          <w:sz w:val="20"/>
          <w:szCs w:val="20"/>
          <w:color w:val="auto"/>
        </w:rPr>
      </w:pPr>
    </w:p>
    <w:p>
      <w:pPr>
        <w:ind w:left="340" w:hanging="224"/>
        <w:spacing w:after="0"/>
        <w:tabs>
          <w:tab w:leader="none" w:pos="3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https://www.healtheuropa.eu/worlds-first-magic-mushroom-nasal-spray-for-ptsd-and-depression/95434/.</w:t>
      </w:r>
    </w:p>
    <w:p>
      <w:pPr>
        <w:spacing w:after="0" w:line="9" w:lineRule="exact"/>
        <w:rPr>
          <w:sz w:val="20"/>
          <w:szCs w:val="20"/>
          <w:color w:val="auto"/>
        </w:rPr>
      </w:pPr>
    </w:p>
    <w:p>
      <w:pPr>
        <w:ind w:left="340" w:right="240" w:hanging="224"/>
        <w:spacing w:after="0" w:line="262" w:lineRule="auto"/>
        <w:tabs>
          <w:tab w:leader="none" w:pos="340" w:val="left"/>
        </w:tabs>
        <w:numPr>
          <w:ilvl w:val="0"/>
          <w:numId w:val="20"/>
        </w:numPr>
        <w:rPr>
          <w:rFonts w:ascii="Arial" w:cs="Arial" w:eastAsia="Arial" w:hAnsi="Arial"/>
          <w:sz w:val="15"/>
          <w:szCs w:val="15"/>
          <w:color w:val="auto"/>
        </w:rPr>
      </w:pPr>
      <w:r>
        <w:rPr>
          <w:rFonts w:ascii="Arial" w:cs="Arial" w:eastAsia="Arial" w:hAnsi="Arial"/>
          <w:sz w:val="18"/>
          <w:szCs w:val="18"/>
          <w:color w:val="auto"/>
        </w:rPr>
        <w:t>https://www.biopharmaglobal.com/2019/11/26/usona-institute-receives-fda-breakthrough-therapy-designation-for-psilocybin-for-the-treatment-of-major-depressive-disorder/.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Corporation’s target market is focused on psychedelic pharmaceutical and non-psychedelic products. The Corporation views its synthetic psychedelic substances as boosters for the brain that can potentially rebuild pathways and break negative patterns all while looking at non-psychedelic medical extracts as the next wave of nutraceuticals that can potentially optimize overall health.</w:t>
      </w:r>
      <w:r>
        <w:rPr>
          <w:rFonts w:ascii="Arial" w:cs="Arial" w:eastAsia="Arial" w:hAnsi="Arial"/>
          <w:sz w:val="15"/>
          <w:szCs w:val="15"/>
          <w:color w:val="auto"/>
        </w:rPr>
        <w:t>5</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 Corporation currently has two business segments: (a) Serenity Life and Cybin U.S. that focus on the research and development of psychedelic pharmaceutical products; and (b) Natures Journey that focuses on consumer mental wellness, including non-psychedelic nutraceutical products.</w:t>
      </w:r>
    </w:p>
    <w:p>
      <w:pPr>
        <w:spacing w:after="0" w:line="12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For additional information in respect of the Corporation and its operation, please see the Corporation’s Annual Information Form incorporated by reference into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Inter-Corporate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168910</wp:posOffset>
            </wp:positionV>
            <wp:extent cx="2005965" cy="2434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200596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540" w:right="1560"/>
        <w:spacing w:after="0" w:line="277" w:lineRule="auto"/>
        <w:rPr>
          <w:sz w:val="20"/>
          <w:szCs w:val="20"/>
          <w:color w:val="auto"/>
        </w:rPr>
      </w:pPr>
      <w:r>
        <w:rPr>
          <w:rFonts w:ascii="Arial" w:cs="Arial" w:eastAsia="Arial" w:hAnsi="Arial"/>
          <w:sz w:val="18"/>
          <w:szCs w:val="18"/>
          <w:color w:val="auto"/>
        </w:rPr>
        <w:t>Note: (1) The Adelia Shareholders (defined below) hold certain non-voting securities of Cybin US, see “</w:t>
      </w:r>
      <w:r>
        <w:rPr>
          <w:rFonts w:ascii="Arial" w:cs="Arial" w:eastAsia="Arial" w:hAnsi="Arial"/>
          <w:sz w:val="18"/>
          <w:szCs w:val="18"/>
          <w:i w:val="1"/>
          <w:iCs w:val="1"/>
          <w:color w:val="auto"/>
        </w:rPr>
        <w:t>Select</w:t>
      </w:r>
      <w:r>
        <w:rPr>
          <w:rFonts w:ascii="Arial" w:cs="Arial" w:eastAsia="Arial" w:hAnsi="Arial"/>
          <w:sz w:val="18"/>
          <w:szCs w:val="18"/>
          <w:color w:val="auto"/>
        </w:rPr>
        <w:t xml:space="preserve"> </w:t>
      </w:r>
      <w:r>
        <w:rPr>
          <w:rFonts w:ascii="Arial" w:cs="Arial" w:eastAsia="Arial" w:hAnsi="Arial"/>
          <w:sz w:val="18"/>
          <w:szCs w:val="18"/>
          <w:i w:val="1"/>
          <w:iCs w:val="1"/>
          <w:color w:val="auto"/>
        </w:rPr>
        <w:t>Recent Developments</w:t>
      </w:r>
      <w:r>
        <w:rPr>
          <w:rFonts w:ascii="Arial" w:cs="Arial" w:eastAsia="Arial" w:hAnsi="Arial"/>
          <w:sz w:val="18"/>
          <w:szCs w:val="18"/>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340" w:hanging="224"/>
        <w:spacing w:after="0" w:line="272"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7"/>
          <w:szCs w:val="17"/>
          <w:color w:val="auto"/>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60"/>
          </w:cols>
          <w:pgMar w:left="320" w:top="419" w:right="5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 pandemic. Since the outbreak of COVID-19, the Corporation has focused its efforts on safeguarding the health and well-being of its employees, consultants and community members. To help slow the spread of COVID-19, the Corporation’s employees have been working remotely, where possible, and abiding by local and national guidance put in place in Canada, the United States, and Jamaica related to social distancing and restrictions on travel outside of the home. The Corporation has and will continue to abide by the protocols within Canada, the United States, and Jamaica regarding the performance of work activities. The duration and the immediate and eventual impact of the COVID-19 pandemic remains unknown. In particular, it is not possible to reliably estimate the length and severity of these developments and the impact on the financial results and condition of the Corporation.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Corporation are suspended or scaled back, or if the Corporation’s supply chains are disrupted, such events may have a material adverse effect on the Corporation. The breadth of the impact of the COVID-19 pandemic on investors, businesses, the global economy and financial and commodity markets may also have a material adverse effect on the Corporation.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Risk Factors – Risks Related to the Business of the Corporation – Novel Coronavirus COVID-19”</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 Recent Developments</w:t>
      </w:r>
    </w:p>
    <w:p>
      <w:pPr>
        <w:spacing w:after="0" w:line="117"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color w:val="auto"/>
        </w:rPr>
        <w:t>On December 4, 2020, the Corporation entered into a contribution agreement (the “</w:t>
      </w:r>
      <w:r>
        <w:rPr>
          <w:rFonts w:ascii="Arial" w:cs="Arial" w:eastAsia="Arial" w:hAnsi="Arial"/>
          <w:sz w:val="16"/>
          <w:szCs w:val="16"/>
          <w:b w:val="1"/>
          <w:bCs w:val="1"/>
          <w:color w:val="auto"/>
        </w:rPr>
        <w:t>Contribution Agreement</w:t>
      </w:r>
      <w:r>
        <w:rPr>
          <w:rFonts w:ascii="Arial" w:cs="Arial" w:eastAsia="Arial" w:hAnsi="Arial"/>
          <w:sz w:val="16"/>
          <w:szCs w:val="16"/>
          <w:color w:val="auto"/>
        </w:rPr>
        <w:t>”) with Cybin Corp., Cybin U.S. and all of the shareholders (the “</w:t>
      </w:r>
      <w:r>
        <w:rPr>
          <w:rFonts w:ascii="Arial" w:cs="Arial" w:eastAsia="Arial" w:hAnsi="Arial"/>
          <w:sz w:val="16"/>
          <w:szCs w:val="16"/>
          <w:b w:val="1"/>
          <w:bCs w:val="1"/>
          <w:color w:val="auto"/>
        </w:rPr>
        <w:t>Adelia Shareholders</w:t>
      </w:r>
      <w:r>
        <w:rPr>
          <w:rFonts w:ascii="Arial" w:cs="Arial" w:eastAsia="Arial" w:hAnsi="Arial"/>
          <w:sz w:val="16"/>
          <w:szCs w:val="16"/>
          <w:color w:val="auto"/>
        </w:rPr>
        <w:t>”) of Adelia Therapeutics Inc. (“</w:t>
      </w:r>
      <w:r>
        <w:rPr>
          <w:rFonts w:ascii="Arial" w:cs="Arial" w:eastAsia="Arial" w:hAnsi="Arial"/>
          <w:sz w:val="16"/>
          <w:szCs w:val="16"/>
          <w:b w:val="1"/>
          <w:bCs w:val="1"/>
          <w:color w:val="auto"/>
        </w:rPr>
        <w:t>Adelia</w:t>
      </w:r>
      <w:r>
        <w:rPr>
          <w:rFonts w:ascii="Arial" w:cs="Arial" w:eastAsia="Arial" w:hAnsi="Arial"/>
          <w:sz w:val="16"/>
          <w:szCs w:val="16"/>
          <w:color w:val="auto"/>
        </w:rPr>
        <w:t>”) whereby Cybin U.S. agreed to purchase from the Adelia Shareholders all of the issued and outstanding Adelia shares in exchange for the Class B Shares. The Adelia Transaction closed on December 14, 2020.</w:t>
      </w:r>
    </w:p>
    <w:p>
      <w:pPr>
        <w:spacing w:after="0" w:line="142"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color w:val="auto"/>
        </w:rPr>
        <w:t>Pursuant to the Contribution Agreement and the support agreement entered into among Cybin U.S. and the Adelia Shareholders (the “</w:t>
      </w:r>
      <w:r>
        <w:rPr>
          <w:rFonts w:ascii="Arial" w:cs="Arial" w:eastAsia="Arial" w:hAnsi="Arial"/>
          <w:sz w:val="18"/>
          <w:szCs w:val="18"/>
          <w:b w:val="1"/>
          <w:bCs w:val="1"/>
          <w:color w:val="auto"/>
        </w:rPr>
        <w:t>Support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Adelia Shareholders received non-voting Class B common shares in the capital of Cybin U.S. (each a “</w:t>
      </w:r>
      <w:r>
        <w:rPr>
          <w:rFonts w:ascii="Arial" w:cs="Arial" w:eastAsia="Arial" w:hAnsi="Arial"/>
          <w:sz w:val="18"/>
          <w:szCs w:val="18"/>
          <w:b w:val="1"/>
          <w:bCs w:val="1"/>
          <w:color w:val="auto"/>
        </w:rPr>
        <w:t>Class B Share</w:t>
      </w:r>
      <w:r>
        <w:rPr>
          <w:rFonts w:ascii="Arial" w:cs="Arial" w:eastAsia="Arial" w:hAnsi="Arial"/>
          <w:sz w:val="18"/>
          <w:szCs w:val="18"/>
          <w:color w:val="auto"/>
        </w:rPr>
        <w:t>”),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for Common Shares, on a 10 Common Shares for 1 Class B Share basis, at the option of the holder thereof, subject to customary adjustments. The Class B Shares issued to the Adelia Shareholders on the closing of the Adelia Transaction are exchangeable for a total of 8,688,330 Common Shares. The aggregate value of the Class B Shares to be issued to the Adelia Shareholders on the closing of the Adelia Transaction was $10,773,529.50.</w:t>
      </w:r>
    </w:p>
    <w:p>
      <w:pPr>
        <w:spacing w:after="0" w:line="19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Under the Contribution Agreement, the Adelia Shareholders are also entitled to Class B Shares upon the occurrence of certain milestones as set out in the Contribution Agreement, which are also exchangeable for Common Shares on a 10 Common Shares for 1 Class B Share basis. The total value of the Class B Shares issuable pursuant to the milestones is up to $9,388,045.50 assuming all milestones are met prior to the applicable deadlines. In March, 2021, pursuant to the terms of the Contribution Agreement, an aggregate of 42,247.3 Class B Shares were issued to the Adelia Shareholders in satisfaction of $686,306.31 due to them upon meeting the certain relevant milestone.</w:t>
      </w:r>
    </w:p>
    <w:p>
      <w:pPr>
        <w:spacing w:after="0" w:line="176"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No Class B Shares are exchangeable prior to the first anniversary of closing of the Adelia Transaction, and not more than: (i) 33 1/3% of the Class B Shares will be exchangeable prior to the second anniversary of the Adelia Transaction; (ii) 66 2/3% of the Class B Shares will be exchangeable prior to the third anniversary of the Adelia Transaction; and (iii) thereafter, 100% of the Class B Shares will be exchangeable. The Class B Shares issued to the Adelia Shareholders are exchangeable for a total of 511,631 Common Shares, resulting in an effective issue price of $1.99 per Common Share.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80"/>
          </w:cols>
          <w:pgMar w:left="320" w:top="419" w:right="4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REGULATORY 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the applicable regulatory framework for the Corporation’s various business segments and proposed business activity are set forth below.</w:t>
      </w:r>
    </w:p>
    <w:p>
      <w:pPr>
        <w:spacing w:after="0" w:line="200" w:lineRule="exact"/>
        <w:rPr>
          <w:sz w:val="20"/>
          <w:szCs w:val="20"/>
          <w:color w:val="auto"/>
        </w:rPr>
      </w:pP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Current/Proposed</w:t>
            </w:r>
          </w:p>
        </w:tc>
        <w:tc>
          <w:tcPr>
            <w:tcW w:w="2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Business Segment</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Operation</w:t>
            </w:r>
          </w:p>
        </w:tc>
        <w:tc>
          <w:tcPr>
            <w:tcW w:w="220" w:type="dxa"/>
            <w:vAlign w:val="bottom"/>
          </w:tcPr>
          <w:p>
            <w:pPr>
              <w:spacing w:after="0"/>
              <w:rPr>
                <w:sz w:val="16"/>
                <w:szCs w:val="16"/>
                <w:color w:val="auto"/>
              </w:rPr>
            </w:pPr>
          </w:p>
        </w:tc>
        <w:tc>
          <w:tcPr>
            <w:tcW w:w="5080" w:type="dxa"/>
            <w:vAlign w:val="bottom"/>
          </w:tcPr>
          <w:p>
            <w:pPr>
              <w:ind w:left="1040"/>
              <w:spacing w:after="0"/>
              <w:rPr>
                <w:sz w:val="20"/>
                <w:szCs w:val="20"/>
                <w:color w:val="auto"/>
              </w:rPr>
            </w:pPr>
            <w:r>
              <w:rPr>
                <w:rFonts w:ascii="Arial" w:cs="Arial" w:eastAsia="Arial" w:hAnsi="Arial"/>
                <w:sz w:val="14"/>
                <w:szCs w:val="14"/>
                <w:b w:val="1"/>
                <w:bCs w:val="1"/>
                <w:color w:val="auto"/>
              </w:rPr>
              <w:t>Summary of Applicable Regulatory Frameworks</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80" w:type="dxa"/>
            <w:vAlign w:val="bottom"/>
            <w:gridSpan w:val="2"/>
          </w:tcPr>
          <w:p>
            <w:pPr>
              <w:spacing w:after="0" w:line="189" w:lineRule="exact"/>
              <w:rPr>
                <w:sz w:val="20"/>
                <w:szCs w:val="20"/>
                <w:color w:val="auto"/>
              </w:rPr>
            </w:pPr>
            <w:r>
              <w:rPr>
                <w:rFonts w:ascii="Arial" w:cs="Arial" w:eastAsia="Arial" w:hAnsi="Arial"/>
                <w:sz w:val="18"/>
                <w:szCs w:val="18"/>
                <w:color w:val="auto"/>
              </w:rPr>
              <w:t>Serenity Life &amp; Cybin U.S.</w:t>
            </w:r>
            <w:r>
              <w:rPr>
                <w:rFonts w:ascii="Arial" w:cs="Arial" w:eastAsia="Arial" w:hAnsi="Arial"/>
                <w:sz w:val="15"/>
                <w:szCs w:val="15"/>
                <w:b w:val="1"/>
                <w:bCs w:val="1"/>
                <w:color w:val="auto"/>
              </w:rPr>
              <w:t>(1)</w:t>
            </w:r>
          </w:p>
        </w:tc>
        <w:tc>
          <w:tcPr>
            <w:tcW w:w="2640" w:type="dxa"/>
            <w:vAlign w:val="bottom"/>
          </w:tcPr>
          <w:p>
            <w:pPr>
              <w:jc w:val="center"/>
              <w:spacing w:after="0" w:line="189" w:lineRule="exact"/>
              <w:rPr>
                <w:sz w:val="20"/>
                <w:szCs w:val="20"/>
                <w:color w:val="auto"/>
              </w:rPr>
            </w:pPr>
            <w:r>
              <w:rPr>
                <w:rFonts w:ascii="Arial" w:cs="Arial" w:eastAsia="Arial" w:hAnsi="Arial"/>
                <w:sz w:val="18"/>
                <w:szCs w:val="18"/>
                <w:color w:val="auto"/>
                <w:w w:val="91"/>
              </w:rPr>
              <w:t>Canada, United Kingdom, United</w:t>
            </w:r>
          </w:p>
        </w:tc>
        <w:tc>
          <w:tcPr>
            <w:tcW w:w="220" w:type="dxa"/>
            <w:vAlign w:val="bottom"/>
            <w:vMerge w:val="continue"/>
          </w:tcPr>
          <w:p>
            <w:pPr>
              <w:spacing w:after="0"/>
              <w:rPr>
                <w:sz w:val="16"/>
                <w:szCs w:val="16"/>
                <w:color w:val="auto"/>
              </w:rPr>
            </w:pPr>
          </w:p>
        </w:tc>
        <w:tc>
          <w:tcPr>
            <w:tcW w:w="5080" w:type="dxa"/>
            <w:vAlign w:val="bottom"/>
          </w:tcPr>
          <w:p>
            <w:pPr>
              <w:spacing w:after="0" w:line="189" w:lineRule="exact"/>
              <w:rPr>
                <w:sz w:val="20"/>
                <w:szCs w:val="20"/>
                <w:color w:val="auto"/>
              </w:rPr>
            </w:pPr>
            <w:r>
              <w:rPr>
                <w:rFonts w:ascii="Arial" w:cs="Arial" w:eastAsia="Arial" w:hAnsi="Arial"/>
                <w:sz w:val="18"/>
                <w:szCs w:val="18"/>
                <w:color w:val="auto"/>
                <w:w w:val="91"/>
              </w:rPr>
              <w:t>The Canadian and United States federal governments regulate drugs</w:t>
            </w: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States &amp; Jamaica</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2"/>
              </w:rPr>
              <w:t>through the CDSA and the CSA, respectively, which place controlled</w:t>
            </w: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substances in a schedule.</w:t>
            </w: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Under the CDSA, psilocybin is currently a Schedule III drug.</w:t>
            </w: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Under the CSA, psilocybin is currently a Schedule I drug.</w:t>
            </w: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323"/>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Misuse of Drugs Regulations 2001 and the Misuse of Drugs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Regulations 2001</w:t>
            </w:r>
          </w:p>
        </w:tc>
        <w:tc>
          <w:tcPr>
            <w:tcW w:w="0" w:type="dxa"/>
            <w:vAlign w:val="bottom"/>
          </w:tcPr>
          <w:p>
            <w:pPr>
              <w:spacing w:after="0"/>
              <w:rPr>
                <w:sz w:val="1"/>
                <w:szCs w:val="1"/>
                <w:color w:val="auto"/>
              </w:rPr>
            </w:pPr>
          </w:p>
        </w:tc>
      </w:tr>
      <w:tr>
        <w:trPr>
          <w:trHeight w:val="338"/>
        </w:trPr>
        <w:tc>
          <w:tcPr>
            <w:tcW w:w="3080" w:type="dxa"/>
            <w:vAlign w:val="bottom"/>
            <w:gridSpan w:val="2"/>
          </w:tcPr>
          <w:p>
            <w:pPr>
              <w:spacing w:after="0"/>
              <w:rPr>
                <w:sz w:val="20"/>
                <w:szCs w:val="20"/>
                <w:color w:val="auto"/>
              </w:rPr>
            </w:pPr>
            <w:r>
              <w:rPr>
                <w:rFonts w:ascii="Arial" w:cs="Arial" w:eastAsia="Arial" w:hAnsi="Arial"/>
                <w:sz w:val="18"/>
                <w:szCs w:val="18"/>
                <w:color w:val="auto"/>
              </w:rPr>
              <w:t>Natures Journey</w:t>
            </w:r>
            <w:r>
              <w:rPr>
                <w:rFonts w:ascii="Arial" w:cs="Arial" w:eastAsia="Arial" w:hAnsi="Arial"/>
                <w:sz w:val="15"/>
                <w:szCs w:val="15"/>
                <w:b w:val="1"/>
                <w:bCs w:val="1"/>
                <w:color w:val="auto"/>
              </w:rPr>
              <w:t>(5)</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Canada and the United States</w:t>
            </w:r>
          </w:p>
        </w:tc>
        <w:tc>
          <w:tcPr>
            <w:tcW w:w="5300" w:type="dxa"/>
            <w:vAlign w:val="bottom"/>
            <w:gridSpan w:val="2"/>
          </w:tcPr>
          <w:p>
            <w:pPr>
              <w:ind w:left="220"/>
              <w:spacing w:after="0"/>
              <w:rPr>
                <w:sz w:val="20"/>
                <w:szCs w:val="20"/>
                <w:color w:val="auto"/>
              </w:rPr>
            </w:pPr>
            <w:r>
              <w:rPr>
                <w:rFonts w:ascii="Arial" w:cs="Arial" w:eastAsia="Arial" w:hAnsi="Arial"/>
                <w:sz w:val="18"/>
                <w:szCs w:val="18"/>
                <w:i w:val="1"/>
                <w:iCs w:val="1"/>
                <w:color w:val="auto"/>
              </w:rPr>
              <w:t xml:space="preserve">Food and Drugs Act </w:t>
            </w: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i w:val="1"/>
                <w:iCs w:val="1"/>
                <w:color w:val="auto"/>
              </w:rPr>
              <w:t>Dietary Supplement Health and Education Act of 1994</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i w:val="1"/>
                <w:iCs w:val="1"/>
                <w:color w:val="auto"/>
              </w:rPr>
              <w:t>The Federal Food, Drug, and Cosmetic Act</w:t>
            </w:r>
          </w:p>
        </w:tc>
        <w:tc>
          <w:tcPr>
            <w:tcW w:w="0" w:type="dxa"/>
            <w:vAlign w:val="bottom"/>
          </w:tcPr>
          <w:p>
            <w:pPr>
              <w:spacing w:after="0"/>
              <w:rPr>
                <w:sz w:val="1"/>
                <w:szCs w:val="1"/>
                <w:color w:val="auto"/>
              </w:rPr>
            </w:pPr>
          </w:p>
        </w:tc>
      </w:tr>
      <w:tr>
        <w:trPr>
          <w:trHeight w:val="323"/>
        </w:trPr>
        <w:tc>
          <w:tcPr>
            <w:tcW w:w="3080" w:type="dxa"/>
            <w:vAlign w:val="bottom"/>
            <w:gridSpan w:val="2"/>
          </w:tcPr>
          <w:p>
            <w:pPr>
              <w:spacing w:after="0"/>
              <w:rPr>
                <w:sz w:val="20"/>
                <w:szCs w:val="20"/>
                <w:color w:val="auto"/>
              </w:rPr>
            </w:pPr>
            <w:r>
              <w:rPr>
                <w:rFonts w:ascii="Arial" w:cs="Arial" w:eastAsia="Arial" w:hAnsi="Arial"/>
                <w:sz w:val="18"/>
                <w:szCs w:val="18"/>
                <w:color w:val="auto"/>
              </w:rPr>
              <w:t>Jamaica Research &amp; Development</w:t>
            </w:r>
          </w:p>
        </w:tc>
        <w:tc>
          <w:tcPr>
            <w:tcW w:w="2640" w:type="dxa"/>
            <w:vAlign w:val="bottom"/>
          </w:tcPr>
          <w:p>
            <w:pPr>
              <w:jc w:val="center"/>
              <w:spacing w:after="0"/>
              <w:rPr>
                <w:sz w:val="20"/>
                <w:szCs w:val="20"/>
                <w:color w:val="auto"/>
              </w:rPr>
            </w:pPr>
            <w:r>
              <w:rPr>
                <w:rFonts w:ascii="Arial" w:cs="Arial" w:eastAsia="Arial" w:hAnsi="Arial"/>
                <w:sz w:val="18"/>
                <w:szCs w:val="18"/>
                <w:color w:val="auto"/>
                <w:w w:val="86"/>
              </w:rPr>
              <w:t>Jamaica</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Psilocybin mushrooms are not an illegal drug under Jamaica’s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i w:val="1"/>
                <w:iCs w:val="1"/>
                <w:color w:val="auto"/>
              </w:rPr>
              <w:t>Dangerous Drugs Act, 1948</w:t>
            </w:r>
            <w:r>
              <w:rPr>
                <w:rFonts w:ascii="Arial" w:cs="Arial" w:eastAsia="Arial" w:hAnsi="Arial"/>
                <w:sz w:val="18"/>
                <w:szCs w:val="18"/>
                <w:color w:val="auto"/>
              </w:rPr>
              <w:t>.</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323"/>
        </w:trPr>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7"/>
              </w:rPr>
              <w:t>The Corporation’s activity in relation to the sponsored research of</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2"/>
              </w:rPr>
              <w:t>psilocybin mushrooms, botanicals and other related fungi is limited to</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the jurisdiction of Jamaica.</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Notes:</w:t>
      </w:r>
    </w:p>
    <w:p>
      <w:pPr>
        <w:spacing w:after="0" w:line="27" w:lineRule="exact"/>
        <w:rPr>
          <w:sz w:val="20"/>
          <w:szCs w:val="20"/>
          <w:color w:val="auto"/>
        </w:rPr>
      </w:pPr>
    </w:p>
    <w:p>
      <w:pPr>
        <w:ind w:left="560" w:hanging="444"/>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segment focuses on the research, development and commercialization of psychedelic-inspired regulation medicines.</w:t>
      </w:r>
    </w:p>
    <w:p>
      <w:pPr>
        <w:spacing w:after="0" w:line="9" w:lineRule="exact"/>
        <w:rPr>
          <w:rFonts w:ascii="Arial" w:cs="Arial" w:eastAsia="Arial" w:hAnsi="Arial"/>
          <w:sz w:val="18"/>
          <w:szCs w:val="18"/>
          <w:color w:val="auto"/>
        </w:rPr>
      </w:pPr>
    </w:p>
    <w:p>
      <w:pPr>
        <w:ind w:left="560" w:right="100" w:hanging="444"/>
        <w:spacing w:after="0" w:line="250"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8"/>
          <w:szCs w:val="18"/>
          <w:i w:val="1"/>
          <w:iCs w:val="1"/>
          <w:color w:val="auto"/>
        </w:rPr>
        <w:t>“Regulatory Overview –</w:t>
      </w:r>
      <w:r>
        <w:rPr>
          <w:rFonts w:ascii="Arial" w:cs="Arial" w:eastAsia="Arial" w:hAnsi="Arial"/>
          <w:sz w:val="18"/>
          <w:szCs w:val="18"/>
          <w:color w:val="auto"/>
        </w:rPr>
        <w:t xml:space="preserve"> </w:t>
      </w: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60" w:hanging="444"/>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For further information on the Canadian regulatory framework, see </w:t>
      </w:r>
      <w:r>
        <w:rPr>
          <w:rFonts w:ascii="Arial" w:cs="Arial" w:eastAsia="Arial" w:hAnsi="Arial"/>
          <w:sz w:val="18"/>
          <w:szCs w:val="18"/>
          <w:i w:val="1"/>
          <w:iCs w:val="1"/>
          <w:color w:val="auto"/>
        </w:rPr>
        <w:t>“Regulatory Overview – Canada – Psychedelics.”</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For further information on the United States regulatory framework, see </w:t>
      </w:r>
      <w:r>
        <w:rPr>
          <w:rFonts w:ascii="Arial" w:cs="Arial" w:eastAsia="Arial" w:hAnsi="Arial"/>
          <w:sz w:val="18"/>
          <w:szCs w:val="18"/>
          <w:i w:val="1"/>
          <w:iCs w:val="1"/>
          <w:color w:val="auto"/>
        </w:rPr>
        <w:t>“Regulatory Overview – United States.”</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segment focuses on consumer mental wellness, including non-psychedelic mushroom nutraceutical products.</w:t>
      </w:r>
    </w:p>
    <w:p>
      <w:pPr>
        <w:spacing w:after="0" w:line="9" w:lineRule="exact"/>
        <w:rPr>
          <w:rFonts w:ascii="Arial" w:cs="Arial" w:eastAsia="Arial" w:hAnsi="Arial"/>
          <w:sz w:val="18"/>
          <w:szCs w:val="18"/>
          <w:color w:val="auto"/>
        </w:rPr>
      </w:pPr>
    </w:p>
    <w:p>
      <w:pPr>
        <w:ind w:left="560" w:right="700" w:hanging="444"/>
        <w:spacing w:after="0" w:line="260"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Psilocybin mushrooms do not fall within the definition of a dangerous drug under the </w:t>
      </w:r>
      <w:r>
        <w:rPr>
          <w:rFonts w:ascii="Arial" w:cs="Arial" w:eastAsia="Arial" w:hAnsi="Arial"/>
          <w:sz w:val="18"/>
          <w:szCs w:val="18"/>
          <w:i w:val="1"/>
          <w:iCs w:val="1"/>
          <w:color w:val="auto"/>
        </w:rPr>
        <w:t>Dangerous Drugs Act</w:t>
      </w:r>
      <w:r>
        <w:rPr>
          <w:rFonts w:ascii="Arial" w:cs="Arial" w:eastAsia="Arial" w:hAnsi="Arial"/>
          <w:sz w:val="18"/>
          <w:szCs w:val="18"/>
          <w:color w:val="auto"/>
        </w:rPr>
        <w:t xml:space="preserve">, </w:t>
      </w:r>
      <w:r>
        <w:rPr>
          <w:rFonts w:ascii="Arial" w:cs="Arial" w:eastAsia="Arial" w:hAnsi="Arial"/>
          <w:sz w:val="18"/>
          <w:szCs w:val="18"/>
          <w:i w:val="1"/>
          <w:iCs w:val="1"/>
          <w:color w:val="auto"/>
        </w:rPr>
        <w:t>1948</w:t>
      </w:r>
      <w:r>
        <w:rPr>
          <w:rFonts w:ascii="Arial" w:cs="Arial" w:eastAsia="Arial" w:hAnsi="Arial"/>
          <w:sz w:val="18"/>
          <w:szCs w:val="18"/>
          <w:color w:val="auto"/>
        </w:rPr>
        <w:t xml:space="preserve"> in Jamaica. For further information on the Jamaica regulatory framework, see </w:t>
      </w:r>
      <w:r>
        <w:rPr>
          <w:rFonts w:ascii="Arial" w:cs="Arial" w:eastAsia="Arial" w:hAnsi="Arial"/>
          <w:sz w:val="18"/>
          <w:szCs w:val="18"/>
          <w:i w:val="1"/>
          <w:iCs w:val="1"/>
          <w:color w:val="auto"/>
        </w:rPr>
        <w:t>“Regulatory Overview – Jamaica.”</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40"/>
          </w:cols>
          <w:pgMar w:left="320" w:top="419"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Psychedelics</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92"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w:t>
      </w:r>
      <w:r>
        <w:rPr>
          <w:rFonts w:ascii="Arial" w:cs="Arial" w:eastAsia="Arial" w:hAnsi="Arial"/>
          <w:sz w:val="18"/>
          <w:szCs w:val="18"/>
          <w:b w:val="1"/>
          <w:bCs w:val="1"/>
          <w:color w:val="auto"/>
        </w:rPr>
        <w:t>Section 56 Exemption</w:t>
      </w:r>
      <w:r>
        <w:rPr>
          <w:rFonts w:ascii="Arial" w:cs="Arial" w:eastAsia="Arial" w:hAnsi="Arial"/>
          <w:sz w:val="18"/>
          <w:szCs w:val="18"/>
          <w:color w:val="auto"/>
        </w:rPr>
        <w:t>”) is required. This exemption allows the holder to possess and use the controlled substance without being subject to the restrictions set out in the CDSA. The Corporation has not applied for a Section 56 Exemption from Health Canada.</w:t>
      </w:r>
    </w:p>
    <w:p>
      <w:pPr>
        <w:spacing w:after="0" w:line="18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w:t>
      </w:r>
      <w:r>
        <w:rPr>
          <w:rFonts w:ascii="Arial" w:cs="Arial" w:eastAsia="Arial" w:hAnsi="Arial"/>
          <w:sz w:val="16"/>
          <w:szCs w:val="16"/>
          <w:i w:val="1"/>
          <w:iCs w:val="1"/>
          <w:color w:val="auto"/>
        </w:rPr>
        <w:t>Controlled Drugs and</w:t>
      </w:r>
      <w:r>
        <w:rPr>
          <w:rFonts w:ascii="Arial" w:cs="Arial" w:eastAsia="Arial" w:hAnsi="Arial"/>
          <w:sz w:val="16"/>
          <w:szCs w:val="16"/>
          <w:color w:val="auto"/>
        </w:rPr>
        <w:t xml:space="preserve"> </w:t>
      </w:r>
      <w:r>
        <w:rPr>
          <w:rFonts w:ascii="Arial" w:cs="Arial" w:eastAsia="Arial" w:hAnsi="Arial"/>
          <w:sz w:val="16"/>
          <w:szCs w:val="16"/>
          <w:i w:val="1"/>
          <w:iCs w:val="1"/>
          <w:color w:val="auto"/>
        </w:rPr>
        <w:t>Substances Act</w:t>
      </w:r>
      <w:r>
        <w:rPr>
          <w:rFonts w:ascii="Arial" w:cs="Arial" w:eastAsia="Arial" w:hAnsi="Arial"/>
          <w:sz w:val="16"/>
          <w:szCs w:val="16"/>
          <w:color w:val="auto"/>
        </w:rPr>
        <w:t>,</w:t>
      </w:r>
      <w:r>
        <w:rPr>
          <w:rFonts w:ascii="Arial" w:cs="Arial" w:eastAsia="Arial" w:hAnsi="Arial"/>
          <w:sz w:val="16"/>
          <w:szCs w:val="16"/>
          <w:i w:val="1"/>
          <w:iCs w:val="1"/>
          <w:color w:val="auto"/>
        </w:rPr>
        <w:t xml:space="preserve"> Food and Drugs Regulations</w:t>
      </w:r>
      <w:r>
        <w:rPr>
          <w:rFonts w:ascii="Arial" w:cs="Arial" w:eastAsia="Arial" w:hAnsi="Arial"/>
          <w:sz w:val="16"/>
          <w:szCs w:val="16"/>
          <w:color w:val="auto"/>
        </w:rPr>
        <w:t>) and subject to any restrictions placed on the licence by Health Canada, an entity with a Dealer’s Licence</w:t>
      </w:r>
      <w:r>
        <w:rPr>
          <w:rFonts w:ascii="Arial" w:cs="Arial" w:eastAsia="Arial" w:hAnsi="Arial"/>
          <w:sz w:val="16"/>
          <w:szCs w:val="16"/>
          <w:i w:val="1"/>
          <w:iCs w:val="1"/>
          <w:color w:val="auto"/>
        </w:rPr>
        <w:t xml:space="preserve"> </w:t>
      </w:r>
      <w:r>
        <w:rPr>
          <w:rFonts w:ascii="Arial" w:cs="Arial" w:eastAsia="Arial" w:hAnsi="Arial"/>
          <w:sz w:val="16"/>
          <w:szCs w:val="16"/>
          <w:color w:val="auto"/>
        </w:rPr>
        <w:t>may produce, assemble, sell, provide, transport, send, deliver, import or export a restricted drug (as listed in Part J in the Food and Drugs Regulations – which includes psilocybin and psilocin) (see s. J.01.009 (1) of the Food and Drug Regulations).</w:t>
      </w:r>
    </w:p>
    <w:p>
      <w:pPr>
        <w:spacing w:after="0" w:line="16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licences and approvals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Non-Psychedelics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NHPs, prescription drugs, and non-prescription drugs are all classified and regulated under the Canadian FDA.</w:t>
      </w:r>
    </w:p>
    <w:p>
      <w:pPr>
        <w:spacing w:after="0" w:line="225"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The product safety, quality, manufacturing, packaging, labeling, storage, importation, advertising, distribution, sale and clinical trials of NHPs, drugs, cosmetics and foods are subject to regulation primarily under the Canadian FDA and associated regulations, including the Food and Drug Regulations, Cosmetic Regulations and the Natural Health Products Regulations, and related Health Canada guidance documents and policies (collectively, the “</w:t>
      </w:r>
      <w:r>
        <w:rPr>
          <w:rFonts w:ascii="Arial" w:cs="Arial" w:eastAsia="Arial" w:hAnsi="Arial"/>
          <w:sz w:val="16"/>
          <w:szCs w:val="16"/>
          <w:b w:val="1"/>
          <w:bCs w:val="1"/>
          <w:color w:val="auto"/>
        </w:rPr>
        <w:t>Canadian Regulations</w:t>
      </w:r>
      <w:r>
        <w:rPr>
          <w:rFonts w:ascii="Arial" w:cs="Arial" w:eastAsia="Arial" w:hAnsi="Arial"/>
          <w:sz w:val="16"/>
          <w:szCs w:val="16"/>
          <w:color w:val="auto"/>
        </w:rPr>
        <w:t xml:space="preserve">”). In addition, drugs and NHPs are regulated under the federal </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if the product is considered a “controlled substance” or a “precursor,” as defined in that statute or in related regulatory provisions.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Health Canada is primarily responsible for administering the Canadian Regulations.</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Health Canada and the Canadian Regulations also set out requirements for establishment and site licences, market authorization for drugs and NHP licences. Each NHP must have a product licence or a Homeopathic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40"/>
          </w:cols>
          <w:pgMar w:left="320" w:top="419"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Medicine Number (“</w:t>
      </w:r>
      <w:r>
        <w:rPr>
          <w:rFonts w:ascii="Arial" w:cs="Arial" w:eastAsia="Arial" w:hAnsi="Arial"/>
          <w:sz w:val="17"/>
          <w:szCs w:val="17"/>
          <w:b w:val="1"/>
          <w:bCs w:val="1"/>
          <w:color w:val="auto"/>
        </w:rPr>
        <w:t>DIN-HM</w:t>
      </w:r>
      <w:r>
        <w:rPr>
          <w:rFonts w:ascii="Arial" w:cs="Arial" w:eastAsia="Arial" w:hAnsi="Arial"/>
          <w:sz w:val="17"/>
          <w:szCs w:val="17"/>
          <w:color w:val="auto"/>
        </w:rPr>
        <w:t>”) issued by Health Canada before it can be sold in Canada. Health Canada assigns a natural health product number</w:t>
      </w:r>
    </w:p>
    <w:p>
      <w:pPr>
        <w:spacing w:after="0" w:line="39"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NPN</w:t>
      </w:r>
      <w:r>
        <w:rPr>
          <w:rFonts w:ascii="Arial" w:cs="Arial" w:eastAsia="Arial" w:hAnsi="Arial"/>
          <w:sz w:val="16"/>
          <w:szCs w:val="16"/>
          <w:color w:val="auto"/>
        </w:rPr>
        <w:t>”) to each NHP once Health Canada issues the licence for that NHP. The Canadian Regulations require that all drugs and NHPs be manufactured, packaged, labeled, imported, distributed and stored under Canadian Good Manufacturing Practices (“</w:t>
      </w:r>
      <w:r>
        <w:rPr>
          <w:rFonts w:ascii="Arial" w:cs="Arial" w:eastAsia="Arial" w:hAnsi="Arial"/>
          <w:sz w:val="16"/>
          <w:szCs w:val="16"/>
          <w:b w:val="1"/>
          <w:bCs w:val="1"/>
          <w:color w:val="auto"/>
        </w:rPr>
        <w:t>GMP</w:t>
      </w:r>
      <w:r>
        <w:rPr>
          <w:rFonts w:ascii="Arial" w:cs="Arial" w:eastAsia="Arial" w:hAnsi="Arial"/>
          <w:sz w:val="16"/>
          <w:szCs w:val="16"/>
          <w:color w:val="auto"/>
        </w:rPr>
        <w:t>”) or the equivalent thereto, and that all premises used for manufacturing, packaging, labeling and importing drugs and NHPs have a site licence (NHPs) or establishment licence (drugs), which requires GMP compliance. The Canadian Regulations also set out requirements for labeling, packaging, clinical trials and adverse reaction reporting.</w:t>
      </w:r>
    </w:p>
    <w:p>
      <w:pPr>
        <w:spacing w:after="0" w:line="16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Health Canada and the Canadian Regulations, among other things, govern the manufacture, formulation, packaging, labeling, advertising and sale of NHPs and drugs, and regulate what may be represented on labels and in promotional materials regarding the claimed properties of products. The Canadian Regulations also require NHPs and drugs sold in Canada to affix a label showing specified information, such as the proper and common name of the medicinal and non- medicinal ingredients and their source, the name and address of the manufacturer/product licence holder, its lot number, adequate directions for use, a quantitative list of its medical ingredients and its expiration date. In addition, the Canadian Regulations require labeling to bear evidence of the marketing authorization as evidenced by the designation drug identification number, DIN-HM or NPN, followed by an eight-digit number assigned to the product and issued by Health Canada.</w:t>
      </w:r>
    </w:p>
    <w:p>
      <w:pPr>
        <w:spacing w:after="0" w:line="17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Corporation’s expected nutraceutical products will be considered “food” and, as such, will be principally regulated under the Canadian FDA and the Canadian Regulations. The Corporation must ensure that the labelling, marketing and selling of any of its products comply with the Canadian FDA, including by ensuring that the Corporation’s products are not packaged or marketed in a manner that is misleading or deceptive to a consumer.</w:t>
      </w:r>
    </w:p>
    <w:p>
      <w:pPr>
        <w:spacing w:after="0" w:line="14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“Description of the Business—Research and Development”</w:t>
      </w:r>
      <w:r>
        <w:rPr>
          <w:rFonts w:ascii="Arial" w:cs="Arial" w:eastAsia="Arial" w:hAnsi="Arial"/>
          <w:sz w:val="18"/>
          <w:szCs w:val="18"/>
          <w:color w:val="auto"/>
        </w:rPr>
        <w:t xml:space="preserve"> in the Corporation’s Annual Information Form for additional information concerning the regulation applicable to the process required before prescription drug product candidates may be marketed in Canada.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w:t>
      </w:r>
    </w:p>
    <w:p>
      <w:pPr>
        <w:spacing w:after="0" w:line="12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Arial" w:cs="Arial" w:eastAsia="Arial" w:hAnsi="Arial"/>
          <w:sz w:val="17"/>
          <w:szCs w:val="17"/>
          <w:b w:val="1"/>
          <w:bCs w:val="1"/>
          <w:color w:val="auto"/>
        </w:rPr>
        <w:t>IND</w:t>
      </w:r>
      <w:r>
        <w:rPr>
          <w:rFonts w:ascii="Arial" w:cs="Arial" w:eastAsia="Arial" w:hAnsi="Arial"/>
          <w:sz w:val="17"/>
          <w:szCs w:val="17"/>
          <w:color w:val="auto"/>
        </w:rPr>
        <w:t>”) with the FDA in the first half of 2021.</w:t>
      </w:r>
      <w:r>
        <w:rPr>
          <w:rFonts w:ascii="Arial" w:cs="Arial" w:eastAsia="Arial" w:hAnsi="Arial"/>
          <w:sz w:val="14"/>
          <w:szCs w:val="14"/>
          <w:color w:val="auto"/>
        </w:rPr>
        <w:t>6</w:t>
      </w:r>
    </w:p>
    <w:p>
      <w:pPr>
        <w:spacing w:after="0" w:line="177"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8" w:lineRule="exact"/>
        <w:rPr>
          <w:sz w:val="20"/>
          <w:szCs w:val="20"/>
          <w:color w:val="auto"/>
        </w:rPr>
      </w:pPr>
    </w:p>
    <w:p>
      <w:pPr>
        <w:ind w:left="340" w:right="20" w:hanging="224"/>
        <w:spacing w:after="0" w:line="275"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7"/>
          <w:szCs w:val="17"/>
          <w:color w:val="auto"/>
        </w:rPr>
        <w:t>The Corporation has not yet held a pre-IND meeting with the FDA, in preparation for the filing of an IND application for the Sublingual Film. The Corporation has assumed that the FDA will grant such a Pre-IND meeting and that it will be able to complete the IND approval process; however, there is no guarantee that any such IND application will be accepted or granted by FDA. The Corporation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00"/>
          </w:cols>
          <w:pgMar w:left="320" w:top="419"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color w:val="auto"/>
        </w:rPr>
        <w:t>substances listed in Schedule I under the CSA must register with the U.S. Drug Enforcement Administration (“</w:t>
      </w:r>
      <w:r>
        <w:rPr>
          <w:rFonts w:ascii="Arial" w:cs="Arial" w:eastAsia="Arial" w:hAnsi="Arial"/>
          <w:sz w:val="18"/>
          <w:szCs w:val="18"/>
          <w:b w:val="1"/>
          <w:bCs w:val="1"/>
          <w:color w:val="auto"/>
        </w:rPr>
        <w:t>DEA</w:t>
      </w:r>
      <w:r>
        <w:rPr>
          <w:rFonts w:ascii="Arial" w:cs="Arial" w:eastAsia="Arial" w:hAnsi="Arial"/>
          <w:sz w:val="18"/>
          <w:szCs w:val="18"/>
          <w:color w:val="auto"/>
        </w:rPr>
        <w:t>”), and obtain DEA approval of the research proposal.</w:t>
      </w:r>
    </w:p>
    <w:p>
      <w:pPr>
        <w:spacing w:after="0" w:line="166"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“Description of the Business – Research and Development”</w:t>
      </w:r>
      <w:r>
        <w:rPr>
          <w:rFonts w:ascii="Arial" w:cs="Arial" w:eastAsia="Arial" w:hAnsi="Arial"/>
          <w:sz w:val="17"/>
          <w:szCs w:val="17"/>
          <w:color w:val="auto"/>
        </w:rPr>
        <w:t xml:space="preserve"> in the Corporation’s Annual Information Form for additional information concerning the regulation applicable to the process required before prescription drug product candidates may be marketed in the United States.</w:t>
      </w:r>
    </w:p>
    <w:p>
      <w:pPr>
        <w:spacing w:after="0" w:line="14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 xml:space="preserve">The FDA also regulates the formulation, manufacturing, preparation, packaging, labeling, holding, and distribution of foods, drugs and dietary supplements under the </w:t>
      </w:r>
      <w:r>
        <w:rPr>
          <w:rFonts w:ascii="Arial" w:cs="Arial" w:eastAsia="Arial" w:hAnsi="Arial"/>
          <w:sz w:val="17"/>
          <w:szCs w:val="17"/>
          <w:i w:val="1"/>
          <w:iCs w:val="1"/>
          <w:color w:val="auto"/>
        </w:rPr>
        <w:t>Federal Food, Drug and Cosmetic Act</w:t>
      </w:r>
      <w:r>
        <w:rPr>
          <w:rFonts w:ascii="Arial" w:cs="Arial" w:eastAsia="Arial" w:hAnsi="Arial"/>
          <w:sz w:val="17"/>
          <w:szCs w:val="17"/>
          <w:color w:val="auto"/>
        </w:rPr>
        <w:t xml:space="preserve"> (“</w:t>
      </w:r>
      <w:r>
        <w:rPr>
          <w:rFonts w:ascii="Arial" w:cs="Arial" w:eastAsia="Arial" w:hAnsi="Arial"/>
          <w:sz w:val="17"/>
          <w:szCs w:val="17"/>
          <w:b w:val="1"/>
          <w:bCs w:val="1"/>
          <w:color w:val="auto"/>
        </w:rPr>
        <w:t>FFDCA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Dietary Supplement Health and Education Act of 1994</w:t>
      </w:r>
      <w:r>
        <w:rPr>
          <w:rFonts w:ascii="Arial" w:cs="Arial" w:eastAsia="Arial" w:hAnsi="Arial"/>
          <w:sz w:val="17"/>
          <w:szCs w:val="17"/>
          <w:color w:val="auto"/>
        </w:rPr>
        <w:t xml:space="preserve"> (“</w:t>
      </w:r>
      <w:r>
        <w:rPr>
          <w:rFonts w:ascii="Arial" w:cs="Arial" w:eastAsia="Arial" w:hAnsi="Arial"/>
          <w:sz w:val="17"/>
          <w:szCs w:val="17"/>
          <w:b w:val="1"/>
          <w:bCs w:val="1"/>
          <w:color w:val="auto"/>
        </w:rPr>
        <w:t>DSHEA</w:t>
      </w:r>
      <w:r>
        <w:rPr>
          <w:rFonts w:ascii="Arial" w:cs="Arial" w:eastAsia="Arial" w:hAnsi="Arial"/>
          <w:sz w:val="17"/>
          <w:szCs w:val="17"/>
          <w:color w:val="auto"/>
        </w:rPr>
        <w:t>”). “Dietary supplements” are defined as vitamins, minerals, herbs, other botanicals, amino acids and other dietary substances for human use to supplement the diet, as well as concentrates, metabolites, constituents, extracts or combinations of such dietary ingredients. Generally, under DSHEA, dietary ingredients that were on the market prior to October 15, 1994 may be used in dietary supplements without notifying the FDA. New dietary ingredients (i.e., not marketed in the U.S. prior to October 15, 1994) must be the subject of a new dietary ingredient notification submitted to the FDA unless the ingredient has been “present in the food supply as an article used for food” without being “chemically altered.” A new dietary ingredient notification must provide the FDA with evidence of a “history of use or other evidence of safety” establishing that use of the dietary ingredient, when used under the conditions recommended or suggested in the labeling of the dietary supplement, “will reasonably be expected to be safe.” A new dietary ingredient notification must be submitted to the FDA at least 75 days before the initial marketing of the new dietary ingredient. There can be no assurance that the FDA will accept the evidence of safety for any new dietary ingredients that the Corporation may want to market, and the FDA’s refusal to accept such evidence could prevent the marketing of such dietary ingredients.</w:t>
      </w:r>
    </w:p>
    <w:p>
      <w:pPr>
        <w:spacing w:after="0" w:line="17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DSHEA revised the provisions of the FFDCA concerning the composition and labeling of dietary supplement ingredients and products. Under the DSHEA, dietary supplement labeling must include the statement of identity (name of the dietary supplement), the net quantity of contents statement (amount of the dietary supplement), the nutrition labeling, the ingredient list, and the name and place of business of the manufacturer, packer, or distributor. The DSHEA also states that dietary supplements may display “statements of nutritional support,” provided certain requirements are met. Such statements must be submitted to the FDA within 30 days of first use in marketing and must be accompanied by a label disclosure that “This statement has not been evaluated by the Food and Drug Administration. This product is not intended to diagnose, treat, cure, or prevent any disease.” Such statements may describe how a particular dietary ingredient affects the structure, function or general well-being of the body, or the mechanism of action by which a dietary ingredient may affect body structure, function or well-being, but may not expressly or implicitly represent that a dietary supplement will diagnose, cure, mitigate, treat, or prevent a disease. Any statement of nutritional support the Corporation makes in labeling must possess scientific evidence substantiating that the statement is truthful and not misleading. If the FDA were to determine that a particular statement of nutritional support was an unacceptable drug claim or an unauthorized version of a health claim about disease risk reduction for a food product, or if the FDA were to determine that a particular claim was not adequately supported by existing scientific data or was false or misleading, the Corporation would be prevented from using that claim. In addition, the FDA deems promotional and internet materials as labeling; therefore, the Corporation’s promotional and internet materials must comply with FDA requirements and could be the subject of regulatory action by the FDA, or by the Federal Trade Commission (the “</w:t>
      </w:r>
      <w:r>
        <w:rPr>
          <w:rFonts w:ascii="Arial" w:cs="Arial" w:eastAsia="Arial" w:hAnsi="Arial"/>
          <w:sz w:val="17"/>
          <w:szCs w:val="17"/>
          <w:b w:val="1"/>
          <w:bCs w:val="1"/>
          <w:color w:val="auto"/>
        </w:rPr>
        <w:t>FTC</w:t>
      </w:r>
      <w:r>
        <w:rPr>
          <w:rFonts w:ascii="Arial" w:cs="Arial" w:eastAsia="Arial" w:hAnsi="Arial"/>
          <w:sz w:val="17"/>
          <w:szCs w:val="17"/>
          <w:color w:val="auto"/>
        </w:rPr>
        <w:t>”) if that agency or other governmental authorities, reviewing the materials as advertising, considers the materials false and misleading.</w:t>
      </w:r>
    </w:p>
    <w:p>
      <w:pPr>
        <w:spacing w:after="0" w:line="180"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U.S. laws also require recordkeeping and reporting to the FDA of all serious adverse events involving dietary supplements products. The Corporation will need to comply with such recordkeeping and reporting requirements, and implement procedures governing adverse event identification, investigation and reporting. As a result of reported adverse events, health and safety risks or violations of applicable laws and regulations, the Corporation may from time to time elect, or be required, to recall, withdraw or remove a product from a market, either temporarily or permanently.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 xml:space="preserve">The Corporation’s expected nutraceutical products will be considered “food” and must be labeled as such. Within the U.S., this category of products is subject to the federal </w:t>
      </w:r>
      <w:r>
        <w:rPr>
          <w:rFonts w:ascii="Arial" w:cs="Arial" w:eastAsia="Arial" w:hAnsi="Arial"/>
          <w:sz w:val="18"/>
          <w:szCs w:val="18"/>
          <w:i w:val="1"/>
          <w:iCs w:val="1"/>
          <w:color w:val="auto"/>
        </w:rPr>
        <w:t>Nutrition, Labeling and Education Act</w:t>
      </w:r>
      <w:r>
        <w:rPr>
          <w:rFonts w:ascii="Arial" w:cs="Arial" w:eastAsia="Arial" w:hAnsi="Arial"/>
          <w:sz w:val="18"/>
          <w:szCs w:val="18"/>
          <w:color w:val="auto"/>
        </w:rPr>
        <w:t xml:space="preserve"> (“</w:t>
      </w:r>
      <w:r>
        <w:rPr>
          <w:rFonts w:ascii="Arial" w:cs="Arial" w:eastAsia="Arial" w:hAnsi="Arial"/>
          <w:sz w:val="18"/>
          <w:szCs w:val="18"/>
          <w:b w:val="1"/>
          <w:bCs w:val="1"/>
          <w:color w:val="auto"/>
        </w:rPr>
        <w:t>NLEA</w:t>
      </w:r>
      <w:r>
        <w:rPr>
          <w:rFonts w:ascii="Arial" w:cs="Arial" w:eastAsia="Arial" w:hAnsi="Arial"/>
          <w:sz w:val="18"/>
          <w:szCs w:val="18"/>
          <w:color w:val="auto"/>
        </w:rPr>
        <w:t xml:space="preserve">”), and regulations promulgated under the NLEA. The NLEA regulates health claims, ingredient labeling and nutrient content claims characterizing the level of a nutrient in the product. The ingredients in conventional foods must either be generally recognized as safe by experts for the purposes to which they are put in foods, or be approved as food additives under FDA regulations. If the Corporation’s expected nutraceutical products were regulated as foods, it would be required to comply with the </w:t>
      </w:r>
      <w:r>
        <w:rPr>
          <w:rFonts w:ascii="Arial" w:cs="Arial" w:eastAsia="Arial" w:hAnsi="Arial"/>
          <w:sz w:val="18"/>
          <w:szCs w:val="18"/>
          <w:i w:val="1"/>
          <w:iCs w:val="1"/>
          <w:color w:val="auto"/>
        </w:rPr>
        <w:t>Federal Food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Safety &amp; Modernization Act </w:t>
      </w:r>
      <w:r>
        <w:rPr>
          <w:rFonts w:ascii="Arial" w:cs="Arial" w:eastAsia="Arial" w:hAnsi="Arial"/>
          <w:sz w:val="18"/>
          <w:szCs w:val="18"/>
          <w:color w:val="auto"/>
        </w:rPr>
        <w:t>and applicable regulations. The Corporation would be required to provide foreign supplier certifications evidencing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compliance with FDA requirements.</w:t>
      </w:r>
    </w:p>
    <w:p>
      <w:pPr>
        <w:spacing w:after="0" w:line="195"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Corporation could be subject to fines and penalties, including under administrative, civil and criminal laws for violating U.S. laws and regulations, and the Corporation’s expected nutraceutical products could be banned or subject to recall from the marketplace. The Corporation could also be subject to possible business and consumer claims under applicable statutory, product liability and common laws.</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FTC will exercise jurisdiction over the advertising of the Corporation’s expected nutraceutical products in the United States. The FTC has in the past instituted enforcement actions against several dietary supplement and food companies and against manufacturers of dietary supplement products, including for false and misleading advertising, label claims or product promotional claims. In addition, the FTC has increased its scrutiny of the use of testimonials, which the Corporation may utilize, as well as the role of endorsements and product clinical studies. The Corporation cannot be sure that the FTC, or comparable foreign agencies, will not question the Corporation’s advertising, product claims, promotional materials or other operations in the future. The FTC has broad authority to enforce its laws and regulations, including the ability to institute enforcement actions that could result in recall actions, consent decrees, injunctions, and civil and criminal penalties by the companies involved. Failure to comply with the FTC’s laws and regulations could impair the Corporation’s ability to market the Corporation’s expected nutraceutical products.</w:t>
      </w:r>
    </w:p>
    <w:p>
      <w:pPr>
        <w:spacing w:after="0" w:line="16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Corporation will also be subject to regulation under various state and local laws, ordinances and regulations that include provisions governing, among other things, the registration, formulation, manufacturing, packaging, labeling, advertising, sale and distribution of foods and dietary supplements. In addition, in the future, the Corporation may become subject to additional laws or regulations administered by the FDA or by other federal, state, local or foreign governmental authorities, to the repeal of laws or regulations that the Corporation considers favorable, or to more stringent interpretations of current laws or regulations. In the future, the Corporation believes that the dietary supplement industry will likely face increased scrutiny from federal, state and local governmental authorities. It is difficult to predict the effect future laws, regulations, repeals or interpretations will have on the Corporation’s business. However, such changes could require the reformulation of products, recalls or discontinuance of products, additional administrative requirements, revised or additional labeling, increased scientific substantiation or other requirements. Any such changes could have a material adverse effect on the Corporation’s business or financial performance.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Jamaica</w:t>
      </w:r>
    </w:p>
    <w:p>
      <w:pPr>
        <w:spacing w:after="0" w:line="117" w:lineRule="exact"/>
        <w:rPr>
          <w:sz w:val="20"/>
          <w:szCs w:val="20"/>
          <w:color w:val="auto"/>
        </w:rPr>
      </w:pPr>
    </w:p>
    <w:p>
      <w:pPr>
        <w:ind w:left="120" w:right="60"/>
        <w:spacing w:after="0" w:line="303" w:lineRule="auto"/>
        <w:rPr>
          <w:sz w:val="20"/>
          <w:szCs w:val="20"/>
          <w:color w:val="auto"/>
        </w:rPr>
      </w:pPr>
      <w:r>
        <w:rPr>
          <w:rFonts w:ascii="Arial" w:cs="Arial" w:eastAsia="Arial" w:hAnsi="Arial"/>
          <w:sz w:val="16"/>
          <w:szCs w:val="16"/>
          <w:color w:val="auto"/>
        </w:rPr>
        <w:t xml:space="preserve">Psilocybin mushrooms do not fall within the definition of a dangerous drug under the </w:t>
      </w:r>
      <w:r>
        <w:rPr>
          <w:rFonts w:ascii="Arial" w:cs="Arial" w:eastAsia="Arial" w:hAnsi="Arial"/>
          <w:sz w:val="16"/>
          <w:szCs w:val="16"/>
          <w:i w:val="1"/>
          <w:iCs w:val="1"/>
          <w:color w:val="auto"/>
        </w:rPr>
        <w:t>Dangerous Drugs Act</w:t>
      </w:r>
      <w:r>
        <w:rPr>
          <w:rFonts w:ascii="Arial" w:cs="Arial" w:eastAsia="Arial" w:hAnsi="Arial"/>
          <w:sz w:val="16"/>
          <w:szCs w:val="16"/>
          <w:color w:val="auto"/>
        </w:rPr>
        <w:t xml:space="preserve"> (the “</w:t>
      </w:r>
      <w:r>
        <w:rPr>
          <w:rFonts w:ascii="Arial" w:cs="Arial" w:eastAsia="Arial" w:hAnsi="Arial"/>
          <w:sz w:val="16"/>
          <w:szCs w:val="16"/>
          <w:b w:val="1"/>
          <w:bCs w:val="1"/>
          <w:color w:val="auto"/>
        </w:rPr>
        <w:t>DDA</w:t>
      </w:r>
      <w:r>
        <w:rPr>
          <w:rFonts w:ascii="Arial" w:cs="Arial" w:eastAsia="Arial" w:hAnsi="Arial"/>
          <w:sz w:val="16"/>
          <w:szCs w:val="16"/>
          <w:color w:val="auto"/>
        </w:rPr>
        <w:t>”) in Jamaica. The Corporation’s future business activities in Jamaica involve the import of psychedelic and pharmaceutical based medicines (derived from mushrooms) for the purposes of conducting research and development as well as testing on human subjects i.e., clinical trials in Jamaica. It is intended that the clinical trials will be conducted by the University of West Indies (“</w:t>
      </w:r>
      <w:r>
        <w:rPr>
          <w:rFonts w:ascii="Arial" w:cs="Arial" w:eastAsia="Arial" w:hAnsi="Arial"/>
          <w:sz w:val="16"/>
          <w:szCs w:val="16"/>
          <w:b w:val="1"/>
          <w:bCs w:val="1"/>
          <w:color w:val="auto"/>
        </w:rPr>
        <w:t>UWI</w:t>
      </w:r>
      <w:r>
        <w:rPr>
          <w:rFonts w:ascii="Arial" w:cs="Arial" w:eastAsia="Arial" w:hAnsi="Arial"/>
          <w:sz w:val="16"/>
          <w:szCs w:val="16"/>
          <w:color w:val="auto"/>
        </w:rPr>
        <w:t>”) and the Corporation will act as a sponsor (the “</w:t>
      </w:r>
      <w:r>
        <w:rPr>
          <w:rFonts w:ascii="Arial" w:cs="Arial" w:eastAsia="Arial" w:hAnsi="Arial"/>
          <w:sz w:val="16"/>
          <w:szCs w:val="16"/>
          <w:b w:val="1"/>
          <w:bCs w:val="1"/>
          <w:color w:val="auto"/>
        </w:rPr>
        <w:t>Clinical Trials</w:t>
      </w:r>
      <w:r>
        <w:rPr>
          <w:rFonts w:ascii="Arial" w:cs="Arial" w:eastAsia="Arial" w:hAnsi="Arial"/>
          <w:sz w:val="16"/>
          <w:szCs w:val="16"/>
          <w:color w:val="auto"/>
        </w:rPr>
        <w:t>”).</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The process of conducting clinical trials in Jamaica is governed by the Ministry of Health, Jamaica Guidelines for the Conduct of Research on Human Subjects (the “</w:t>
      </w:r>
      <w:r>
        <w:rPr>
          <w:rFonts w:ascii="Arial" w:cs="Arial" w:eastAsia="Arial" w:hAnsi="Arial"/>
          <w:sz w:val="18"/>
          <w:szCs w:val="18"/>
          <w:b w:val="1"/>
          <w:bCs w:val="1"/>
          <w:color w:val="auto"/>
        </w:rPr>
        <w:t>Guidelines</w:t>
      </w:r>
      <w:r>
        <w:rPr>
          <w:rFonts w:ascii="Arial" w:cs="Arial" w:eastAsia="Arial" w:hAnsi="Arial"/>
          <w:sz w:val="18"/>
          <w:szCs w:val="18"/>
          <w:color w:val="auto"/>
        </w:rPr>
        <w:t>”). The Corporation and the UWI would be required to ensure that the clinical trials are being conducted in accordance with these Guidelines. The Guidelines provide that prior to conducting research on human subjects, all researchers (i.e., academics, scientists, students, and investigators) are required to prepare a research protocol/proposal.</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Research protocols should be submitted to the Medical Officer of Health in the parish where the proposed research is to be conducted, for evaluation of the ethical and scientific merits. Where the site of the proposed research includes a hospital, the Senior Medical Officer of the facility should also receive a copy of the research protocol, and his/her approval to conduct the study should be obtained.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The regulation of the sale, manufacturing, importation and distribution of drugs in Jamaica is largely governed by the </w:t>
      </w:r>
      <w:r>
        <w:rPr>
          <w:rFonts w:ascii="Arial" w:cs="Arial" w:eastAsia="Arial" w:hAnsi="Arial"/>
          <w:sz w:val="17"/>
          <w:szCs w:val="17"/>
          <w:i w:val="1"/>
          <w:iCs w:val="1"/>
          <w:color w:val="auto"/>
        </w:rPr>
        <w:t>Food &amp; Drugs Act, 1964</w:t>
      </w:r>
      <w:r>
        <w:rPr>
          <w:rFonts w:ascii="Arial" w:cs="Arial" w:eastAsia="Arial" w:hAnsi="Arial"/>
          <w:sz w:val="17"/>
          <w:szCs w:val="17"/>
          <w:color w:val="auto"/>
        </w:rPr>
        <w:t xml:space="preserve"> (the</w:t>
      </w:r>
    </w:p>
    <w:p>
      <w:pPr>
        <w:spacing w:after="0" w:line="3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Jamaica FDA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Food and Drugs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1975</w:t>
      </w:r>
      <w:r>
        <w:rPr>
          <w:rFonts w:ascii="Arial" w:cs="Arial" w:eastAsia="Arial" w:hAnsi="Arial"/>
          <w:sz w:val="18"/>
          <w:szCs w:val="18"/>
          <w:color w:val="auto"/>
        </w:rPr>
        <w:t xml:space="preserve"> (the “</w:t>
      </w:r>
      <w:r>
        <w:rPr>
          <w:rFonts w:ascii="Arial" w:cs="Arial" w:eastAsia="Arial" w:hAnsi="Arial"/>
          <w:sz w:val="18"/>
          <w:szCs w:val="18"/>
          <w:b w:val="1"/>
          <w:bCs w:val="1"/>
          <w:color w:val="auto"/>
        </w:rPr>
        <w:t>Regulations</w:t>
      </w:r>
      <w:r>
        <w:rPr>
          <w:rFonts w:ascii="Arial" w:cs="Arial" w:eastAsia="Arial" w:hAnsi="Arial"/>
          <w:sz w:val="18"/>
          <w:szCs w:val="18"/>
          <w:color w:val="auto"/>
        </w:rPr>
        <w:t>”). Section 4 of the Jamaica FDA prohibits the importation of any drug into Jamaica unless it conforms to the law of the country in which it was manufactured or produced and is accompanied by a certificate declaring that the drug does not contravene any known laws of that country and that its sale therein for consumption or use by or for man or animal, as the case may be, would not constitute a violation of the laws of that country.</w:t>
      </w:r>
    </w:p>
    <w:p>
      <w:pPr>
        <w:spacing w:after="0" w:line="19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Regulation 40 stipulates that, a person shall not sell, manufacture, import or distribute a drug unless that drug has been registered with the MOH. The Regulations further state that a permit must be obtained from the Ministry of Health Jamaica (“</w:t>
      </w:r>
      <w:r>
        <w:rPr>
          <w:rFonts w:ascii="Arial" w:cs="Arial" w:eastAsia="Arial" w:hAnsi="Arial"/>
          <w:sz w:val="18"/>
          <w:szCs w:val="18"/>
          <w:b w:val="1"/>
          <w:bCs w:val="1"/>
          <w:color w:val="auto"/>
        </w:rPr>
        <w:t>MOH</w:t>
      </w:r>
      <w:r>
        <w:rPr>
          <w:rFonts w:ascii="Arial" w:cs="Arial" w:eastAsia="Arial" w:hAnsi="Arial"/>
          <w:sz w:val="18"/>
          <w:szCs w:val="18"/>
          <w:color w:val="auto"/>
        </w:rPr>
        <w:t>”) for the sale, manufacturing, importation and distribution of drugs into Jamaica. Additionally, Regulation 65 states that a person shall not import, sell, advertise for sale, or manufacture a new drug in Jamaica unless that person has obtained a licence from the MOH.</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Failure to comply with section 4 of the Jamaica FDA shall result in such person being guilty of an offence and liable to a fine not exceeding J$1,000,000 (approximately US$6,711) or to imprisonment with or without hard labour for a term not exceeding twelve months. Where a person committing an offence under the Jamaica FDA is a corporation, the chairman, president, the officers and every director thereof concerned in the management of such corporation, shall also be guilty of the same offence unless he/she proves that the act or omission constituting the offence took place without his/her knowledge or that he/she exercised all due diligence to prevent the commission thereof.</w:t>
      </w:r>
    </w:p>
    <w:p>
      <w:pPr>
        <w:spacing w:after="0" w:line="17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Regulation 87 provides that any person who fails to comply with the Regulations shall be guilty of an offence and shall be liable to a fine not exceeding J$2,000 (approximately US$13) or to imprisonment for a term not exceeding twelve months.</w:t>
      </w:r>
    </w:p>
    <w:p>
      <w:pPr>
        <w:spacing w:after="0" w:line="166" w:lineRule="exact"/>
        <w:rPr>
          <w:sz w:val="20"/>
          <w:szCs w:val="20"/>
          <w:color w:val="auto"/>
        </w:rPr>
      </w:pPr>
    </w:p>
    <w:p>
      <w:pPr>
        <w:ind w:left="120" w:right="20"/>
        <w:spacing w:after="0" w:line="266" w:lineRule="auto"/>
        <w:rPr>
          <w:sz w:val="20"/>
          <w:szCs w:val="20"/>
          <w:color w:val="auto"/>
        </w:rPr>
      </w:pPr>
      <w:r>
        <w:rPr>
          <w:rFonts w:ascii="Arial" w:cs="Arial" w:eastAsia="Arial" w:hAnsi="Arial"/>
          <w:sz w:val="18"/>
          <w:szCs w:val="18"/>
          <w:color w:val="auto"/>
        </w:rPr>
        <w:t xml:space="preserve">In the event that the Clinical Trials include the preparation and manufacture of precursor chemicals, then the </w:t>
      </w:r>
      <w:r>
        <w:rPr>
          <w:rFonts w:ascii="Arial" w:cs="Arial" w:eastAsia="Arial" w:hAnsi="Arial"/>
          <w:sz w:val="18"/>
          <w:szCs w:val="18"/>
          <w:i w:val="1"/>
          <w:iCs w:val="1"/>
          <w:color w:val="auto"/>
        </w:rPr>
        <w:t>Precursor Chemicals Act</w:t>
      </w:r>
      <w:r>
        <w:rPr>
          <w:rFonts w:ascii="Arial" w:cs="Arial" w:eastAsia="Arial" w:hAnsi="Arial"/>
          <w:sz w:val="18"/>
          <w:szCs w:val="18"/>
          <w:color w:val="auto"/>
        </w:rPr>
        <w:t xml:space="preserve"> (the “</w:t>
      </w:r>
      <w:r>
        <w:rPr>
          <w:rFonts w:ascii="Arial" w:cs="Arial" w:eastAsia="Arial" w:hAnsi="Arial"/>
          <w:sz w:val="18"/>
          <w:szCs w:val="18"/>
          <w:b w:val="1"/>
          <w:bCs w:val="1"/>
          <w:color w:val="auto"/>
        </w:rPr>
        <w:t>PCA</w:t>
      </w:r>
      <w:r>
        <w:rPr>
          <w:rFonts w:ascii="Arial" w:cs="Arial" w:eastAsia="Arial" w:hAnsi="Arial"/>
          <w:sz w:val="18"/>
          <w:szCs w:val="18"/>
          <w:color w:val="auto"/>
        </w:rPr>
        <w:t>”) may be applicable to the Clinical Trials. As per section 6 of the PCA, any person who proposes to engage in any prescribed activity shall apply to the Pharmaceutical &amp; Regulatory Affairs Department of the MOH for a licence to engage in such prescribed activity.</w:t>
      </w:r>
    </w:p>
    <w:p>
      <w:pPr>
        <w:spacing w:after="0" w:line="18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Section 23 under the PCA stipulates that any person who engages in any prescribed activity without obtaining the requisite licence shall be guilty of an offence and liable to a fine not exceeding J$3,000,000 (approximately US$20,134) or to imprisonment for a term not exceeding three years or to both such fine and imprisonment.</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of the date of this Prospectus, the Corporation’s sponsorship of the Clinical Trials has not commenced. The Corporation has submitted its application to the Institutional Review Board and Ethics Committee of the Ministry of Health Jamaica (“</w:t>
      </w:r>
      <w:r>
        <w:rPr>
          <w:rFonts w:ascii="Arial" w:cs="Arial" w:eastAsia="Arial" w:hAnsi="Arial"/>
          <w:sz w:val="18"/>
          <w:szCs w:val="18"/>
          <w:b w:val="1"/>
          <w:bCs w:val="1"/>
          <w:color w:val="auto"/>
        </w:rPr>
        <w:t>Jamaica IRB</w:t>
      </w:r>
      <w:r>
        <w:rPr>
          <w:rFonts w:ascii="Arial" w:cs="Arial" w:eastAsia="Arial" w:hAnsi="Arial"/>
          <w:sz w:val="18"/>
          <w:szCs w:val="18"/>
          <w:color w:val="auto"/>
        </w:rPr>
        <w:t>”) and is awaiting comments. Once such comments are settled, if any, the Corporation will begin its sponsorship of the Clinical Trials subject to applicable laws. The Corporation is unable to apply for an import licence for its sponsored Clinical Trial materials until it receives final Jamaica IRB approval. Once received, the Corporation will apply to obtain an import licence and any other required licences.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00"/>
          </w:cols>
          <w:pgMar w:left="320" w:top="419" w:right="4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80" w:lineRule="exact"/>
        <w:rPr>
          <w:sz w:val="20"/>
          <w:szCs w:val="20"/>
          <w:color w:val="auto"/>
        </w:rPr>
      </w:pPr>
    </w:p>
    <w:p>
      <w:pPr>
        <w:ind w:left="120" w:right="240"/>
        <w:spacing w:after="0" w:line="266" w:lineRule="auto"/>
        <w:rPr>
          <w:sz w:val="20"/>
          <w:szCs w:val="20"/>
          <w:color w:val="auto"/>
        </w:rPr>
      </w:pPr>
      <w:r>
        <w:rPr>
          <w:rFonts w:ascii="Arial" w:cs="Arial" w:eastAsia="Arial" w:hAnsi="Arial"/>
          <w:sz w:val="18"/>
          <w:szCs w:val="18"/>
          <w:color w:val="auto"/>
        </w:rPr>
        <w:t>The main UK controlled drugs legislation is the Misuse of Drugs Act 1971 (“</w:t>
      </w:r>
      <w:r>
        <w:rPr>
          <w:rFonts w:ascii="Arial" w:cs="Arial" w:eastAsia="Arial" w:hAnsi="Arial"/>
          <w:sz w:val="18"/>
          <w:szCs w:val="18"/>
          <w:b w:val="1"/>
          <w:bCs w:val="1"/>
          <w:color w:val="auto"/>
        </w:rPr>
        <w:t>MDA</w:t>
      </w:r>
      <w:r>
        <w:rPr>
          <w:rFonts w:ascii="Arial" w:cs="Arial" w:eastAsia="Arial" w:hAnsi="Arial"/>
          <w:sz w:val="18"/>
          <w:szCs w:val="18"/>
          <w:color w:val="auto"/>
        </w:rPr>
        <w:t>”) and the Misuse of Drugs Regulations 2001 (“</w:t>
      </w:r>
      <w:r>
        <w:rPr>
          <w:rFonts w:ascii="Arial" w:cs="Arial" w:eastAsia="Arial" w:hAnsi="Arial"/>
          <w:sz w:val="18"/>
          <w:szCs w:val="18"/>
          <w:b w:val="1"/>
          <w:bCs w:val="1"/>
          <w:color w:val="auto"/>
        </w:rPr>
        <w:t>MDR</w:t>
      </w:r>
      <w:r>
        <w:rPr>
          <w:rFonts w:ascii="Arial" w:cs="Arial" w:eastAsia="Arial" w:hAnsi="Arial"/>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80"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In the United Kingdom, “Fungus (of any kind) which contains psilocin or an ester of psilocin” is controlled as a Class A drug under the MDA and Schedule 1 drug under the MDR. As psilocybin is a phosphate ester of psilocin, even if it were isolated from psilocin, it would still fulfil this definition.</w:t>
      </w:r>
    </w:p>
    <w:p>
      <w:pPr>
        <w:spacing w:after="0" w:line="124"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Home Office licence. Whilst exemptions do exist, none are applicable to the API.</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Licensing Requirements</w:t>
      </w:r>
    </w:p>
    <w:p>
      <w:pPr>
        <w:spacing w:after="0" w:line="113" w:lineRule="exact"/>
        <w:rPr>
          <w:sz w:val="20"/>
          <w:szCs w:val="20"/>
          <w:color w:val="auto"/>
        </w:rPr>
      </w:pPr>
    </w:p>
    <w:p>
      <w:pPr>
        <w:ind w:left="120" w:right="160"/>
        <w:spacing w:after="0" w:line="289" w:lineRule="auto"/>
        <w:rPr>
          <w:sz w:val="20"/>
          <w:szCs w:val="20"/>
          <w:color w:val="auto"/>
        </w:rPr>
      </w:pPr>
      <w:r>
        <w:rPr>
          <w:rFonts w:ascii="Arial" w:cs="Arial" w:eastAsia="Arial" w:hAnsi="Arial"/>
          <w:sz w:val="17"/>
          <w:szCs w:val="17"/>
          <w:color w:val="auto"/>
        </w:rPr>
        <w:t>The Corporation obtains acceptable psychedelic agent psilocybin (“</w:t>
      </w:r>
      <w:r>
        <w:rPr>
          <w:rFonts w:ascii="Arial" w:cs="Arial" w:eastAsia="Arial" w:hAnsi="Arial"/>
          <w:sz w:val="17"/>
          <w:szCs w:val="17"/>
          <w:b w:val="1"/>
          <w:bCs w:val="1"/>
          <w:color w:val="auto"/>
        </w:rPr>
        <w:t>API</w:t>
      </w:r>
      <w:r>
        <w:rPr>
          <w:rFonts w:ascii="Arial" w:cs="Arial" w:eastAsia="Arial" w:hAnsi="Arial"/>
          <w:sz w:val="17"/>
          <w:szCs w:val="17"/>
          <w:color w:val="auto"/>
        </w:rPr>
        <w:t>”) from the pharmaceutical ingredient provider who is based in the United States. The API itself is expected to be manufactured and packaged in FDA-registered facilities in the United Kingdom. The API is expected to be sent directly to the Corporation’s partners for research and development purposes in the United States, Canada and Jamaica.</w:t>
      </w:r>
    </w:p>
    <w:p>
      <w:pPr>
        <w:spacing w:after="0" w:line="162"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w:t>
      </w:r>
    </w:p>
    <w:p>
      <w:pPr>
        <w:spacing w:after="0" w:line="15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All premises that are licensed in connection with the possession, supply, manufacture and/or production of controlled drugs are required to adhere to detailed security standards.</w:t>
      </w:r>
      <w:r>
        <w:rPr>
          <w:rFonts w:ascii="Arial" w:cs="Arial" w:eastAsia="Arial" w:hAnsi="Arial"/>
          <w:sz w:val="15"/>
          <w:szCs w:val="15"/>
          <w:color w:val="auto"/>
        </w:rPr>
        <w:t>7</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 responsibilities, record keeping, reconciliation and reporting of thefts/losses.</w:t>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7715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3" w:lineRule="exact"/>
        <w:rPr>
          <w:sz w:val="20"/>
          <w:szCs w:val="20"/>
          <w:color w:val="auto"/>
        </w:rPr>
      </w:pPr>
    </w:p>
    <w:p>
      <w:pPr>
        <w:ind w:left="340" w:right="660" w:hanging="224"/>
        <w:spacing w:after="0" w:line="287"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6"/>
          <w:szCs w:val="16"/>
          <w:color w:val="auto"/>
        </w:rPr>
        <w:t>Home Office guidance; Security guidance for all existing or prospective Home Office Controlled Drug Licensees and/or Precursor Chemical Licensees or Registrants; 2020; https://assets.publishing.service.gov.uk/government/uploads/system/uploads/attachment_data/file/ 857591/Security_Guidance_for_all_Businesses_and_Other_Organisations_v1.4_Jan_2020.pdf.</w:t>
      </w:r>
    </w:p>
    <w:p>
      <w:pPr>
        <w:spacing w:after="0" w:line="1" w:lineRule="exact"/>
        <w:rPr>
          <w:sz w:val="20"/>
          <w:szCs w:val="20"/>
          <w:color w:val="auto"/>
        </w:rPr>
      </w:pPr>
    </w:p>
    <w:p>
      <w:pPr>
        <w:ind w:left="340" w:right="1220" w:hanging="224"/>
        <w:spacing w:after="0" w:line="325" w:lineRule="auto"/>
        <w:tabs>
          <w:tab w:leader="none" w:pos="340" w:val="left"/>
        </w:tabs>
        <w:numPr>
          <w:ilvl w:val="0"/>
          <w:numId w:val="25"/>
        </w:numPr>
        <w:rPr>
          <w:rFonts w:ascii="Arial" w:cs="Arial" w:eastAsia="Arial" w:hAnsi="Arial"/>
          <w:sz w:val="13"/>
          <w:szCs w:val="13"/>
          <w:color w:val="auto"/>
        </w:rPr>
      </w:pPr>
      <w:r>
        <w:rPr>
          <w:rFonts w:ascii="Arial" w:cs="Arial" w:eastAsia="Arial" w:hAnsi="Arial"/>
          <w:sz w:val="16"/>
          <w:szCs w:val="16"/>
          <w:color w:val="auto"/>
        </w:rPr>
        <w:t>Home Office guidance; Guidelines for Standard Operating Procedures (SOPs); https://assets.publishing.service.gov.uk/government/uploads/system/uploads/attachment_data/file/480572/StandardOpProcedure.pdf.</w:t>
      </w: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Pharmaceutical Products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a product is a medicinal product, a marketing authorisation for the product is required before the product can be placed on the market in the UK. The process for obtaining a marketing authorisation involves submitting pre-clinical and clinical data as well as quality and manufacturing information in the form of a common technical document. In addition to a marketing authorisation for the product itself, companies carrying out activities involving medicinal products, such as manufacturing, distribution and wholesaling, need to meet defined standards (GMP) and/or Good Distribution Practice (GDP) and to hold a related licence from the UK Medicines and Healthcare products Regulatory Agency (“</w:t>
      </w:r>
      <w:r>
        <w:rPr>
          <w:rFonts w:ascii="Arial" w:cs="Arial" w:eastAsia="Arial" w:hAnsi="Arial"/>
          <w:sz w:val="17"/>
          <w:szCs w:val="17"/>
          <w:b w:val="1"/>
          <w:bCs w:val="1"/>
          <w:color w:val="auto"/>
        </w:rPr>
        <w:t>MHRA</w:t>
      </w:r>
      <w:r>
        <w:rPr>
          <w:rFonts w:ascii="Arial" w:cs="Arial" w:eastAsia="Arial" w:hAnsi="Arial"/>
          <w:sz w:val="17"/>
          <w:szCs w:val="17"/>
          <w:color w:val="auto"/>
        </w:rPr>
        <w:t>”).</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mentioned above, once the API has been made in the UK, it is expected to be sent directly to the Corporation’s partners for research and development purposes in the United States, Canada or Jamaica. How the API is subsequently processed will determine the licences that the UK-based facility must hold. In particular:</w:t>
      </w:r>
    </w:p>
    <w:p>
      <w:pPr>
        <w:spacing w:after="0" w:line="85" w:lineRule="exact"/>
        <w:rPr>
          <w:sz w:val="20"/>
          <w:szCs w:val="20"/>
          <w:color w:val="auto"/>
        </w:rPr>
      </w:pPr>
    </w:p>
    <w:p>
      <w:pPr>
        <w:jc w:val="both"/>
        <w:ind w:left="1100" w:right="240" w:hanging="433"/>
        <w:spacing w:after="0" w:line="266"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API is just one ‘ingredient’ of the investigational medicinal product (“</w:t>
      </w:r>
      <w:r>
        <w:rPr>
          <w:rFonts w:ascii="Arial" w:cs="Arial" w:eastAsia="Arial" w:hAnsi="Arial"/>
          <w:sz w:val="18"/>
          <w:szCs w:val="18"/>
          <w:b w:val="1"/>
          <w:bCs w:val="1"/>
          <w:color w:val="auto"/>
        </w:rPr>
        <w:t>IMP</w:t>
      </w:r>
      <w:r>
        <w:rPr>
          <w:rFonts w:ascii="Arial" w:cs="Arial" w:eastAsia="Arial" w:hAnsi="Arial"/>
          <w:sz w:val="18"/>
          <w:szCs w:val="18"/>
          <w:color w:val="auto"/>
        </w:rPr>
        <w:t>”) which is used in the clinical trial then the UK-based facility must register with the MHRA and provide the MHRA with 60 days’ notice of the intended start of manufacture/distribution, and comply with GMP and Good Distribution Practice for active substances.</w:t>
      </w:r>
    </w:p>
    <w:p>
      <w:pPr>
        <w:spacing w:after="0" w:line="85" w:lineRule="exact"/>
        <w:rPr>
          <w:rFonts w:ascii="Arial" w:cs="Arial" w:eastAsia="Arial" w:hAnsi="Arial"/>
          <w:sz w:val="18"/>
          <w:szCs w:val="18"/>
          <w:color w:val="auto"/>
        </w:rPr>
      </w:pPr>
    </w:p>
    <w:p>
      <w:pPr>
        <w:ind w:left="1100" w:right="560" w:hanging="433"/>
        <w:spacing w:after="0" w:line="263"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Conversely, if the API will itself constitute the IMP, the manufacturer must hold a Manufacturer’s Authorisations for IMPs licence (“</w:t>
      </w:r>
      <w:r>
        <w:rPr>
          <w:rFonts w:ascii="Arial" w:cs="Arial" w:eastAsia="Arial" w:hAnsi="Arial"/>
          <w:sz w:val="18"/>
          <w:szCs w:val="18"/>
          <w:b w:val="1"/>
          <w:bCs w:val="1"/>
          <w:color w:val="auto"/>
        </w:rPr>
        <w:t>MIA(IMP</w:t>
      </w:r>
      <w:r>
        <w:rPr>
          <w:rFonts w:ascii="Arial" w:cs="Arial" w:eastAsia="Arial" w:hAnsi="Arial"/>
          <w:sz w:val="18"/>
          <w:szCs w:val="18"/>
          <w:color w:val="auto"/>
        </w:rPr>
        <w:t>)”). In this scenario, an MIA(IMP) would be required regardless of whether the IMP is for use in the UK, another EEA Member State or a third country (such as the United States, Canada or Jamaica).</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Food/Food Supplements</w:t>
      </w:r>
    </w:p>
    <w:p>
      <w:pPr>
        <w:spacing w:after="0" w:line="131" w:lineRule="exact"/>
        <w:rPr>
          <w:sz w:val="20"/>
          <w:szCs w:val="20"/>
          <w:color w:val="auto"/>
        </w:rPr>
      </w:pPr>
    </w:p>
    <w:p>
      <w:pPr>
        <w:ind w:left="1100" w:hanging="43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Functional foods and nutraceuticals must comply with general UK food laws.</w:t>
      </w:r>
    </w:p>
    <w:p>
      <w:pPr>
        <w:spacing w:after="0" w:line="130" w:lineRule="exact"/>
        <w:rPr>
          <w:rFonts w:ascii="Arial" w:cs="Arial" w:eastAsia="Arial" w:hAnsi="Arial"/>
          <w:sz w:val="18"/>
          <w:szCs w:val="18"/>
          <w:color w:val="auto"/>
        </w:rPr>
      </w:pPr>
    </w:p>
    <w:p>
      <w:pPr>
        <w:ind w:left="1100" w:hanging="433"/>
        <w:spacing w:after="0" w:line="255"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Ordinarily, food and food ingredients do not need to be pre-authorised before they can be placed on the market. However, “novel foods”, which are foods that have not been consumed to a significant degree by humans in the UK or EU before 15 May 1997 do require pre-authorisation under the EU Novel Foods Regulation (EU) 2015/2283, which has been retained in UK law post-Brexit. Whilst psychedelic mushrooms may have been consumed in the past, the same cannot be said for isolated psilocybin or psilocin. For this reason, it is likely that any food item containing isolated psilocybin and/or psilocin that is not considered to be a medicinal product would fulfil the definition of a ‘novel food’.</w:t>
      </w:r>
    </w:p>
    <w:p>
      <w:pPr>
        <w:spacing w:after="0" w:line="97"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place a novel food on the market in the UK, it must be authorised in advance (either under an EU authorisation if granted pre-1 January 2021, or after this date under a Great Britain authorisation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right="100"/>
        <w:spacing w:after="0" w:line="279" w:lineRule="auto"/>
        <w:rPr>
          <w:sz w:val="20"/>
          <w:szCs w:val="20"/>
          <w:color w:val="auto"/>
        </w:rPr>
      </w:pPr>
      <w:r>
        <w:rPr>
          <w:rFonts w:ascii="Arial" w:cs="Arial" w:eastAsia="Arial" w:hAnsi="Arial"/>
          <w:sz w:val="17"/>
          <w:szCs w:val="17"/>
          <w:color w:val="auto"/>
        </w:rPr>
        <w:t>England, Scotland and Wales and under an EU authorisation for Northern Ireland). Under the updated EU Novel Foods Regulation, novel foods authorisations are now generic and not applicant-specific as they were under the previous novel foods legislation. As such, in principle, once authorised, anyone can place the authorised novel food on the UK market provided that it complies with the terms of the authorisation which include conditions of use, specifications and labelling requirements.</w:t>
      </w:r>
    </w:p>
    <w:p>
      <w:pPr>
        <w:spacing w:after="0" w:line="77" w:lineRule="exact"/>
        <w:rPr>
          <w:sz w:val="20"/>
          <w:szCs w:val="20"/>
          <w:color w:val="auto"/>
        </w:rPr>
      </w:pPr>
    </w:p>
    <w:p>
      <w:pPr>
        <w:ind w:left="1100" w:right="40" w:hanging="433"/>
        <w:spacing w:after="0" w:line="275" w:lineRule="auto"/>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Since novel food applications are a material investment, companies are using two routes to try to protect their assets: drafting the application narrowly and as specific as possible to their own product, making it more challenging for other companies to produce an ingredient that meets the conditions of the authorisation; and if the application relies on newly developed scientific evidence which is designated by the applicant as proprietary in the application, and accepted as such in the application process, that proprietary evidence will be protected by a 5-year period of exclusivity for the applicant for that novel ingredient.</w:t>
      </w:r>
    </w:p>
    <w:p>
      <w:pPr>
        <w:spacing w:after="0" w:line="81" w:lineRule="exact"/>
        <w:rPr>
          <w:rFonts w:ascii="Arial" w:cs="Arial" w:eastAsia="Arial" w:hAnsi="Arial"/>
          <w:sz w:val="17"/>
          <w:szCs w:val="17"/>
          <w:color w:val="auto"/>
        </w:rPr>
      </w:pPr>
    </w:p>
    <w:p>
      <w:pPr>
        <w:ind w:left="1100" w:right="160" w:hanging="433"/>
        <w:spacing w:after="0" w:line="279" w:lineRule="auto"/>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broad terms, the information required in the application dossier includes: a description of the production process; the detailed composition of the novel food; scientific evidence demonstrating that the novel food does not pose a safety risk to human health; and the proposed conditions of intended use and labelling requirements. The responsibility to obtain a novel foods authorisation would be that of the person who intended to commercialise the product, and not the manufacturer of the psilocybin/psilocin itself.</w:t>
      </w:r>
    </w:p>
    <w:p>
      <w:pPr>
        <w:spacing w:after="0" w:line="1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to novel foods legislation, the person who intends to commercialise the product in the UK would also have to comply with the full body of food legislation, which includes food labelling and food hygiene requirements.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Corporation is focused on development of psychedelic medicines and other products, through research and development of novel chemical compounds and delivery mechanisms and study of such compounds in clinical environments around the world including, but not limited to research and studies to be conducted with the UWI and, its affiliate, the Caribbean Institute for Health Research. The Corporation anticipates growing its pipeline of psychedelic pharmaceutical products inspired medicines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7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a result of COVID-19, UWI has implemented certain facility procedures and is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UWI or other institutions involved in pharmaceutical product development.</w:t>
      </w:r>
    </w:p>
    <w:p>
      <w:pPr>
        <w:spacing w:after="0" w:line="18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Psychedelics are a class of drug whose primary action is to trigger psychedelic experiences via serotonin receptor agonism, causing thought, visual and auditory changes, and altered state of consciousness. Major psychedelic drugs include mescaline, LSD, psilocybin, and dimethyl tryptamine (“</w:t>
      </w:r>
      <w:r>
        <w:rPr>
          <w:rFonts w:ascii="Arial" w:cs="Arial" w:eastAsia="Arial" w:hAnsi="Arial"/>
          <w:sz w:val="16"/>
          <w:szCs w:val="16"/>
          <w:b w:val="1"/>
          <w:bCs w:val="1"/>
          <w:color w:val="auto"/>
        </w:rPr>
        <w:t>DMT</w:t>
      </w:r>
      <w:r>
        <w:rPr>
          <w:rFonts w:ascii="Arial" w:cs="Arial" w:eastAsia="Arial" w:hAnsi="Arial"/>
          <w:sz w:val="16"/>
          <w:szCs w:val="16"/>
          <w:color w:val="auto"/>
        </w:rPr>
        <w:t xml:space="preserve">”). Psilocybin is a naturally occurring psychedelic prodrug compound produced by more than 200 species of mushrooms, collectively known as psilocybin mushrooms. The most potent are members of the genus </w:t>
      </w:r>
      <w:r>
        <w:rPr>
          <w:rFonts w:ascii="Arial" w:cs="Arial" w:eastAsia="Arial" w:hAnsi="Arial"/>
          <w:sz w:val="16"/>
          <w:szCs w:val="16"/>
          <w:i w:val="1"/>
          <w:iCs w:val="1"/>
          <w:color w:val="auto"/>
        </w:rPr>
        <w:t>Psilocybe</w:t>
      </w:r>
      <w:r>
        <w:rPr>
          <w:rFonts w:ascii="Arial" w:cs="Arial" w:eastAsia="Arial" w:hAnsi="Arial"/>
          <w:sz w:val="16"/>
          <w:szCs w:val="16"/>
          <w:color w:val="auto"/>
        </w:rPr>
        <w:t xml:space="preserve">, such as </w:t>
      </w:r>
      <w:r>
        <w:rPr>
          <w:rFonts w:ascii="Arial" w:cs="Arial" w:eastAsia="Arial" w:hAnsi="Arial"/>
          <w:sz w:val="16"/>
          <w:szCs w:val="16"/>
          <w:i w:val="1"/>
          <w:iCs w:val="1"/>
          <w:color w:val="auto"/>
        </w:rPr>
        <w:t>P. azurescens</w:t>
      </w:r>
      <w:r>
        <w:rPr>
          <w:rFonts w:ascii="Arial" w:cs="Arial" w:eastAsia="Arial" w:hAnsi="Arial"/>
          <w:sz w:val="16"/>
          <w:szCs w:val="16"/>
          <w:color w:val="auto"/>
        </w:rPr>
        <w:t xml:space="preserve">, </w:t>
      </w:r>
      <w:r>
        <w:rPr>
          <w:rFonts w:ascii="Arial" w:cs="Arial" w:eastAsia="Arial" w:hAnsi="Arial"/>
          <w:sz w:val="16"/>
          <w:szCs w:val="16"/>
          <w:i w:val="1"/>
          <w:iCs w:val="1"/>
          <w:color w:val="auto"/>
        </w:rPr>
        <w:t>P. semilanceata</w:t>
      </w:r>
      <w:r>
        <w:rPr>
          <w:rFonts w:ascii="Arial" w:cs="Arial" w:eastAsia="Arial" w:hAnsi="Arial"/>
          <w:sz w:val="16"/>
          <w:szCs w:val="16"/>
          <w:color w:val="auto"/>
        </w:rPr>
        <w:t xml:space="preserve">, and </w:t>
      </w:r>
      <w:r>
        <w:rPr>
          <w:rFonts w:ascii="Arial" w:cs="Arial" w:eastAsia="Arial" w:hAnsi="Arial"/>
          <w:sz w:val="16"/>
          <w:szCs w:val="16"/>
          <w:i w:val="1"/>
          <w:iCs w:val="1"/>
          <w:color w:val="auto"/>
        </w:rPr>
        <w:t>P. cyanescens</w:t>
      </w:r>
      <w:r>
        <w:rPr>
          <w:rFonts w:ascii="Arial" w:cs="Arial" w:eastAsia="Arial" w:hAnsi="Arial"/>
          <w:sz w:val="16"/>
          <w:szCs w:val="16"/>
          <w:color w:val="auto"/>
        </w:rPr>
        <w:t>, but psilocybin has also been isolated from about a dozen other genera. As a prodrug, psilocybin is quickly converted by the body to psilocin, which has mind-altering effects.</w:t>
      </w:r>
    </w:p>
    <w:p>
      <w:pPr>
        <w:spacing w:after="0" w:line="16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Psilocybin found in certain species of mushrooms is a non-habit forming naturally occurring psychedelic compound. Once ingested, psilocybin is rapidly metabolized to psilocin, which then acts on serotonin receptors in the brain. The Corporation intends to research and sponsor clinical trials on the efficacy of chemically synthesized psilocybin as it relates to the following indications</w:t>
      </w:r>
      <w:r>
        <w:rPr>
          <w:rFonts w:ascii="Arial" w:cs="Arial" w:eastAsia="Arial" w:hAnsi="Arial"/>
          <w:sz w:val="15"/>
          <w:szCs w:val="15"/>
          <w:color w:val="auto"/>
        </w:rPr>
        <w:t>9</w:t>
      </w:r>
      <w:r>
        <w:rPr>
          <w:rFonts w:ascii="Arial" w:cs="Arial" w:eastAsia="Arial" w:hAnsi="Arial"/>
          <w:sz w:val="18"/>
          <w:szCs w:val="18"/>
          <w:color w:val="auto"/>
        </w:rPr>
        <w:t>:</w:t>
      </w:r>
    </w:p>
    <w:p>
      <w:pPr>
        <w:spacing w:after="0" w:line="89" w:lineRule="exact"/>
        <w:rPr>
          <w:sz w:val="20"/>
          <w:szCs w:val="20"/>
          <w:color w:val="auto"/>
        </w:rPr>
      </w:pPr>
    </w:p>
    <w:p>
      <w:pPr>
        <w:ind w:left="1100" w:hanging="43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mental health (depression, PTSD, anxiety and attention deficit hyperactivity disorder);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addiction (alcohol, drugs and cigarettes).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late 2019, management of Cybin Corp. commenced research and development on the delivery of synthetic psilocybin and other psychedelics through mechanisms such as sublingual film delivery. Cybin has filed a patent application for such delivery mechanism.</w:t>
      </w:r>
    </w:p>
    <w:p>
      <w:pPr>
        <w:spacing w:after="0" w:line="17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partnership with UWI, the Corporation plans to conduct research and development of synthetic psilocybin. The Corporation’s activity in relation to the intended research of psilocybin mushrooms, botanicals and other related fungi is limited to the jurisdiction of Jamaica and the Corporation does not deal with psychedelic substances except within laboratory and clinical trial settings conducted within approved regulatory frameworks in order to identify and develop treatments for medical conditions and does not have any direct or indirect involvement with illegal selling, production or distribution of any substances in jurisdictions in which it operates. The Corporation’s Jamaica team is composed of business consultants, legal counsel and local post-doctoral research students. As of the date of this Prospectus, the Corporation’s sponsorship of the clinical trials has not commenced. The Corporation has submitted its application to the Jamaica IRB and has received conditional approval and is awaiting final approval. Once such comments are settled, if any, the Corporation will begin its sponsorship of the clinical trials subject to applicable laws. The Corporation is unable to apply for an import license for its sponsored clinical trial materials until it receives final Jamaica IRB approval, once received, the Corporation will apply to obtain an import license.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is led by the Corporation’s North American Chief Research and Development Officer, Dr. Michael G. Palfreyman.</w:t>
      </w:r>
    </w:p>
    <w:p>
      <w:pPr>
        <w:spacing w:after="0" w:line="35"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Dr. Palfreyman, who holds a PhD in Neuroscience and Neuropharmacology from the University of Nottingham, United Kingdom, is an accomplished pharmaceutical industry veteran responsible for more than 30 successful clinical programs.</w:t>
      </w:r>
    </w:p>
    <w:p>
      <w:pPr>
        <w:spacing w:after="0" w:line="18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Corporation has also retained Stosic and Associates, a leading government relations firm, to work with high level pharmaceutical, institutional and government relations individuals to progress the acceptance of psychedelics in Canada for medical use.</w:t>
      </w:r>
    </w:p>
    <w:p>
      <w:pPr>
        <w:spacing w:after="0" w:line="170"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The Corporation’s research and development must be conducted in strict compliance with the regulations of federal, state, local and regulatory agencies in Canada and the United States, and the equivalent regulatory agencies in the other jurisdictions in which the Corporation operates, including Jamaica. These regulatory authorities regulate, among other things, the research, manufacture, promotion and distribution of drugs in specific jurisdictions under applicable laws and regulations. It is important to note, that unlike in Canada and the United States, psilocybin mushrooms are not an illegal drug under Jamaica’s DDA. Accordingly, conducting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340" w:right="60" w:hanging="224"/>
        <w:spacing w:after="0" w:line="272"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7"/>
          <w:szCs w:val="17"/>
          <w:color w:val="auto"/>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research on psilocybin mushrooms does not contravene the laws of Jamaica and does not require any permit or authorization from Jamaican regulatory authorities.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Canada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Psychedelics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131" w:lineRule="exact"/>
        <w:rPr>
          <w:sz w:val="20"/>
          <w:szCs w:val="20"/>
          <w:color w:val="auto"/>
        </w:rPr>
      </w:pPr>
    </w:p>
    <w:p>
      <w:pPr>
        <w:ind w:left="1100" w:hanging="433"/>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the drug. If the results are promising, the manufacturer will proceed to the next step of development.</w:t>
      </w:r>
    </w:p>
    <w:p>
      <w:pPr>
        <w:spacing w:after="0" w:line="75" w:lineRule="exact"/>
        <w:rPr>
          <w:rFonts w:ascii="Arial" w:cs="Arial" w:eastAsia="Arial" w:hAnsi="Arial"/>
          <w:sz w:val="18"/>
          <w:szCs w:val="18"/>
          <w:color w:val="auto"/>
        </w:rPr>
      </w:pPr>
    </w:p>
    <w:p>
      <w:pPr>
        <w:ind w:left="1100" w:right="40" w:hanging="433"/>
        <w:spacing w:after="0" w:line="308" w:lineRule="auto"/>
        <w:tabs>
          <w:tab w:leader="none" w:pos="11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Pre-Clinical Development – </w:t>
      </w:r>
      <w:r>
        <w:rPr>
          <w:rFonts w:ascii="Arial" w:cs="Arial" w:eastAsia="Arial" w:hAnsi="Arial"/>
          <w:sz w:val="17"/>
          <w:szCs w:val="17"/>
          <w:color w:val="auto"/>
        </w:rPr>
        <w:t>Animals are given the drug in varying amounts over differing periods of time. If it can be shown that the drug</w:t>
      </w:r>
      <w:r>
        <w:rPr>
          <w:rFonts w:ascii="Arial" w:cs="Arial" w:eastAsia="Arial" w:hAnsi="Arial"/>
          <w:sz w:val="17"/>
          <w:szCs w:val="17"/>
          <w:i w:val="1"/>
          <w:iCs w:val="1"/>
          <w:color w:val="auto"/>
        </w:rPr>
        <w:t xml:space="preserve"> </w:t>
      </w:r>
      <w:r>
        <w:rPr>
          <w:rFonts w:ascii="Arial" w:cs="Arial" w:eastAsia="Arial" w:hAnsi="Arial"/>
          <w:sz w:val="17"/>
          <w:szCs w:val="17"/>
          <w:color w:val="auto"/>
        </w:rPr>
        <w:t>causes no serious or unexpected harm at the doses required to have an effect, the manufacturer will proceed to clinical trials.</w:t>
      </w:r>
    </w:p>
    <w:p>
      <w:pPr>
        <w:spacing w:after="0" w:line="51" w:lineRule="exact"/>
        <w:rPr>
          <w:rFonts w:ascii="Arial" w:cs="Arial" w:eastAsia="Arial" w:hAnsi="Arial"/>
          <w:sz w:val="17"/>
          <w:szCs w:val="17"/>
          <w:color w:val="auto"/>
        </w:rPr>
      </w:pPr>
    </w:p>
    <w:p>
      <w:pPr>
        <w:ind w:left="1100" w:right="20" w:hanging="433"/>
        <w:spacing w:after="0" w:line="301" w:lineRule="auto"/>
        <w:tabs>
          <w:tab w:leader="none" w:pos="11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Clinical Trials – Phase I – </w:t>
      </w:r>
      <w:r>
        <w:rPr>
          <w:rFonts w:ascii="Arial" w:cs="Arial" w:eastAsia="Arial" w:hAnsi="Arial"/>
          <w:sz w:val="16"/>
          <w:szCs w:val="16"/>
          <w:color w:val="auto"/>
        </w:rPr>
        <w:t>The first administration in humans is to test if people can tolerate the drug. If this testing is to take place in</w:t>
      </w:r>
      <w:r>
        <w:rPr>
          <w:rFonts w:ascii="Arial" w:cs="Arial" w:eastAsia="Arial" w:hAnsi="Arial"/>
          <w:sz w:val="16"/>
          <w:szCs w:val="16"/>
          <w:i w:val="1"/>
          <w:iCs w:val="1"/>
          <w:color w:val="auto"/>
        </w:rPr>
        <w:t xml:space="preserve"> </w:t>
      </w:r>
      <w:r>
        <w:rPr>
          <w:rFonts w:ascii="Arial" w:cs="Arial" w:eastAsia="Arial" w:hAnsi="Arial"/>
          <w:sz w:val="16"/>
          <w:szCs w:val="16"/>
          <w:color w:val="auto"/>
        </w:rPr>
        <w:t>Canada, the manufacturer must prepare a clinical trial application for the Therapeutic Products Directorate of Health Canada (the “</w:t>
      </w:r>
      <w:r>
        <w:rPr>
          <w:rFonts w:ascii="Arial" w:cs="Arial" w:eastAsia="Arial" w:hAnsi="Arial"/>
          <w:sz w:val="16"/>
          <w:szCs w:val="16"/>
          <w:b w:val="1"/>
          <w:bCs w:val="1"/>
          <w:color w:val="auto"/>
        </w:rPr>
        <w:t>TPD</w:t>
      </w:r>
      <w:r>
        <w:rPr>
          <w:rFonts w:ascii="Arial" w:cs="Arial" w:eastAsia="Arial" w:hAnsi="Arial"/>
          <w:sz w:val="16"/>
          <w:szCs w:val="16"/>
          <w:color w:val="auto"/>
        </w:rPr>
        <w:t>”). This includes the results of the first two steps and a proposal for testing in humans. If the information is sufficient, the Health Products and Food Branch of Health Canada (the “</w:t>
      </w:r>
      <w:r>
        <w:rPr>
          <w:rFonts w:ascii="Arial" w:cs="Arial" w:eastAsia="Arial" w:hAnsi="Arial"/>
          <w:sz w:val="16"/>
          <w:szCs w:val="16"/>
          <w:b w:val="1"/>
          <w:bCs w:val="1"/>
          <w:color w:val="auto"/>
        </w:rPr>
        <w:t>HPFB</w:t>
      </w:r>
      <w:r>
        <w:rPr>
          <w:rFonts w:ascii="Arial" w:cs="Arial" w:eastAsia="Arial" w:hAnsi="Arial"/>
          <w:sz w:val="16"/>
          <w:szCs w:val="16"/>
          <w:color w:val="auto"/>
        </w:rPr>
        <w:t>”) grants permission to start testing the drug, generally first on healthy volunteers.</w:t>
      </w:r>
    </w:p>
    <w:p>
      <w:pPr>
        <w:spacing w:after="0" w:line="62" w:lineRule="exact"/>
        <w:rPr>
          <w:rFonts w:ascii="Arial" w:cs="Arial" w:eastAsia="Arial" w:hAnsi="Arial"/>
          <w:sz w:val="16"/>
          <w:szCs w:val="16"/>
          <w:color w:val="auto"/>
        </w:rPr>
      </w:pPr>
    </w:p>
    <w:p>
      <w:pPr>
        <w:ind w:left="1100" w:right="80" w:hanging="433"/>
        <w:spacing w:after="0" w:line="263"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 – </w:t>
      </w:r>
      <w:r>
        <w:rPr>
          <w:rFonts w:ascii="Arial" w:cs="Arial" w:eastAsia="Arial" w:hAnsi="Arial"/>
          <w:sz w:val="18"/>
          <w:szCs w:val="18"/>
          <w:color w:val="auto"/>
        </w:rPr>
        <w:t>Phase II trials are carried out on people with the target condition, who are usually otherwise healthy, with no</w:t>
      </w:r>
      <w:r>
        <w:rPr>
          <w:rFonts w:ascii="Arial" w:cs="Arial" w:eastAsia="Arial" w:hAnsi="Arial"/>
          <w:sz w:val="18"/>
          <w:szCs w:val="18"/>
          <w:i w:val="1"/>
          <w:iCs w:val="1"/>
          <w:color w:val="auto"/>
        </w:rPr>
        <w:t xml:space="preserve"> </w:t>
      </w:r>
      <w:r>
        <w:rPr>
          <w:rFonts w:ascii="Arial" w:cs="Arial" w:eastAsia="Arial" w:hAnsi="Arial"/>
          <w:sz w:val="18"/>
          <w:szCs w:val="18"/>
          <w:color w:val="auto"/>
        </w:rPr>
        <w:t>other medical condition. Trials carried out in Canada must be approved by the TPD. In phase II, the objective of the trials is to continue to gather information on the safety of the drug and begin to determine its effectiveness.</w:t>
      </w:r>
    </w:p>
    <w:p>
      <w:pPr>
        <w:spacing w:after="0" w:line="89" w:lineRule="exact"/>
        <w:rPr>
          <w:rFonts w:ascii="Arial" w:cs="Arial" w:eastAsia="Arial" w:hAnsi="Arial"/>
          <w:sz w:val="18"/>
          <w:szCs w:val="18"/>
          <w:color w:val="auto"/>
        </w:rPr>
      </w:pPr>
    </w:p>
    <w:p>
      <w:pPr>
        <w:ind w:left="1100" w:right="120" w:hanging="433"/>
        <w:spacing w:after="0" w:line="259"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III – </w:t>
      </w:r>
      <w:r>
        <w:rPr>
          <w:rFonts w:ascii="Arial" w:cs="Arial" w:eastAsia="Arial" w:hAnsi="Arial"/>
          <w:sz w:val="18"/>
          <w:szCs w:val="18"/>
          <w:color w:val="auto"/>
        </w:rPr>
        <w:t>If the results from phase II show promise, the manufacturer provides an updated clinical trial application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92" w:lineRule="exact"/>
        <w:rPr>
          <w:rFonts w:ascii="Arial" w:cs="Arial" w:eastAsia="Arial" w:hAnsi="Arial"/>
          <w:sz w:val="18"/>
          <w:szCs w:val="18"/>
          <w:color w:val="auto"/>
        </w:rPr>
      </w:pPr>
    </w:p>
    <w:p>
      <w:pPr>
        <w:ind w:left="1100" w:right="40" w:hanging="433"/>
        <w:spacing w:after="0" w:line="25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New Drug Submission – </w:t>
      </w:r>
      <w:r>
        <w:rPr>
          <w:rFonts w:ascii="Arial" w:cs="Arial" w:eastAsia="Arial" w:hAnsi="Arial"/>
          <w:sz w:val="18"/>
          <w:szCs w:val="18"/>
          <w:color w:val="auto"/>
        </w:rPr>
        <w:t>If the results from phase III continue to be favourable, the drug manufacturer can submit a new drug submission</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NDS</w:t>
      </w:r>
      <w:r>
        <w:rPr>
          <w:rFonts w:ascii="Arial" w:cs="Arial" w:eastAsia="Arial" w:hAnsi="Arial"/>
          <w:sz w:val="18"/>
          <w:szCs w:val="18"/>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United States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131" w:lineRule="exact"/>
        <w:rPr>
          <w:sz w:val="20"/>
          <w:szCs w:val="20"/>
          <w:color w:val="auto"/>
        </w:rPr>
      </w:pPr>
    </w:p>
    <w:p>
      <w:pPr>
        <w:ind w:left="1100" w:right="12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Clinical and/or Manufacturing Practice regulations;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approval by an institutional review board or independent ethics committee at each clinical trial site before each trial may be initiated;</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right="80" w:hanging="433"/>
        <w:spacing w:after="0" w:line="342" w:lineRule="auto"/>
        <w:tabs>
          <w:tab w:leader="none" w:pos="11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5" w:lineRule="exact"/>
        <w:rPr>
          <w:rFonts w:ascii="Arial" w:cs="Arial" w:eastAsia="Arial" w:hAnsi="Arial"/>
          <w:sz w:val="16"/>
          <w:szCs w:val="16"/>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 and</w:t>
      </w:r>
    </w:p>
    <w:p>
      <w:pPr>
        <w:spacing w:after="0" w:line="134"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Corporation cannot be certain that any approvals for its prescription drug product candidates will be granted on a timely basis, if at all.</w:t>
      </w:r>
    </w:p>
    <w:p>
      <w:pPr>
        <w:spacing w:after="0" w:line="170"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6"/>
          <w:szCs w:val="16"/>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w:t>
      </w:r>
    </w:p>
    <w:p>
      <w:pPr>
        <w:spacing w:after="0" w:line="1" w:lineRule="exact"/>
        <w:rPr>
          <w:sz w:val="20"/>
          <w:szCs w:val="20"/>
          <w:color w:val="auto"/>
        </w:rPr>
      </w:pPr>
    </w:p>
    <w:p>
      <w:pPr>
        <w:ind w:left="120" w:right="120"/>
        <w:spacing w:after="0" w:line="302" w:lineRule="auto"/>
        <w:rPr>
          <w:sz w:val="20"/>
          <w:szCs w:val="20"/>
          <w:color w:val="auto"/>
        </w:rPr>
      </w:pPr>
      <w:r>
        <w:rPr>
          <w:rFonts w:ascii="Arial" w:cs="Arial" w:eastAsia="Arial" w:hAnsi="Arial"/>
          <w:sz w:val="16"/>
          <w:szCs w:val="16"/>
          <w:color w:val="auto"/>
        </w:rPr>
        <w:t>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1"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color w:val="auto"/>
        </w:rPr>
        <w:t>An independent institutional review board (“</w:t>
      </w:r>
      <w:r>
        <w:rPr>
          <w:rFonts w:ascii="Arial" w:cs="Arial" w:eastAsia="Arial" w:hAnsi="Arial"/>
          <w:sz w:val="18"/>
          <w:szCs w:val="18"/>
          <w:b w:val="1"/>
          <w:bCs w:val="1"/>
          <w:color w:val="auto"/>
        </w:rPr>
        <w:t>IRB</w:t>
      </w:r>
      <w:r>
        <w:rPr>
          <w:rFonts w:ascii="Arial" w:cs="Arial" w:eastAsia="Arial" w:hAnsi="Arial"/>
          <w:sz w:val="18"/>
          <w:szCs w:val="18"/>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9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4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Controlled Substances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8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84"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DEA inspects all manufacturing facilities to review security, recordkeeping, reporting and handling prior to issuing a controlled substance registration.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65" w:lineRule="exact"/>
        <w:rPr>
          <w:sz w:val="20"/>
          <w:szCs w:val="20"/>
          <w:color w:val="auto"/>
        </w:rPr>
      </w:pPr>
    </w:p>
    <w:p>
      <w:pPr>
        <w:jc w:val="both"/>
        <w:ind w:left="120" w:right="200"/>
        <w:spacing w:after="0" w:line="296" w:lineRule="auto"/>
        <w:rPr>
          <w:sz w:val="20"/>
          <w:szCs w:val="20"/>
          <w:color w:val="auto"/>
        </w:rPr>
      </w:pPr>
      <w:r>
        <w:rPr>
          <w:rFonts w:ascii="Arial" w:cs="Arial" w:eastAsia="Arial" w:hAnsi="Arial"/>
          <w:sz w:val="16"/>
          <w:szCs w:val="16"/>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6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Individual U.S. states also establish and maintain separate controlled substance laws and regulations, including licensing, recordkeeping, security, distribution, and dispensing requirements.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Patent Cooperation Treaty</w:t>
      </w:r>
    </w:p>
    <w:p>
      <w:pPr>
        <w:spacing w:after="0" w:line="113"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color w:val="auto"/>
        </w:rPr>
        <w:t>The Patent Cooperation Treaty (the “</w:t>
      </w:r>
      <w:r>
        <w:rPr>
          <w:rFonts w:ascii="Arial" w:cs="Arial" w:eastAsia="Arial" w:hAnsi="Arial"/>
          <w:sz w:val="18"/>
          <w:szCs w:val="18"/>
          <w:b w:val="1"/>
          <w:bCs w:val="1"/>
          <w:color w:val="auto"/>
        </w:rPr>
        <w:t>PCT</w:t>
      </w:r>
      <w:r>
        <w:rPr>
          <w:rFonts w:ascii="Arial" w:cs="Arial" w:eastAsia="Arial" w:hAnsi="Arial"/>
          <w:sz w:val="18"/>
          <w:szCs w:val="18"/>
          <w:color w:val="auto"/>
        </w:rPr>
        <w:t>”) facilitates filing for patent recognition in multiple jurisdictions simultaneously using a single uniform patent application. 193 countries, including Canada and the United States have ratified the PCT.</w:t>
      </w:r>
    </w:p>
    <w:p>
      <w:pPr>
        <w:spacing w:after="0" w:line="166"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COMPLIANCE PROGRAM</w:t>
      </w:r>
    </w:p>
    <w:p>
      <w:pPr>
        <w:spacing w:after="0" w:line="22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57" w:lineRule="exact"/>
        <w:rPr>
          <w:sz w:val="20"/>
          <w:szCs w:val="20"/>
          <w:color w:val="auto"/>
        </w:rPr>
      </w:pPr>
    </w:p>
    <w:p>
      <w:pPr>
        <w:jc w:val="both"/>
        <w:ind w:left="120" w:right="600"/>
        <w:spacing w:after="0" w:line="286" w:lineRule="auto"/>
        <w:rPr>
          <w:sz w:val="20"/>
          <w:szCs w:val="20"/>
          <w:color w:val="auto"/>
        </w:rPr>
      </w:pPr>
      <w:r>
        <w:rPr>
          <w:rFonts w:ascii="Arial" w:cs="Arial" w:eastAsia="Arial" w:hAnsi="Arial"/>
          <w:sz w:val="17"/>
          <w:szCs w:val="17"/>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65"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84" w:lineRule="exact"/>
        <w:rPr>
          <w:sz w:val="20"/>
          <w:szCs w:val="20"/>
          <w:color w:val="auto"/>
        </w:rPr>
      </w:pPr>
    </w:p>
    <w:p>
      <w:pPr>
        <w:ind w:left="120" w:right="520"/>
        <w:spacing w:after="0" w:line="301" w:lineRule="auto"/>
        <w:rPr>
          <w:sz w:val="20"/>
          <w:szCs w:val="20"/>
          <w:color w:val="auto"/>
        </w:rPr>
      </w:pPr>
      <w:r>
        <w:rPr>
          <w:rFonts w:ascii="Arial" w:cs="Arial" w:eastAsia="Arial" w:hAnsi="Arial"/>
          <w:sz w:val="16"/>
          <w:szCs w:val="16"/>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5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70"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CAPITALIZATION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the date of the Annual Financial Statements, there has been no material change to the share and loan capital of the Corporation.</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80"/>
          </w:cols>
          <w:pgMar w:left="320" w:top="419" w:right="49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Arial" w:cs="Arial" w:eastAsia="Arial" w:hAnsi="Arial"/>
          <w:sz w:val="17"/>
          <w:szCs w:val="17"/>
          <w:i w:val="1"/>
          <w:iCs w:val="1"/>
          <w:color w:val="auto"/>
        </w:rPr>
        <w:t>“Risk Factors – Risks Related to an Offering – Discretion over the Use of Proceeds”</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Sources and Uses of Capital</w:t>
      </w:r>
    </w:p>
    <w:p>
      <w:pPr>
        <w:spacing w:after="0" w:line="121"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The Corporation had cash and cash equivalents on hand as at May 31, 2021 of approximately $58,409,485 including the remaining net proceeds from the Corporation’s bought deal short form prospectus offering for aggregate gross proceeds of $34,303,500 (the “</w:t>
      </w:r>
      <w:r>
        <w:rPr>
          <w:rFonts w:ascii="Arial" w:cs="Arial" w:eastAsia="Arial" w:hAnsi="Arial"/>
          <w:sz w:val="17"/>
          <w:szCs w:val="17"/>
          <w:b w:val="1"/>
          <w:bCs w:val="1"/>
          <w:color w:val="auto"/>
        </w:rPr>
        <w:t>February Offering</w:t>
      </w:r>
      <w:r>
        <w:rPr>
          <w:rFonts w:ascii="Arial" w:cs="Arial" w:eastAsia="Arial" w:hAnsi="Arial"/>
          <w:sz w:val="17"/>
          <w:szCs w:val="17"/>
          <w:color w:val="auto"/>
        </w:rPr>
        <w:t xml:space="preserve">”) that was completed on February 4, 2021. The Corporation’s current financial resources are sufficient to meet its short-term liquidity requirements and to fund its operations for at least the coming 12 months, exclusive of any additional proceeds to be raised through an Offering of Securities. The Corporation’s expectation is based on significant assumptions and is subject to significant risk, see </w:t>
      </w:r>
      <w:r>
        <w:rPr>
          <w:rFonts w:ascii="Arial" w:cs="Arial" w:eastAsia="Arial" w:hAnsi="Arial"/>
          <w:sz w:val="17"/>
          <w:szCs w:val="17"/>
          <w:i w:val="1"/>
          <w:iCs w:val="1"/>
          <w:color w:val="auto"/>
        </w:rPr>
        <w:t>“Cautionary Note Regarding Forward Looking Information”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“Risk Factors”</w:t>
      </w:r>
      <w:r>
        <w:rPr>
          <w:rFonts w:ascii="Arial" w:cs="Arial" w:eastAsia="Arial" w:hAnsi="Arial"/>
          <w:sz w:val="17"/>
          <w:szCs w:val="17"/>
          <w:color w:val="auto"/>
        </w:rPr>
        <w:t>. As at May 31, 2021, the Corporation anticipates that it will require approximately $39,417,732 to continue operations over the next 12</w:t>
      </w:r>
      <w:r>
        <w:rPr>
          <w:rFonts w:ascii="Arial" w:cs="Arial" w:eastAsia="Arial" w:hAnsi="Arial"/>
          <w:sz w:val="17"/>
          <w:szCs w:val="17"/>
          <w:i w:val="1"/>
          <w:iCs w:val="1"/>
          <w:color w:val="auto"/>
        </w:rPr>
        <w:t xml:space="preserve"> </w:t>
      </w:r>
      <w:r>
        <w:rPr>
          <w:rFonts w:ascii="Arial" w:cs="Arial" w:eastAsia="Arial" w:hAnsi="Arial"/>
          <w:sz w:val="17"/>
          <w:szCs w:val="17"/>
          <w:color w:val="auto"/>
        </w:rPr>
        <w:t>months, including funding for the Corporations business objectives and milestones.</w:t>
      </w: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4"/>
              </w:rPr>
              <w:t>Anticipated</w:t>
            </w:r>
          </w:p>
        </w:tc>
        <w:tc>
          <w:tcPr>
            <w:tcW w:w="380" w:type="dxa"/>
            <w:vAlign w:val="bottom"/>
          </w:tcPr>
          <w:p>
            <w:pPr>
              <w:spacing w:after="0"/>
              <w:rPr>
                <w:sz w:val="14"/>
                <w:szCs w:val="1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Use of Proceeds</w:t>
            </w: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Disclosure in</w:t>
            </w: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Remaining to be</w:t>
            </w:r>
          </w:p>
        </w:tc>
        <w:tc>
          <w:tcPr>
            <w:tcW w:w="0" w:type="dxa"/>
            <w:vAlign w:val="bottom"/>
          </w:tcPr>
          <w:p>
            <w:pPr>
              <w:spacing w:after="0"/>
              <w:rPr>
                <w:sz w:val="1"/>
                <w:szCs w:val="1"/>
                <w:color w:val="auto"/>
              </w:rPr>
            </w:pPr>
          </w:p>
        </w:tc>
      </w:tr>
      <w:tr>
        <w:trPr>
          <w:trHeight w:val="149"/>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Program</w:t>
            </w:r>
            <w:r>
              <w:rPr>
                <w:rFonts w:ascii="Arial" w:cs="Arial" w:eastAsia="Arial" w:hAnsi="Arial"/>
                <w:sz w:val="12"/>
                <w:szCs w:val="12"/>
                <w:b w:val="1"/>
                <w:bCs w:val="1"/>
                <w:color w:val="auto"/>
              </w:rPr>
              <w:t>(1)</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12 Month Use</w:t>
            </w:r>
          </w:p>
        </w:tc>
        <w:tc>
          <w:tcPr>
            <w:tcW w:w="380" w:type="dxa"/>
            <w:vAlign w:val="bottom"/>
          </w:tcPr>
          <w:p>
            <w:pPr>
              <w:spacing w:after="0"/>
              <w:rPr>
                <w:sz w:val="12"/>
                <w:szCs w:val="12"/>
                <w:color w:val="auto"/>
              </w:rPr>
            </w:pPr>
          </w:p>
        </w:tc>
        <w:tc>
          <w:tcPr>
            <w:tcW w:w="13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February 2021</w:t>
            </w: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Applied From</w:t>
            </w:r>
          </w:p>
        </w:tc>
        <w:tc>
          <w:tcPr>
            <w:tcW w:w="0" w:type="dxa"/>
            <w:vAlign w:val="bottom"/>
          </w:tcPr>
          <w:p>
            <w:pPr>
              <w:spacing w:after="0"/>
              <w:rPr>
                <w:sz w:val="1"/>
                <w:szCs w:val="1"/>
                <w:color w:val="auto"/>
              </w:rPr>
            </w:pPr>
          </w:p>
        </w:tc>
      </w:tr>
      <w:tr>
        <w:trPr>
          <w:trHeight w:val="171"/>
        </w:trPr>
        <w:tc>
          <w:tcPr>
            <w:tcW w:w="7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of Funds</w:t>
            </w:r>
            <w:r>
              <w:rPr>
                <w:rFonts w:ascii="Arial" w:cs="Arial" w:eastAsia="Arial" w:hAnsi="Arial"/>
                <w:sz w:val="12"/>
                <w:szCs w:val="12"/>
                <w:b w:val="1"/>
                <w:bCs w:val="1"/>
                <w:color w:val="auto"/>
                <w:w w:val="92"/>
              </w:rPr>
              <w:t>(2)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Prospectus</w:t>
            </w:r>
            <w:r>
              <w:rPr>
                <w:rFonts w:ascii="Arial" w:cs="Arial" w:eastAsia="Arial" w:hAnsi="Arial"/>
                <w:sz w:val="12"/>
                <w:szCs w:val="12"/>
                <w:b w:val="1"/>
                <w:bCs w:val="1"/>
                <w:color w:val="auto"/>
                <w:w w:val="90"/>
              </w:rPr>
              <w:t>(3)</w:t>
            </w: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Proceeds</w:t>
            </w:r>
            <w:r>
              <w:rPr>
                <w:rFonts w:ascii="Arial" w:cs="Arial" w:eastAsia="Arial" w:hAnsi="Arial"/>
                <w:sz w:val="12"/>
                <w:szCs w:val="12"/>
                <w:b w:val="1"/>
                <w:bCs w:val="1"/>
                <w:color w:val="auto"/>
                <w:w w:val="87"/>
              </w:rPr>
              <w:t>(4)</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1"/>
              </w:rPr>
              <w:t>Psilocybin</w:t>
            </w:r>
          </w:p>
        </w:tc>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Program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3,791,727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3,837,600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2,841,727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Deuterated Tryptamines Preclinical Programs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5,662,888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11,920,000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10,862,888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Phenethylamine Preclinical Development Program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2,375,141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Nutraceutical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4,187,704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6,425,000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Other, including General and Administrative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22,900,272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10,778,000</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69,709)</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39,417,732</w:t>
            </w: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36,060,600</w:t>
            </w: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22,697,751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Notes:</w:t>
      </w:r>
    </w:p>
    <w:p>
      <w:pPr>
        <w:spacing w:after="0" w:line="27" w:lineRule="exact"/>
        <w:rPr>
          <w:sz w:val="20"/>
          <w:szCs w:val="20"/>
          <w:color w:val="auto"/>
        </w:rPr>
      </w:pPr>
    </w:p>
    <w:p>
      <w:pPr>
        <w:ind w:left="560" w:right="120" w:hanging="444"/>
        <w:spacing w:after="0" w:line="250"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Please see the Corporation’s Annual MD&amp;A for a description of the Corporation’s Programs. All milestones are subject to receipt of all necessary approvals, including the academic and scientific organizations with which the Corporation is working.</w:t>
      </w:r>
    </w:p>
    <w:p>
      <w:pPr>
        <w:ind w:left="560" w:hanging="44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amounts have been converted from USD to CAD at an exchange rate of 1.2575:1.</w:t>
      </w:r>
    </w:p>
    <w:p>
      <w:pPr>
        <w:spacing w:after="0" w:line="9" w:lineRule="exact"/>
        <w:rPr>
          <w:rFonts w:ascii="Arial" w:cs="Arial" w:eastAsia="Arial" w:hAnsi="Arial"/>
          <w:sz w:val="18"/>
          <w:szCs w:val="18"/>
          <w:color w:val="auto"/>
        </w:rPr>
      </w:pPr>
    </w:p>
    <w:p>
      <w:pPr>
        <w:ind w:left="560" w:right="300" w:hanging="444"/>
        <w:spacing w:after="0" w:line="260"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 proceeds from private placements previously disclosed in the Listing Statement, as well proceeds disclosed in the February Offering prospectus.</w:t>
      </w:r>
    </w:p>
    <w:p>
      <w:pPr>
        <w:spacing w:after="0" w:line="181" w:lineRule="exact"/>
        <w:rPr>
          <w:sz w:val="20"/>
          <w:szCs w:val="20"/>
          <w:color w:val="auto"/>
        </w:rPr>
      </w:pPr>
    </w:p>
    <w:p>
      <w:pPr>
        <w:ind w:left="120" w:right="540"/>
        <w:spacing w:after="0" w:line="261" w:lineRule="auto"/>
        <w:rPr>
          <w:sz w:val="20"/>
          <w:szCs w:val="20"/>
          <w:color w:val="auto"/>
        </w:rPr>
      </w:pPr>
      <w:r>
        <w:rPr>
          <w:rFonts w:ascii="Arial" w:cs="Arial" w:eastAsia="Arial" w:hAnsi="Arial"/>
          <w:sz w:val="18"/>
          <w:szCs w:val="18"/>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interim and annual management’s discussion and analysis of the Corporation, and the documents incorporated by reference herein, including the applicable Prospectus Supplement.</w:t>
      </w:r>
    </w:p>
    <w:p>
      <w:pPr>
        <w:spacing w:after="0" w:line="18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40"/>
          </w:cols>
          <w:pgMar w:left="320" w:top="419"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Arial" w:cs="Arial" w:eastAsia="Arial" w:hAnsi="Arial"/>
          <w:sz w:val="18"/>
          <w:szCs w:val="18"/>
          <w:i w:val="1"/>
          <w:iCs w:val="1"/>
          <w:color w:val="auto"/>
        </w:rPr>
        <w:t>Cautionary Note Regarding Forward-Looking Information”</w:t>
      </w:r>
      <w:r>
        <w:rPr>
          <w:rFonts w:ascii="Arial" w:cs="Arial" w:eastAsia="Arial" w:hAnsi="Arial"/>
          <w:sz w:val="18"/>
          <w:szCs w:val="18"/>
          <w:color w:val="auto"/>
        </w:rPr>
        <w:t xml:space="preserve"> section above. The actual amount that the Corporation spends in connection with each of the identified uses and programs will depend on a number of factors, including those listed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or incorporated by reference in, this Prospectus.</w:t>
      </w:r>
    </w:p>
    <w:p>
      <w:pPr>
        <w:spacing w:after="0" w:line="18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Certain COVID-19 related risks could delay or slow the implementation of the certain of the Corporation’s planned programs resulting in additional costs for the Corporation. The extent to which COVID-19 may impact the Corporation’s business activities will depend on future developments, such as the ultimate geographic spread of the disease, the duration of the outbreak, travel restrictions, business disruptions, and the effectiveness of actions taken in Canada, the United States, Jamaica, and other countries to contain and treat the disease. As these events are highly uncertain, the Corporation cannot determine their potential impact on operations at this time. The COVID-19 pandemic may negatively impact the Corporation’s business through disruption of supply and manufacturing, which would influence the amount and timing of planned expenditure. For example, prolonged disruptions in the supply of goods and services relied on by the Corporation to develop its products or restrictions resulting from government regulations that impact the Corporation’s ability to conduct its studies and clinic trials, may adversely impact the Corporation’s business. See </w:t>
      </w:r>
      <w:r>
        <w:rPr>
          <w:rFonts w:ascii="Arial" w:cs="Arial" w:eastAsia="Arial" w:hAnsi="Arial"/>
          <w:sz w:val="16"/>
          <w:szCs w:val="16"/>
          <w:i w:val="1"/>
          <w:iCs w:val="1"/>
          <w:color w:val="auto"/>
        </w:rPr>
        <w:t>“The Corporation – COVID-19</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Pandemic” </w:t>
      </w:r>
      <w:r>
        <w:rPr>
          <w:rFonts w:ascii="Arial" w:cs="Arial" w:eastAsia="Arial" w:hAnsi="Arial"/>
          <w:sz w:val="16"/>
          <w:szCs w:val="16"/>
          <w:color w:val="auto"/>
        </w:rPr>
        <w:t>and “</w:t>
      </w:r>
      <w:r>
        <w:rPr>
          <w:rFonts w:ascii="Arial" w:cs="Arial" w:eastAsia="Arial" w:hAnsi="Arial"/>
          <w:sz w:val="16"/>
          <w:szCs w:val="16"/>
          <w:i w:val="1"/>
          <w:iCs w:val="1"/>
          <w:color w:val="auto"/>
        </w:rPr>
        <w:t>Risk Factors – Risks Related to the Business of the Corporation – Novel Coronavirus COVID-19”.</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Negative Cash Flow From Operations</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 xml:space="preserve">Since inception, the Corporation has financed its operations primarily from the issuance of equity and interest income on funds available for investment. To date, the Corporation has raised approximately $90,000,000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6"/>
          <w:szCs w:val="16"/>
          <w:i w:val="1"/>
          <w:iCs w:val="1"/>
          <w:color w:val="auto"/>
        </w:rPr>
        <w:t>“Risk Factors – Risks Related to an Offering – Negative Operating Cash Flow and Going Concern”</w:t>
      </w:r>
      <w:r>
        <w:rPr>
          <w:rFonts w:ascii="Arial" w:cs="Arial" w:eastAsia="Arial" w:hAnsi="Arial"/>
          <w:sz w:val="16"/>
          <w:szCs w:val="16"/>
          <w:color w:val="auto"/>
        </w:rPr>
        <w:t>.</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Arial" w:cs="Arial" w:eastAsia="Arial" w:hAnsi="Arial"/>
          <w:sz w:val="17"/>
          <w:szCs w:val="17"/>
          <w:i w:val="1"/>
          <w:iCs w:val="1"/>
          <w:color w:val="auto"/>
        </w:rPr>
        <w:t>Risk Factors – Risks Related to an Offering – Speculative Nature of Investment Risk</w:t>
      </w:r>
      <w:r>
        <w:rPr>
          <w:rFonts w:ascii="Arial" w:cs="Arial" w:eastAsia="Arial" w:hAnsi="Arial"/>
          <w:sz w:val="17"/>
          <w:szCs w:val="17"/>
          <w:color w:val="auto"/>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SECURITIES BEING DISTRIBUTED</w:t>
      </w:r>
    </w:p>
    <w:p>
      <w:pPr>
        <w:spacing w:after="0" w:line="22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Corporation is authorized to issue an unlimited number of Common Shares and an unlimited number of preferred shares. As at July 2, 2021, the Corporation had 148,413,013 Common Shares and nil preferred shares issued and outstanding.</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88"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7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Each applicable Prospectus Supplement will set forth the terms and other information with respect to the Warrants being offered thereby, which may include, without limitation, the following (where applicable):</w:t>
      </w:r>
    </w:p>
    <w:p>
      <w:pPr>
        <w:spacing w:after="0" w:line="76" w:lineRule="exact"/>
        <w:rPr>
          <w:sz w:val="20"/>
          <w:szCs w:val="20"/>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of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number of Warrants offered and the offering price;</w:t>
      </w:r>
    </w:p>
    <w:p>
      <w:pPr>
        <w:spacing w:after="0" w:line="130" w:lineRule="exact"/>
        <w:rPr>
          <w:rFonts w:ascii="Arial" w:cs="Arial" w:eastAsia="Arial" w:hAnsi="Arial"/>
          <w:sz w:val="18"/>
          <w:szCs w:val="18"/>
          <w:color w:val="auto"/>
        </w:rPr>
      </w:pPr>
    </w:p>
    <w:p>
      <w:pPr>
        <w:ind w:left="1100" w:right="100" w:hanging="433"/>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number and terms of the other Securities purchasable upon exercise of the Warrants, and procedures that will result in the adjustment of those numbers;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hanging="433"/>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such Warrants will be listed on any securities exchange;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Warrants;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material terms and conditions of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Each applicable Prospectus Supplement will set forth the terms and other information with respect to the Units being offered thereby, which may include, without limitation, the following (where applicable):</w:t>
      </w:r>
    </w:p>
    <w:p>
      <w:pPr>
        <w:spacing w:after="0" w:line="76" w:lineRule="exact"/>
        <w:rPr>
          <w:sz w:val="20"/>
          <w:szCs w:val="20"/>
          <w:color w:val="auto"/>
        </w:rPr>
      </w:pPr>
    </w:p>
    <w:p>
      <w:pPr>
        <w:ind w:left="1100" w:right="1000" w:hanging="433"/>
        <w:spacing w:after="0" w:line="277"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number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Securities comprising the Units;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material terms and conditions of the Units.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Debt Securities will be senior or subordinated unsecured indebtedness of the Corporation as described in the relevant Prospectus Supplement. If the Debt Securities are senior indebtedness, they will rank equally and rateably with all other unsecured indebtedness of the Corporation, from time to time issued and outstanding, which is not subordinated.</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the Debt Securities are subordinated indebtedness, they will rank equally and rateably with all other subordinated Debt Securities from time to time issued and outstanding. In the event of the insolvency or winding-up of the Corporation, the subordinated Debt Securities will be subordinated and postponed in right of payment to the prior payment in full of all other liabilities and indebtedness of the Corporation, other than indebtedness that, by its terms, ranks equally with, or subordinate to, such subordinated Debt Securities.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convertible or exchangeable Debt Securities will be convertible or exchangeable only for other securities of the Corporation.</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 xml:space="preserve">In conformity with applicable laws of Canada, for all bonds and notes of companies that are publicly offered, the Debt Securities will be governed by a document called an </w:t>
      </w:r>
      <w:r>
        <w:rPr>
          <w:rFonts w:ascii="Arial" w:cs="Arial" w:eastAsia="Arial" w:hAnsi="Arial"/>
          <w:sz w:val="18"/>
          <w:szCs w:val="18"/>
          <w:b w:val="1"/>
          <w:bCs w:val="1"/>
          <w:color w:val="auto"/>
        </w:rPr>
        <w:t>“indenture”</w:t>
      </w:r>
      <w:r>
        <w:rPr>
          <w:rFonts w:ascii="Arial" w:cs="Arial" w:eastAsia="Arial" w:hAnsi="Arial"/>
          <w:sz w:val="18"/>
          <w:szCs w:val="18"/>
          <w:color w:val="auto"/>
        </w:rPr>
        <w:t>. There will be a separate indenture for the senior Debt Securities and the subordinated Debt Securities. An indenture is a contract between a financial institution, acting on your behalf as trustee of the Debt Securities offered, and us. The trustee has two main roles. First, subject to some limitations on the extent to which the trustee can act on your behalf, the trustee can enforce your rights against us if we default on our obligations under the indenture. Second, the trustee performs certain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00"/>
          </w:cols>
          <w:pgMar w:left="320" w:top="419" w:right="4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administrative duties for us. The aggregate principal amount of Debt Securities that may be issued under each indenture is unlimited. A copy of the form of each indenture to be entered into in connection with offerings of Debt Securities will be filed with the applicable securities regulatory authorities in Canada when it is entered into. A copy of any indenture or supplement thereto entered into by us will be filed with securities regulatory authorities and will be available on our profile on SEDAR.</w:t>
      </w:r>
    </w:p>
    <w:p>
      <w:pPr>
        <w:spacing w:after="0" w:line="18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LIBOR, EURIBOR or a United States federal funds rate.</w:t>
      </w:r>
    </w:p>
    <w:p>
      <w:pPr>
        <w:spacing w:after="0" w:line="16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Selected provisions of the Debt Securities and the indenture(s) under which such Debt Securities will be issued are summarized below. This summary is not complete. The statements made in this Prospectus relating to any indenture and Debt Securities to be issued thereunder are summaries of certain anticipated provisions thereof and are subject to, and are qualified in their entirety by reference to, all provisions of the applicable indenture. The indentures will not limit the amount of Debt Securities that we may issue thereunder. We may issue Debt Securities from time to time under an indenture in one or more series by entering into supplemental indentures or by our board of directors or a duly authorized committee authorizing the issuance. The Debt Securities of a series need not be issued at the same time, bear interest at the same rate or mature on the same date.</w:t>
      </w:r>
    </w:p>
    <w:p>
      <w:pPr>
        <w:spacing w:after="0" w:line="16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Prospectus Supplement for a particular series of Debt Securities will disclose the specific terms of such Debt Securities, including the price or prices at which the Debt Securities to be offered will be issued. The terms and provisions of any Debt Securities offered under a Prospectus Supplement may differ from the terms described below, and may not be subject to or contain any or all of such terms. Those terms may include some or all of the following:</w:t>
      </w:r>
    </w:p>
    <w:p>
      <w:pPr>
        <w:spacing w:after="0" w:line="92" w:lineRule="exact"/>
        <w:rPr>
          <w:sz w:val="20"/>
          <w:szCs w:val="20"/>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such Debt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indenture under which such Debt Securities will be issued and the trustee(s) thereunder;</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currency or currency units for which the Debt Securities may be purchased and the currency or currency unit in which the principal and any interest is payable (in either case, if other than Canadian dollars);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such Debt Securities are senior or subordinated and, if subordinated, the applicable subordination provisions;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percentage of the principal amount at which such Debt Securities will be issued;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or dates on which such Debt Securities will mature;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rate or rates per annum at which such Debt Securities will bear interest (if any), or the method of determination of such rates (if any);</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dates on which any such interest will be payable and the record dates for such payments;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redemption term or terms under which such Debt Securities may be defeased;</w:t>
      </w:r>
    </w:p>
    <w:p>
      <w:pPr>
        <w:spacing w:after="0" w:line="130"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such Debt Securities are to be issued in registered form, bearer form or in the form of temporary or permanent global securities and the basis of exchange, transfer and ownership thereof;</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place or places where principal, premium and interest will be payable;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100" w:right="6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and terms of any other Securities with which the Debt Securities will be offered, if any, and the principal amount of Debt Securities that will be offered with each Security;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securities exchange(s) on which such series of Debt Securities will be listed, if any;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terms relating to the modification, amendment or waiver of any terms of such Debt Securities or the applicable indenture;</w:t>
      </w:r>
    </w:p>
    <w:p>
      <w:pPr>
        <w:spacing w:after="0" w:line="142" w:lineRule="exact"/>
        <w:rPr>
          <w:rFonts w:ascii="Arial" w:cs="Arial" w:eastAsia="Arial" w:hAnsi="Arial"/>
          <w:sz w:val="17"/>
          <w:szCs w:val="17"/>
          <w:color w:val="auto"/>
        </w:rPr>
      </w:pPr>
    </w:p>
    <w:p>
      <w:pPr>
        <w:ind w:left="1100" w:right="44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change in the right of the trustee or the holders to declare the principal, premium and interest with respect to such series of debt securities to be due and payable;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30" w:lineRule="exact"/>
        <w:rPr>
          <w:rFonts w:ascii="Arial" w:cs="Arial" w:eastAsia="Arial" w:hAnsi="Arial"/>
          <w:sz w:val="18"/>
          <w:szCs w:val="18"/>
          <w:color w:val="auto"/>
        </w:rPr>
      </w:pPr>
    </w:p>
    <w:p>
      <w:pPr>
        <w:ind w:left="1100" w:right="32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such series that may be authenticated and delivered under the indenture;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the Corporation or the trustee, the identity of each registrar and/or paying agent;</w:t>
      </w:r>
    </w:p>
    <w:p>
      <w:pPr>
        <w:spacing w:after="0" w:line="130" w:lineRule="exact"/>
        <w:rPr>
          <w:rFonts w:ascii="Arial" w:cs="Arial" w:eastAsia="Arial" w:hAnsi="Arial"/>
          <w:sz w:val="18"/>
          <w:szCs w:val="18"/>
          <w:color w:val="auto"/>
        </w:rPr>
      </w:pPr>
    </w:p>
    <w:p>
      <w:pPr>
        <w:ind w:left="1100" w:right="26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Debt Securities are issued as a Unit with another Security, the date on and after which the Debt Securities and other Security will be separately transferable;</w:t>
      </w:r>
    </w:p>
    <w:p>
      <w:pPr>
        <w:spacing w:after="0" w:line="75"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Debt Securities are to be issued upon the exercise of Warrants, the time, manner and place for such Securities to be authenticated and delivered;</w:t>
      </w:r>
    </w:p>
    <w:p>
      <w:pPr>
        <w:spacing w:after="0" w:line="75" w:lineRule="exact"/>
        <w:rPr>
          <w:rFonts w:ascii="Arial" w:cs="Arial" w:eastAsia="Arial" w:hAnsi="Arial"/>
          <w:sz w:val="18"/>
          <w:szCs w:val="18"/>
          <w:color w:val="auto"/>
        </w:rPr>
      </w:pPr>
    </w:p>
    <w:p>
      <w:pPr>
        <w:ind w:left="1100" w:right="66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Debt Securities are to be convertible or exchangeable into other securities of the Corporation, the terms and procedures for the conversion or exchange of the Debt Securities into other securities;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such series, including any events of default or covenants.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Subscription Receipts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Subscription Receipts may be offered separately or together with other Securities, as the case may be. The Subscription Receipts may be issued under a subscription receipt agreement.</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93" w:lineRule="exact"/>
        <w:rPr>
          <w:sz w:val="20"/>
          <w:szCs w:val="20"/>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Subscription Receipts;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price at which the Subscription Receipts will be offered;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conditions and procedures for the conversion of the Subscription Receipts into other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designation, number and terms of the other Securities that may be exchanged upon conversion of each Subscription Receipt;</w:t>
      </w:r>
    </w:p>
    <w:p>
      <w:pPr>
        <w:spacing w:after="0" w:line="142" w:lineRule="exact"/>
        <w:rPr>
          <w:rFonts w:ascii="Arial" w:cs="Arial" w:eastAsia="Arial" w:hAnsi="Arial"/>
          <w:sz w:val="17"/>
          <w:szCs w:val="17"/>
          <w:color w:val="auto"/>
        </w:rPr>
      </w:pPr>
    </w:p>
    <w:p>
      <w:pPr>
        <w:ind w:left="1100" w:right="340" w:hanging="433"/>
        <w:spacing w:after="0" w:line="277"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designation, number and terms of other Securities with which the Subscription Receipts will be offered, if any, and the number of Subscription Receipts that will be offered with each Security;</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terms applicable to the gross or net proceeds from the sale of the Subscription Receipts plus any interest earned thereon;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Subscription Receipts;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material terms and conditions of the Subscription Receipts.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320" w:top="419" w:right="5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Corporation may from time to time during the 25-month period that this Prospectus, including any amendments and supplements hereto, remains valid, offer for sale and sell up to an aggregate of $125,000,000 in Securities hereunder.</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Securities may be sold by us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us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our Securities offered by that Prospectus Supplement.</w:t>
      </w:r>
    </w:p>
    <w:p>
      <w:pPr>
        <w:spacing w:after="0" w:line="18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7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connection with the sale of the Securities, underwriters, dealers or agents may receive compensation from the Corporation including in the form of underwriters’, dealers’ or agents’ fees, commissions or concessions.</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8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Underwriters, dealers or agents who participate in the distribution of the Securities may be entitled, under agreements to be entered into with the Corporation to indemnification by the Corporation against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Offerings in the United States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Securities have not been, and will not be, registered under the U.S. Securities Act or any state securities laws and, subject to certain exceptions, may not be offered or sold or otherwise transferred or disposed of in the United States absent registration or pursuant to an applicable exemption from registration under the U.S. Securities Act and applicable state securities laws. In addition, until 40 days after the commencement of an Offering of Securities under any applicable Prospectus Supplement, an offer or sale of Securities within the United States by any dealer (whether or not participating in the Offering of Securities) may violate the registration requirements of the U.S. Securities Act if such offer is made otherwise than in reliance on an exemption from the registration requirements of the U.S. Securities Act.</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xml:space="preserve"> in the Annual Information Form and under the heading </w:t>
      </w:r>
      <w:r>
        <w:rPr>
          <w:rFonts w:ascii="Arial" w:cs="Arial" w:eastAsia="Arial" w:hAnsi="Arial"/>
          <w:sz w:val="16"/>
          <w:szCs w:val="16"/>
          <w:b w:val="1"/>
          <w:bCs w:val="1"/>
          <w:i w:val="1"/>
          <w:iCs w:val="1"/>
          <w:color w:val="auto"/>
        </w:rPr>
        <w:t>“Risks and Uncertainties”</w:t>
      </w:r>
      <w:r>
        <w:rPr>
          <w:rFonts w:ascii="Arial" w:cs="Arial" w:eastAsia="Arial" w:hAnsi="Arial"/>
          <w:sz w:val="16"/>
          <w:szCs w:val="16"/>
          <w:b w:val="1"/>
          <w:bCs w:val="1"/>
          <w:color w:val="auto"/>
        </w:rPr>
        <w:t xml:space="preserve"> in the Annual MD&amp;A, and any other risk factors described herein or in a document incorporated by reference herein, which investors should carefully consider before investing. </w:t>
      </w:r>
      <w:r>
        <w:rPr>
          <w:rFonts w:ascii="Arial" w:cs="Arial" w:eastAsia="Arial" w:hAnsi="Arial"/>
          <w:sz w:val="16"/>
          <w:szCs w:val="16"/>
          <w:color w:val="auto"/>
        </w:rPr>
        <w:t>Additional risk 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Business of the Corporation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Novel Coronavirus “COVID-19”</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outbreak of the novel strain of coronavirus, specifically identified as “COVID-19”, has resulted in governments worldwide enacting emergency 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Corporation and its operating subsidiaries in future periods. However, depending on the length and severity of the pandemic, COVID-19 could impact the Corporation’s operations, could cause delays relating to approval from Health Canada, the FDA and equivalent organizations in other countries, could postpone research activities, and could impair the Corporation’s ability to raise funds depending on COVID-19s effect on capital markets.</w:t>
      </w:r>
    </w:p>
    <w:p>
      <w:pPr>
        <w:spacing w:after="0" w:line="19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rapid development of the COVID-19 pandemic and the measures being taken by governments and private parties to respond to it are extremely fluid. While the Corporation has continuously sought to assess the potential impact of the pandemic on its operations, any assessment is subject to extreme uncertainty as to probability, severity and duration. The Corporation has attempted to assess the impact of the pandemic by identifying risks in the following principle areas:</w:t>
      </w:r>
    </w:p>
    <w:p>
      <w:pPr>
        <w:spacing w:after="0" w:line="88" w:lineRule="exact"/>
        <w:rPr>
          <w:sz w:val="20"/>
          <w:szCs w:val="20"/>
          <w:color w:val="auto"/>
        </w:rPr>
      </w:pPr>
    </w:p>
    <w:p>
      <w:pPr>
        <w:ind w:left="1100" w:hanging="433"/>
        <w:spacing w:after="0" w:line="303" w:lineRule="auto"/>
        <w:tabs>
          <w:tab w:leader="none" w:pos="110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Mandatory Closure. </w:t>
      </w:r>
      <w:r>
        <w:rPr>
          <w:rFonts w:ascii="Arial" w:cs="Arial" w:eastAsia="Arial" w:hAnsi="Arial"/>
          <w:sz w:val="16"/>
          <w:szCs w:val="16"/>
          <w:color w:val="auto"/>
        </w:rPr>
        <w:t>In response to the pandemic, many provinces, states and localities have implemented mandatory shut-downs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to prevent the spread of COVID-19. In the locations where the Corporation operates or conducts research activity, these activities have been deemed an “essential service”, and thus not subject to the mandatory closures applicable to nonessential businesses. The Corporation’s ability to generate revenue and meet its milestones could be materially impacted by any shut down of operations or services.</w:t>
      </w:r>
    </w:p>
    <w:p>
      <w:pPr>
        <w:spacing w:after="0" w:line="56" w:lineRule="exact"/>
        <w:rPr>
          <w:rFonts w:ascii="Arial" w:cs="Arial" w:eastAsia="Arial" w:hAnsi="Arial"/>
          <w:sz w:val="16"/>
          <w:szCs w:val="16"/>
          <w:color w:val="auto"/>
        </w:rPr>
      </w:pPr>
    </w:p>
    <w:p>
      <w:pPr>
        <w:ind w:left="1100" w:right="240" w:hanging="433"/>
        <w:spacing w:after="0" w:line="261"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Research and Development Disruptions</w:t>
      </w:r>
      <w:r>
        <w:rPr>
          <w:rFonts w:ascii="Arial" w:cs="Arial" w:eastAsia="Arial" w:hAnsi="Arial"/>
          <w:sz w:val="18"/>
          <w:szCs w:val="18"/>
          <w:color w:val="auto"/>
        </w:rPr>
        <w:t>. The Corporation relies on a third parties for its research and development activities. If these</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are unable to continue operating due to mandatory closures or other effects of the pandemic, it may negatively impact the Corporation’s ability to meet its milestones and may significantly delay development. At this time, the Corporation has not experienced any significant disruptions.</w:t>
      </w:r>
    </w:p>
    <w:p>
      <w:pPr>
        <w:spacing w:after="0" w:line="85" w:lineRule="exact"/>
        <w:rPr>
          <w:rFonts w:ascii="Arial" w:cs="Arial" w:eastAsia="Arial" w:hAnsi="Arial"/>
          <w:sz w:val="18"/>
          <w:szCs w:val="18"/>
          <w:color w:val="auto"/>
        </w:rPr>
      </w:pPr>
    </w:p>
    <w:p>
      <w:pPr>
        <w:ind w:left="1100" w:hanging="433"/>
        <w:spacing w:after="0" w:line="273" w:lineRule="auto"/>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Staffing Disruption</w:t>
      </w:r>
      <w:r>
        <w:rPr>
          <w:rFonts w:ascii="Arial" w:cs="Arial" w:eastAsia="Arial" w:hAnsi="Arial"/>
          <w:sz w:val="17"/>
          <w:szCs w:val="17"/>
          <w:color w:val="auto"/>
        </w:rPr>
        <w:t>. The Corporation is, for the time being, implementing among its staff where feasible “social distancing” measures</w:t>
      </w:r>
      <w:r>
        <w:rPr>
          <w:rFonts w:ascii="Arial" w:cs="Arial" w:eastAsia="Arial" w:hAnsi="Arial"/>
          <w:sz w:val="17"/>
          <w:szCs w:val="17"/>
          <w:b w:val="1"/>
          <w:bCs w:val="1"/>
          <w:color w:val="auto"/>
        </w:rPr>
        <w:t xml:space="preserve"> </w:t>
      </w:r>
      <w:r>
        <w:rPr>
          <w:rFonts w:ascii="Arial" w:cs="Arial" w:eastAsia="Arial" w:hAnsi="Arial"/>
          <w:sz w:val="17"/>
          <w:szCs w:val="17"/>
          <w:color w:val="auto"/>
        </w:rPr>
        <w:t>recommended by local authorities. The Corporation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Corporation may find it difficult to ensure that its operations remain staffed due to employees falling ill with COVID-19, becoming subject to quarantine, or deciding not to come to come to work on their own volition to avoid infection.</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Corporation is actively addressing the risk to business continuity represented by each of the above factors through the implementation of a broad range of measures throughout its structure and is re-assessing its response to the COVID-19 pandemic on an ongoing basis. The above risks individually or collectively may have a material impact on the Corporation’s ability to generate revenue.</w:t>
      </w:r>
    </w:p>
    <w:p>
      <w:pPr>
        <w:spacing w:after="0" w:line="184"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Corporation has sufficient cash on hand raised via equity financings to fund its operations for the next 12-months and meet its working capital requirements. It is anticipated that the long-term goals of the Corporation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00"/>
          </w:cols>
          <w:pgMar w:left="320" w:top="419" w:right="4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 xml:space="preserve">will require additional capital contributions via debt or equity financings. In the event that the impact of COVID-19 worsens and negatively affects capital markets generally, there is a risk that the Corporation may not be able to secure funding for these long-term objectives. See </w:t>
      </w:r>
      <w:r>
        <w:rPr>
          <w:rFonts w:ascii="Arial" w:cs="Arial" w:eastAsia="Arial" w:hAnsi="Arial"/>
          <w:sz w:val="18"/>
          <w:szCs w:val="18"/>
          <w:i w:val="1"/>
          <w:iCs w:val="1"/>
          <w:color w:val="auto"/>
        </w:rPr>
        <w:t>“The Corporation –</w:t>
      </w:r>
      <w:r>
        <w:rPr>
          <w:rFonts w:ascii="Arial" w:cs="Arial" w:eastAsia="Arial" w:hAnsi="Arial"/>
          <w:sz w:val="18"/>
          <w:szCs w:val="18"/>
          <w:color w:val="auto"/>
        </w:rPr>
        <w:t xml:space="preserve"> </w:t>
      </w:r>
      <w:r>
        <w:rPr>
          <w:rFonts w:ascii="Arial" w:cs="Arial" w:eastAsia="Arial" w:hAnsi="Arial"/>
          <w:sz w:val="18"/>
          <w:szCs w:val="18"/>
          <w:i w:val="1"/>
          <w:iCs w:val="1"/>
          <w:color w:val="auto"/>
        </w:rPr>
        <w:t>COVID-19 Pandemic”</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Risks and Uncertainties</w:t>
      </w:r>
    </w:p>
    <w:p>
      <w:pPr>
        <w:spacing w:after="0" w:line="117"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In Canada, certain psychedelic drugs, including psilocybin, are classified as Schedule III drugs under the CDSA and as such, medical and recreational use is illegal under Canadian federal laws. In the United States, certain psychedelic drugs, including psilocybin, are classified as Schedule I drugs under the CSA and the </w:t>
      </w:r>
      <w:r>
        <w:rPr>
          <w:rFonts w:ascii="Arial" w:cs="Arial" w:eastAsia="Arial" w:hAnsi="Arial"/>
          <w:sz w:val="17"/>
          <w:szCs w:val="17"/>
          <w:i w:val="1"/>
          <w:iCs w:val="1"/>
          <w:color w:val="auto"/>
        </w:rPr>
        <w:t>Controlled Substances Import and Export Act</w:t>
      </w:r>
      <w:r>
        <w:rPr>
          <w:rFonts w:ascii="Arial" w:cs="Arial" w:eastAsia="Arial" w:hAnsi="Arial"/>
          <w:sz w:val="17"/>
          <w:szCs w:val="17"/>
          <w:color w:val="auto"/>
        </w:rPr>
        <w:t xml:space="preserve"> and as such, medical and recreational use is illegal under the U.S. federal laws. 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loss of the necessary licences and permits for Schedule III drugs could have an adverse effect on the Corporation’s operations.</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6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success of the Corporation’s business is dependent on the reform of controlled substances laws pertaining to psilocybin. If controlled substances laws are not favourably reformed in Canada, the United States, and other global jurisdictions, including Jamaica, the commercial opportunity that the Corporation is pursuing may be highly limited.</w:t>
      </w:r>
    </w:p>
    <w:p>
      <w:pPr>
        <w:spacing w:after="0" w:line="18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Corporation makes no medical, treatment or health benefit claims about the Corporation’s proposed products. The FDA, Health Canada or other similar regulatory authorities have not evaluated claims regarding psilocybin, DMT, psilocybin analogues, or other psychedelic compounds or nutraceutical products. The efficacy of such products have not been confirmed by approved research. There is no assurance that the use of psilocybin, DMT, psilocybin analogues, or other psychedelic compounds or nutraceuticals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Corporation will complete such trials. If the Corporation cannot obtain the approvals or research necessary to commercialize its business, it may have a material adverse effect on the Corporation’s performance and operations.</w:t>
      </w:r>
    </w:p>
    <w:p>
      <w:pPr>
        <w:spacing w:after="0" w:line="170"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Corporation could be subject to fines and penalties, including under administrative, civil and criminal laws for violating U.S. laws and regulations, and the Corporation’s products could be banned or subject to recall from the marketplace. The Corporation could also be subject to possible business and consumer claims under applicable statutory, product liability and common laws.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an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Speculative Nature of Investment Risk</w:t>
      </w:r>
    </w:p>
    <w:p>
      <w:pPr>
        <w:spacing w:after="0" w:line="117"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An investment in the Securities carries a high degree of risk and should be considered as a speculative investment. The Corporation has no history of earnings, limited cash reserves, limited operating history, has not paid dividends, and is unlikely to pay dividends in the immediate or near future.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Negative Operating Cash Flow and Going Concern</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Corporation has negative cash flow from operating activities and has historically incurred net losses. There is no assurance that sufficient revenues will be generated in the near future.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or through loan financing. There is no assurance that additional capital or other types of financing will be available if needed or that these financings will be on terms at least as favourable to the Corporation as those previously obtained, or at all. The Corporation’s ability to successfully raise additional capital and maintain liquidity may by impaired by factors outside of its control, such as a shift in consumer attitudes towards certain therapeutic methods or a downturn in the economy.</w:t>
      </w:r>
    </w:p>
    <w:p>
      <w:pPr>
        <w:spacing w:after="0" w:line="17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Any inclusion in the Corporation’s financial statements of a going concern opinion may negatively impact the Corporation’s ability to raise future financing and achieve future revenue. 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you could lose all or part of your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18"/>
          <w:szCs w:val="18"/>
          <w:i w:val="1"/>
          <w:iCs w:val="1"/>
          <w:color w:val="auto"/>
        </w:rPr>
        <w:t>“Risk Factors – Risks Related to an Offering – Potential Need for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Financing”.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Discretion over the Use of Proceeds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8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40"/>
          </w:cols>
          <w:pgMar w:left="320" w:top="419"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 xml:space="preserve">Supplement in ways that an investor may not consider desirable. The results and the effectiveness of the application of the proceeds are uncertain. If the proceeds are not applied effectively, the Corporation’s results of operations may suffer.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Need for Additional Financing</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Arial" w:cs="Arial" w:eastAsia="Arial" w:hAnsi="Arial"/>
          <w:sz w:val="17"/>
          <w:szCs w:val="17"/>
          <w:i w:val="1"/>
          <w:iCs w:val="1"/>
          <w:color w:val="auto"/>
        </w:rPr>
        <w:t>“Risk Factors – Risks Related to an Offering –</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 Operating Cash Flow and Going Concern” and “– Potential Dilution”.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Volatile Market Price of Corporation’s Common Shares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88"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Arial" w:cs="Arial" w:eastAsia="Arial" w:hAnsi="Arial"/>
          <w:sz w:val="16"/>
          <w:szCs w:val="16"/>
          <w:i w:val="1"/>
          <w:iCs w:val="1"/>
          <w:color w:val="auto"/>
        </w:rPr>
        <w:t>“Cautionary Note Regarding Forward-Looking</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In addition, the market price for securities on stock markets, including the Neo is subject to significant price and trading fluctuations.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66"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Dilution</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our Securities. Issuances of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 xml:space="preserve">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Arial" w:cs="Arial" w:eastAsia="Arial" w:hAnsi="Arial"/>
          <w:sz w:val="16"/>
          <w:szCs w:val="16"/>
          <w:i w:val="1"/>
          <w:iCs w:val="1"/>
          <w:color w:val="auto"/>
        </w:rPr>
        <w:t>“Risk Factors – Risks Related to an Offering – Potential Need for Additional Financing</w:t>
      </w:r>
      <w:r>
        <w:rPr>
          <w:rFonts w:ascii="Arial" w:cs="Arial" w:eastAsia="Arial" w:hAnsi="Arial"/>
          <w:sz w:val="16"/>
          <w:szCs w:val="16"/>
          <w:color w:val="auto"/>
        </w:rPr>
        <w: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for Securities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our Securities, other than our Common Shares, in the secondary market, the transparency and availability of trading prices, the liquidity of these Securities and the extent of issuer regulation. There can be no assurance that an active trading market for our Securities, other than our Common Shares, will develop or, if developed, that any such market, including for our Common Shares, will be sustained.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Enforcement of Civil Liabilities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Certain of our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applicable Prospectus Supplement will include a general summary of certain Canadian federal income tax consequences which may be applicable to a purchaser of Securities offered thereunder. Investors should read the tax discussion in any Prospectus Supplement with respect to a particular offering and consult their own tax advisors with respect to their own particular circumstances.</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120"/>
          </w:cols>
          <w:pgMar w:left="320" w:top="419"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AUDITORS, TRANSFER AGENT AND REGISTRAR</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Zeifmans LLP, Chartered Professional Accountants, are the auditors of the Corporation and have confirmed that they are independent of the Company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registrar and transfer agent of the Common Shares is Odyssey Trust Company at its principal office in Calgary, Alberta.</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0960"/>
      </w:cols>
      <w:pgMar w:left="320" w:top="41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bullet"/>
      <w:start w:val="1"/>
    </w:lvl>
  </w:abstractNum>
  <w:abstractNum w:abstractNumId="5">
    <w:nsid w:val="6763845E"/>
    <w:multiLevelType w:val="hybridMultilevel"/>
    <w:lvl w:ilvl="0">
      <w:lvlJc w:val="left"/>
      <w:lvlText w:val="2"/>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lowerRoman"/>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Roman"/>
      <w:start w:val="5"/>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bullet"/>
      <w:start w:val="1"/>
    </w:lvl>
  </w:abstractNum>
  <w:abstractNum w:abstractNumId="17">
    <w:nsid w:val="3A95F874"/>
    <w:multiLevelType w:val="hybridMultilevel"/>
    <w:lvl w:ilvl="0">
      <w:lvlJc w:val="left"/>
      <w:lvlText w:val="2"/>
      <w:numFmt w:val="bullet"/>
      <w:start w:val="1"/>
    </w:lvl>
  </w:abstractNum>
  <w:abstractNum w:abstractNumId="18">
    <w:nsid w:val="8138641"/>
    <w:multiLevelType w:val="hybridMultilevel"/>
    <w:lvl w:ilvl="0">
      <w:lvlJc w:val="left"/>
      <w:lvlText w:val="3"/>
      <w:numFmt w:val="bullet"/>
      <w:start w:val="1"/>
    </w:lvl>
  </w:abstractNum>
  <w:abstractNum w:abstractNumId="19">
    <w:nsid w:val="1E7FF521"/>
    <w:multiLevelType w:val="hybridMultilevel"/>
    <w:lvl w:ilvl="0">
      <w:lvlJc w:val="left"/>
      <w:lvlText w:val="4"/>
      <w:numFmt w:val="bullet"/>
      <w:start w:val="1"/>
    </w:lvl>
  </w:abstractNum>
  <w:abstractNum w:abstractNumId="20">
    <w:nsid w:val="7C3DBD3D"/>
    <w:multiLevelType w:val="hybridMultilevel"/>
    <w:lvl w:ilvl="0">
      <w:lvlJc w:val="left"/>
      <w:lvlText w:val="5"/>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6"/>
      <w:numFmt w:val="bullet"/>
      <w:start w:val="1"/>
    </w:lvl>
  </w:abstractNum>
  <w:abstractNum w:abstractNumId="23">
    <w:nsid w:val="22221A70"/>
    <w:multiLevelType w:val="hybridMultilevel"/>
    <w:lvl w:ilvl="0">
      <w:lvlJc w:val="left"/>
      <w:lvlText w:val="7"/>
      <w:numFmt w:val="bullet"/>
      <w:start w:val="1"/>
    </w:lvl>
  </w:abstractNum>
  <w:abstractNum w:abstractNumId="24">
    <w:nsid w:val="4516DDE9"/>
    <w:multiLevelType w:val="hybridMultilevel"/>
    <w:lvl w:ilvl="0">
      <w:lvlJc w:val="left"/>
      <w:lvlText w:val="8"/>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9"/>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jpe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68" Type="http://schemas.openxmlformats.org/officeDocument/2006/relationships/hyperlink" Target="http://www.sec.gov/Archives/edgar/data/0001833141/000119312521224423/d204508dex9999.htm" TargetMode="External"/><Relationship Id="rId69" Type="http://schemas.openxmlformats.org/officeDocument/2006/relationships/hyperlink" Target="http://www.sec.gov/Archives/edgar/data/0001833141/000119312521224423/d204508dex9997.htm" TargetMode="External"/><Relationship Id="rId70" Type="http://schemas.openxmlformats.org/officeDocument/2006/relationships/hyperlink" Target="http://www.sec.gov/Archives/edgar/data/0001833141/000119312521224423/d204508dex9998.htm" TargetMode="External"/><Relationship Id="rId71" Type="http://schemas.openxmlformats.org/officeDocument/2006/relationships/hyperlink" Target="http://www.sec.gov/Archives/edgar/data/0001833141/000119312521224423/d204508dex9979.htm" TargetMode="External"/><Relationship Id="rId72" Type="http://schemas.openxmlformats.org/officeDocument/2006/relationships/hyperlink" Target="http://www.sec.gov/Archives/edgar/data/0001833141/000119312521224423/d204508dex998.htm" TargetMode="External"/><Relationship Id="rId73" Type="http://schemas.openxmlformats.org/officeDocument/2006/relationships/hyperlink" Target="http://www.sec.gov/Archives/edgar/data/1833141/000119312521289913/d191613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2023-08-01T11:43:54Z</dcterms:created>
  <dcterms:modified xsi:type="dcterms:W3CDTF">2023-08-01T11:43:54Z</dcterms:modified>
</cp:coreProperties>
</file>