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ind w:right="-59"/>
        <w:spacing w:after="0" w:line="203"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6-K/A</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August, 2022.</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ind w:left="378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26"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318"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p>
    <w:p>
      <w:pPr>
        <w:spacing w:after="0" w:line="6" w:lineRule="exact"/>
        <w:rPr>
          <w:sz w:val="24"/>
          <w:szCs w:val="24"/>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16" w:lineRule="exact"/>
        <w:rPr>
          <w:sz w:val="20"/>
          <w:szCs w:val="20"/>
          <w:color w:val="auto"/>
        </w:rPr>
      </w:pPr>
    </w:p>
    <w:p>
      <w:pPr>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Amendment to the Report on Form 6-K for the month of August 2022, furnished to the Securities and Exchange Commission on </w:t>
      </w:r>
      <w:hyperlink r:id="rId8">
        <w:r>
          <w:rPr>
            <w:rFonts w:ascii="Times New Roman" w:cs="Times New Roman" w:eastAsia="Times New Roman" w:hAnsi="Times New Roman"/>
            <w:sz w:val="18"/>
            <w:szCs w:val="18"/>
            <w:u w:val="single" w:color="auto"/>
            <w:color w:val="0000FF"/>
          </w:rPr>
          <w:t>August 8,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is being furnished solely to correct a typographical error in Exhibit 99.1. Except as set forth herein, the remainder of the Form 6-K remains unchanged.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67"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10,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18"/>
        </w:trPr>
        <w:tc>
          <w:tcPr>
            <w:tcW w:w="560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34"/>
        </w:trPr>
        <w:tc>
          <w:tcPr>
            <w:tcW w:w="56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400" w:right="3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News Release dated August 8, 2022</w:t>
            </w:r>
          </w:p>
        </w:tc>
      </w:tr>
      <w:tr>
        <w:trPr>
          <w:trHeight w:val="2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Equity Distribution Agreement</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Consent of Aird &amp; Berlis LLP</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filed.</w:t>
      </w:r>
    </w:p>
    <w:p>
      <w:pPr>
        <w:sectPr>
          <w:pgSz w:w="11900" w:h="16838" w:orient="portrait"/>
          <w:cols w:equalWidth="0" w:num="1">
            <w:col w:w="10139"/>
          </w:cols>
          <w:pgMar w:left="320" w:top="1400"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1203325</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CORRECTING and REPLACING Cybin Announces Up to USD$35 Million At-The-Market Equity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CORRECTION...by Cybin Inc.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TORONTO--(BUSINESS WIRE)--August 8, 2022--First paragraph, first sentence of release should read: </w:t>
      </w:r>
      <w:r>
        <w:rPr>
          <w:rFonts w:ascii="Times New Roman" w:cs="Times New Roman" w:eastAsia="Times New Roman" w:hAnsi="Times New Roman"/>
          <w:sz w:val="22"/>
          <w:szCs w:val="22"/>
          <w:u w:val="single" w:color="auto"/>
          <w:color w:val="0000FF"/>
        </w:rPr>
        <w:t>Cybin Inc.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NEO:</w:t>
      </w:r>
    </w:p>
    <w:p>
      <w:pPr>
        <w:jc w:val="both"/>
        <w:spacing w:after="0" w:line="193" w:lineRule="auto"/>
        <w:rPr>
          <w:sz w:val="20"/>
          <w:szCs w:val="20"/>
          <w:color w:val="auto"/>
        </w:rPr>
      </w:pPr>
      <w:r>
        <w:rPr>
          <w:rFonts w:ascii="Times New Roman" w:cs="Times New Roman" w:eastAsia="Times New Roman" w:hAnsi="Times New Roman"/>
          <w:sz w:val="22"/>
          <w:szCs w:val="22"/>
          <w:u w:val="single" w:color="auto"/>
          <w:color w:val="0000FF"/>
        </w:rPr>
        <w:t>CYBN</w:t>
      </w:r>
      <w:r>
        <w:rPr>
          <w:rFonts w:ascii="Times New Roman" w:cs="Times New Roman" w:eastAsia="Times New Roman" w:hAnsi="Times New Roman"/>
          <w:sz w:val="22"/>
          <w:szCs w:val="22"/>
          <w:color w:val="000000"/>
        </w:rPr>
        <w:t>) (NYSE American: CYBN) (“</w:t>
      </w:r>
      <w:r>
        <w:rPr>
          <w:rFonts w:ascii="Times New Roman" w:cs="Times New Roman" w:eastAsia="Times New Roman" w:hAnsi="Times New Roman"/>
          <w:sz w:val="22"/>
          <w:szCs w:val="22"/>
          <w:b w:val="1"/>
          <w:bCs w:val="1"/>
          <w:color w:val="000000"/>
        </w:rPr>
        <w:t>Cybin</w:t>
      </w:r>
      <w:r>
        <w:rPr>
          <w:rFonts w:ascii="Times New Roman" w:cs="Times New Roman" w:eastAsia="Times New Roman" w:hAnsi="Times New Roman"/>
          <w:sz w:val="22"/>
          <w:szCs w:val="22"/>
          <w:color w:val="000000"/>
        </w:rPr>
        <w:t>” or the “</w:t>
      </w:r>
      <w:r>
        <w:rPr>
          <w:rFonts w:ascii="Times New Roman" w:cs="Times New Roman" w:eastAsia="Times New Roman" w:hAnsi="Times New Roman"/>
          <w:sz w:val="22"/>
          <w:szCs w:val="22"/>
          <w:b w:val="1"/>
          <w:bCs w:val="1"/>
          <w:color w:val="000000"/>
        </w:rPr>
        <w:t>Company</w:t>
      </w:r>
      <w:r>
        <w:rPr>
          <w:rFonts w:ascii="Times New Roman" w:cs="Times New Roman" w:eastAsia="Times New Roman" w:hAnsi="Times New Roman"/>
          <w:sz w:val="22"/>
          <w:szCs w:val="22"/>
          <w:color w:val="000000"/>
        </w:rPr>
        <w:t>”), a biopharmaceutical company focused on progressing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“Psychedelics to Therapeutics</w:t>
      </w:r>
      <w:r>
        <w:rPr>
          <w:rFonts w:ascii="Times New Roman" w:cs="Times New Roman" w:eastAsia="Times New Roman" w:hAnsi="Times New Roman"/>
          <w:sz w:val="28"/>
          <w:szCs w:val="28"/>
          <w:color w:val="000000"/>
          <w:vertAlign w:val="superscript"/>
        </w:rPr>
        <w:t>TM</w:t>
      </w:r>
      <w:r>
        <w:rPr>
          <w:rFonts w:ascii="Times New Roman" w:cs="Times New Roman" w:eastAsia="Times New Roman" w:hAnsi="Times New Roman"/>
          <w:sz w:val="22"/>
          <w:szCs w:val="22"/>
          <w:color w:val="000000"/>
        </w:rPr>
        <w:t>”, announced today that it has established an at-the-market equity program (the “</w:t>
      </w:r>
      <w:r>
        <w:rPr>
          <w:rFonts w:ascii="Times New Roman" w:cs="Times New Roman" w:eastAsia="Times New Roman" w:hAnsi="Times New Roman"/>
          <w:sz w:val="22"/>
          <w:szCs w:val="22"/>
          <w:b w:val="1"/>
          <w:bCs w:val="1"/>
          <w:color w:val="000000"/>
        </w:rPr>
        <w:t>ATM</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color w:val="000000"/>
        </w:rPr>
        <w:t>Program</w:t>
      </w:r>
      <w:r>
        <w:rPr>
          <w:rFonts w:ascii="Times New Roman" w:cs="Times New Roman" w:eastAsia="Times New Roman" w:hAnsi="Times New Roman"/>
          <w:sz w:val="22"/>
          <w:szCs w:val="22"/>
          <w:color w:val="000000"/>
        </w:rPr>
        <w:t>”) that allows Cybin to issue and sell up to USD$35,000,000 of common shares (Instead of Cybin Inc. (NEO: CYBN)</w:t>
      </w:r>
      <w:r>
        <w:rPr>
          <w:rFonts w:ascii="Times New Roman" w:cs="Times New Roman" w:eastAsia="Times New Roman" w:hAnsi="Times New Roman"/>
          <w:sz w:val="22"/>
          <w:szCs w:val="22"/>
          <w:b w:val="1"/>
          <w:bCs w:val="1"/>
          <w:color w:val="000000"/>
        </w:rPr>
        <w:t xml:space="preserve"> </w:t>
      </w:r>
      <w:r>
        <w:rPr>
          <w:rFonts w:ascii="Times New Roman" w:cs="Times New Roman" w:eastAsia="Times New Roman" w:hAnsi="Times New Roman"/>
          <w:sz w:val="22"/>
          <w:szCs w:val="22"/>
          <w:color w:val="000000"/>
        </w:rPr>
        <w:t>(NYSE American: CYBN) (“</w:t>
      </w:r>
      <w:r>
        <w:rPr>
          <w:rFonts w:ascii="Times New Roman" w:cs="Times New Roman" w:eastAsia="Times New Roman" w:hAnsi="Times New Roman"/>
          <w:sz w:val="22"/>
          <w:szCs w:val="22"/>
          <w:b w:val="1"/>
          <w:bCs w:val="1"/>
          <w:color w:val="000000"/>
        </w:rPr>
        <w:t>Cybin</w:t>
      </w:r>
      <w:r>
        <w:rPr>
          <w:rFonts w:ascii="Times New Roman" w:cs="Times New Roman" w:eastAsia="Times New Roman" w:hAnsi="Times New Roman"/>
          <w:sz w:val="22"/>
          <w:szCs w:val="22"/>
          <w:color w:val="000000"/>
        </w:rPr>
        <w:t>” or the “</w:t>
      </w:r>
      <w:r>
        <w:rPr>
          <w:rFonts w:ascii="Times New Roman" w:cs="Times New Roman" w:eastAsia="Times New Roman" w:hAnsi="Times New Roman"/>
          <w:sz w:val="22"/>
          <w:szCs w:val="22"/>
          <w:b w:val="1"/>
          <w:bCs w:val="1"/>
          <w:color w:val="000000"/>
        </w:rPr>
        <w:t>Company</w:t>
      </w:r>
      <w:r>
        <w:rPr>
          <w:rFonts w:ascii="Times New Roman" w:cs="Times New Roman" w:eastAsia="Times New Roman" w:hAnsi="Times New Roman"/>
          <w:sz w:val="22"/>
          <w:szCs w:val="22"/>
          <w:color w:val="000000"/>
        </w:rPr>
        <w:t>”), a biopharmaceutical company focused on progressing “Psychedelics to Therapeutics</w:t>
      </w:r>
      <w:r>
        <w:rPr>
          <w:rFonts w:ascii="Times New Roman" w:cs="Times New Roman" w:eastAsia="Times New Roman" w:hAnsi="Times New Roman"/>
          <w:sz w:val="28"/>
          <w:szCs w:val="28"/>
          <w:color w:val="000000"/>
          <w:vertAlign w:val="superscript"/>
        </w:rPr>
        <w:t>TM</w:t>
      </w:r>
      <w:r>
        <w:rPr>
          <w:rFonts w:ascii="Times New Roman" w:cs="Times New Roman" w:eastAsia="Times New Roman" w:hAnsi="Times New Roman"/>
          <w:sz w:val="22"/>
          <w:szCs w:val="22"/>
          <w:color w:val="000000"/>
        </w:rPr>
        <w:t>”, announced today that it has established an at-the-market equity program (the “</w:t>
      </w:r>
      <w:r>
        <w:rPr>
          <w:rFonts w:ascii="Times New Roman" w:cs="Times New Roman" w:eastAsia="Times New Roman" w:hAnsi="Times New Roman"/>
          <w:sz w:val="22"/>
          <w:szCs w:val="22"/>
          <w:b w:val="1"/>
          <w:bCs w:val="1"/>
          <w:color w:val="000000"/>
        </w:rPr>
        <w:t>ATM Program</w:t>
      </w:r>
      <w:r>
        <w:rPr>
          <w:rFonts w:ascii="Times New Roman" w:cs="Times New Roman" w:eastAsia="Times New Roman" w:hAnsi="Times New Roman"/>
          <w:sz w:val="22"/>
          <w:szCs w:val="22"/>
          <w:color w:val="000000"/>
        </w:rPr>
        <w:t>”) that allows Cybin to issue and sell up to USD$35,000,0000 of common shares).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updated release reads: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CYBIN ANNOUNCES UP TO USD$35 MILLION AT-THE-MARKET EQUITY PROGRAM</w:t>
      </w:r>
    </w:p>
    <w:p>
      <w:pPr>
        <w:spacing w:after="0" w:line="179"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1"/>
          <w:szCs w:val="21"/>
          <w:u w:val="single" w:color="auto"/>
          <w:color w:val="0000FF"/>
        </w:rPr>
        <w:t>Cybin Inc.</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u w:val="single" w:color="auto"/>
          <w:color w:val="0000FF"/>
        </w:rPr>
        <w:t>NEO: CYBN</w:t>
      </w:r>
      <w:r>
        <w:rPr>
          <w:rFonts w:ascii="Times New Roman" w:cs="Times New Roman" w:eastAsia="Times New Roman" w:hAnsi="Times New Roman"/>
          <w:sz w:val="21"/>
          <w:szCs w:val="21"/>
          <w:color w:val="000000"/>
        </w:rPr>
        <w:t>) (NYSE American: CYBN) (“</w:t>
      </w:r>
      <w:r>
        <w:rPr>
          <w:rFonts w:ascii="Times New Roman" w:cs="Times New Roman" w:eastAsia="Times New Roman" w:hAnsi="Times New Roman"/>
          <w:sz w:val="21"/>
          <w:szCs w:val="21"/>
          <w:b w:val="1"/>
          <w:bCs w:val="1"/>
          <w:color w:val="000000"/>
        </w:rPr>
        <w:t>Cybin</w:t>
      </w:r>
      <w:r>
        <w:rPr>
          <w:rFonts w:ascii="Times New Roman" w:cs="Times New Roman" w:eastAsia="Times New Roman" w:hAnsi="Times New Roman"/>
          <w:sz w:val="21"/>
          <w:szCs w:val="21"/>
          <w:color w:val="000000"/>
        </w:rPr>
        <w:t>” or the “</w:t>
      </w:r>
      <w:r>
        <w:rPr>
          <w:rFonts w:ascii="Times New Roman" w:cs="Times New Roman" w:eastAsia="Times New Roman" w:hAnsi="Times New Roman"/>
          <w:sz w:val="21"/>
          <w:szCs w:val="21"/>
          <w:b w:val="1"/>
          <w:bCs w:val="1"/>
          <w:color w:val="000000"/>
        </w:rPr>
        <w:t>Company</w:t>
      </w:r>
      <w:r>
        <w:rPr>
          <w:rFonts w:ascii="Times New Roman" w:cs="Times New Roman" w:eastAsia="Times New Roman" w:hAnsi="Times New Roman"/>
          <w:sz w:val="21"/>
          <w:szCs w:val="21"/>
          <w:color w:val="000000"/>
        </w:rPr>
        <w:t>”), a biopharmaceutical company focused on</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progressing “Psychedelics to Therapeutics</w:t>
      </w:r>
      <w:r>
        <w:rPr>
          <w:rFonts w:ascii="Times New Roman" w:cs="Times New Roman" w:eastAsia="Times New Roman" w:hAnsi="Times New Roman"/>
          <w:sz w:val="27"/>
          <w:szCs w:val="27"/>
          <w:color w:val="000000"/>
          <w:vertAlign w:val="superscript"/>
        </w:rPr>
        <w:t>TM</w:t>
      </w:r>
      <w:r>
        <w:rPr>
          <w:rFonts w:ascii="Times New Roman" w:cs="Times New Roman" w:eastAsia="Times New Roman" w:hAnsi="Times New Roman"/>
          <w:sz w:val="21"/>
          <w:szCs w:val="21"/>
          <w:color w:val="000000"/>
        </w:rPr>
        <w:t>”, announced today that it has established an at-the-market equity program (the “</w:t>
      </w:r>
      <w:r>
        <w:rPr>
          <w:rFonts w:ascii="Times New Roman" w:cs="Times New Roman" w:eastAsia="Times New Roman" w:hAnsi="Times New Roman"/>
          <w:sz w:val="21"/>
          <w:szCs w:val="21"/>
          <w:b w:val="1"/>
          <w:bCs w:val="1"/>
          <w:color w:val="000000"/>
        </w:rPr>
        <w:t>ATM Program</w:t>
      </w:r>
      <w:r>
        <w:rPr>
          <w:rFonts w:ascii="Times New Roman" w:cs="Times New Roman" w:eastAsia="Times New Roman" w:hAnsi="Times New Roman"/>
          <w:sz w:val="21"/>
          <w:szCs w:val="21"/>
          <w:color w:val="000000"/>
        </w:rPr>
        <w:t>”) that allows Cybin to issue and sell up to USD$35,000,000 of common shares (“</w:t>
      </w:r>
      <w:r>
        <w:rPr>
          <w:rFonts w:ascii="Times New Roman" w:cs="Times New Roman" w:eastAsia="Times New Roman" w:hAnsi="Times New Roman"/>
          <w:sz w:val="21"/>
          <w:szCs w:val="21"/>
          <w:b w:val="1"/>
          <w:bCs w:val="1"/>
          <w:color w:val="000000"/>
        </w:rPr>
        <w:t>Shares</w:t>
      </w:r>
      <w:r>
        <w:rPr>
          <w:rFonts w:ascii="Times New Roman" w:cs="Times New Roman" w:eastAsia="Times New Roman" w:hAnsi="Times New Roman"/>
          <w:sz w:val="21"/>
          <w:szCs w:val="21"/>
          <w:color w:val="000000"/>
        </w:rPr>
        <w:t>”) in the capital of the Company from treasury to the public, from time to time, through the Agents (as defined below). All Shares sold under the ATM Program will be sold in transactions that are deemed to be “at-the-market” distributions as defined in National Instrument 44-102</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directly through the Neo Exchange Inc. (the “</w:t>
      </w:r>
      <w:r>
        <w:rPr>
          <w:rFonts w:ascii="Times New Roman" w:cs="Times New Roman" w:eastAsia="Times New Roman" w:hAnsi="Times New Roman"/>
          <w:sz w:val="22"/>
          <w:szCs w:val="22"/>
          <w:b w:val="1"/>
          <w:bCs w:val="1"/>
          <w:color w:val="auto"/>
        </w:rPr>
        <w:t>NEO Exchange</w:t>
      </w:r>
      <w:r>
        <w:rPr>
          <w:rFonts w:ascii="Times New Roman" w:cs="Times New Roman" w:eastAsia="Times New Roman" w:hAnsi="Times New Roman"/>
          <w:sz w:val="22"/>
          <w:szCs w:val="22"/>
          <w:color w:val="auto"/>
        </w:rPr>
        <w:t>”), the NYSE American LLC or any other “marketplace” (as defined in National Instrument 21-101 Marketplace Operation) upon which the Shares are listed, quoted or otherwise traded, at the prevailing market price at the time of sale. Cybin intends to use the net proceeds from sales of Shares under the ATM Program, if any, for growth opportunities and working capital initiatives.</w:t>
      </w:r>
    </w:p>
    <w:p>
      <w:pPr>
        <w:spacing w:after="0" w:line="18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Distributions of Shares under the ATM Program, if any, will be made pursuant to the terms and conditions of an “at-the-market equity” distribution agreement (the “</w:t>
      </w:r>
      <w:r>
        <w:rPr>
          <w:rFonts w:ascii="Times New Roman" w:cs="Times New Roman" w:eastAsia="Times New Roman" w:hAnsi="Times New Roman"/>
          <w:sz w:val="22"/>
          <w:szCs w:val="22"/>
          <w:b w:val="1"/>
          <w:bCs w:val="1"/>
          <w:color w:val="auto"/>
        </w:rPr>
        <w:t>Distribution Agreement</w:t>
      </w:r>
      <w:r>
        <w:rPr>
          <w:rFonts w:ascii="Times New Roman" w:cs="Times New Roman" w:eastAsia="Times New Roman" w:hAnsi="Times New Roman"/>
          <w:sz w:val="22"/>
          <w:szCs w:val="22"/>
          <w:color w:val="auto"/>
        </w:rPr>
        <w:t>”) dated August 8, 2022 that the Company entered into with Cantor Fitzgerald Canada Corporation and Cantor Fitzgerald &amp; Co. (collectively, the “</w:t>
      </w:r>
      <w:r>
        <w:rPr>
          <w:rFonts w:ascii="Times New Roman" w:cs="Times New Roman" w:eastAsia="Times New Roman" w:hAnsi="Times New Roman"/>
          <w:sz w:val="22"/>
          <w:szCs w:val="22"/>
          <w:b w:val="1"/>
          <w:bCs w:val="1"/>
          <w:color w:val="auto"/>
        </w:rPr>
        <w:t>Agents</w:t>
      </w:r>
      <w:r>
        <w:rPr>
          <w:rFonts w:ascii="Times New Roman" w:cs="Times New Roman" w:eastAsia="Times New Roman" w:hAnsi="Times New Roman"/>
          <w:sz w:val="22"/>
          <w:szCs w:val="22"/>
          <w:color w:val="auto"/>
        </w:rPr>
        <w:t>”). The ATM Program will be effective until the earlier of the issuance and sale of all of the Shares issuable pursuant to the ATM Program and August 5, 2023 unless earlier terminated in accordance with the terms of the Distribution Agreement. The Company is not</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13" w:lineRule="auto"/>
        <w:rPr>
          <w:sz w:val="20"/>
          <w:szCs w:val="20"/>
          <w:color w:val="auto"/>
        </w:rPr>
      </w:pPr>
      <w:r>
        <w:rPr>
          <w:rFonts w:ascii="Times New Roman" w:cs="Times New Roman" w:eastAsia="Times New Roman" w:hAnsi="Times New Roman"/>
          <w:sz w:val="22"/>
          <w:szCs w:val="22"/>
          <w:color w:val="auto"/>
        </w:rPr>
        <w:t>obligated to make any sales of Shares under the ATM Program and there can be no assurance as to when such sales will be completed, if ever. The volume and timing of distributions under the ATM Program, if any, will be determined in Cybin’s sole discretion and in accordance with the Distribution Agreement. As any Shares distributed under the ATM Program will be issued and sold at the prevailing market price at the time of the applicable sale, prices may vary among purchasers through the duration of the ATM Program. The completion of sales of Shares under the ATM Program will be subject to customary closing conditions, including the listing of such Shares on the Neo Exchange and the NYSE American LLC, and any required approvals of each exchange.</w:t>
      </w:r>
    </w:p>
    <w:p>
      <w:pPr>
        <w:spacing w:after="0" w:line="18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The ATM Program is being established, and the sale of the Shares through the ATM Program will be made pursuant to, and qualified by way of a prospectus supplement dated August 8, 2022 (the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 to the Company’s short form base shelf prospectus dated July 5, 2021 (the “</w:t>
      </w:r>
      <w:r>
        <w:rPr>
          <w:rFonts w:ascii="Times New Roman" w:cs="Times New Roman" w:eastAsia="Times New Roman" w:hAnsi="Times New Roman"/>
          <w:sz w:val="22"/>
          <w:szCs w:val="22"/>
          <w:b w:val="1"/>
          <w:bCs w:val="1"/>
          <w:color w:val="auto"/>
        </w:rPr>
        <w:t>Base Prospectus</w:t>
      </w:r>
      <w:r>
        <w:rPr>
          <w:rFonts w:ascii="Times New Roman" w:cs="Times New Roman" w:eastAsia="Times New Roman" w:hAnsi="Times New Roman"/>
          <w:sz w:val="22"/>
          <w:szCs w:val="22"/>
          <w:color w:val="auto"/>
        </w:rPr>
        <w:t>”) filed with the securities commissions in each of the provinces and territories of Canada. The Supplement was also filed with the United States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as part of a registration statement on Form F-10, which was declared effective by the SEC on October 8, 2021, in accordance with the Multijurisdictional Disclosure System established between Canada and the United States.</w:t>
      </w:r>
    </w:p>
    <w:p>
      <w:pPr>
        <w:spacing w:after="0" w:line="15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color w:val="auto"/>
        </w:rPr>
        <w:t>The Supplement and accompanying Base Prospectus contain important detailed information about the ATM Program. The Supplement and accompanying Base Prospectus can be found under the Company’s profile on SEDAR at www.sedar.com and with the United States Securities and Exchange Commission on EDGAR at www.sec.gov. Copies of the Supplement and accompanying Base Prospectus may also be obtained from Cantor Fitzgerald Canada Corporation, Attn: Equity Capital Markets, 181 University Avenue, Suite 1500, Toronto, ON, M5H 3M7, Email: ecmcanada@cantor.com, Cantor Fitzgerald &amp; Co., Attn: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Capital Markets, 499 Park Avenue, 4th floor, New York, New York 10022, Email: prospectus@cantor.com. Prospective investors should read the Supplement and accompanying Base Prospectus and the other documents the Company has filed before making an investment decision.</w:t>
      </w:r>
    </w:p>
    <w:p>
      <w:pPr>
        <w:spacing w:after="0" w:line="1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news release does not constitute an offer to sell or the solicitation of an offer to buy securities, nor will there be any sale of the securities, in any jurisdiction in which such offer, solicitation or sale would be unlawful.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Cybin</w:t>
      </w:r>
    </w:p>
    <w:p>
      <w:pPr>
        <w:spacing w:after="0" w:line="183"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22"/>
          <w:szCs w:val="22"/>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by engineering proprietary drug discovery platforms, innovative drug delivery systems, novel formulation approaches and treatment regimens for mental health disorders.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Notes and Forward-Looking Statements</w:t>
      </w:r>
    </w:p>
    <w:p>
      <w:pPr>
        <w:spacing w:after="0" w:line="183" w:lineRule="exact"/>
        <w:rPr>
          <w:sz w:val="20"/>
          <w:szCs w:val="20"/>
          <w:color w:val="auto"/>
        </w:rPr>
      </w:pPr>
    </w:p>
    <w:p>
      <w:pPr>
        <w:jc w:val="both"/>
        <w:ind w:right="100"/>
        <w:spacing w:after="0" w:line="212" w:lineRule="auto"/>
        <w:rPr>
          <w:sz w:val="20"/>
          <w:szCs w:val="20"/>
          <w:color w:val="auto"/>
        </w:rPr>
      </w:pPr>
      <w:r>
        <w:rPr>
          <w:rFonts w:ascii="Times New Roman" w:cs="Times New Roman" w:eastAsia="Times New Roman" w:hAnsi="Times New Roman"/>
          <w:sz w:val="22"/>
          <w:szCs w:val="22"/>
          <w:color w:val="auto"/>
        </w:rPr>
        <w:t>Certain statements in this news release related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sale of Shares from time to time under the ATM Program and the Company’s intended use of the net proceeds from sales of Shares, if any,</w:t>
      </w:r>
    </w:p>
    <w:p>
      <w:pPr>
        <w:sectPr>
          <w:pgSz w:w="11900" w:h="16838" w:orient="portrait"/>
          <w:cols w:equalWidth="0" w:num="1">
            <w:col w:w="11240"/>
          </w:cols>
          <w:pgMar w:left="320" w:top="1395" w:right="339" w:bottom="1440" w:gutter="0" w:footer="0" w:header="0"/>
        </w:sectPr>
      </w:pPr>
    </w:p>
    <w:bookmarkStart w:id="5" w:name="page6"/>
    <w:bookmarkEnd w:id="5"/>
    <w:p>
      <w:pPr>
        <w:jc w:val="both"/>
        <w:spacing w:after="0" w:line="236" w:lineRule="auto"/>
        <w:rPr>
          <w:sz w:val="20"/>
          <w:szCs w:val="20"/>
          <w:color w:val="auto"/>
        </w:rPr>
      </w:pPr>
      <w:r>
        <w:rPr>
          <w:rFonts w:ascii="Times New Roman" w:cs="Times New Roman" w:eastAsia="Times New Roman" w:hAnsi="Times New Roman"/>
          <w:sz w:val="22"/>
          <w:szCs w:val="22"/>
          <w:color w:val="auto"/>
        </w:rPr>
        <w:t>under the ATM Program and the receipt of applicable regulatory approvals, including the acceptance of the NEO Exchange and authorization by NYSE American LLC.</w:t>
      </w:r>
    </w:p>
    <w:p>
      <w:pPr>
        <w:spacing w:after="0" w:line="150"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year ended March 31, 2022 and the Company’s annual information form dated June 20, 2022, which are available under the Company’s profile on www.sedar.com and with the United States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61" w:lineRule="exact"/>
        <w:rPr>
          <w:sz w:val="20"/>
          <w:szCs w:val="20"/>
          <w:color w:val="auto"/>
        </w:rPr>
      </w:pPr>
    </w:p>
    <w:p>
      <w:pPr>
        <w:jc w:val="both"/>
        <w:ind w:right="80"/>
        <w:spacing w:after="0" w:line="211" w:lineRule="auto"/>
        <w:rPr>
          <w:sz w:val="20"/>
          <w:szCs w:val="20"/>
          <w:color w:val="auto"/>
        </w:rPr>
      </w:pPr>
      <w:r>
        <w:rPr>
          <w:rFonts w:ascii="Times New Roman" w:cs="Times New Roman" w:eastAsia="Times New Roman" w:hAnsi="Times New Roman"/>
          <w:sz w:val="22"/>
          <w:szCs w:val="22"/>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81" w:lineRule="exact"/>
        <w:rPr>
          <w:sz w:val="20"/>
          <w:szCs w:val="20"/>
          <w:color w:val="auto"/>
        </w:rPr>
      </w:pPr>
    </w:p>
    <w:p>
      <w:pPr>
        <w:jc w:val="both"/>
        <w:ind w:right="80"/>
        <w:spacing w:after="0" w:line="238" w:lineRule="auto"/>
        <w:rPr>
          <w:sz w:val="20"/>
          <w:szCs w:val="20"/>
          <w:color w:val="auto"/>
        </w:rPr>
      </w:pPr>
      <w:r>
        <w:rPr>
          <w:rFonts w:ascii="Times New Roman" w:cs="Times New Roman" w:eastAsia="Times New Roman" w:hAnsi="Times New Roman"/>
          <w:sz w:val="22"/>
          <w:szCs w:val="22"/>
          <w:i w:val="1"/>
          <w:iCs w:val="1"/>
          <w:color w:val="auto"/>
        </w:rPr>
        <w:t>Neither the NEO Exchange nor the NYSE American LLC stock exchange have approved or disapproved the contents of this news release and are not responsible for the adequacy and accuracy of the contents herein.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&amp; Media Contacts:</w:t>
      </w:r>
    </w:p>
    <w:p>
      <w:pPr>
        <w:spacing w:after="0" w:line="204" w:lineRule="auto"/>
        <w:rPr>
          <w:sz w:val="20"/>
          <w:szCs w:val="20"/>
          <w:color w:val="auto"/>
        </w:rPr>
      </w:pPr>
      <w:r>
        <w:rPr>
          <w:rFonts w:ascii="Times New Roman" w:cs="Times New Roman" w:eastAsia="Times New Roman" w:hAnsi="Times New Roman"/>
          <w:sz w:val="22"/>
          <w:szCs w:val="22"/>
          <w:color w:val="auto"/>
        </w:rPr>
        <w:t>Leah Gibson</w:t>
      </w:r>
    </w:p>
    <w:p>
      <w:pPr>
        <w:spacing w:after="0" w:line="205" w:lineRule="auto"/>
        <w:rPr>
          <w:sz w:val="20"/>
          <w:szCs w:val="20"/>
          <w:color w:val="auto"/>
        </w:rPr>
      </w:pPr>
      <w:r>
        <w:rPr>
          <w:rFonts w:ascii="Times New Roman" w:cs="Times New Roman" w:eastAsia="Times New Roman" w:hAnsi="Times New Roman"/>
          <w:sz w:val="22"/>
          <w:szCs w:val="22"/>
          <w:color w:val="auto"/>
        </w:rPr>
        <w:t>Vice President, Investor Relations &amp; Strategic Communications</w:t>
      </w:r>
    </w:p>
    <w:p>
      <w:pPr>
        <w:spacing w:after="0" w:line="205" w:lineRule="auto"/>
        <w:rPr>
          <w:sz w:val="20"/>
          <w:szCs w:val="20"/>
          <w:color w:val="auto"/>
        </w:rPr>
      </w:pPr>
      <w:r>
        <w:rPr>
          <w:rFonts w:ascii="Times New Roman" w:cs="Times New Roman" w:eastAsia="Times New Roman" w:hAnsi="Times New Roman"/>
          <w:sz w:val="22"/>
          <w:szCs w:val="22"/>
          <w:color w:val="auto"/>
        </w:rPr>
        <w:t>Cybin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irteam@cybin.com</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or –</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media@cybin.com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Gabriel Fahel</w:t>
      </w:r>
    </w:p>
    <w:p>
      <w:pPr>
        <w:spacing w:after="0" w:line="204" w:lineRule="auto"/>
        <w:rPr>
          <w:sz w:val="20"/>
          <w:szCs w:val="20"/>
          <w:color w:val="auto"/>
        </w:rPr>
      </w:pPr>
      <w:r>
        <w:rPr>
          <w:rFonts w:ascii="Times New Roman" w:cs="Times New Roman" w:eastAsia="Times New Roman" w:hAnsi="Times New Roman"/>
          <w:sz w:val="22"/>
          <w:szCs w:val="22"/>
          <w:color w:val="auto"/>
        </w:rPr>
        <w:t>Chief Legal Officer</w:t>
      </w:r>
    </w:p>
    <w:p>
      <w:pPr>
        <w:spacing w:after="0" w:line="205" w:lineRule="auto"/>
        <w:rPr>
          <w:sz w:val="20"/>
          <w:szCs w:val="20"/>
          <w:color w:val="auto"/>
        </w:rPr>
      </w:pPr>
      <w:r>
        <w:rPr>
          <w:rFonts w:ascii="Times New Roman" w:cs="Times New Roman" w:eastAsia="Times New Roman" w:hAnsi="Times New Roman"/>
          <w:sz w:val="22"/>
          <w:szCs w:val="22"/>
          <w:color w:val="auto"/>
        </w:rPr>
        <w:t>Cybin Inc.</w:t>
      </w:r>
    </w:p>
    <w:p>
      <w:pPr>
        <w:spacing w:after="0" w:line="205" w:lineRule="auto"/>
        <w:rPr>
          <w:sz w:val="20"/>
          <w:szCs w:val="20"/>
          <w:color w:val="auto"/>
        </w:rPr>
      </w:pPr>
      <w:r>
        <w:rPr>
          <w:rFonts w:ascii="Times New Roman" w:cs="Times New Roman" w:eastAsia="Times New Roman" w:hAnsi="Times New Roman"/>
          <w:sz w:val="22"/>
          <w:szCs w:val="22"/>
          <w:color w:val="auto"/>
        </w:rPr>
        <w:t>1-866-292-4601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gabriel@cybin.com</w:t>
      </w:r>
    </w:p>
    <w:sectPr>
      <w:pgSz w:w="11900" w:h="16838" w:orient="portrait"/>
      <w:cols w:equalWidth="0" w:num="1">
        <w:col w:w="11140"/>
      </w:cols>
      <w:pgMar w:left="320" w:top="139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endash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jpeg"/><Relationship Id="rId8" Type="http://schemas.openxmlformats.org/officeDocument/2006/relationships/hyperlink" Target="https://www.sec.gov/Archives/edgar/data/0001833141/000162828022021651/cybin-lightyearxlaunchfor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2022-08-10T13:10:39Z</dcterms:created>
  <dcterms:modified xsi:type="dcterms:W3CDTF">2022-08-10T13:10:39Z</dcterms:modified>
</cp:coreProperties>
</file>