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FREE WRITING PROSPECTUS</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433</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Registration No. 333-289139</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October 28, 2025</w:t>
      </w:r>
    </w:p>
    <w:p>
      <w:pPr>
        <w:spacing w:after="0" w:line="15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A final base shelf prospectus containing important information relating to the securities offered has been filed with the securities regulatory authorities in each of the provinces and territories of Canada and with the United States Securities and Exchange Commission in the United States. A copy of the final base shelf prospectus, any amendments thereto and any applicable shelf prospectus supplement that has been filed, is required to be delivered with this document.</w:t>
      </w:r>
    </w:p>
    <w:p>
      <w:pPr>
        <w:spacing w:after="0" w:line="131"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document does not provide full disclosure of all material facts relating to the securities offered. Investors should read the final base shelf prospectus, any amendment and any applicable shelf prospectus supplement for disclosure of those facts, especially risk factors relating to the securities offered, before making an investment decision.</w:t>
      </w:r>
    </w:p>
    <w:p>
      <w:pPr>
        <w:spacing w:after="0" w:line="127"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The terms of the securities described in this document are preliminary and subject to change. Cybin Inc. has filed a registration statement (and the accompanying base prospectus) with the SEC for the offering to which this communication relates. Before you invest, you should read the base prospectus and other documents Cybin Inc. has filed with the SEC for more complete information about Cybin Inc. and the offering. You may get these documents for free by visiting EDGAR on the SEC website at </w:t>
      </w:r>
      <w:r>
        <w:rPr>
          <w:rFonts w:ascii="Times New Roman" w:cs="Times New Roman" w:eastAsia="Times New Roman" w:hAnsi="Times New Roman"/>
          <w:sz w:val="22"/>
          <w:szCs w:val="22"/>
          <w:i w:val="1"/>
          <w:iCs w:val="1"/>
          <w:u w:val="single" w:color="auto"/>
          <w:color w:val="0000FF"/>
        </w:rPr>
        <w:t>www.sec.gov</w:t>
      </w:r>
      <w:r>
        <w:rPr>
          <w:rFonts w:ascii="Times New Roman" w:cs="Times New Roman" w:eastAsia="Times New Roman" w:hAnsi="Times New Roman"/>
          <w:sz w:val="22"/>
          <w:szCs w:val="22"/>
          <w:i w:val="1"/>
          <w:iCs w:val="1"/>
          <w:color w:val="000000"/>
        </w:rPr>
        <w:t>. Alternatively, copies may be obtained from Jefferies LLC, Attention: Equity Syndicate Prospectus Department, 520</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 xml:space="preserve">Madison Avenue, New York, New York 10022, by telephone at (877) 821-7388 or by email at </w:t>
      </w:r>
      <w:r>
        <w:rPr>
          <w:rFonts w:ascii="Times New Roman" w:cs="Times New Roman" w:eastAsia="Times New Roman" w:hAnsi="Times New Roman"/>
          <w:sz w:val="22"/>
          <w:szCs w:val="22"/>
          <w:i w:val="1"/>
          <w:iCs w:val="1"/>
          <w:u w:val="single" w:color="auto"/>
          <w:color w:val="0000FF"/>
        </w:rPr>
        <w:t>Prospectus_Department@Jefferies.com</w:t>
      </w:r>
      <w:r>
        <w:rPr>
          <w:rFonts w:ascii="Times New Roman" w:cs="Times New Roman" w:eastAsia="Times New Roman" w:hAnsi="Times New Roman"/>
          <w:sz w:val="22"/>
          <w:szCs w:val="22"/>
          <w:i w:val="1"/>
          <w:iCs w:val="1"/>
          <w:color w:val="000000"/>
        </w:rPr>
        <w:t>; and TD Securities (USA) LLC, 1 Vanderbilt Avenue, New York, NY 10017, by telephone</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 xml:space="preserve">at (855) 495-9846, or by email at </w:t>
      </w:r>
      <w:r>
        <w:rPr>
          <w:rFonts w:ascii="Times New Roman" w:cs="Times New Roman" w:eastAsia="Times New Roman" w:hAnsi="Times New Roman"/>
          <w:sz w:val="22"/>
          <w:szCs w:val="22"/>
          <w:i w:val="1"/>
          <w:iCs w:val="1"/>
          <w:u w:val="single" w:color="auto"/>
          <w:color w:val="0000FF"/>
        </w:rPr>
        <w:t>TD.ECM_Prospectus@tdsecurities.com</w:t>
      </w:r>
      <w:r>
        <w:rPr>
          <w:rFonts w:ascii="Times New Roman" w:cs="Times New Roman" w:eastAsia="Times New Roman" w:hAnsi="Times New Roman"/>
          <w:sz w:val="22"/>
          <w:szCs w:val="22"/>
          <w:i w:val="1"/>
          <w:iCs w:val="1"/>
          <w:color w:val="000000"/>
        </w:rPr>
        <w: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 SHARE PURCHASE WARRANT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5" w:lineRule="exact"/>
        <w:rPr>
          <w:sz w:val="24"/>
          <w:szCs w:val="24"/>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Warrant Shares: [●]</w:t>
      </w:r>
      <w:r>
        <w:rPr>
          <w:sz w:val="20"/>
          <w:szCs w:val="20"/>
          <w:color w:val="auto"/>
        </w:rPr>
        <w:tab/>
      </w:r>
      <w:r>
        <w:rPr>
          <w:rFonts w:ascii="Times New Roman" w:cs="Times New Roman" w:eastAsia="Times New Roman" w:hAnsi="Times New Roman"/>
          <w:sz w:val="17"/>
          <w:szCs w:val="17"/>
          <w:b w:val="1"/>
          <w:bCs w:val="1"/>
          <w:color w:val="auto"/>
        </w:rPr>
        <w:t>Date: [●], 2025</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COMMON SHARE PURCHASE WARRANT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certifies that, for value received,</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or its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22"/>
          <w:szCs w:val="22"/>
          <w:b w:val="1"/>
          <w:bCs w:val="1"/>
          <w:color w:val="auto"/>
        </w:rPr>
        <w:t>Initial Exercise Date</w:t>
      </w:r>
      <w:r>
        <w:rPr>
          <w:rFonts w:ascii="Times New Roman" w:cs="Times New Roman" w:eastAsia="Times New Roman" w:hAnsi="Times New Roman"/>
          <w:sz w:val="22"/>
          <w:szCs w:val="22"/>
          <w:color w:val="auto"/>
        </w:rPr>
        <w:t>”) and on or prior to 5:00 p.m. (Eastern time) on the Termination Date (as defined in Section 1), subject to the acceleration in accordance with sections 2.3(i) or 2.3(j) but not thereafter, to subscribe for and purchase from Cybin Inc., a company existing under the laws of the Province of Ontario (Canada)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purchase price per Common Share (each, as subject to adjustment hereunder, a “</w:t>
      </w:r>
      <w:r>
        <w:rPr>
          <w:rFonts w:ascii="Times New Roman" w:cs="Times New Roman" w:eastAsia="Times New Roman" w:hAnsi="Times New Roman"/>
          <w:sz w:val="22"/>
          <w:szCs w:val="22"/>
          <w:b w:val="1"/>
          <w:bCs w:val="1"/>
          <w:color w:val="auto"/>
        </w:rPr>
        <w:t>Warrant Share</w:t>
      </w:r>
      <w:r>
        <w:rPr>
          <w:rFonts w:ascii="Times New Roman" w:cs="Times New Roman" w:eastAsia="Times New Roman" w:hAnsi="Times New Roman"/>
          <w:sz w:val="22"/>
          <w:szCs w:val="22"/>
          <w:color w:val="auto"/>
        </w:rPr>
        <w:t>”) equal to the Exercise Price (as defined in Section 2.2(a)).</w:t>
      </w:r>
    </w:p>
    <w:p>
      <w:pPr>
        <w:spacing w:after="0" w:line="138" w:lineRule="exact"/>
        <w:rPr>
          <w:sz w:val="24"/>
          <w:szCs w:val="24"/>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 addition to the terms defined elsewhere in this Warrant, the following terms have the following meanings:</w:t>
      </w:r>
    </w:p>
    <w:p>
      <w:pPr>
        <w:spacing w:after="0" w:line="162"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Saturday, Sunday or any other day (excluding Lincoln's Birthday (February 12) and Election Day) on which commercial banks in the City of New York are authorized or required by law or other governmental action to remain closed; provided that, for clarification, commercial banks shall not be deemed to be authorized or required by law to remain closed due to "stay-at-home", "shelter-in-place", "non-essential employee" or any other similar orders or restrictions or the closure of any physical branch locations at the direction of any governmental authority so long as the electronic funds transfer systems (including wire transfers) of commercial banks in the City of New York are generally open for use by customers on such day.</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means the Cboe Canada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means NYSE American LLC.</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arbitration, hearing, investigation, notice of violation, inquiry or proceeding (including an informal investigation or partial proceeding, such as a deposition), whether commenced or threatened in writing or (to the Corporation's knowledge) otherwise.</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the Corporation's Registration Statement on Form F-10 (File No. 333-289139), including any applicable prospectus supplements thereto, or such other form as may be available to the Corporation relating to and providing for the registration of the Warrants and Warrant Shares.</w:t>
      </w:r>
    </w:p>
    <w:p>
      <w:pPr>
        <w:spacing w:after="0" w:line="140"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means the date that is the earlier of: (i) June 30, 2027; (ii) thirty days following the publication by press release of topline data for the APPROACH trial of CYB003 in major depressive disorder (NCT06564818); and (iii) thirty days following the date of the VWAP Acceleration Notice (as defined herein), given in accordance with s. 2.3(i).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NYSE American is open for trading.</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Market</w:t>
      </w:r>
      <w:r>
        <w:rPr>
          <w:rFonts w:ascii="Times New Roman" w:cs="Times New Roman" w:eastAsia="Times New Roman" w:hAnsi="Times New Roman"/>
          <w:sz w:val="22"/>
          <w:szCs w:val="22"/>
          <w:color w:val="auto"/>
        </w:rPr>
        <w:t>" means any of the following markets or exchanges on which the Common Shares are listed or quoted for trading on the date in question: Cboe Canada and NYSE American (or any successors to any of the foregoing).</w:t>
      </w:r>
    </w:p>
    <w:p>
      <w:pPr>
        <w:spacing w:after="0" w:line="12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Odyssey Trust Company, at its principal office at 1230 - 300 5 Avenue SW, Calgary, Alberta T2P 3C4, and any successor transfer agent of the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Exchange Act</w:t>
      </w:r>
      <w:r>
        <w:rPr>
          <w:rFonts w:ascii="Times New Roman" w:cs="Times New Roman" w:eastAsia="Times New Roman" w:hAnsi="Times New Roman"/>
          <w:sz w:val="22"/>
          <w:szCs w:val="22"/>
          <w:color w:val="auto"/>
        </w:rPr>
        <w:t>" means the United States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has the meaning ascribed to such term in Regulation S under the U.S.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date, the price determined by the first of the following clauses that applies: (a) the daily volume weighted average price of the Common Shares for such date (or if no trading occurs on such date, on the nearest preceding date on which trades occurred) on the principal trading market on which the Common Shares are then listed or quoted in the United States (b) if the Common Shares are not then listed or quoted on a trading market in the United States but are listed or quoted on a trading market in Canada, the daily volume weighted average price of the Common Shares for such date (or if no trading occurs on such date, on the nearest preceding date on which trades occurred) on the principal trading market on which the Common Shares are then listed or quoted in Canada, converted into U.S. dollars based on the average daily rate of exchange reported by the Bank of Canada for the date of such trades (or, if no rate is reported for such date, the rate so reported for the next preceding date on which a rate was reported), or (c) in all other cases, the fair market value of a Common Share as determined by an independent appraiser selected in good faith by the holders of a majority in interest of the Warrants then outstanding and reasonably acceptable to the Corporation, the fees and expenses of which shall be paid by the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EXERCISE</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Exercise of Warrant</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Exercise of the purchase rights represented by this Warrant may be made, in whole or in part, at any time or times on or after the Initial Exercise Date and on or before the Termination Date by delivery to the Corporation of a duly executed PDF copy submitted by e-mail (or e-mail attachment) of the notice of exercise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and payment of the aggregate Exercise Price for the Warrant Shares specified in the applicable Notice of Exercise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wire transfer.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Corporation until the Holder has purchased all of the Warrant Shares available hereunder and the Warrant has been exercised in full, in which case, the Holder shall surrender this Warrant to the Corporation for cancellation within three (3) Business Days of the date on which the final Notice of Exercise is delivered to the Corporation.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Corporation shall maintain records showing the number of Warrant Shares purchased and the date of such purchases. The Corporation shall deliver any objection to any Notice of Exercise within two (2) Business Days of receipt of such notice. </w:t>
      </w:r>
      <w:r>
        <w:rPr>
          <w:rFonts w:ascii="Times New Roman" w:cs="Times New Roman" w:eastAsia="Times New Roman" w:hAnsi="Times New Roman"/>
          <w:sz w:val="21"/>
          <w:szCs w:val="21"/>
          <w:b w:val="1"/>
          <w:bCs w:val="1"/>
          <w:color w:val="auto"/>
        </w:rPr>
        <w:t>The Holder and any permitted assignee, by acceptance of this</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3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Exercise Price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exercise price per Warrant Share under this Warrant shall be US$8.14, subject to adjustment hereunder (the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Mechanics of Exercise</w:t>
      </w:r>
    </w:p>
    <w:p>
      <w:pPr>
        <w:spacing w:after="0" w:line="166" w:lineRule="exact"/>
        <w:rPr>
          <w:sz w:val="20"/>
          <w:szCs w:val="20"/>
          <w:color w:val="auto"/>
        </w:rPr>
      </w:pPr>
    </w:p>
    <w:p>
      <w:pPr>
        <w:jc w:val="both"/>
        <w:ind w:left="660" w:hanging="652"/>
        <w:spacing w:after="0" w:line="234" w:lineRule="auto"/>
        <w:tabs>
          <w:tab w:leader="none" w:pos="70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Warrant Shares Upon Exercise. </w:t>
      </w:r>
      <w:r>
        <w:rPr>
          <w:rFonts w:ascii="Times New Roman" w:cs="Times New Roman" w:eastAsia="Times New Roman" w:hAnsi="Times New Roman"/>
          <w:sz w:val="22"/>
          <w:szCs w:val="22"/>
          <w:color w:val="auto"/>
        </w:rPr>
        <w:t>The Corporation shall cause the Warrant Shares purchased hereunder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transmitted by its transfer agent to the Holder by either (A) if there is an effective Registration Statement registering the Warrant Shares,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b w:val="1"/>
          <w:bCs w:val="1"/>
          <w:color w:val="auto"/>
        </w:rPr>
        <w:t>DWAC</w:t>
      </w:r>
      <w:r>
        <w:rPr>
          <w:rFonts w:ascii="Times New Roman" w:cs="Times New Roman" w:eastAsia="Times New Roman" w:hAnsi="Times New Roman"/>
          <w:sz w:val="22"/>
          <w:szCs w:val="22"/>
          <w:color w:val="auto"/>
        </w:rPr>
        <w:t>”) if the Corporation is then a participant in such system, (B) electronic book entry by crediting the account of the Holder’s or its designee’s balance account with CDS the number of Warrant Shares to which the Holder is entitled pursuant to such exercise to the address specified by the Holder in the Notice of Exercise or (C) by direct registration system (“</w:t>
      </w:r>
      <w:r>
        <w:rPr>
          <w:rFonts w:ascii="Times New Roman" w:cs="Times New Roman" w:eastAsia="Times New Roman" w:hAnsi="Times New Roman"/>
          <w:sz w:val="22"/>
          <w:szCs w:val="22"/>
          <w:b w:val="1"/>
          <w:bCs w:val="1"/>
          <w:color w:val="auto"/>
        </w:rPr>
        <w:t>DRS</w:t>
      </w:r>
      <w:r>
        <w:rPr>
          <w:rFonts w:ascii="Times New Roman" w:cs="Times New Roman" w:eastAsia="Times New Roman" w:hAnsi="Times New Roman"/>
          <w:sz w:val="22"/>
          <w:szCs w:val="22"/>
          <w:color w:val="auto"/>
        </w:rPr>
        <w:t>”) statement or a physical certificate, in each case, by the date that is the earlier of (i) one (1) Trading Day after the delivery to the Corporation of the Notice of Exercise and (ii) the number of Trading Days comprising the Standard Settlement Period after the delivery to the Corporation of the Notice of Exercise (the “</w:t>
      </w:r>
      <w:r>
        <w:rPr>
          <w:rFonts w:ascii="Times New Roman" w:cs="Times New Roman" w:eastAsia="Times New Roman" w:hAnsi="Times New Roman"/>
          <w:sz w:val="22"/>
          <w:szCs w:val="22"/>
          <w:b w:val="1"/>
          <w:bCs w:val="1"/>
          <w:color w:val="auto"/>
        </w:rPr>
        <w:t>Warrant Share Delivery Date</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Upon delivery of the Notice of Exercise and receipt by the Corporation of the Exercise Price, the Holder shall be deemed for all corporate purposes to have become the holder of record of the Warrant Shares with respect to which this Warrant has been exercised, irrespective of the date of delivery of the Warrant Shares. If the Corporation fails for any reason to deliver to the Holder the Warrant Shares subject to a Notice of Exercise by the Warrant Share Delivery Date, the Corporation shall pay to the Holder, in cash, as liquidated damages and not as a penalty, for each $1,000 of Warrant Shares subject to such exercise (based on the VWAP of the Common Shares on the date of the applicable Notice of</w:t>
      </w:r>
    </w:p>
    <w:p>
      <w:pPr>
        <w:spacing w:after="0" w:line="1"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22"/>
          <w:szCs w:val="22"/>
          <w:color w:val="auto"/>
        </w:rPr>
        <w:t>Exercise), $10 per Trading Day (increasing to $20 per Trading Day on the third (3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Trading Day after the Warrant Share Delivery Date) for each Trading Day after such Warrant Share Delivery Date until such Warrant Shares are delivered or Holder rescinds such exercise. The Corporation agrees to maintain a transfer agent that is a participant in the FAST program so long as this Warrant remains outstanding and exercisable. As used herein, “</w:t>
      </w:r>
      <w:r>
        <w:rPr>
          <w:rFonts w:ascii="Times New Roman" w:cs="Times New Roman" w:eastAsia="Times New Roman" w:hAnsi="Times New Roman"/>
          <w:sz w:val="22"/>
          <w:szCs w:val="22"/>
          <w:b w:val="1"/>
          <w:bCs w:val="1"/>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Corporation’s primary Trading Market with respect to the Common Shares as in effect on the date of delivery of the Notice of Exercise.</w:t>
      </w:r>
    </w:p>
    <w:p>
      <w:pPr>
        <w:spacing w:after="0" w:line="133" w:lineRule="exact"/>
        <w:rPr>
          <w:sz w:val="20"/>
          <w:szCs w:val="20"/>
          <w:color w:val="auto"/>
        </w:rPr>
      </w:pPr>
    </w:p>
    <w:p>
      <w:pPr>
        <w:jc w:val="both"/>
        <w:ind w:left="660" w:hanging="652"/>
        <w:spacing w:after="0" w:line="241" w:lineRule="auto"/>
        <w:tabs>
          <w:tab w:leader="none" w:pos="70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New Warrants Upon Exercise. </w:t>
      </w:r>
      <w:r>
        <w:rPr>
          <w:rFonts w:ascii="Times New Roman" w:cs="Times New Roman" w:eastAsia="Times New Roman" w:hAnsi="Times New Roman"/>
          <w:sz w:val="22"/>
          <w:szCs w:val="22"/>
          <w:color w:val="auto"/>
        </w:rPr>
        <w:t>If this Warrant shall have been exercised in part, the Corporation shall,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70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Rescission Rights. </w:t>
      </w:r>
      <w:r>
        <w:rPr>
          <w:rFonts w:ascii="Times New Roman" w:cs="Times New Roman" w:eastAsia="Times New Roman" w:hAnsi="Times New Roman"/>
          <w:sz w:val="22"/>
          <w:szCs w:val="22"/>
          <w:color w:val="auto"/>
        </w:rPr>
        <w:t>If the Corporation fails to cause the Transfer Agent to transmit to the Holder the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2.3(a) by the Warrant Share Delivery Date, then the Holder will have the right to rescind such exercise.</w:t>
      </w:r>
    </w:p>
    <w:p>
      <w:pPr>
        <w:spacing w:after="0" w:line="126" w:lineRule="exact"/>
        <w:rPr>
          <w:rFonts w:ascii="Times New Roman" w:cs="Times New Roman" w:eastAsia="Times New Roman" w:hAnsi="Times New Roman"/>
          <w:sz w:val="22"/>
          <w:szCs w:val="22"/>
          <w:color w:val="auto"/>
        </w:rPr>
      </w:pPr>
    </w:p>
    <w:p>
      <w:pPr>
        <w:jc w:val="both"/>
        <w:ind w:left="660" w:hanging="652"/>
        <w:spacing w:after="0" w:line="243" w:lineRule="auto"/>
        <w:tabs>
          <w:tab w:leader="none" w:pos="70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Compensation for Buy-In on Failure to Timely Deliver Warrant Shares Upon Exercise. </w:t>
      </w:r>
      <w:r>
        <w:rPr>
          <w:rFonts w:ascii="Times New Roman" w:cs="Times New Roman" w:eastAsia="Times New Roman" w:hAnsi="Times New Roman"/>
          <w:sz w:val="21"/>
          <w:szCs w:val="21"/>
          <w:color w:val="auto"/>
        </w:rPr>
        <w:t>In addition to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available to the Holder, if the Corporation fails to cause the Transfer Agent to transmit to the Holder the Warrant Shares in accordance with the provisions of Section 2.3(a) above pursuant to an exercise on or before the Warrant Share Delivery Date,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Corporation shall (A) pay in cash to the Holder the amount, if any, by which (x) the Holder’s total purchase price (including brokerage commissions, if any) for the Common Shares so purchased exceeds (y) the amount obtained by multiplying (1) the number of Warrant Shares that the Corporation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Corporation timely complied with its exercise and delivery obligations hereunder. For example, if the Holder purchases Common Shares having a total purchase price of $11,000 to cover a Buy-In with respect to an attempted exercise of Common Shares an aggregate sale price giving rise to such purchase obligation of $10,000, under clause (A) of the immediately preceding sentence the Corporation shall be required to pay the Holder $1,000. The Holder shall provide the Corporation written notice indicating the amounts payable to the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Common Shares upon exercise of the Warrant as required pursuant to the terms hereof.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left="660" w:hanging="652"/>
        <w:spacing w:after="0" w:line="241" w:lineRule="auto"/>
        <w:tabs>
          <w:tab w:leader="none" w:pos="70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Fractional Shares or Scrip. </w:t>
      </w:r>
      <w:r>
        <w:rPr>
          <w:rFonts w:ascii="Times New Roman" w:cs="Times New Roman" w:eastAsia="Times New Roman" w:hAnsi="Times New Roman"/>
          <w:sz w:val="22"/>
          <w:szCs w:val="22"/>
          <w:color w:val="auto"/>
        </w:rPr>
        <w:t>No fractional shares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Warrant. As to any fraction of a Warrant Share which the Holder would otherwise be entitled to purchase upon such exercise, the Corporation shall, at its election, either pay a cash adjustment in respect of such final fraction in an amount equal to such fraction multiplied by the Exercise Price or round up to the next whole share.</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Charges, Taxes and Expenses. </w:t>
      </w:r>
      <w:r>
        <w:rPr>
          <w:rFonts w:ascii="Times New Roman" w:cs="Times New Roman" w:eastAsia="Times New Roman" w:hAnsi="Times New Roman"/>
          <w:sz w:val="22"/>
          <w:szCs w:val="22"/>
          <w:color w:val="auto"/>
        </w:rPr>
        <w:t>Issuance of Warrant Shares shall be made without charge to the Holder for any issue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transfer tax or other incidental expense in respect of the issuance of such Warrant Shares, all of which taxes and expenses shall be paid by the Corporation,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executed by the Holder and the Corporation may require, as a condition thereto, the payment of a sum sufficient to reimburse it for any transfer tax incidental thereto. The Corporation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52" w:lineRule="exact"/>
        <w:rPr>
          <w:rFonts w:ascii="Times New Roman" w:cs="Times New Roman" w:eastAsia="Times New Roman" w:hAnsi="Times New Roman"/>
          <w:sz w:val="22"/>
          <w:szCs w:val="22"/>
          <w:color w:val="auto"/>
        </w:rPr>
      </w:pPr>
    </w:p>
    <w:p>
      <w:pPr>
        <w:ind w:left="660" w:hanging="652"/>
        <w:spacing w:after="0" w:line="262" w:lineRule="auto"/>
        <w:tabs>
          <w:tab w:leader="none" w:pos="7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Closing of Books. </w:t>
      </w:r>
      <w:r>
        <w:rPr>
          <w:rFonts w:ascii="Times New Roman" w:cs="Times New Roman" w:eastAsia="Times New Roman" w:hAnsi="Times New Roman"/>
          <w:sz w:val="22"/>
          <w:szCs w:val="22"/>
          <w:color w:val="auto"/>
        </w:rPr>
        <w:t>The Corporation will not close its shareholder books or records in any manner which prevents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timely exercise of this Warrant, pursuant to the terms hereof.</w:t>
      </w:r>
    </w:p>
    <w:p>
      <w:pPr>
        <w:spacing w:after="0" w:line="109" w:lineRule="exact"/>
        <w:rPr>
          <w:rFonts w:ascii="Times New Roman" w:cs="Times New Roman" w:eastAsia="Times New Roman" w:hAnsi="Times New Roman"/>
          <w:sz w:val="22"/>
          <w:szCs w:val="22"/>
          <w:color w:val="auto"/>
        </w:rPr>
      </w:pPr>
    </w:p>
    <w:p>
      <w:pPr>
        <w:jc w:val="both"/>
        <w:ind w:left="660" w:hanging="652"/>
        <w:spacing w:after="0" w:line="237" w:lineRule="auto"/>
        <w:tabs>
          <w:tab w:leader="none" w:pos="7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Legends</w:t>
      </w:r>
      <w:r>
        <w:rPr>
          <w:rFonts w:ascii="Times New Roman" w:cs="Times New Roman" w:eastAsia="Times New Roman" w:hAnsi="Times New Roman"/>
          <w:sz w:val="22"/>
          <w:szCs w:val="22"/>
          <w:color w:val="auto"/>
        </w:rPr>
        <w:t>. If at any time following the date hereof a registration statement registering the resale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Shares is not effective or is not otherwise available for the resale of the Warrant Shares, the Corporation shall promptly notify the holders of the Warrants in writing that such registration statement is not then effective and thereafter shall promptly notify such holders when the registration statement is effective again and available for the resale of the Warrant Shares (it being understood and agreed that the foregoing shall not impair the ability of the Corporation to comply with applicable federal and state securities laws).</w:t>
      </w:r>
    </w:p>
    <w:p>
      <w:pPr>
        <w:spacing w:after="0" w:line="134"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9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VWAP Acceleration. </w:t>
      </w:r>
      <w:r>
        <w:rPr>
          <w:rFonts w:ascii="Times New Roman" w:cs="Times New Roman" w:eastAsia="Times New Roman" w:hAnsi="Times New Roman"/>
          <w:sz w:val="21"/>
          <w:szCs w:val="21"/>
          <w:color w:val="auto"/>
        </w:rPr>
        <w:t>Until the Termination Date, upon any consecutive five (5) Trading Day period (the “</w:t>
      </w:r>
      <w:r>
        <w:rPr>
          <w:rFonts w:ascii="Times New Roman" w:cs="Times New Roman" w:eastAsia="Times New Roman" w:hAnsi="Times New Roman"/>
          <w:sz w:val="21"/>
          <w:szCs w:val="21"/>
          <w:b w:val="1"/>
          <w:bCs w:val="1"/>
          <w:color w:val="auto"/>
        </w:rPr>
        <w:t>Measurement Period</w:t>
      </w:r>
      <w:r>
        <w:rPr>
          <w:rFonts w:ascii="Times New Roman" w:cs="Times New Roman" w:eastAsia="Times New Roman" w:hAnsi="Times New Roman"/>
          <w:sz w:val="21"/>
          <w:szCs w:val="21"/>
          <w:color w:val="auto"/>
        </w:rPr>
        <w:t>”) that the Common Shares on the NYSE American (or such other principal exchange or market on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Shares are listed and posted for trading) trade at a VWAP that is equal to or greater than $19.53 per Common Share (subject to adjustment for forward and reverse stock splits, recapitalizations, stock dividends and the like after the issuance date of this Warrant) for each of such Trading Days, the Corporation may accelerate the Termination Date of the Warrants by giving notice to the holder through the issuance of a press release (the “</w:t>
      </w:r>
      <w:r>
        <w:rPr>
          <w:rFonts w:ascii="Times New Roman" w:cs="Times New Roman" w:eastAsia="Times New Roman" w:hAnsi="Times New Roman"/>
          <w:sz w:val="21"/>
          <w:szCs w:val="21"/>
          <w:b w:val="1"/>
          <w:bCs w:val="1"/>
          <w:color w:val="auto"/>
        </w:rPr>
        <w:t>VWAP Acceleration Notice</w:t>
      </w:r>
      <w:r>
        <w:rPr>
          <w:rFonts w:ascii="Times New Roman" w:cs="Times New Roman" w:eastAsia="Times New Roman" w:hAnsi="Times New Roman"/>
          <w:sz w:val="21"/>
          <w:szCs w:val="21"/>
          <w:color w:val="auto"/>
        </w:rPr>
        <w:t>”) and in</w:t>
      </w:r>
    </w:p>
    <w:p>
      <w:pPr>
        <w:spacing w:after="0" w:line="6"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1"/>
          <w:szCs w:val="21"/>
          <w:color w:val="auto"/>
        </w:rPr>
        <w:t>such case the Warrants shall expire on the thirtieth (30</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day after the date on which such notice is given by the Corporation (together, the “</w:t>
      </w:r>
      <w:r>
        <w:rPr>
          <w:rFonts w:ascii="Times New Roman" w:cs="Times New Roman" w:eastAsia="Times New Roman" w:hAnsi="Times New Roman"/>
          <w:sz w:val="21"/>
          <w:szCs w:val="21"/>
          <w:b w:val="1"/>
          <w:bCs w:val="1"/>
          <w:color w:val="auto"/>
        </w:rPr>
        <w:t>VWAP Acceleration Right</w:t>
      </w:r>
      <w:r>
        <w:rPr>
          <w:rFonts w:ascii="Times New Roman" w:cs="Times New Roman" w:eastAsia="Times New Roman" w:hAnsi="Times New Roman"/>
          <w:sz w:val="21"/>
          <w:szCs w:val="21"/>
          <w:color w:val="auto"/>
        </w:rPr>
        <w:t>”). Notwithstanding anything to the contrary set forth in this Warrant, the Corporation may not issue a VWAP Acceleration Notice or require the cancellation of this Warrant and any such VWAP Acceleration Notice shall be void, unless, from the beginning of the Measurement Period through the date of the VWAP Acceleration Notice, (1) the Corporation shall have honored in accordance with the terms of this Warrant all Notices of Exercise delivered by 6:30 p.m. (New York City time) on the date of the VWAP Acceleration Notice, and (2) a Registration Statement shall be effective as to all Warrant Shares and the prospectus thereunder available for use by the Corporation for the sale of all such Warrant Shares to the Holder, and (3) the Holder is not in possession of any information that constitutes, or might constitute, material non-public information which was provided by the Corporation, any of its subsidiaries, or any of their officers, directors, employees, agents or affiliates (4) (x) the Common Shares are listed on each of Cboe Canada and NYSE American (or other exchanges in Canada and the United States), (y) the Corporation has not received any written threat or notice of delisting or suspension by Cboe Canada or NYSE American (or other exchanges in Canada and the United States) with a reasonable prospect of delisting, after giving effect to all applicable notice and appeal periods; and (z) no such delisting or suspension is reasonably likely to occur or is pending based on the Corporation falling below the minimum listing maintenance requirements of such Trading Market.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left="660" w:hanging="652"/>
        <w:spacing w:after="0" w:line="258" w:lineRule="auto"/>
        <w:tabs>
          <w:tab w:leader="none" w:pos="69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APPROACH Trial Data Acceleration. </w:t>
      </w:r>
      <w:r>
        <w:rPr>
          <w:rFonts w:ascii="Times New Roman" w:cs="Times New Roman" w:eastAsia="Times New Roman" w:hAnsi="Times New Roman"/>
          <w:sz w:val="21"/>
          <w:szCs w:val="21"/>
          <w:color w:val="auto"/>
        </w:rPr>
        <w:t>The Termination date will be accelerated by giving notice to the holder 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issuance of a press release on the results of the topline data for APPROACH trial of CYB003 in major depressive</w:t>
      </w:r>
    </w:p>
    <w:p>
      <w:pPr>
        <w:ind w:left="660"/>
        <w:spacing w:after="0" w:line="201" w:lineRule="auto"/>
        <w:rPr>
          <w:sz w:val="20"/>
          <w:szCs w:val="20"/>
          <w:color w:val="auto"/>
        </w:rPr>
      </w:pPr>
      <w:r>
        <w:rPr>
          <w:rFonts w:ascii="Times New Roman" w:cs="Times New Roman" w:eastAsia="Times New Roman" w:hAnsi="Times New Roman"/>
          <w:sz w:val="22"/>
          <w:szCs w:val="22"/>
          <w:color w:val="auto"/>
        </w:rPr>
        <w:t>disorder (NCT06564818). In such case the Warrants shall expire on the thirtieth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day after the date on which such notice is given by the Corporation.</w:t>
      </w:r>
    </w:p>
    <w:p>
      <w:pPr>
        <w:spacing w:after="0" w:line="13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Holder's Exercise Limitations</w:t>
      </w:r>
    </w:p>
    <w:p>
      <w:pPr>
        <w:spacing w:after="0" w:line="183" w:lineRule="exact"/>
        <w:rPr>
          <w:sz w:val="20"/>
          <w:szCs w:val="20"/>
          <w:color w:val="auto"/>
        </w:rPr>
      </w:pPr>
    </w:p>
    <w:p>
      <w:pPr>
        <w:jc w:val="both"/>
        <w:ind w:left="660" w:hanging="652"/>
        <w:spacing w:after="0" w:line="232" w:lineRule="auto"/>
        <w:tabs>
          <w:tab w:leader="none" w:pos="70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such term is defined in Rule 144 under the U.S. Securities Act)), and any other Person that is a member of a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(as defined in Rule 13d-5(b)(1) under the U.S. Exchange Act) (such Persons, “</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would beneficially own Common Shares in excess of the Beneficial Ownership Limitation (as defined below). For purposes of the foregoing sentence, the number of Common Shares beneficially owned by the Holder and its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other Attribution Parties and (ii) exercise or conversion of the unexercised or nonconverted portion of any other securities of the Corporation (including, without limitation, any other securities of the Corporation or a subsidiary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subject to a limitation on conversion or exercise analogous to the limitation contained herein beneficially owned by the Holder or any of its affiliates or other Attribution Parties. Beneficial ownership shall be calculated in accordance with (i) Section 1.8 of National Instrument 62-104 Take-Over Bids and Issuer Bids (“</w:t>
      </w:r>
      <w:r>
        <w:rPr>
          <w:rFonts w:ascii="Times New Roman" w:cs="Times New Roman" w:eastAsia="Times New Roman" w:hAnsi="Times New Roman"/>
          <w:sz w:val="22"/>
          <w:szCs w:val="22"/>
          <w:b w:val="1"/>
          <w:bCs w:val="1"/>
          <w:color w:val="auto"/>
        </w:rPr>
        <w:t>NI 62-104</w:t>
      </w:r>
      <w:r>
        <w:rPr>
          <w:rFonts w:ascii="Times New Roman" w:cs="Times New Roman" w:eastAsia="Times New Roman" w:hAnsi="Times New Roman"/>
          <w:sz w:val="22"/>
          <w:szCs w:val="22"/>
          <w:color w:val="auto"/>
        </w:rPr>
        <w:t>”), it being acknowledged by the Holder that the Corporation is not representing to the Holder that such calculation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compliance with Section 1.8 of NI 62-104 or (ii) Section 13(d) of the U.S. Exchange Act and the rules and regulations promulgated thereunder, it being acknowledged by the Holder that the Corporation is not representing to the Holder that such calculation is in compliance with Section 13(d) of the U.S. Exchange Act and the Holder is solely responsible for any schedules required to be filed in accordance therewith.</w:t>
      </w:r>
    </w:p>
    <w:p>
      <w:pPr>
        <w:spacing w:after="0" w:line="141"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7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limitation contained in this Section 2.4 applies, the submission of a Notice of Exercise shall be deemed to be the Holder’s determination of whether this Warrant is exercisable (in relation to other securities owned by the Holder together with any affiliates or other Attribution Parties) and of which portion of this Warrant is exercisable, in each case subject to the Beneficial Ownership Limitation.</w:t>
      </w:r>
    </w:p>
    <w:p>
      <w:pPr>
        <w:spacing w:after="0" w:line="139"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9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2.4, in determining the number of outstanding Common Shares, the Holder may rely on the number of outstanding Common Shares as reflected in (A) the Corporation’s most recent periodic or annual report filed with the Canadian securities commissions, United States securities commission or Cboe Canada, as the case may be, (B) a more recent public announcement by the Corporation or (C) a more recent written notice by the Corporation or the Transfer Agent setting forth the number of Common Shares outstanding. Upon the written or oral request of a Holder, the Corporation shall within one (1) Trading Day confirm orally and in writing to the Holder the number of Common Shares then outstanding. In any case, the number of outstanding Common Shares shall be determined after giving effect to the conversion or exercise of securities of the Corporation, including this Warrant, by the Holder or its affiliates or other Attribution Parties since the date as of which such number of outstanding Common Shares was reported.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ind w:left="660" w:hanging="652"/>
        <w:spacing w:after="0" w:line="233" w:lineRule="auto"/>
        <w:tabs>
          <w:tab w:leader="none" w:pos="6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xml:space="preserve">” shall be </w:t>
      </w:r>
      <w:r>
        <w:rPr>
          <w:rFonts w:ascii="Times New Roman" w:cs="Times New Roman" w:eastAsia="Times New Roman" w:hAnsi="Times New Roman"/>
          <w:sz w:val="22"/>
          <w:szCs w:val="22"/>
          <w:b w:val="1"/>
          <w:bCs w:val="1"/>
          <w:u w:val="single" w:color="auto"/>
          <w:color w:val="auto"/>
        </w:rPr>
        <w:t>9.99%</w:t>
      </w:r>
      <w:r>
        <w:rPr>
          <w:rFonts w:ascii="Times New Roman" w:cs="Times New Roman" w:eastAsia="Times New Roman" w:hAnsi="Times New Roman"/>
          <w:sz w:val="22"/>
          <w:szCs w:val="22"/>
          <w:color w:val="auto"/>
        </w:rPr>
        <w:t xml:space="preserve"> (or, upon election by a Holder prior to the issuance of any Warrants, 4.99%) of the number of the Common Shares outstanding immediately after giving effect to the issuance of any Common Shares upon exercise of the Warrants. The Holder, upon notice to the Corporation, may increase or decrease the Beneficial Ownership Limitation provisions of this Section 2.4(d), provided that the Beneficial Ownership Limitation in no event exceeds 9.99% of the number of Common Shares outstanding immediately after giving effect to the issuance of Common Shares upon exercise of this Warrant held by the Holder and the provisions of this Section 2.4(d) shall continue to apply. Any increase in the Beneficial Ownership Limitation will not be effective until the 61st day after such notice is delivered to the Corporation. In the event that the issuance of Common Shares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Corporation shall return to the Holder the exercise price paid by the Holder for the Excess Shares and the Holder shall return the Excess Shares to the Corporation.</w:t>
      </w:r>
    </w:p>
    <w:p>
      <w:pPr>
        <w:spacing w:after="0" w:line="14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provisions of this paragraph shall be construed and implemented in a manner otherwise than in strict conformity with the terms of this Section 2.4 to correct this Section 2.4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CERTAIN ADJUSTMENTS</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Stock Dividends and Splits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approval by Cboe Canada and NYSE American (or any such rules and policies on any stock exchange that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are listed on), if the Corporation, at any time while this Warrant is outstanding:</w:t>
      </w:r>
    </w:p>
    <w:p>
      <w:pPr>
        <w:spacing w:after="0" w:line="155" w:lineRule="exact"/>
        <w:rPr>
          <w:sz w:val="20"/>
          <w:szCs w:val="20"/>
          <w:color w:val="auto"/>
        </w:rPr>
      </w:pPr>
    </w:p>
    <w:p>
      <w:pPr>
        <w:jc w:val="both"/>
        <w:ind w:left="660" w:hanging="652"/>
        <w:spacing w:after="0" w:line="244" w:lineRule="auto"/>
        <w:tabs>
          <w:tab w:leader="none" w:pos="70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pays a stock dividend or otherwise makes a distribution or distributions on shares of its Common Shares or any other equity or equity equivalent securities payable in Common Shares (which, for avoidance of doubt, shall not include any Common Shares issued by the Corporation upon exercise of this Warrant or any other Warrants),</w:t>
      </w:r>
    </w:p>
    <w:p>
      <w:pPr>
        <w:spacing w:after="0" w:line="132"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subdivides outstanding Common Shares into a larger number of shares,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left="700" w:hanging="692"/>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combines (including by way of reverse stock split) outstanding Common Shares into a smaller number of shares, or</w:t>
      </w:r>
    </w:p>
    <w:p>
      <w:pPr>
        <w:spacing w:after="0" w:line="166"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by reclassification of the outstanding Common Shares any capital shares of the Corporation,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shareholders entitled to receive such dividend or distribution (provided, that such adjustment shall be reversed if such dividend or distribution is terminated prior to the making thereof) and shall become effective immediately after the effective date in the case of a subdivision, combination or re-classification. If a dispute shall at any time arise with respect to any adjustment of the Exercise Price, the number of Common Shares purchasable pursuant to this Warrant certificate or any adjustments provided for in this Section 4, such dispute will be conclusively determined by the auditors of the Corporation or if they are unable or unwilling to act by such other firm of independent chartered accountants of recognized national standing as may be selected by the directors of the Corporation, acting reasonably and in good faith, and any such determination will be binding upon the Corporation and the Holder. The Corporation will provide such auditors or accountants with access to all necessary records of the Corporation.</w:t>
      </w:r>
    </w:p>
    <w:p>
      <w:pPr>
        <w:spacing w:after="0" w:line="1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Fundamental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at any time while this Warrant is outstanding:</w:t>
      </w:r>
    </w:p>
    <w:p>
      <w:pPr>
        <w:spacing w:after="0" w:line="179" w:lineRule="exact"/>
        <w:rPr>
          <w:sz w:val="20"/>
          <w:szCs w:val="20"/>
          <w:color w:val="auto"/>
        </w:rPr>
      </w:pPr>
    </w:p>
    <w:p>
      <w:pPr>
        <w:ind w:left="660" w:hanging="652"/>
        <w:spacing w:after="0" w:line="258" w:lineRule="auto"/>
        <w:tabs>
          <w:tab w:leader="none" w:pos="7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merger or consolidation of the Corporation with or into another Person,</w:t>
      </w:r>
    </w:p>
    <w:p>
      <w:pPr>
        <w:spacing w:after="0" w:line="117"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70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(or any Subsidiary), directly or indirectly, effects any sale, lease, license, assignment, transfer, conveyance or other disposition of all or substantially all of its assets in one or a series of related transactions,</w:t>
      </w:r>
    </w:p>
    <w:p>
      <w:pPr>
        <w:spacing w:after="0" w:line="117"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purchase offer, tender offer or exchange offer (whether by the Corporation or another Person) is completed pursuant to which holders of Common Shares are permitted to sell, tender or exchange their shares for other securities, cash or property and has been accepted by the holders of 50% or more of the outstanding Common Shares,</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w:t>
      </w:r>
    </w:p>
    <w:p>
      <w:pPr>
        <w:spacing w:after="0" w:line="132"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7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42" w:lineRule="auto"/>
        <w:rPr>
          <w:sz w:val="20"/>
          <w:szCs w:val="20"/>
          <w:color w:val="auto"/>
        </w:rPr>
      </w:pPr>
      <w:r>
        <w:rPr>
          <w:rFonts w:ascii="Times New Roman" w:cs="Times New Roman" w:eastAsia="Times New Roman" w:hAnsi="Times New Roman"/>
          <w:sz w:val="21"/>
          <w:szCs w:val="21"/>
          <w:color w:val="auto"/>
        </w:rPr>
        <w:t>then, upon any subsequent exercise of this Warrant, and subject to the prior approval of Cboe Canada and NYSE American (or as necessary, any stock exchange that the Common Shares are listed on), the Holder shall have the right to receive, for each Warrant Share that would have been issuable upon such exercise immediately prior to the occurrence of such Fundamental Transaction, at the option of the Holder (without regard to any limitation in Section 2.4 on the exercise of this Warrant), the number of common shares of the successor or acquiring corporation or of the Corporation, if it is the surviving corporation, and any additional consideration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receivable as a result of such Fundamental Transaction by a holder of the number of Common Shares for which this Warrant is exercisable immediately prior to such Fundamental Transaction (without regard to any limitation in Section 2.4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Corporation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Corporation shall cause any successor entity in a Fundamental Transaction in which the Corporation is not the survivor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to assume in writing all of the obligations of the Corporation under this Warrant in accordance with the provisions of this Section 3.2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“Corporation” under this Warrant (so that from and after the occurrence or consummation of such Fundamental Transaction, each and every provision of this Warrant referring to the “Corporation” shall refer instead to each of the Corporation and the Successor Entity or Successor Entities, jointly and severally), and the Successor Entity or Successor Entities, jointly and severally with the Corporation, may exercise every right and power of the Corporation prior thereto and the Successor Entity or Successor Entities shall assume all of the obligations of the Corporation prior thereto under this Warrant with the same effect as if the Corporation and such Successor Entity or Successor Entities, jointly and severally, had been named as the Corporation herein; provided, however, that to the extent that the Holder’s right to participate in any such Fundamental Transaction rights would result in the Holder and its Attribution Parties, collectively, beneficially owning in excess of the Beneficial Ownership Limitation of the Common Shares that would be issued and outstanding following receipt of such Fundamental Transaction rights (such excess amount of Common Shares, the “</w:t>
      </w:r>
      <w:r>
        <w:rPr>
          <w:rFonts w:ascii="Times New Roman" w:cs="Times New Roman" w:eastAsia="Times New Roman" w:hAnsi="Times New Roman"/>
          <w:sz w:val="21"/>
          <w:szCs w:val="21"/>
          <w:b w:val="1"/>
          <w:bCs w:val="1"/>
          <w:color w:val="auto"/>
        </w:rPr>
        <w:t>Excess Fundamental Transaction Rights</w:t>
      </w:r>
      <w:r>
        <w:rPr>
          <w:rFonts w:ascii="Times New Roman" w:cs="Times New Roman" w:eastAsia="Times New Roman" w:hAnsi="Times New Roman"/>
          <w:sz w:val="21"/>
          <w:szCs w:val="21"/>
          <w:color w:val="auto"/>
        </w:rPr>
        <w:t>”),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Shares in excess of the Beneficial Ownership Limitation and (2) the Holder so certifies in writing to the Corporation and specifies the number of Common Shares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3.2 regardless of (i) whether the Corporation has sufficient authorized Common Shares for the issuance of Warrant Shares and/or (ii) whether a Fundamental Transaction occurs prior to the Initial Exercise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43" w:lineRule="auto"/>
        <w:rPr>
          <w:sz w:val="20"/>
          <w:szCs w:val="20"/>
          <w:color w:val="auto"/>
        </w:rPr>
      </w:pPr>
      <w:r>
        <w:rPr>
          <w:rFonts w:ascii="Times New Roman" w:cs="Times New Roman" w:eastAsia="Times New Roman" w:hAnsi="Times New Roman"/>
          <w:sz w:val="21"/>
          <w:szCs w:val="21"/>
          <w:color w:val="auto"/>
        </w:rPr>
        <w:t>Notwithstanding anything to the contrary, in the event of a Fundamental Transaction, the Corporation or any Successor Entity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Corporation's control, including not approved by the Corporation's Board of Directors, the Holder shall only be entitled to receive from the Corporation's or any Successor Entity the same type or form of consideration (and in the same proportion) that is being offered and paid to the holders of Common Shares of the Corporation in connection with such Fundamental Transaction. The payment of the Black Scholes Value will be made by wire transfer of immediately available funds within five (5) Trading Days of the Holder’s election (or, if later, on the effective date of the Fundamental Transaction). As used herein, “</w:t>
      </w:r>
      <w:r>
        <w:rPr>
          <w:rFonts w:ascii="Times New Roman" w:cs="Times New Roman" w:eastAsia="Times New Roman" w:hAnsi="Times New Roman"/>
          <w:sz w:val="21"/>
          <w:szCs w:val="21"/>
          <w:b w:val="1"/>
          <w:bCs w:val="1"/>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Financial Markets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(i) 100% and (ii) the 100 day volatility, each obtained from the HVT function on Bloomberg Financial Markets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of the Common Shares immediately prior to the public announcement of such Fundamental Transaction and (y) the last VWAP of the Common Shares immediately prior to the consummation of such Fundamental Transaction (D) a remaining option time equal to the time between the date of the public announcement of the applicable Fundamental Transaction and the Termination Date and (E) a zero cost of borrow.</w:t>
      </w:r>
    </w:p>
    <w:p>
      <w:pPr>
        <w:spacing w:after="0" w:line="1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Subsequent Rights Offerings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to any adjustments pursuant to Section 3.1 above, if, subject to the prior approval of Cboe Canada and NYSE American (or any other stock exchange that the Common Shares are listed on), at any time the Corporation grants, issues or sells any Common Shares or rights to purchase stock, warrants, securities or other property pro rata to the record holders of any class of Common Shares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Pro Rata Distributions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During such time as this Warrant is outstanding, and subject to the prior approval of Cboe Canada and NYSE American (or any other stock exchange that the Common Shares are listed on), if the Corporation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or constructive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No Adjustment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3, no adjustment shall be made in the acquisition rights attached to the Warrants if the issue of Common Shares is being made in connection with (a) any share incentive plan or restricted share plan or share purchase plan in force from time to time for directors, officers, employees, consultants or other service providers of the Corporation; or (b) the satisfaction of existing instruments issued on or prior to October 28, 2025 provided that such existing instruments are not amended on or after such date to increase the number of shares issuable pursuant to the terms thereof, to decrease the conversion price, exercise price or other relevant price thereof or to extent the term thereof.</w:t>
      </w:r>
    </w:p>
    <w:p>
      <w:pPr>
        <w:spacing w:after="0" w:line="1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Calculations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u w:val="single" w:color="auto"/>
          <w:color w:val="auto"/>
        </w:rPr>
        <w:t>Notice to Holder</w:t>
      </w:r>
    </w:p>
    <w:p>
      <w:pPr>
        <w:spacing w:after="0" w:line="166" w:lineRule="exact"/>
        <w:rPr>
          <w:sz w:val="20"/>
          <w:szCs w:val="20"/>
          <w:color w:val="auto"/>
        </w:rPr>
      </w:pPr>
    </w:p>
    <w:p>
      <w:pPr>
        <w:jc w:val="both"/>
        <w:ind w:left="660" w:hanging="652"/>
        <w:spacing w:after="0" w:line="241" w:lineRule="auto"/>
        <w:tabs>
          <w:tab w:leader="none" w:pos="70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to Exercise Price. </w:t>
      </w:r>
      <w:r>
        <w:rPr>
          <w:rFonts w:ascii="Times New Roman" w:cs="Times New Roman" w:eastAsia="Times New Roman" w:hAnsi="Times New Roman"/>
          <w:sz w:val="22"/>
          <w:szCs w:val="22"/>
          <w:color w:val="auto"/>
        </w:rPr>
        <w:t>Whenever the Exercise Price is adjusted pursuant to any provision of this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jc w:val="both"/>
        <w:ind w:left="660" w:hanging="652"/>
        <w:spacing w:after="0" w:line="243" w:lineRule="auto"/>
        <w:tabs>
          <w:tab w:leader="none" w:pos="70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 to Allow Exercise by Holder. </w:t>
      </w:r>
      <w:r>
        <w:rPr>
          <w:rFonts w:ascii="Times New Roman" w:cs="Times New Roman" w:eastAsia="Times New Roman" w:hAnsi="Times New Roman"/>
          <w:sz w:val="21"/>
          <w:szCs w:val="21"/>
          <w:color w:val="auto"/>
        </w:rPr>
        <w:t>If (A) the Corporation shall declare a dividend (or any other distribution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whatever form) on the Common Shares, (B) the Corporation shall declare a special nonrecurring cash dividend on or a redemption of the Common Shares, (C) the Corporation shall authorize the granting to all holders of the Common Shares rights or warrants to subscribe for or purchase any capital shares of any class or of any rights, (D) the approval of any shareholders of the Corporation shall be required in connection with any reclassification of the Common Shares, any consolidation or merger to which the Corporation (or any of its Subsidiaries) is a party, any sale or transfer of all or substantially all of its assets, or any compulsory share exchange whereby the Common Shares is converted into other securities, cash or property, (E) the Corporation shall authorize the voluntary or involuntary dissolution, liquidation or winding up of the affairs of the Corporation, or (F) a Fundamental Transaction shall have occurred then, in each case, the Corporation shall cause to be delivered by email to the Holder at its last email address as it shall appear upon the Warrant Register of the Corporation, at least five (5) Business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shares of the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Corporation or any of the Subsidiaries, the Corporation shall simultaneously file such notice on SEDAR+ and EDGAR. The Holder shall remain entitled to exercise this Warrant during the period commencing on the date of such notice to the effective date of the event triggering such notice except as may otherwise be expressly set forth herein.</w:t>
      </w:r>
    </w:p>
    <w:p>
      <w:pPr>
        <w:spacing w:after="0" w:line="14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 xml:space="preserve">Voluntary Adjustment by Corporation. </w:t>
      </w:r>
      <w:r>
        <w:rPr>
          <w:rFonts w:ascii="Times New Roman" w:cs="Times New Roman" w:eastAsia="Times New Roman" w:hAnsi="Times New Roman"/>
          <w:sz w:val="21"/>
          <w:szCs w:val="21"/>
          <w:color w:val="auto"/>
        </w:rPr>
        <w:t>Subject to the rules and regulations of the Trading Market,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at any time during the term of this Warrant subject to the prior written consent of the Holder, reduce the then current Exercise Price to any amount for any period of time deemed appropriate by the board of directors of the Corporation.</w:t>
      </w:r>
    </w:p>
    <w:p>
      <w:pPr>
        <w:spacing w:after="0" w:line="124"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Cboe Approval</w:t>
      </w:r>
      <w:r>
        <w:rPr>
          <w:rFonts w:ascii="Times New Roman" w:cs="Times New Roman" w:eastAsia="Times New Roman" w:hAnsi="Times New Roman"/>
          <w:sz w:val="21"/>
          <w:szCs w:val="21"/>
          <w:color w:val="auto"/>
        </w:rPr>
        <w:t>. As a condition precedent to the taking of any action which would require an adjustment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3, the Corporation shall take any and all actions which may be necessary, including obtaining regulatory or other governmental, Cboe Canada or other applicable securities exchange, corporate or shareholder approvals or exemptions, in order that the Corporation may thereafter validly and legally issue as fully paid and non-assessable all shares, or all other securities or other property, that the Holder is entitled to receive upon exercise of this Warrant pursuant to this Section 3.</w:t>
      </w:r>
    </w:p>
    <w:p>
      <w:pPr>
        <w:spacing w:after="0" w:line="12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TRANSFER OF WARRANT</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Transferability</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Warrant and all rights hereunder are transferable, in whole or in part, upon surrender of this Warrant at the principal office of the Corporation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Corporation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Corporation unless the Holder has assigned this Warrant in full, in which case, the Holder shall surrender this Warrant to the Corporation within three (3) Trading Days of the date on which the Holder delivers an assignment form to the Corporation assigning this Warrant in full. The Warrant, if properly assigned in accordance herewith, may be exercised by a new holder for the purchase of Warrant Shares without having a new Warrant issued.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New 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Warrant may be divided or combined with other Warrants upon presentation hereof at the aforesaid office of the Corporation, together with a written notice specifying the names and denominations in which new Warrants are to be issued, signed by the Holder or its agent or attorney. Subject to compliance with Section 4.2, as to any transfer which may be involved in such division or combination, the Corporation shall execute and deliver a new Warrant or Warrants in exchange for the Warrant or Warrants to be divided or combined in accordance with such notice. All Warrants issued on transfers or exchanges shall be dated the Initial Exercise Date of this Warrant and shall be identical to this Warrant except as to the number of Warrant Shares issuable pursuant thereto.</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Warrant Register</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Corporation shall register this Warrant, upon records to be maintained by the Corporation for that purpose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in the name of the record Holder hereof from time to time. The Corporation may deem and treat the registered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Warrant as the absolute owner hereof for the purpose of any exercise hereof or any distribution to the Holder, and for all other purposes, absent actual notice to the contrary.</w:t>
      </w:r>
    </w:p>
    <w:p>
      <w:pPr>
        <w:spacing w:after="0" w:line="13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No Rights as Shareholder Until Exercise</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Warrant does not entitle the Holder to any voting rights, dividends or other rights as a shareholder of the Corporation prior to the exercise hereof as set forth in Section 2.3(a), except as expressly set forth in SECTION 3.</w:t>
      </w:r>
    </w:p>
    <w:p>
      <w:pPr>
        <w:spacing w:after="0" w:line="1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Loss, Theft, Destruction or Mutilation of Warrant</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covenants that upon receipt by the Corporation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Corporation will make and deliver a new Warrant or share certificate of like tenor and dated as of such cancellation, in lieu of such Warrant or share certificate.</w:t>
      </w:r>
    </w:p>
    <w:p>
      <w:pPr>
        <w:spacing w:after="0" w:line="1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Saturdays, Sundays, Holidays, etc.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line="259" w:lineRule="auto"/>
        <w:rPr>
          <w:sz w:val="20"/>
          <w:szCs w:val="20"/>
          <w:color w:val="auto"/>
        </w:rPr>
      </w:pPr>
      <w:r>
        <w:rPr>
          <w:rFonts w:ascii="Times New Roman" w:cs="Times New Roman" w:eastAsia="Times New Roman" w:hAnsi="Times New Roman"/>
          <w:sz w:val="22"/>
          <w:szCs w:val="22"/>
          <w:color w:val="auto"/>
        </w:rPr>
        <w:t>If the last or appointed day for the taking of any action or the expiration of any right required or granted herein shall not be a Trading Day, then, such action may be taken or such right may be exercised on the next succeeding Trading Day.</w:t>
      </w:r>
    </w:p>
    <w:p>
      <w:pPr>
        <w:spacing w:after="0" w:line="1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Authorized Shares</w:t>
      </w:r>
    </w:p>
    <w:p>
      <w:pPr>
        <w:spacing w:after="0" w:line="183" w:lineRule="exact"/>
        <w:rPr>
          <w:sz w:val="20"/>
          <w:szCs w:val="20"/>
          <w:color w:val="auto"/>
        </w:rPr>
      </w:pPr>
    </w:p>
    <w:p>
      <w:pPr>
        <w:jc w:val="both"/>
        <w:ind w:left="660" w:hanging="652"/>
        <w:spacing w:after="0" w:line="233"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covenants that, at all times during the period the Warrant is outstanding, it will reserve from its authorized and unissued Common Shares a sufficient number of shares to provide for the issuance of the Warrant Shares upon the exercise of any purchase rights under this Warrant. The Corporation further covenants that its issuance of this Warrant shall constitute full authority to its officers who are charged with the duty of issuing the necessary Warrant Shares upon the exercise of the purchase rights under this Warrant. The Corporation will take all such reasonable action as may be necessary to assure that such Warrant Shares may be issued as provided herein without violation of any applicable law or regulation, or of any requirements of the Trading Market upon which the Common Shares may be listed. The Corporation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Corporation in respect of the issue thereof (other than taxes in respect of any transfer occurring contemporaneously with such issue).</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70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and to the extent as waived or consented to by the Holder, the Corporation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Corporation will (i) not increase the par value of any Warrant Shares above the amount payable therefor upon such exercise immediately prior to such increase in par value, (ii) take all such action as may be necessary or appropriate in order that the Corporation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Corporation to perform its obligations under this Warrant.</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Corporation shall obtain all such authorizations or exemptions thereof, or consents thereto, as may be necessary from any public regulatory body or bodies having jurisdiction thereof.</w:t>
      </w:r>
    </w:p>
    <w:p>
      <w:pPr>
        <w:spacing w:after="0" w:line="14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Jurisdiction</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suit or Proceeding to enforce any provisions of this Warrant, the prevailing party in such action, suit or Proceeding shall be reimbursed by the non-prevailing party for its reasonable attorneys’ fees and other costs and expenses incurred with the investigation, preparation and prosecution of such action or Proceeding.</w:t>
      </w:r>
    </w:p>
    <w:p>
      <w:pPr>
        <w:sectPr>
          <w:pgSz w:w="11900" w:h="16838" w:orient="portrait"/>
          <w:cols w:equalWidth="0" w:num="1">
            <w:col w:w="11240"/>
          </w:cols>
          <w:pgMar w:left="320" w:top="112"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Restrictions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Holder acknowledges that the Warrant Shares acquired upon the exercise of this Warrant, if not registered, will have restrictions upon resale imposed by U.S. state and federal securities laws.</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Nonwaiver and Expenses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 course of dealing or any delay or failure to exercise any right hereunder on the part of Holder shall operate as a waiver of such right or otherwise prejudice the Holder's rights, powers or remedies. Without limiting any other provision of this Warrant, if the Corporation willfully and knowingly fails to comply with any provision of this Warrant, which results in any material damages to the Holder, the Corporation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Notices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notice, request or other document required or permitted to be given or delivered to the Holder by the Corporation shall be in writing and shall be deemed given and effective on the earliest of: (a) the time of transmission, if such notice or communication is delivered via email attachment at the email address as set forth herein or on the books and records of the Corporation at or prior to 5:30 p.m. (New York City time) on a Trading Day, with no rejection notice received, (b) the next Trading Day after the date of transmission, if such notice or communication is delivered via email attachment at the email address as set forth herein or on the books and records of the Corporation on a day that is not a Trading Day or later than 5:30 p.m. (New York City time) on any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Trading Day, with no rejection notice received, (c)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the address as set forth herein or on the books and records of the Corporation.</w:t>
      </w:r>
    </w:p>
    <w:p>
      <w:pPr>
        <w:spacing w:after="0" w:line="1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Limitation of Liability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Corporation, whether such liability is asserted by the Corporation or by creditors of the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Remedies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Holder, in addition to being entitled to exercise all rights granted by law, including recovery of damages, will be entitled to specific performance of its rights under this Warrant. The Corporation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u w:val="single" w:color="auto"/>
          <w:color w:val="auto"/>
        </w:rPr>
        <w:t>Successors and Assigns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applicable securities laws, this Warrant and the rights and obligations evidenced hereby shall inure to the benefit of and be binding upon the successors and permitted assigns of the Corporation and the successors and permitted assigns of Holder. The provisions of this Warrant are intended to be for the benefit of any Holder from time to time of this Warrant and shall be enforceable by the Holder or holder of Warrant Shares.</w:t>
      </w:r>
    </w:p>
    <w:p>
      <w:pPr>
        <w:spacing w:after="0" w:line="13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Warrant may be modified or amended or the provisions hereof waived with the written consent of the Corporation and the Holder. Notwithstanding the foregoing and for the avoidance of doubt, the limitation contained in Section 2.4(d) may not be amended, modified or waived and shall apply to a successor holder of a Warrant.</w:t>
      </w:r>
    </w:p>
    <w:p>
      <w:pPr>
        <w:spacing w:after="0" w:line="1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Headings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headings used in this Warrant are for the convenience of reference only and shall not, for any purpose, be deemed a part of this Warrant.</w:t>
      </w:r>
    </w:p>
    <w:p>
      <w:pPr>
        <w:spacing w:after="0" w:line="11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u w:val="single" w:color="auto"/>
          <w:color w:val="auto"/>
        </w:rPr>
        <w:t>Currency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references to currency herein shall be deemed to refer to United States dollars, unless otherwise specified.</w:t>
      </w:r>
    </w:p>
    <w:p>
      <w:pPr>
        <w:spacing w:after="0" w:line="1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No Impairment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will not, by amendment of its Articles of Incorporation or any other voluntary action, avoid or seek to avoid the observance or performance of any of the terms of this Warrant certificate, but will at all times in good faith assist in the carrying out of all such terms and in the taking of all such action as may be necessary or appropriate in order to protect the rights of the Holder against impairment.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shall be the essence hereof.</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7" w:name="page18"/>
    <w:bookmarkEnd w:id="17"/>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Warrant to be executed by its officer thereunto duly authorized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first above indicated.</w:t>
      </w:r>
    </w:p>
    <w:p>
      <w:pPr>
        <w:spacing w:after="0" w:line="1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-119380</wp:posOffset>
            </wp:positionV>
            <wp:extent cx="3214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CYBIN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hereby elects to purchase ________ Warrant Shares of the Corporation pursuant to the terms of the attached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and tenders herewith payment of the Exercise Price in full, together with all applicable transfer taxes, if 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irrevocably directs that the said Warrant Shares be issued, registered and delivered as follows (one (only)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following must be checked):</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 certificates (please confirm DRS statements or physical certificates); 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DRS Statements</w:t>
            </w:r>
          </w:p>
        </w:tc>
        <w:tc>
          <w:tcPr>
            <w:tcW w:w="3380" w:type="dxa"/>
            <w:vAlign w:val="bottom"/>
          </w:tcPr>
          <w:p>
            <w:pPr>
              <w:spacing w:after="0"/>
              <w:rPr>
                <w:sz w:val="20"/>
                <w:szCs w:val="20"/>
                <w:color w:val="auto"/>
              </w:rPr>
            </w:pPr>
          </w:p>
        </w:tc>
        <w:tc>
          <w:tcPr>
            <w:tcW w:w="3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physical certificates</w:t>
            </w:r>
          </w:p>
        </w:tc>
      </w:tr>
      <w:tr>
        <w:trPr>
          <w:trHeight w:val="437"/>
        </w:trPr>
        <w:tc>
          <w:tcPr>
            <w:tcW w:w="39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Name(s) in Full and</w:t>
            </w:r>
          </w:p>
        </w:tc>
        <w:tc>
          <w:tcPr>
            <w:tcW w:w="33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Address(es)</w:t>
            </w:r>
          </w:p>
        </w:tc>
        <w:tc>
          <w:tcPr>
            <w:tcW w:w="560" w:type="dxa"/>
            <w:vAlign w:val="bottom"/>
          </w:tcPr>
          <w:p>
            <w:pPr>
              <w:spacing w:after="0"/>
              <w:rPr>
                <w:sz w:val="24"/>
                <w:szCs w:val="24"/>
                <w:color w:val="auto"/>
              </w:rPr>
            </w:pPr>
          </w:p>
        </w:tc>
        <w:tc>
          <w:tcPr>
            <w:tcW w:w="33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r>
      <w:tr>
        <w:trPr>
          <w:trHeight w:val="216"/>
        </w:trPr>
        <w:tc>
          <w:tcPr>
            <w:tcW w:w="39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Social Insurance</w:t>
            </w: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8"/>
        </w:trPr>
        <w:tc>
          <w:tcPr>
            <w:tcW w:w="39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Number(s) (if applicable)</w:t>
            </w: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bl>
    <w:p>
      <w:pPr>
        <w:spacing w:after="0" w:line="1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 electronic deposit (please confirm CDS or DWAC settelement); or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CDS Settlement</w:t>
            </w:r>
          </w:p>
        </w:tc>
        <w:tc>
          <w:tcPr>
            <w:tcW w:w="4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DWAC Settlement</w:t>
            </w:r>
          </w:p>
        </w:tc>
      </w:tr>
      <w:tr>
        <w:trPr>
          <w:trHeight w:val="391"/>
        </w:trPr>
        <w:tc>
          <w:tcPr>
            <w:tcW w:w="2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CDS Settlement</w:t>
            </w:r>
          </w:p>
        </w:tc>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90"/>
        </w:trPr>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482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880" w:type="dxa"/>
            <w:vAlign w:val="bottom"/>
          </w:tcPr>
          <w:p>
            <w:pPr>
              <w:spacing w:after="0"/>
              <w:rPr>
                <w:sz w:val="24"/>
                <w:szCs w:val="24"/>
                <w:color w:val="auto"/>
              </w:rPr>
            </w:pPr>
          </w:p>
        </w:tc>
        <w:tc>
          <w:tcPr>
            <w:tcW w:w="33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r>
      <w:tr>
        <w:trPr>
          <w:trHeight w:val="220"/>
        </w:trPr>
        <w:tc>
          <w:tcPr>
            <w:tcW w:w="2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of Registered Holder</w:t>
            </w:r>
          </w:p>
        </w:tc>
        <w:tc>
          <w:tcPr>
            <w:tcW w:w="2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3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34"/>
        </w:trPr>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Participant:</w:t>
            </w:r>
          </w:p>
        </w:tc>
        <w:tc>
          <w:tcPr>
            <w:tcW w:w="422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__________________</w:t>
            </w:r>
          </w:p>
        </w:tc>
      </w:tr>
      <w:tr>
        <w:trPr>
          <w:trHeight w:val="209"/>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&amp; Co.</w:t>
            </w:r>
          </w:p>
        </w:tc>
        <w:tc>
          <w:tcPr>
            <w:tcW w:w="2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CUID:</w:t>
            </w:r>
          </w:p>
        </w:tc>
        <w:tc>
          <w:tcPr>
            <w:tcW w:w="18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300-100 Adelaide Street West</w:t>
            </w:r>
          </w:p>
        </w:tc>
        <w:tc>
          <w:tcPr>
            <w:tcW w:w="2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Deposit ID:</w:t>
            </w:r>
          </w:p>
        </w:tc>
        <w:tc>
          <w:tcPr>
            <w:tcW w:w="1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Toronto, ON M5H 1S3</w:t>
            </w:r>
          </w:p>
        </w:tc>
        <w:tc>
          <w:tcPr>
            <w:tcW w:w="2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Participant Contact:</w:t>
            </w:r>
          </w:p>
        </w:tc>
        <w:tc>
          <w:tcPr>
            <w:tcW w:w="1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Telephone:</w:t>
            </w:r>
          </w:p>
        </w:tc>
        <w:tc>
          <w:tcPr>
            <w:tcW w:w="1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340" w:type="dxa"/>
            <w:vAlign w:val="bottom"/>
          </w:tcPr>
          <w:p>
            <w:pPr>
              <w:spacing w:after="0"/>
              <w:rPr>
                <w:sz w:val="18"/>
                <w:szCs w:val="18"/>
                <w:color w:val="auto"/>
              </w:rPr>
            </w:pPr>
          </w:p>
        </w:tc>
      </w:tr>
      <w:tr>
        <w:trPr>
          <w:trHeight w:val="341"/>
        </w:trPr>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74"/>
        </w:trPr>
        <w:tc>
          <w:tcPr>
            <w:tcW w:w="140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2960" w:type="dxa"/>
            <w:vAlign w:val="bottom"/>
            <w:shd w:val="clear" w:color="auto" w:fill="000000"/>
          </w:tcPr>
          <w:p>
            <w:pPr>
              <w:spacing w:after="0"/>
              <w:rPr>
                <w:sz w:val="6"/>
                <w:szCs w:val="6"/>
                <w:color w:val="auto"/>
              </w:rPr>
            </w:pPr>
          </w:p>
        </w:tc>
        <w:tc>
          <w:tcPr>
            <w:tcW w:w="186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33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auto"/>
        </w:rPr>
        <w:t>DWAC Settlement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514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0" w:type="dxa"/>
            <w:vAlign w:val="bottom"/>
          </w:tcPr>
          <w:p>
            <w:pPr>
              <w:spacing w:after="0"/>
              <w:rPr>
                <w:sz w:val="1"/>
                <w:szCs w:val="1"/>
                <w:color w:val="auto"/>
              </w:rPr>
            </w:pPr>
          </w:p>
        </w:tc>
      </w:tr>
      <w:tr>
        <w:trPr>
          <w:trHeight w:val="220"/>
        </w:trPr>
        <w:tc>
          <w:tcPr>
            <w:tcW w:w="28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of Registered Holder</w:t>
            </w:r>
          </w:p>
        </w:tc>
        <w:tc>
          <w:tcPr>
            <w:tcW w:w="2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Cede &amp; Co.</w:t>
            </w:r>
          </w:p>
        </w:tc>
        <w:tc>
          <w:tcPr>
            <w:tcW w:w="2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Participant:</w:t>
            </w:r>
          </w:p>
        </w:tc>
        <w:tc>
          <w:tcPr>
            <w:tcW w:w="2740" w:type="dxa"/>
            <w:vAlign w:val="bottom"/>
            <w:tcBorders>
              <w:bottom w:val="single" w:sz="8" w:color="auto"/>
            </w:tcBorders>
          </w:tcPr>
          <w:p>
            <w:pPr>
              <w:spacing w:after="0"/>
              <w:rPr>
                <w:sz w:val="20"/>
                <w:szCs w:val="20"/>
                <w:color w:val="auto"/>
              </w:rPr>
            </w:pPr>
          </w:p>
        </w:tc>
        <w:tc>
          <w:tcPr>
            <w:tcW w:w="26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__________________</w:t>
            </w:r>
          </w:p>
        </w:tc>
        <w:tc>
          <w:tcPr>
            <w:tcW w:w="0" w:type="dxa"/>
            <w:vAlign w:val="bottom"/>
          </w:tcPr>
          <w:p>
            <w:pPr>
              <w:spacing w:after="0"/>
              <w:rPr>
                <w:sz w:val="1"/>
                <w:szCs w:val="1"/>
                <w:color w:val="auto"/>
              </w:rPr>
            </w:pPr>
          </w:p>
        </w:tc>
      </w:tr>
      <w:tr>
        <w:trPr>
          <w:trHeight w:val="97"/>
        </w:trPr>
        <w:tc>
          <w:tcPr>
            <w:tcW w:w="2800" w:type="dxa"/>
            <w:vAlign w:val="bottom"/>
            <w:vMerge w:val="continue"/>
          </w:tcPr>
          <w:p>
            <w:pPr>
              <w:spacing w:after="0"/>
              <w:rPr>
                <w:sz w:val="8"/>
                <w:szCs w:val="8"/>
                <w:color w:val="auto"/>
              </w:rPr>
            </w:pPr>
          </w:p>
        </w:tc>
        <w:tc>
          <w:tcPr>
            <w:tcW w:w="24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DTC Participant #:</w:t>
            </w:r>
          </w:p>
        </w:tc>
        <w:tc>
          <w:tcPr>
            <w:tcW w:w="274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 Water St.</w:t>
            </w:r>
          </w:p>
        </w:tc>
        <w:tc>
          <w:tcPr>
            <w:tcW w:w="2400" w:type="dxa"/>
            <w:vAlign w:val="bottom"/>
            <w:vMerge w:val="continue"/>
          </w:tcPr>
          <w:p>
            <w:pPr>
              <w:spacing w:after="0"/>
              <w:rPr>
                <w:sz w:val="9"/>
                <w:szCs w:val="9"/>
                <w:color w:val="auto"/>
              </w:rPr>
            </w:pPr>
          </w:p>
        </w:tc>
        <w:tc>
          <w:tcPr>
            <w:tcW w:w="2740" w:type="dxa"/>
            <w:vAlign w:val="bottom"/>
            <w:tcBorders>
              <w:bottom w:val="single" w:sz="8" w:color="auto"/>
            </w:tcBorders>
            <w:vMerge w:val="continue"/>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800" w:type="dxa"/>
            <w:vAlign w:val="bottom"/>
            <w:vMerge w:val="continue"/>
          </w:tcPr>
          <w:p>
            <w:pPr>
              <w:spacing w:after="0"/>
              <w:rPr>
                <w:sz w:val="7"/>
                <w:szCs w:val="7"/>
                <w:color w:val="auto"/>
              </w:rPr>
            </w:pPr>
          </w:p>
        </w:tc>
        <w:tc>
          <w:tcPr>
            <w:tcW w:w="24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Account:</w:t>
            </w:r>
          </w:p>
        </w:tc>
        <w:tc>
          <w:tcPr>
            <w:tcW w:w="2740" w:type="dxa"/>
            <w:vAlign w:val="bottom"/>
            <w:vMerge w:val="restart"/>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400" w:type="dxa"/>
            <w:vAlign w:val="bottom"/>
            <w:vMerge w:val="continue"/>
          </w:tcPr>
          <w:p>
            <w:pPr>
              <w:spacing w:after="0"/>
              <w:rPr>
                <w:sz w:val="10"/>
                <w:szCs w:val="10"/>
                <w:color w:val="auto"/>
              </w:rPr>
            </w:pPr>
          </w:p>
        </w:tc>
        <w:tc>
          <w:tcPr>
            <w:tcW w:w="2740" w:type="dxa"/>
            <w:vAlign w:val="bottom"/>
            <w:tcBorders>
              <w:bottom w:val="single" w:sz="8" w:color="auto"/>
            </w:tcBorders>
            <w:vMerge w:val="continue"/>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00" w:type="dxa"/>
            <w:vAlign w:val="bottom"/>
            <w:vMerge w:val="continue"/>
          </w:tcPr>
          <w:p>
            <w:pPr>
              <w:spacing w:after="0"/>
              <w:rPr>
                <w:sz w:val="6"/>
                <w:szCs w:val="6"/>
                <w:color w:val="auto"/>
              </w:rPr>
            </w:pPr>
          </w:p>
        </w:tc>
        <w:tc>
          <w:tcPr>
            <w:tcW w:w="24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Participant Contact:</w:t>
            </w:r>
          </w:p>
        </w:tc>
        <w:tc>
          <w:tcPr>
            <w:tcW w:w="2740" w:type="dxa"/>
            <w:vAlign w:val="bottom"/>
            <w:vMerge w:val="restart"/>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10041</w:t>
            </w:r>
          </w:p>
        </w:tc>
        <w:tc>
          <w:tcPr>
            <w:tcW w:w="2400" w:type="dxa"/>
            <w:vAlign w:val="bottom"/>
            <w:vMerge w:val="continue"/>
          </w:tcPr>
          <w:p>
            <w:pPr>
              <w:spacing w:after="0"/>
              <w:rPr>
                <w:sz w:val="12"/>
                <w:szCs w:val="12"/>
                <w:color w:val="auto"/>
              </w:rPr>
            </w:pPr>
          </w:p>
        </w:tc>
        <w:tc>
          <w:tcPr>
            <w:tcW w:w="2740" w:type="dxa"/>
            <w:vAlign w:val="bottom"/>
            <w:tcBorders>
              <w:bottom w:val="single" w:sz="8" w:color="auto"/>
            </w:tcBorders>
            <w:vMerge w:val="continue"/>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800" w:type="dxa"/>
            <w:vAlign w:val="bottom"/>
            <w:vMerge w:val="continue"/>
          </w:tcPr>
          <w:p>
            <w:pPr>
              <w:spacing w:after="0"/>
              <w:rPr>
                <w:sz w:val="6"/>
                <w:szCs w:val="6"/>
                <w:color w:val="auto"/>
              </w:rPr>
            </w:pPr>
          </w:p>
        </w:tc>
        <w:tc>
          <w:tcPr>
            <w:tcW w:w="24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Telephone:</w:t>
            </w:r>
          </w:p>
        </w:tc>
        <w:tc>
          <w:tcPr>
            <w:tcW w:w="2740" w:type="dxa"/>
            <w:vAlign w:val="bottom"/>
            <w:vMerge w:val="restart"/>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2740" w:type="dxa"/>
            <w:vAlign w:val="bottom"/>
            <w:tcBorders>
              <w:bottom w:val="single" w:sz="8" w:color="auto"/>
            </w:tcBorders>
            <w:vMerge w:val="continue"/>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620"/>
          </w:cols>
          <w:pgMar w:left="320" w:top="111" w:right="959" w:bottom="1440" w:gutter="0" w:footer="0" w:header="0"/>
        </w:sectPr>
      </w:pPr>
    </w:p>
    <w:bookmarkStart w:id="20" w:name="page21"/>
    <w:bookmarkEnd w:id="20"/>
    <w:p>
      <w:pPr>
        <w:jc w:val="center"/>
        <w:ind w:right="-29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142" w:lineRule="exact"/>
        <w:rPr>
          <w:sz w:val="20"/>
          <w:szCs w:val="20"/>
          <w:color w:val="auto"/>
        </w:rPr>
      </w:pPr>
    </w:p>
    <w:p>
      <w:pPr>
        <w:spacing w:after="0" w:line="403" w:lineRule="auto"/>
        <w:rPr>
          <w:sz w:val="20"/>
          <w:szCs w:val="20"/>
          <w:color w:val="auto"/>
        </w:rPr>
      </w:pPr>
      <w:r>
        <w:rPr>
          <w:rFonts w:ascii="Times New Roman" w:cs="Times New Roman" w:eastAsia="Times New Roman" w:hAnsi="Times New Roman"/>
          <w:sz w:val="22"/>
          <w:szCs w:val="22"/>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22"/>
          <w:szCs w:val="22"/>
          <w:b w:val="1"/>
          <w:bCs w:val="1"/>
          <w:color w:val="auto"/>
        </w:rPr>
        <w:t>FOR VALUE RECEIVED</w:t>
      </w:r>
      <w:r>
        <w:rPr>
          <w:rFonts w:ascii="Times New Roman" w:cs="Times New Roman" w:eastAsia="Times New Roman" w:hAnsi="Times New Roman"/>
          <w:sz w:val="22"/>
          <w:szCs w:val="22"/>
          <w:color w:val="auto"/>
        </w:rPr>
        <w:t>,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_________________________________________________________________________</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(Please Print)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_______________________________________________________________________</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(Please Print)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Number: 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Address: 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 _____, 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259715</wp:posOffset>
            </wp:positionV>
            <wp:extent cx="3240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267970</wp:posOffset>
            </wp:positionV>
            <wp:extent cx="3240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414020</wp:posOffset>
            </wp:positionV>
            <wp:extent cx="3240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960"/>
      </w:cols>
      <w:pgMar w:left="320" w:top="10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lowerLetter"/>
      <w:start w:val="5"/>
    </w:lvl>
  </w:abstractNum>
  <w:abstractNum w:abstractNumId="3">
    <w:nsid w:val="7545E146"/>
    <w:multiLevelType w:val="hybridMultilevel"/>
    <w:lvl w:ilvl="0">
      <w:lvlJc w:val="left"/>
      <w:lvlText w:val="(%1)"/>
      <w:numFmt w:val="lowerLetter"/>
      <w:start w:val="10"/>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2025-10-28T09:33:17Z</dcterms:created>
  <dcterms:modified xsi:type="dcterms:W3CDTF">2025-10-28T09:33:17Z</dcterms:modified>
</cp:coreProperties>
</file>