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43"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81"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News Release dated April 1, 2022</w:t>
        </w:r>
      </w:hyperlink>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63" w:lineRule="exact"/>
        <w:rPr>
          <w:sz w:val="20"/>
          <w:szCs w:val="20"/>
          <w:color w:val="auto"/>
        </w:rPr>
      </w:pPr>
    </w:p>
    <w:p>
      <w:pPr>
        <w:jc w:val="both"/>
        <w:spacing w:after="0" w:line="211"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1,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Times New Roman" w:cs="Times New Roman" w:eastAsia="Times New Roman" w:hAnsi="Times New Roman"/>
          <w:sz w:val="20"/>
          <w:szCs w:val="20"/>
          <w:color w:val="auto"/>
        </w:rPr>
        <w:t>™”</w:t>
      </w:r>
      <w:r>
        <w:rPr>
          <w:rFonts w:ascii="Arial" w:cs="Arial" w:eastAsia="Arial" w:hAnsi="Arial"/>
          <w:sz w:val="20"/>
          <w:szCs w:val="20"/>
          <w:color w:val="auto"/>
        </w:rPr>
        <w:t>,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 identified as Year 1, Q2 (iv)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98"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“We are extremely pleased with the rate and speed in which our team has been able to achieve these milestones that support our pipeline of novel psychedelic-based therapeutic candidates,” said Doug Drysdale, Chief Executive Officer of Cybin. “These advancements are important catalysts for our clinical development path as we prepare these programs for our planned clinical trials in 2022.”</w:t>
      </w:r>
    </w:p>
    <w:p>
      <w:pPr>
        <w:spacing w:after="0" w:line="102"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Pursuant to the terms of the Transaction Agreement, 22,428.3 Class B common shares in the capital of the Acquiror (the “</w:t>
      </w:r>
      <w:r>
        <w:rPr>
          <w:rFonts w:ascii="Arial" w:cs="Arial" w:eastAsia="Arial" w:hAnsi="Arial"/>
          <w:sz w:val="20"/>
          <w:szCs w:val="20"/>
          <w:b w:val="1"/>
          <w:bCs w:val="1"/>
          <w:color w:val="auto"/>
        </w:rPr>
        <w:t>Class</w:t>
      </w:r>
      <w:r>
        <w:rPr>
          <w:rFonts w:ascii="Arial" w:cs="Arial" w:eastAsia="Arial" w:hAnsi="Arial"/>
          <w:sz w:val="20"/>
          <w:szCs w:val="20"/>
          <w:color w:val="auto"/>
        </w:rPr>
        <w:t xml:space="preserve"> </w:t>
      </w:r>
      <w:r>
        <w:rPr>
          <w:rFonts w:ascii="Arial" w:cs="Arial" w:eastAsia="Arial" w:hAnsi="Arial"/>
          <w:sz w:val="20"/>
          <w:szCs w:val="20"/>
          <w:b w:val="1"/>
          <w:bCs w:val="1"/>
          <w:color w:val="auto"/>
        </w:rPr>
        <w:t>B Shares</w:t>
      </w:r>
      <w:r>
        <w:rPr>
          <w:rFonts w:ascii="Arial" w:cs="Arial" w:eastAsia="Arial" w:hAnsi="Arial"/>
          <w:sz w:val="20"/>
          <w:szCs w:val="20"/>
          <w:color w:val="auto"/>
        </w:rPr>
        <w:t>”) shall be issued to the Adelia Shareholders, in satisfaction of the $228,768.77 (approximately US $183,073.60) due</w:t>
      </w:r>
      <w:r>
        <w:rPr>
          <w:rFonts w:ascii="Arial" w:cs="Arial" w:eastAsia="Arial" w:hAnsi="Arial"/>
          <w:sz w:val="20"/>
          <w:szCs w:val="20"/>
          <w:b w:val="1"/>
          <w:bCs w:val="1"/>
          <w:color w:val="auto"/>
        </w:rPr>
        <w:t xml:space="preserve"> </w:t>
      </w:r>
      <w:r>
        <w:rPr>
          <w:rFonts w:ascii="Arial" w:cs="Arial" w:eastAsia="Arial" w:hAnsi="Arial"/>
          <w:sz w:val="20"/>
          <w:szCs w:val="20"/>
          <w:color w:val="auto"/>
        </w:rPr>
        <w:t>to them on meeting a portion of the relevant milestones, at an effective issue price of $10.20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2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37" w:lineRule="exact"/>
        <w:rPr>
          <w:sz w:val="20"/>
          <w:szCs w:val="20"/>
          <w:color w:val="auto"/>
        </w:rPr>
      </w:pPr>
    </w:p>
    <w:p>
      <w:pPr>
        <w:jc w:val="both"/>
        <w:spacing w:after="0" w:line="223"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Adelia</w:t>
      </w:r>
    </w:p>
    <w:p>
      <w:pPr>
        <w:jc w:val="both"/>
        <w:spacing w:after="0" w:line="205"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 Looking Statements</w:t>
      </w:r>
    </w:p>
    <w:p>
      <w:pPr>
        <w:spacing w:after="0" w:line="150" w:lineRule="exact"/>
        <w:rPr>
          <w:sz w:val="20"/>
          <w:szCs w:val="20"/>
          <w:color w:val="auto"/>
        </w:rPr>
      </w:pPr>
    </w:p>
    <w:p>
      <w:pPr>
        <w:jc w:val="both"/>
        <w:spacing w:after="0" w:line="206"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psychiatric disorders and Adelia’s proprietary development strategy and development of medicinal psychedelics with improved dosing efficacy and therapeutic indices to address unmet medical needs.</w:t>
      </w:r>
    </w:p>
    <w:p>
      <w:pPr>
        <w:spacing w:after="0" w:line="108" w:lineRule="exact"/>
        <w:rPr>
          <w:sz w:val="20"/>
          <w:szCs w:val="20"/>
          <w:color w:val="auto"/>
        </w:rPr>
      </w:pPr>
    </w:p>
    <w:p>
      <w:pPr>
        <w:jc w:val="both"/>
        <w:spacing w:after="0" w:line="21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months ended December 31,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377" w:right="339" w:bottom="1440" w:gutter="0" w:footer="0" w:header="0"/>
        </w:sectPr>
      </w:pPr>
    </w:p>
    <w:bookmarkStart w:id="5" w:name="page6"/>
    <w:bookmarkEnd w:id="5"/>
    <w:p>
      <w:pPr>
        <w:spacing w:after="0" w:line="23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97" w:lineRule="auto"/>
        <w:rPr>
          <w:sz w:val="20"/>
          <w:szCs w:val="20"/>
          <w:color w:val="auto"/>
        </w:rPr>
      </w:pPr>
      <w:r>
        <w:rPr>
          <w:rFonts w:ascii="Arial" w:cs="Arial" w:eastAsia="Arial" w:hAnsi="Arial"/>
          <w:sz w:val="20"/>
          <w:szCs w:val="20"/>
          <w:color w:val="auto"/>
        </w:rPr>
        <w:t>Vice President, Investor Relations</w:t>
      </w:r>
    </w:p>
    <w:p>
      <w:pPr>
        <w:spacing w:after="0" w:line="197" w:lineRule="auto"/>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563C1"/>
        </w:rPr>
        <w:t>leah@cybin.com</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2022-04-01T11:41:55Z</dcterms:created>
  <dcterms:modified xsi:type="dcterms:W3CDTF">2022-04-01T11:41:55Z</dcterms:modified>
</cp:coreProperties>
</file>