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August 1,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99.1</w:t>
            </w:r>
          </w:p>
        </w:tc>
        <w:tc>
          <w:tcPr>
            <w:tcW w:w="2580" w:type="dxa"/>
            <w:vAlign w:val="bottom"/>
            <w:gridSpan w:val="2"/>
          </w:tcPr>
          <w:p>
            <w:pPr>
              <w:spacing w:after="0"/>
              <w:rPr>
                <w:sz w:val="20"/>
                <w:szCs w:val="20"/>
                <w:color w:val="auto"/>
              </w:rPr>
            </w:pPr>
            <w:r>
              <w:rPr>
                <w:rFonts w:ascii="Arial" w:cs="Arial" w:eastAsia="Arial" w:hAnsi="Arial"/>
                <w:sz w:val="18"/>
                <w:szCs w:val="18"/>
                <w:color w:val="0000FF"/>
                <w:w w:val="92"/>
              </w:rPr>
              <w:t>News Release dated July 31, 2023</w:t>
            </w:r>
          </w:p>
        </w:tc>
      </w:tr>
      <w:tr>
        <w:trPr>
          <w:trHeight w:val="20"/>
        </w:trPr>
        <w:tc>
          <w:tcPr>
            <w:tcW w:w="116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99.2</w:t>
            </w:r>
          </w:p>
        </w:tc>
        <w:tc>
          <w:tcPr>
            <w:tcW w:w="2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News Release dated August 1, 2023</w:t>
            </w:r>
          </w:p>
        </w:tc>
      </w:tr>
    </w:tbl>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1203325</wp:posOffset>
            </wp:positionV>
            <wp:extent cx="2117090" cy="1226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OVERNIGHT MARKETED PUBLIC OFFERING</w:t>
      </w:r>
    </w:p>
    <w:p>
      <w:pPr>
        <w:jc w:val="center"/>
        <w:spacing w:after="0"/>
        <w:rPr>
          <w:sz w:val="20"/>
          <w:szCs w:val="20"/>
          <w:color w:val="auto"/>
        </w:rPr>
      </w:pPr>
      <w:r>
        <w:rPr>
          <w:rFonts w:ascii="Arial" w:cs="Arial" w:eastAsia="Arial" w:hAnsi="Arial"/>
          <w:sz w:val="22"/>
          <w:szCs w:val="22"/>
          <w:b w:val="1"/>
          <w:bCs w:val="1"/>
          <w:color w:val="auto"/>
        </w:rPr>
        <w:t>OF UNITS</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TORONTO - July 31, 2023 - Cybin Inc. (NYSE American:CYBN) (NEO:CYBN)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a clinical-stage biopharmaceutical company committed to revolutionizing mental healthcare by developing new and innovative psychedelic-based treatment options, is pleased to announce that it has launched an overnight marketed public offering of units of the Company (the “</w:t>
      </w:r>
      <w:r>
        <w:rPr>
          <w:rFonts w:ascii="Arial" w:cs="Arial" w:eastAsia="Arial" w:hAnsi="Arial"/>
          <w:sz w:val="22"/>
          <w:szCs w:val="22"/>
          <w:b w:val="1"/>
          <w:bCs w:val="1"/>
          <w:color w:val="auto"/>
        </w:rPr>
        <w:t>Units</w:t>
      </w:r>
      <w:r>
        <w:rPr>
          <w:rFonts w:ascii="Arial" w:cs="Arial" w:eastAsia="Arial" w:hAnsi="Arial"/>
          <w:sz w:val="22"/>
          <w:szCs w:val="22"/>
          <w:color w:val="auto"/>
        </w:rPr>
        <w:t>”) at a price per Unit and for aggregate gross proceeds to be determined in the context of the market (the “</w:t>
      </w:r>
      <w:r>
        <w:rPr>
          <w:rFonts w:ascii="Arial" w:cs="Arial" w:eastAsia="Arial" w:hAnsi="Arial"/>
          <w:sz w:val="22"/>
          <w:szCs w:val="22"/>
          <w:b w:val="1"/>
          <w:bCs w:val="1"/>
          <w:color w:val="auto"/>
        </w:rPr>
        <w:t>Offering</w:t>
      </w:r>
      <w:r>
        <w:rPr>
          <w:rFonts w:ascii="Arial" w:cs="Arial" w:eastAsia="Arial" w:hAnsi="Arial"/>
          <w:sz w:val="22"/>
          <w:szCs w:val="22"/>
          <w:color w:val="auto"/>
        </w:rPr>
        <w:t>”).</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Each Unit will be comprised of one common share in the capital of the Company (a “</w:t>
      </w:r>
      <w:r>
        <w:rPr>
          <w:rFonts w:ascii="Arial" w:cs="Arial" w:eastAsia="Arial" w:hAnsi="Arial"/>
          <w:sz w:val="22"/>
          <w:szCs w:val="22"/>
          <w:b w:val="1"/>
          <w:bCs w:val="1"/>
          <w:color w:val="auto"/>
        </w:rPr>
        <w:t>Common Share</w:t>
      </w:r>
      <w:r>
        <w:rPr>
          <w:rFonts w:ascii="Arial" w:cs="Arial" w:eastAsia="Arial" w:hAnsi="Arial"/>
          <w:sz w:val="22"/>
          <w:szCs w:val="22"/>
          <w:color w:val="auto"/>
        </w:rPr>
        <w:t>”) and one Common Share purchase warrant (each whole Common Share purchase warrant, a “</w:t>
      </w:r>
      <w:r>
        <w:rPr>
          <w:rFonts w:ascii="Arial" w:cs="Arial" w:eastAsia="Arial" w:hAnsi="Arial"/>
          <w:sz w:val="22"/>
          <w:szCs w:val="22"/>
          <w:b w:val="1"/>
          <w:bCs w:val="1"/>
          <w:color w:val="auto"/>
        </w:rPr>
        <w:t>Warrant</w:t>
      </w:r>
      <w:r>
        <w:rPr>
          <w:rFonts w:ascii="Arial" w:cs="Arial" w:eastAsia="Arial" w:hAnsi="Arial"/>
          <w:sz w:val="22"/>
          <w:szCs w:val="22"/>
          <w:color w:val="auto"/>
        </w:rPr>
        <w:t>”). The terms of the Warrants will be determined in the context of the market.</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Cantor Fitzgerald &amp; Co. is acting as the sole book-running manager for the Offering. A.G.P./Alliance Global Partners is acting as lead manager for the Offering.</w:t>
      </w:r>
    </w:p>
    <w:p>
      <w:pPr>
        <w:spacing w:after="0" w:line="159"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definitive Offering terms will be confirmed at the time of pricing pursuant to the terms of an underwriting agreement to be entered into between the Company and Cantor Fitzgerald &amp; Co. There can be no assurance as to whether or when the Offering may be completed, or as to the actual size or terms of the Offering. The Offering is expected to close on or about August 4, 2023, or such other date as the Cantor Fitzgerald &amp; Co. and the Company may agree, and completion of the Offering will be subject to market and other customary conditions, including approval of the Neo Exchange Inc., now operating as Cboe Canada (the “</w:t>
      </w:r>
      <w:r>
        <w:rPr>
          <w:rFonts w:ascii="Arial" w:cs="Arial" w:eastAsia="Arial" w:hAnsi="Arial"/>
          <w:sz w:val="22"/>
          <w:szCs w:val="22"/>
          <w:b w:val="1"/>
          <w:bCs w:val="1"/>
          <w:color w:val="auto"/>
        </w:rPr>
        <w:t>Exchange</w:t>
      </w:r>
      <w:r>
        <w:rPr>
          <w:rFonts w:ascii="Arial" w:cs="Arial" w:eastAsia="Arial" w:hAnsi="Arial"/>
          <w:sz w:val="22"/>
          <w:szCs w:val="22"/>
          <w:color w:val="auto"/>
        </w:rPr>
        <w: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Company intends to use the net proceeds from the Offering for the progression of the Company’s CYB003 and CYB004 programs, and for general corporate and working capital purposes.</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Units will be offered in each of the provinces of Canada, excluding Quebec and in the United States, pursuant to a prospectus supplement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to the Company’s short form base shelf prospectus dated July 5, 2021 (the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Shelf Prospectus</w:t>
      </w:r>
      <w:r>
        <w:rPr>
          <w:rFonts w:ascii="Arial" w:cs="Arial" w:eastAsia="Arial" w:hAnsi="Arial"/>
          <w:sz w:val="19"/>
          <w:szCs w:val="19"/>
          <w:color w:val="auto"/>
        </w:rPr>
        <w:t>”). The Prospectus Supplement will also be filed with the United States Securities and Exchange Commission</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SEC</w:t>
      </w:r>
      <w:r>
        <w:rPr>
          <w:rFonts w:ascii="Arial" w:cs="Arial" w:eastAsia="Arial" w:hAnsi="Arial"/>
          <w:sz w:val="19"/>
          <w:szCs w:val="19"/>
          <w:color w:val="auto"/>
        </w:rPr>
        <w:t xml:space="preserve">”), as part of a registration statement on Form F-10, which was declared effective by the SEC on October 8, 2021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are available on the Company’s SEDAR profile available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the Company’s EDGAR profile at </w:t>
      </w:r>
      <w:r>
        <w:rPr>
          <w:rFonts w:ascii="Arial" w:cs="Arial" w:eastAsia="Arial" w:hAnsi="Arial"/>
          <w:sz w:val="19"/>
          <w:szCs w:val="19"/>
          <w:u w:val="single" w:color="auto"/>
          <w:color w:val="0000FF"/>
        </w:rPr>
        <w:t>www.sec.gov</w:t>
      </w:r>
      <w:r>
        <w:rPr>
          <w:rFonts w:ascii="Arial" w:cs="Arial" w:eastAsia="Arial" w:hAnsi="Arial"/>
          <w:sz w:val="19"/>
          <w:szCs w:val="19"/>
          <w:color w:val="auto"/>
        </w:rPr>
        <w:t>. When available, copies of the Prospectus Supplement and Base Shelf Prospectus may be obtained by contacting Cantor Fitzgerald &amp; Co., Attention: Capital Markets, 499 Park Avenue, 4th Floor, New York, NY 10022, or by email at prospectus@cantor.com.</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2" w:lineRule="auto"/>
        <w:rPr>
          <w:sz w:val="20"/>
          <w:szCs w:val="20"/>
          <w:color w:val="auto"/>
        </w:rPr>
      </w:pPr>
      <w:r>
        <w:rPr>
          <w:rFonts w:ascii="Arial" w:cs="Arial" w:eastAsia="Arial" w:hAnsi="Arial"/>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Suspension of the Company’s Purchases under the LPC Agreement</w:t>
      </w:r>
    </w:p>
    <w:p>
      <w:pPr>
        <w:spacing w:after="0" w:line="17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In the context of arranging for Offering, on July 31, 2023, the Company provided notice to Lincoln Park Capital Fund (“</w:t>
      </w:r>
      <w:r>
        <w:rPr>
          <w:rFonts w:ascii="Arial" w:cs="Arial" w:eastAsia="Arial" w:hAnsi="Arial"/>
          <w:sz w:val="21"/>
          <w:szCs w:val="21"/>
          <w:b w:val="1"/>
          <w:bCs w:val="1"/>
          <w:color w:val="auto"/>
        </w:rPr>
        <w:t>LPC</w:t>
      </w:r>
      <w:r>
        <w:rPr>
          <w:rFonts w:ascii="Arial" w:cs="Arial" w:eastAsia="Arial" w:hAnsi="Arial"/>
          <w:sz w:val="21"/>
          <w:szCs w:val="21"/>
          <w:color w:val="auto"/>
        </w:rPr>
        <w:t>”) of the Company’s intention to suspend purchases under its purchase agreement (the “</w:t>
      </w:r>
      <w:r>
        <w:rPr>
          <w:rFonts w:ascii="Arial" w:cs="Arial" w:eastAsia="Arial" w:hAnsi="Arial"/>
          <w:sz w:val="21"/>
          <w:szCs w:val="21"/>
          <w:b w:val="1"/>
          <w:bCs w:val="1"/>
          <w:color w:val="auto"/>
        </w:rPr>
        <w:t>Purchase Agreement</w:t>
      </w:r>
      <w:r>
        <w:rPr>
          <w:rFonts w:ascii="Arial" w:cs="Arial" w:eastAsia="Arial" w:hAnsi="Arial"/>
          <w:sz w:val="21"/>
          <w:szCs w:val="21"/>
          <w:color w:val="auto"/>
        </w:rPr>
        <w:t>”) effective immediately. The Purchase Agreement was entered on May 30, 2023, allowing the Company to issue Common Shares with a value of up to US$ 30 million from treasury to LPC from time to time at the Company’s discretion for a period of up to 36 months. The sale of Common Shares under the Purchase Agreement was qualified under a prospectus supplement dated May 30, 2023 to the Base Shelf Prospectus (the “</w:t>
      </w:r>
      <w:r>
        <w:rPr>
          <w:rFonts w:ascii="Arial" w:cs="Arial" w:eastAsia="Arial" w:hAnsi="Arial"/>
          <w:sz w:val="21"/>
          <w:szCs w:val="21"/>
          <w:b w:val="1"/>
          <w:bCs w:val="1"/>
          <w:color w:val="auto"/>
        </w:rPr>
        <w:t>May Supplement</w:t>
      </w:r>
      <w:r>
        <w:rPr>
          <w:rFonts w:ascii="Arial" w:cs="Arial" w:eastAsia="Arial" w:hAnsi="Arial"/>
          <w:sz w:val="21"/>
          <w:szCs w:val="21"/>
          <w:color w:val="auto"/>
        </w:rPr>
        <w:t>”). The Company sold a total of US$465,273 under the Purchase Agreement prior to the suspension of sales. No further Common Shares will be sold to LPC pursuant to the May Supplement. Subject to receipt of all necessary regulatory approvals, the Company intends to file a new supplement with respect to the Purchase Agreement to be filed under a new base shelf prospectus.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Headquartered in Canada and founded in 2019, Cybin is operational in Canada, the United States, the United Kingdom, the Netherlands and Ireland.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anticipated closing of the Offering, the use of Offering proceeds, the receipt of applicable regulatory approvals, including the approval of the Exchange, the Company’s ability to relaunch sales under the LPC Agreement, and the Company’s ability to address the need for new and innovative treatment options for people who suffer from mental health conditions.</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w:t>
      </w:r>
    </w:p>
    <w:p>
      <w:pPr>
        <w:sectPr>
          <w:pgSz w:w="11900" w:h="16838" w:orient="portrait"/>
          <w:cols w:equalWidth="0" w:num="1">
            <w:col w:w="11240"/>
          </w:cols>
          <w:pgMar w:left="320" w:top="1401" w:right="3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19"/>
          <w:szCs w:val="19"/>
          <w:color w:val="auto"/>
        </w:rPr>
        <w:t>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irteam@cybin.com – or – media@cybin.com</w:t>
      </w:r>
    </w:p>
    <w:p>
      <w:pPr>
        <w:sectPr>
          <w:pgSz w:w="11900" w:h="16838" w:orient="portrait"/>
          <w:cols w:equalWidth="0" w:num="1">
            <w:col w:w="11240"/>
          </w:cols>
          <w:pgMar w:left="320" w:top="140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911860</wp:posOffset>
            </wp:positionV>
            <wp:extent cx="2117090" cy="1225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SIZE AND PRICING OF PREVIOUSLY ANNOUNCED</w:t>
      </w:r>
    </w:p>
    <w:p>
      <w:pPr>
        <w:jc w:val="center"/>
        <w:spacing w:after="0"/>
        <w:rPr>
          <w:sz w:val="20"/>
          <w:szCs w:val="20"/>
          <w:color w:val="auto"/>
        </w:rPr>
      </w:pPr>
      <w:r>
        <w:rPr>
          <w:rFonts w:ascii="Arial" w:cs="Arial" w:eastAsia="Arial" w:hAnsi="Arial"/>
          <w:sz w:val="22"/>
          <w:szCs w:val="22"/>
          <w:b w:val="1"/>
          <w:bCs w:val="1"/>
          <w:color w:val="auto"/>
        </w:rPr>
        <w:t>OVERNIGHT MARKETED PUBLIC OFFERING OF UNITS</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TORONTO - August 1, 2023 - Cybin Inc. (NYSE American:CYBN) (NEO:CYBN)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a clinical-stage biopharmaceutical company committed to revolutionizing mental healthcare by developing new and innovative psychedelic-based treatment options, announced today the pricing of its previously announced overnight marketed public offering (the “</w:t>
      </w:r>
      <w:r>
        <w:rPr>
          <w:rFonts w:ascii="Arial" w:cs="Arial" w:eastAsia="Arial" w:hAnsi="Arial"/>
          <w:sz w:val="22"/>
          <w:szCs w:val="22"/>
          <w:b w:val="1"/>
          <w:bCs w:val="1"/>
          <w:color w:val="auto"/>
        </w:rPr>
        <w:t>Offering</w:t>
      </w:r>
      <w:r>
        <w:rPr>
          <w:rFonts w:ascii="Arial" w:cs="Arial" w:eastAsia="Arial" w:hAnsi="Arial"/>
          <w:sz w:val="22"/>
          <w:szCs w:val="22"/>
          <w:color w:val="auto"/>
        </w:rPr>
        <w:t>”) of an aggregate of 24,264,706 units of the Company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aggregate gross proceeds of US$8,250,000.</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Each Unit will be comprised of one common share in the capital of the Company (a “</w:t>
      </w:r>
      <w:r>
        <w:rPr>
          <w:rFonts w:ascii="Arial" w:cs="Arial" w:eastAsia="Arial" w:hAnsi="Arial"/>
          <w:sz w:val="22"/>
          <w:szCs w:val="22"/>
          <w:b w:val="1"/>
          <w:bCs w:val="1"/>
          <w:color w:val="auto"/>
        </w:rPr>
        <w:t>Common Share</w:t>
      </w:r>
      <w:r>
        <w:rPr>
          <w:rFonts w:ascii="Arial" w:cs="Arial" w:eastAsia="Arial" w:hAnsi="Arial"/>
          <w:sz w:val="22"/>
          <w:szCs w:val="22"/>
          <w:color w:val="auto"/>
        </w:rPr>
        <w:t>”) and one Common Share purchase warrant (each whole Common Share purchase warrant, a “</w:t>
      </w:r>
      <w:r>
        <w:rPr>
          <w:rFonts w:ascii="Arial" w:cs="Arial" w:eastAsia="Arial" w:hAnsi="Arial"/>
          <w:sz w:val="22"/>
          <w:szCs w:val="22"/>
          <w:b w:val="1"/>
          <w:bCs w:val="1"/>
          <w:color w:val="auto"/>
        </w:rPr>
        <w:t>Warrant</w:t>
      </w:r>
      <w:r>
        <w:rPr>
          <w:rFonts w:ascii="Arial" w:cs="Arial" w:eastAsia="Arial" w:hAnsi="Arial"/>
          <w:sz w:val="22"/>
          <w:szCs w:val="22"/>
          <w:color w:val="auto"/>
        </w:rPr>
        <w:t>”). Each Warrant will be exercisable to acquire one Common Share at a price of US$0.40 per Common Share for a period of 60 months.</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Cantor Fitzgerald &amp; Co. is acting as the sole book-running manager for the Offering. A.G.P./Alliance Global Partners is acting as lead manager for the Offering.</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Offering is expected to close on or about August 4, 2023, or such other date as the Cantor Fitzgerald &amp; Co. and the Company may agree, and completion of the Offering will be subject to market and other customary conditions, including approval of the Neo Exchange Inc., now operating as Cboe Canada (the “</w:t>
      </w:r>
      <w:r>
        <w:rPr>
          <w:rFonts w:ascii="Arial" w:cs="Arial" w:eastAsia="Arial" w:hAnsi="Arial"/>
          <w:sz w:val="22"/>
          <w:szCs w:val="22"/>
          <w:b w:val="1"/>
          <w:bCs w:val="1"/>
          <w:color w:val="auto"/>
        </w:rPr>
        <w:t>Exchange</w:t>
      </w:r>
      <w:r>
        <w:rPr>
          <w:rFonts w:ascii="Arial" w:cs="Arial" w:eastAsia="Arial" w:hAnsi="Arial"/>
          <w:sz w:val="22"/>
          <w:szCs w:val="22"/>
          <w:color w:val="auto"/>
        </w:rPr>
        <w: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Company intends to use the net proceeds from the Offering for the progression of the Company’s CYB003 and CYB004 programs, and for general corporate and working capital purposes.</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Units will be offered in each of the provinces of Canada, excluding Quebec and in the United States, pursuant to a prospectus supplement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to the Company’s short form base shelf prospectus dated July 5, 2021 (the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Shelf Prospectus</w:t>
      </w:r>
      <w:r>
        <w:rPr>
          <w:rFonts w:ascii="Arial" w:cs="Arial" w:eastAsia="Arial" w:hAnsi="Arial"/>
          <w:sz w:val="19"/>
          <w:szCs w:val="19"/>
          <w:color w:val="auto"/>
        </w:rPr>
        <w:t>”). The Prospectus Supplement will also be filed with the United States Securities and Exchange Commission</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SEC</w:t>
      </w:r>
      <w:r>
        <w:rPr>
          <w:rFonts w:ascii="Arial" w:cs="Arial" w:eastAsia="Arial" w:hAnsi="Arial"/>
          <w:sz w:val="19"/>
          <w:szCs w:val="19"/>
          <w:color w:val="auto"/>
        </w:rPr>
        <w:t xml:space="preserve">”), as part of a registration statement on Form F-10, which was declared effective by the SEC on October 8, 2021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are available on the Company’s SEDAR profile available at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 the Company’s EDGAR profile at </w:t>
      </w:r>
      <w:r>
        <w:rPr>
          <w:rFonts w:ascii="Arial" w:cs="Arial" w:eastAsia="Arial" w:hAnsi="Arial"/>
          <w:sz w:val="19"/>
          <w:szCs w:val="19"/>
          <w:u w:val="single" w:color="auto"/>
          <w:color w:val="0000FF"/>
        </w:rPr>
        <w:t>www.sec.gov</w:t>
      </w:r>
      <w:r>
        <w:rPr>
          <w:rFonts w:ascii="Arial" w:cs="Arial" w:eastAsia="Arial" w:hAnsi="Arial"/>
          <w:sz w:val="19"/>
          <w:szCs w:val="19"/>
          <w:color w:val="auto"/>
        </w:rPr>
        <w:t>. Copies of the Prospectus Supplement and Base Shelf Prospectus may be obtained by contacting Cantor Fitzgerald &amp; Co., Attention: Capital Markets, 499 Park Avenue, 4th Floor, New York, NY 10022, or by email at prospectus@cantor.com.</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Headquartered in Canada and founded in 2019, Cybin is operational in Canada, the United States, the United Kingdom, the Netherlands and Ireland.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anticipated closing of the Offering, the use of Offering proceeds, the receipt of applicable regulatory approvals, including the approval of the Exchange, and the Company’s ability to address the need for new and innovative treatment options for people who suffer from mental health conditions.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w:t>
      </w:r>
    </w:p>
    <w:p>
      <w:pPr>
        <w:sectPr>
          <w:pgSz w:w="11900" w:h="16838" w:orient="portrait"/>
          <w:cols w:equalWidth="0" w:num="1">
            <w:col w:w="11240"/>
          </w:cols>
          <w:pgMar w:left="320" w:top="140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statements of beliefs, opinions, projections, or other factors, should they change, except as required by law.</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irteam@cybin.com – or – media@cybin.com</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2023-08-01T12:48:27Z</dcterms:created>
  <dcterms:modified xsi:type="dcterms:W3CDTF">2023-08-01T12:48:27Z</dcterms:modified>
</cp:coreProperties>
</file>