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April 28,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at the 26</w:t>
      </w:r>
      <w:r>
        <w:rPr>
          <w:rFonts w:ascii="Arial" w:cs="Arial" w:eastAsia="Arial" w:hAnsi="Arial"/>
          <w:sz w:val="32"/>
          <w:szCs w:val="32"/>
          <w:b w:val="1"/>
          <w:bCs w:val="1"/>
          <w:color w:val="auto"/>
          <w:vertAlign w:val="superscript"/>
        </w:rPr>
        <w:t>th</w:t>
      </w:r>
      <w:r>
        <w:rPr>
          <w:rFonts w:ascii="Arial" w:cs="Arial" w:eastAsia="Arial" w:hAnsi="Arial"/>
          <w:sz w:val="25"/>
          <w:szCs w:val="25"/>
          <w:b w:val="1"/>
          <w:bCs w:val="1"/>
          <w:color w:val="auto"/>
        </w:rPr>
        <w:t xml:space="preserve"> Annual Milken Institute Global Conference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 xml:space="preserve">- CEO Doug Drysdale to speak on a mental health panel </w:t>
      </w:r>
      <w:r>
        <w:rPr>
          <w:rFonts w:ascii="Arial" w:cs="Arial" w:eastAsia="Arial" w:hAnsi="Arial"/>
          <w:sz w:val="19"/>
          <w:szCs w:val="19"/>
          <w:i w:val="1"/>
          <w:iCs w:val="1"/>
          <w:color w:val="auto"/>
        </w:rPr>
        <w:t>on May 2, 2023 -</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April 28,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Cybin</w:t>
      </w:r>
      <w:r>
        <w:rPr>
          <w:rFonts w:ascii="Arial" w:cs="Arial" w:eastAsia="Arial" w:hAnsi="Arial"/>
          <w:sz w:val="20"/>
          <w:szCs w:val="20"/>
          <w:b w:val="1"/>
          <w:bCs w:val="1"/>
          <w:color w:val="auto"/>
        </w:rPr>
        <w:t xml:space="preserve"> </w:t>
      </w:r>
      <w:r>
        <w:rPr>
          <w:rFonts w:ascii="Arial" w:cs="Arial" w:eastAsia="Arial" w:hAnsi="Arial"/>
          <w:sz w:val="20"/>
          <w:szCs w:val="20"/>
          <w:color w:val="auto"/>
        </w:rPr>
        <w:t>Inc. (NEO:CYBN)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that Doug Drysdale, Cybin’s Chief Executive Officer, will be speaking at the 26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Annual Milken Institute Global Conference on a panel entitled “Progress and Innovation: The Dawning of a New Day in Treating Mental Health.” The panel will take place on Tuesday, May 2, 2023, at 8:30 a.m. PT / 11:30 a.m. ET at The Beverly Hilton, Beverly Hills, CA. The Milken Institute is a nonprofit, nonpartisan think tank dedicated to connecting resources and innovation so the best ideas can succeed.</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To access the live panel discussion, please click </w:t>
      </w:r>
      <w:r>
        <w:rPr>
          <w:rFonts w:ascii="Arial" w:cs="Arial" w:eastAsia="Arial" w:hAnsi="Arial"/>
          <w:sz w:val="20"/>
          <w:szCs w:val="20"/>
          <w:u w:val="single" w:color="auto"/>
          <w:color w:val="0000FF"/>
        </w:rPr>
        <w:t>here</w:t>
      </w:r>
      <w:r>
        <w:rPr>
          <w:rFonts w:ascii="Arial" w:cs="Arial" w:eastAsia="Arial" w:hAnsi="Arial"/>
          <w:sz w:val="20"/>
          <w:szCs w:val="20"/>
          <w:color w:val="auto"/>
        </w:rPr>
        <w:t xml:space="preserve">.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 For more information on the Milken Institute and the upcoming conference visit www.milkeninstitute.org.</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"Our work is focused on developing safe and effective psychedelic-based treatments for mental health conditions that are designed to achieve better clinical outcomes with fewer side effects for patients,” said Doug Drysdale, Cybin’s Chief Executive Officer. “The Milken Institute Global Conference provides an ideal opportunity to engage with global thought leaders working to improve the mental health landscape and to share the innovative clinical work that Cybin is doing to address the significant unmet need for new treatment options for people suffering from these devastating conditions.”</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Current treatments for depression and other mental health disorders have limited effectiveness, leaving a treatment gap for many patients. According to the World Health Organization, there are more than 800,000 suicides each year globally.</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Up to 30% of people with depression do not respond to traditional antidepressant treatments.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Emerging research has demonstrated the potential for psychedelic-based treatment to improve symptoms and quality of life for patients with mental health conditions such as Major Depressive Disorder and Generalized Anxiety Disorder,</w:t>
      </w:r>
      <w:r>
        <w:rPr>
          <w:rFonts w:ascii="Arial" w:cs="Arial" w:eastAsia="Arial" w:hAnsi="Arial"/>
          <w:sz w:val="25"/>
          <w:szCs w:val="25"/>
          <w:color w:val="auto"/>
          <w:vertAlign w:val="superscript"/>
        </w:rPr>
        <w:t>3,4</w:t>
      </w:r>
      <w:r>
        <w:rPr>
          <w:rFonts w:ascii="Arial" w:cs="Arial" w:eastAsia="Arial" w:hAnsi="Arial"/>
          <w:sz w:val="20"/>
          <w:szCs w:val="20"/>
          <w:color w:val="auto"/>
        </w:rPr>
        <w:t xml:space="preserve"> two indications that Cybin is targeting with its clinical development programs.</w:t>
      </w:r>
    </w:p>
    <w:p>
      <w:pPr>
        <w:spacing w:after="0" w:line="24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https://www.who.int/news-room/fact-sheets/detail/depression</w:t>
      </w:r>
    </w:p>
    <w:p>
      <w:pPr>
        <w:sectPr>
          <w:pgSz w:w="11900" w:h="16838" w:orient="portrait"/>
          <w:cols w:equalWidth="0" w:num="1">
            <w:col w:w="11240"/>
          </w:cols>
          <w:pgMar w:left="320" w:top="1440" w:right="339" w:bottom="1440" w:gutter="0" w:footer="0" w:header="0"/>
        </w:sectPr>
      </w:pPr>
    </w:p>
    <w:bookmarkStart w:id="4" w:name="page5"/>
    <w:bookmarkEnd w:id="4"/>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u w:val="single" w:color="auto"/>
          <w:color w:val="0000FF"/>
        </w:rPr>
        <w:t>https://www.nami.org/getattachment/Get-Involved/NAMI-National-Convention/Convention-Program-Schedule/Hill-Day-2017/FINAL-Hill-Day-17-Leave-Behind-all-</w:t>
      </w:r>
    </w:p>
    <w:p>
      <w:pPr>
        <w:spacing w:after="0" w:line="29"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u w:val="single" w:color="auto"/>
          <w:color w:val="0000FF"/>
        </w:rPr>
        <w:t>(1).pdf</w:t>
      </w:r>
    </w:p>
    <w:p>
      <w:pPr>
        <w:spacing w:after="0" w:line="28" w:lineRule="exact"/>
        <w:rPr>
          <w:rFonts w:ascii="Arial" w:cs="Arial" w:eastAsia="Arial" w:hAnsi="Arial"/>
          <w:sz w:val="14"/>
          <w:szCs w:val="14"/>
          <w:color w:val="auto"/>
        </w:rPr>
      </w:pPr>
    </w:p>
    <w:p>
      <w:pPr>
        <w:ind w:left="660" w:right="20" w:hanging="328"/>
        <w:spacing w:after="0" w:line="291" w:lineRule="auto"/>
        <w:tabs>
          <w:tab w:leader="none" w:pos="658"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Gukasyan N, Davis AK, Barrett FS, et al. (2022) Efficacy and safety of psilocybin-assisted treatment for major depressive disorder: Prospective 12-month follow-up. </w:t>
      </w:r>
      <w:r>
        <w:rPr>
          <w:rFonts w:ascii="Arial" w:cs="Arial" w:eastAsia="Arial" w:hAnsi="Arial"/>
          <w:sz w:val="14"/>
          <w:szCs w:val="14"/>
          <w:i w:val="1"/>
          <w:iCs w:val="1"/>
          <w:color w:val="auto"/>
        </w:rPr>
        <w:t xml:space="preserve">Journal of Psychopharmacology </w:t>
      </w:r>
      <w:r>
        <w:rPr>
          <w:rFonts w:ascii="Arial" w:cs="Arial" w:eastAsia="Arial" w:hAnsi="Arial"/>
          <w:sz w:val="14"/>
          <w:szCs w:val="14"/>
          <w:color w:val="auto"/>
        </w:rPr>
        <w:t>36(2):151-158.</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Muttoni, S., Ardissino, M. and John, C. (2019). Classical psychedelics for the treatment of depression and anxiety: A systematic review. </w:t>
      </w:r>
      <w:r>
        <w:rPr>
          <w:rFonts w:ascii="Arial" w:cs="Arial" w:eastAsia="Arial" w:hAnsi="Arial"/>
          <w:sz w:val="14"/>
          <w:szCs w:val="14"/>
          <w:i w:val="1"/>
          <w:iCs w:val="1"/>
          <w:color w:val="auto"/>
        </w:rPr>
        <w:t>Journal of Affective Disorders</w:t>
      </w:r>
    </w:p>
    <w:p>
      <w:pPr>
        <w:spacing w:after="0" w:line="28"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258: 11-24.</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 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development of new and innovative facilitator training programs; the Company’s future clinical trials; and the Company’s plans to engineer proprietary drug discovery platforms, innovative drug delivery systems, novel formulation approaches and therapy regimens for mental health conditions.</w:t>
      </w:r>
    </w:p>
    <w:p>
      <w:pPr>
        <w:spacing w:after="0" w:line="3"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78" w:lineRule="auto"/>
        <w:rPr>
          <w:sz w:val="20"/>
          <w:szCs w:val="20"/>
          <w:color w:val="auto"/>
        </w:rPr>
      </w:pPr>
      <w:r>
        <w:rPr>
          <w:rFonts w:ascii="Arial" w:cs="Arial" w:eastAsia="Arial" w:hAnsi="Arial"/>
          <w:sz w:val="20"/>
          <w:szCs w:val="20"/>
          <w:color w:val="auto"/>
        </w:rPr>
        <w:t>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nine month periods ended December 31, 2022, the Company’s annual information form for the year ended March 31, 2022,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spacing w:after="0" w:line="2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2023-04-28T08:23:17Z</dcterms:created>
  <dcterms:modified xsi:type="dcterms:W3CDTF">2023-04-28T08:23:17Z</dcterms:modified>
</cp:coreProperties>
</file>