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4445</wp:posOffset>
            </wp:positionV>
            <wp:extent cx="2888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49"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SCHEDULE 13G</w:t>
      </w:r>
    </w:p>
    <w:p>
      <w:pPr>
        <w:spacing w:after="0" w:line="220" w:lineRule="exact"/>
        <w:rPr>
          <w:sz w:val="24"/>
          <w:szCs w:val="24"/>
          <w:color w:val="auto"/>
        </w:rPr>
      </w:pPr>
    </w:p>
    <w:p>
      <w:pPr>
        <w:ind w:left="3740"/>
        <w:spacing w:after="0"/>
        <w:rPr>
          <w:sz w:val="20"/>
          <w:szCs w:val="20"/>
          <w:color w:val="auto"/>
        </w:rPr>
      </w:pPr>
      <w:r>
        <w:rPr>
          <w:rFonts w:ascii="Arial" w:cs="Arial" w:eastAsia="Arial" w:hAnsi="Arial"/>
          <w:sz w:val="22"/>
          <w:szCs w:val="22"/>
          <w:color w:val="auto"/>
        </w:rPr>
        <w:t>Under the Securities Exchange Act of 1934</w:t>
      </w:r>
    </w:p>
    <w:p>
      <w:pPr>
        <w:spacing w:after="0" w:line="8" w:lineRule="exact"/>
        <w:rPr>
          <w:sz w:val="24"/>
          <w:szCs w:val="24"/>
          <w:color w:val="auto"/>
        </w:rPr>
      </w:pPr>
    </w:p>
    <w:p>
      <w:pPr>
        <w:ind w:left="4720"/>
        <w:spacing w:after="0"/>
        <w:rPr>
          <w:sz w:val="20"/>
          <w:szCs w:val="20"/>
          <w:color w:val="auto"/>
        </w:rPr>
      </w:pPr>
      <w:r>
        <w:rPr>
          <w:rFonts w:ascii="Arial" w:cs="Arial" w:eastAsia="Arial" w:hAnsi="Arial"/>
          <w:sz w:val="22"/>
          <w:szCs w:val="22"/>
          <w:color w:val="auto"/>
        </w:rPr>
        <w:t>(Amendment No. )*</w:t>
      </w:r>
    </w:p>
    <w:p>
      <w:pPr>
        <w:spacing w:after="0" w:line="202" w:lineRule="exact"/>
        <w:rPr>
          <w:sz w:val="24"/>
          <w:szCs w:val="24"/>
          <w:color w:val="auto"/>
        </w:rPr>
      </w:pPr>
    </w:p>
    <w:p>
      <w:pPr>
        <w:ind w:left="5160"/>
        <w:spacing w:after="0"/>
        <w:rPr>
          <w:sz w:val="20"/>
          <w:szCs w:val="20"/>
          <w:color w:val="auto"/>
        </w:rPr>
      </w:pPr>
      <w:r>
        <w:rPr>
          <w:rFonts w:ascii="Arial" w:cs="Arial" w:eastAsia="Arial" w:hAnsi="Arial"/>
          <w:sz w:val="22"/>
          <w:szCs w:val="22"/>
          <w:color w:val="auto"/>
        </w:rPr>
        <w:t>Cybin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6985</wp:posOffset>
            </wp:positionV>
            <wp:extent cx="7012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2" w:lineRule="exact"/>
        <w:rPr>
          <w:sz w:val="24"/>
          <w:szCs w:val="24"/>
          <w:color w:val="auto"/>
        </w:rPr>
      </w:pPr>
    </w:p>
    <w:p>
      <w:pPr>
        <w:ind w:left="4320"/>
        <w:spacing w:after="0"/>
        <w:rPr>
          <w:sz w:val="20"/>
          <w:szCs w:val="20"/>
          <w:color w:val="auto"/>
        </w:rPr>
      </w:pPr>
      <w:r>
        <w:rPr>
          <w:rFonts w:ascii="Arial" w:cs="Arial" w:eastAsia="Arial" w:hAnsi="Arial"/>
          <w:sz w:val="22"/>
          <w:szCs w:val="22"/>
          <w:color w:val="auto"/>
        </w:rPr>
        <w:t>Common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6985</wp:posOffset>
            </wp:positionV>
            <wp:extent cx="7012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1" w:lineRule="exact"/>
        <w:rPr>
          <w:sz w:val="24"/>
          <w:szCs w:val="24"/>
          <w:color w:val="auto"/>
        </w:rPr>
      </w:pPr>
    </w:p>
    <w:p>
      <w:pPr>
        <w:ind w:left="4400"/>
        <w:spacing w:after="0"/>
        <w:rPr>
          <w:sz w:val="20"/>
          <w:szCs w:val="20"/>
          <w:color w:val="auto"/>
        </w:rPr>
      </w:pPr>
      <w:r>
        <w:rPr>
          <w:rFonts w:ascii="Arial" w:cs="Arial" w:eastAsia="Arial" w:hAnsi="Arial"/>
          <w:sz w:val="22"/>
          <w:szCs w:val="22"/>
          <w:color w:val="auto"/>
        </w:rPr>
        <w:t>(Title of Class of Securities)</w:t>
      </w:r>
    </w:p>
    <w:p>
      <w:pPr>
        <w:spacing w:after="0" w:line="202" w:lineRule="exact"/>
        <w:rPr>
          <w:sz w:val="24"/>
          <w:szCs w:val="24"/>
          <w:color w:val="auto"/>
        </w:rPr>
      </w:pPr>
    </w:p>
    <w:p>
      <w:pPr>
        <w:ind w:left="5120"/>
        <w:spacing w:after="0"/>
        <w:rPr>
          <w:sz w:val="20"/>
          <w:szCs w:val="20"/>
          <w:color w:val="auto"/>
        </w:rPr>
      </w:pPr>
      <w:r>
        <w:rPr>
          <w:rFonts w:ascii="Arial" w:cs="Arial" w:eastAsia="Arial" w:hAnsi="Arial"/>
          <w:sz w:val="22"/>
          <w:szCs w:val="22"/>
          <w:color w:val="auto"/>
        </w:rPr>
        <w:t>23256X100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6985</wp:posOffset>
            </wp:positionV>
            <wp:extent cx="7012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2" w:lineRule="exact"/>
        <w:rPr>
          <w:sz w:val="24"/>
          <w:szCs w:val="24"/>
          <w:color w:val="auto"/>
        </w:rPr>
      </w:pPr>
    </w:p>
    <w:p>
      <w:pPr>
        <w:ind w:left="4760"/>
        <w:spacing w:after="0"/>
        <w:rPr>
          <w:sz w:val="20"/>
          <w:szCs w:val="20"/>
          <w:color w:val="auto"/>
        </w:rPr>
      </w:pPr>
      <w:r>
        <w:rPr>
          <w:rFonts w:ascii="Arial" w:cs="Arial" w:eastAsia="Arial" w:hAnsi="Arial"/>
          <w:sz w:val="22"/>
          <w:szCs w:val="22"/>
          <w:color w:val="auto"/>
        </w:rPr>
        <w:t>September 14,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6985</wp:posOffset>
            </wp:positionV>
            <wp:extent cx="7012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31" w:lineRule="exact"/>
        <w:rPr>
          <w:sz w:val="24"/>
          <w:szCs w:val="24"/>
          <w:color w:val="auto"/>
        </w:rPr>
      </w:pPr>
    </w:p>
    <w:p>
      <w:pPr>
        <w:ind w:left="100"/>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20" w:lineRule="exact"/>
        <w:rPr>
          <w:sz w:val="24"/>
          <w:szCs w:val="24"/>
          <w:color w:val="auto"/>
        </w:rPr>
      </w:pPr>
    </w:p>
    <w:p>
      <w:pPr>
        <w:jc w:val="both"/>
        <w:ind w:left="700" w:right="9020" w:hanging="74"/>
        <w:spacing w:after="0" w:line="284" w:lineRule="auto"/>
        <w:tabs>
          <w:tab w:leader="none" w:pos="1002"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Rule 13d-1(b) ý Rule 13d-1(c)</w:t>
      </w:r>
    </w:p>
    <w:p>
      <w:pPr>
        <w:ind w:left="1000" w:hanging="374"/>
        <w:spacing w:after="0"/>
        <w:tabs>
          <w:tab w:leader="none" w:pos="100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(Page 1 of 7 Pages)</w:t>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5"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w:t>
      </w:r>
      <w:r>
        <w:rPr>
          <w:rFonts w:ascii="Arial" w:cs="Arial" w:eastAsia="Arial" w:hAnsi="Arial"/>
          <w:sz w:val="20"/>
          <w:szCs w:val="20"/>
          <w:u w:val="single" w:color="auto"/>
          <w:color w:val="auto"/>
        </w:rPr>
        <w:t>Act</w:t>
      </w:r>
      <w:r>
        <w:rPr>
          <w:rFonts w:ascii="Arial" w:cs="Arial" w:eastAsia="Arial" w:hAnsi="Arial"/>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1240"/>
          </w:cols>
          <w:pgMar w:left="320" w:top="226" w:right="339" w:bottom="1440" w:gutter="0" w:footer="0" w:header="0"/>
        </w:sectPr>
      </w:pPr>
    </w:p>
    <w:bookmarkStart w:id="1" w:name="page2"/>
    <w:bookmarkEnd w:id="1"/>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23256X100</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2 of 7 Pages</w:t>
      </w:r>
    </w:p>
    <w:p>
      <w:pPr>
        <w:sectPr>
          <w:pgSz w:w="11900" w:h="16838" w:orient="portrait"/>
          <w:cols w:equalWidth="0" w:num="1">
            <w:col w:w="11240"/>
          </w:cols>
          <w:pgMar w:left="320" w:top="229" w:right="339" w:bottom="1440" w:gutter="0" w:footer="0" w:header="0"/>
        </w:sectPr>
      </w:pPr>
    </w:p>
    <w:p>
      <w:pPr>
        <w:ind w:left="1700" w:hanging="967"/>
        <w:spacing w:after="0" w:line="226" w:lineRule="auto"/>
        <w:tabs>
          <w:tab w:leader="none" w:pos="1700" w:val="left"/>
        </w:tabs>
        <w:numPr>
          <w:ilvl w:val="0"/>
          <w:numId w:val="2"/>
        </w:numPr>
        <w:rPr>
          <w:rFonts w:ascii="Arial" w:cs="Arial" w:eastAsia="Arial" w:hAnsi="Arial"/>
          <w:sz w:val="58"/>
          <w:szCs w:val="58"/>
          <w:b w:val="1"/>
          <w:bCs w:val="1"/>
          <w:color w:val="auto"/>
          <w:vertAlign w:val="subscript"/>
        </w:rPr>
      </w:pP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47917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791710"/>
                    </a:xfrm>
                    <a:prstGeom prst="rect">
                      <a:avLst/>
                    </a:prstGeom>
                    <a:noFill/>
                  </pic:spPr>
                </pic:pic>
              </a:graphicData>
            </a:graphic>
          </wp:anchor>
        </w:drawing>
      </w:r>
    </w:p>
    <w:p>
      <w:pPr>
        <w:spacing w:after="0" w:line="226"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Point72 Asset Management, L.P.</w:t>
      </w:r>
    </w:p>
    <w:p>
      <w:pPr>
        <w:ind w:left="1700" w:hanging="967"/>
        <w:spacing w:after="0" w:line="180" w:lineRule="auto"/>
        <w:tabs>
          <w:tab w:leader="none" w:pos="1700" w:val="left"/>
        </w:tabs>
        <w:numPr>
          <w:ilvl w:val="0"/>
          <w:numId w:val="3"/>
        </w:numPr>
        <w:rPr>
          <w:rFonts w:ascii="Arial" w:cs="Arial" w:eastAsia="Arial" w:hAnsi="Arial"/>
          <w:sz w:val="45"/>
          <w:szCs w:val="45"/>
          <w:b w:val="1"/>
          <w:bCs w:val="1"/>
          <w:color w:val="auto"/>
          <w:vertAlign w:val="subscript"/>
        </w:rPr>
      </w:pPr>
      <w:r>
        <w:rPr>
          <w:rFonts w:ascii="Arial" w:cs="Arial" w:eastAsia="Arial" w:hAnsi="Arial"/>
          <w:sz w:val="15"/>
          <w:szCs w:val="15"/>
          <w:color w:val="auto"/>
        </w:rPr>
        <w:t>CHECK THE APPROPRIATE BOX IF A MEMBER OF A GROUP</w:t>
      </w:r>
    </w:p>
    <w:p>
      <w:pPr>
        <w:spacing w:after="0" w:line="89" w:lineRule="exact"/>
        <w:rPr>
          <w:sz w:val="20"/>
          <w:szCs w:val="20"/>
          <w:color w:val="auto"/>
        </w:rPr>
      </w:pPr>
    </w:p>
    <w:p>
      <w:pPr>
        <w:ind w:left="1700" w:hanging="967"/>
        <w:spacing w:after="0"/>
        <w:tabs>
          <w:tab w:leader="none" w:pos="1700" w:val="left"/>
        </w:tabs>
        <w:numPr>
          <w:ilvl w:val="0"/>
          <w:numId w:val="4"/>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4</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400" w:type="dxa"/>
            <w:vAlign w:val="bottom"/>
            <w:gridSpan w:val="2"/>
            <w:vMerge w:val="restart"/>
          </w:tcPr>
          <w:p>
            <w:pPr>
              <w:ind w:left="500"/>
              <w:spacing w:after="0"/>
              <w:rPr>
                <w:sz w:val="20"/>
                <w:szCs w:val="20"/>
                <w:color w:val="auto"/>
              </w:rPr>
            </w:pPr>
            <w:r>
              <w:rPr>
                <w:rFonts w:ascii="Arial" w:cs="Arial" w:eastAsia="Arial" w:hAnsi="Arial"/>
                <w:sz w:val="20"/>
                <w:szCs w:val="20"/>
                <w:color w:val="auto"/>
              </w:rPr>
              <w:t>Delaware</w:t>
            </w:r>
          </w:p>
        </w:tc>
        <w:tc>
          <w:tcPr>
            <w:tcW w:w="5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5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5</w:t>
            </w:r>
          </w:p>
        </w:tc>
        <w:tc>
          <w:tcPr>
            <w:tcW w:w="120" w:type="dxa"/>
            <w:vAlign w:val="bottom"/>
          </w:tcPr>
          <w:p>
            <w:pPr>
              <w:spacing w:after="0"/>
              <w:rPr>
                <w:sz w:val="9"/>
                <w:szCs w:val="9"/>
                <w:color w:val="auto"/>
              </w:rPr>
            </w:pPr>
          </w:p>
        </w:tc>
        <w:tc>
          <w:tcPr>
            <w:tcW w:w="5140" w:type="dxa"/>
            <w:vAlign w:val="bottom"/>
            <w:vMerge w:val="restart"/>
          </w:tcPr>
          <w:p>
            <w:pPr>
              <w:ind w:left="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120" w:type="dxa"/>
            <w:vAlign w:val="bottom"/>
            <w:tcBorders>
              <w:left w:val="single" w:sz="8" w:color="auto"/>
            </w:tcBorders>
          </w:tcPr>
          <w:p>
            <w:pPr>
              <w:spacing w:after="0"/>
              <w:rPr>
                <w:sz w:val="22"/>
                <w:szCs w:val="22"/>
                <w:color w:val="auto"/>
              </w:rPr>
            </w:pPr>
          </w:p>
        </w:tc>
        <w:tc>
          <w:tcPr>
            <w:tcW w:w="5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20" w:type="dxa"/>
            <w:vAlign w:val="bottom"/>
            <w:tcBorders>
              <w:left w:val="single" w:sz="8" w:color="auto"/>
            </w:tcBorders>
          </w:tcPr>
          <w:p>
            <w:pPr>
              <w:spacing w:after="0"/>
              <w:rPr>
                <w:sz w:val="14"/>
                <w:szCs w:val="14"/>
                <w:color w:val="auto"/>
              </w:rPr>
            </w:pPr>
          </w:p>
        </w:tc>
        <w:tc>
          <w:tcPr>
            <w:tcW w:w="514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6</w:t>
            </w:r>
          </w:p>
        </w:tc>
        <w:tc>
          <w:tcPr>
            <w:tcW w:w="120" w:type="dxa"/>
            <w:vAlign w:val="bottom"/>
            <w:tcBorders>
              <w:left w:val="single" w:sz="8" w:color="auto"/>
            </w:tcBorders>
          </w:tcPr>
          <w:p>
            <w:pPr>
              <w:spacing w:after="0"/>
              <w:rPr>
                <w:sz w:val="19"/>
                <w:szCs w:val="19"/>
                <w:color w:val="auto"/>
              </w:rPr>
            </w:pPr>
          </w:p>
        </w:tc>
        <w:tc>
          <w:tcPr>
            <w:tcW w:w="5140" w:type="dxa"/>
            <w:vAlign w:val="bottom"/>
            <w:vMerge w:val="restart"/>
          </w:tcPr>
          <w:p>
            <w:pPr>
              <w:ind w:left="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53"/>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5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140" w:type="dxa"/>
            <w:vAlign w:val="bottom"/>
            <w:vMerge w:val="restart"/>
          </w:tcPr>
          <w:p>
            <w:pPr>
              <w:ind w:left="340"/>
              <w:spacing w:after="0"/>
              <w:rPr>
                <w:sz w:val="20"/>
                <w:szCs w:val="20"/>
                <w:color w:val="auto"/>
              </w:rPr>
            </w:pPr>
            <w:r>
              <w:rPr>
                <w:rFonts w:ascii="Arial" w:cs="Arial" w:eastAsia="Arial" w:hAnsi="Arial"/>
                <w:sz w:val="20"/>
                <w:szCs w:val="20"/>
                <w:color w:val="auto"/>
              </w:rPr>
              <w:t>18,950,000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5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7</w:t>
            </w:r>
          </w:p>
        </w:tc>
        <w:tc>
          <w:tcPr>
            <w:tcW w:w="120" w:type="dxa"/>
            <w:vAlign w:val="bottom"/>
            <w:tcBorders>
              <w:left w:val="single" w:sz="8" w:color="auto"/>
            </w:tcBorders>
          </w:tcPr>
          <w:p>
            <w:pPr>
              <w:spacing w:after="0"/>
              <w:rPr>
                <w:sz w:val="17"/>
                <w:szCs w:val="17"/>
                <w:color w:val="auto"/>
              </w:rPr>
            </w:pPr>
          </w:p>
        </w:tc>
        <w:tc>
          <w:tcPr>
            <w:tcW w:w="5140" w:type="dxa"/>
            <w:vAlign w:val="bottom"/>
            <w:vMerge w:val="restart"/>
          </w:tcPr>
          <w:p>
            <w:pPr>
              <w:ind w:left="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5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14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5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8</w:t>
            </w:r>
          </w:p>
        </w:tc>
        <w:tc>
          <w:tcPr>
            <w:tcW w:w="120" w:type="dxa"/>
            <w:vAlign w:val="bottom"/>
            <w:tcBorders>
              <w:left w:val="single" w:sz="8" w:color="auto"/>
            </w:tcBorders>
          </w:tcPr>
          <w:p>
            <w:pPr>
              <w:spacing w:after="0"/>
              <w:rPr>
                <w:sz w:val="17"/>
                <w:szCs w:val="17"/>
                <w:color w:val="auto"/>
              </w:rPr>
            </w:pPr>
          </w:p>
        </w:tc>
        <w:tc>
          <w:tcPr>
            <w:tcW w:w="5140" w:type="dxa"/>
            <w:vAlign w:val="bottom"/>
            <w:vMerge w:val="restart"/>
          </w:tcPr>
          <w:p>
            <w:pPr>
              <w:ind w:left="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5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20" w:type="dxa"/>
            <w:vAlign w:val="bottom"/>
            <w:tcBorders>
              <w:left w:val="single" w:sz="8" w:color="auto"/>
            </w:tcBorders>
          </w:tcPr>
          <w:p>
            <w:pPr>
              <w:spacing w:after="0"/>
              <w:rPr>
                <w:sz w:val="14"/>
                <w:szCs w:val="14"/>
                <w:color w:val="auto"/>
              </w:rPr>
            </w:pPr>
          </w:p>
        </w:tc>
        <w:tc>
          <w:tcPr>
            <w:tcW w:w="5140" w:type="dxa"/>
            <w:vAlign w:val="bottom"/>
            <w:vMerge w:val="restart"/>
          </w:tcPr>
          <w:p>
            <w:pPr>
              <w:ind w:left="340"/>
              <w:spacing w:after="0"/>
              <w:rPr>
                <w:sz w:val="20"/>
                <w:szCs w:val="20"/>
                <w:color w:val="auto"/>
              </w:rPr>
            </w:pPr>
            <w:r>
              <w:rPr>
                <w:rFonts w:ascii="Arial" w:cs="Arial" w:eastAsia="Arial" w:hAnsi="Arial"/>
                <w:sz w:val="20"/>
                <w:szCs w:val="20"/>
                <w:color w:val="auto"/>
              </w:rPr>
              <w:t>18,950,000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9</w:t>
            </w:r>
          </w:p>
        </w:tc>
        <w:tc>
          <w:tcPr>
            <w:tcW w:w="1280" w:type="dxa"/>
            <w:vAlign w:val="bottom"/>
          </w:tcPr>
          <w:p>
            <w:pPr>
              <w:spacing w:after="0"/>
              <w:rPr>
                <w:sz w:val="10"/>
                <w:szCs w:val="10"/>
                <w:color w:val="auto"/>
              </w:rPr>
            </w:pPr>
          </w:p>
        </w:tc>
        <w:tc>
          <w:tcPr>
            <w:tcW w:w="5260" w:type="dxa"/>
            <w:vAlign w:val="bottom"/>
            <w:tcBorders>
              <w:lef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400" w:type="dxa"/>
            <w:vAlign w:val="bottom"/>
            <w:gridSpan w:val="2"/>
            <w:vMerge w:val="restart"/>
          </w:tcPr>
          <w:p>
            <w:pPr>
              <w:ind w:left="500"/>
              <w:spacing w:after="0"/>
              <w:rPr>
                <w:sz w:val="20"/>
                <w:szCs w:val="20"/>
                <w:color w:val="auto"/>
              </w:rPr>
            </w:pPr>
            <w:r>
              <w:rPr>
                <w:rFonts w:ascii="Arial" w:cs="Arial" w:eastAsia="Arial" w:hAnsi="Arial"/>
                <w:sz w:val="20"/>
                <w:szCs w:val="20"/>
                <w:color w:val="auto"/>
                <w:w w:val="87"/>
              </w:rPr>
              <w:t>18,950,000</w:t>
            </w:r>
          </w:p>
        </w:tc>
        <w:tc>
          <w:tcPr>
            <w:tcW w:w="5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5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60"/>
        </w:trPr>
        <w:tc>
          <w:tcPr>
            <w:tcW w:w="13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jc w:val="right"/>
              <w:ind w:right="274"/>
              <w:spacing w:after="0"/>
              <w:rPr>
                <w:sz w:val="20"/>
                <w:szCs w:val="20"/>
                <w:color w:val="auto"/>
              </w:rPr>
            </w:pPr>
            <w:r>
              <w:rPr>
                <w:rFonts w:ascii="Arial" w:cs="Arial" w:eastAsia="Arial" w:hAnsi="Arial"/>
                <w:sz w:val="20"/>
                <w:szCs w:val="20"/>
                <w:color w:val="auto"/>
              </w:rPr>
              <w:t>8.1%</w:t>
            </w:r>
          </w:p>
        </w:tc>
        <w:tc>
          <w:tcPr>
            <w:tcW w:w="1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400" w:type="dxa"/>
            <w:vAlign w:val="bottom"/>
            <w:gridSpan w:val="2"/>
            <w:vMerge w:val="restart"/>
          </w:tcPr>
          <w:p>
            <w:pPr>
              <w:ind w:left="500"/>
              <w:spacing w:after="0"/>
              <w:rPr>
                <w:sz w:val="20"/>
                <w:szCs w:val="20"/>
                <w:color w:val="auto"/>
              </w:rPr>
            </w:pPr>
            <w:r>
              <w:rPr>
                <w:rFonts w:ascii="Arial" w:cs="Arial" w:eastAsia="Arial" w:hAnsi="Arial"/>
                <w:sz w:val="20"/>
                <w:szCs w:val="20"/>
                <w:color w:val="auto"/>
              </w:rPr>
              <w:t>PN</w:t>
            </w:r>
          </w:p>
        </w:tc>
        <w:tc>
          <w:tcPr>
            <w:tcW w:w="5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5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73" w:hanging="273"/>
        <w:spacing w:after="0" w:line="262" w:lineRule="exact"/>
        <w:tabs>
          <w:tab w:leader="none" w:pos="273" w:val="left"/>
        </w:tabs>
        <w:numPr>
          <w:ilvl w:val="0"/>
          <w:numId w:val="5"/>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23" w:lineRule="exact"/>
        <w:rPr>
          <w:rFonts w:ascii="Arial" w:cs="Arial" w:eastAsia="Arial" w:hAnsi="Arial"/>
          <w:sz w:val="18"/>
          <w:szCs w:val="18"/>
          <w:color w:val="auto"/>
        </w:rPr>
      </w:pPr>
    </w:p>
    <w:p>
      <w:pPr>
        <w:ind w:left="273" w:hanging="273"/>
        <w:spacing w:after="0" w:line="209" w:lineRule="auto"/>
        <w:tabs>
          <w:tab w:leader="none" w:pos="273" w:val="left"/>
        </w:tabs>
        <w:numPr>
          <w:ilvl w:val="0"/>
          <w:numId w:val="5"/>
        </w:numPr>
        <w:rPr>
          <w:rFonts w:ascii="Arial" w:cs="Arial" w:eastAsia="Arial" w:hAnsi="Arial"/>
          <w:sz w:val="20"/>
          <w:szCs w:val="20"/>
          <w:color w:val="auto"/>
        </w:rPr>
      </w:pPr>
      <w:r>
        <w:rPr>
          <w:rFonts w:ascii="Arial" w:cs="Arial" w:eastAsia="Arial" w:hAnsi="Arial"/>
          <w:sz w:val="29"/>
          <w:szCs w:val="29"/>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2" w:name="page3"/>
    <w:bookmarkEnd w:id="2"/>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23256X100</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3 of 7 Pages</w:t>
      </w:r>
    </w:p>
    <w:p>
      <w:pPr>
        <w:sectPr>
          <w:pgSz w:w="11900" w:h="16838" w:orient="portrait"/>
          <w:cols w:equalWidth="0" w:num="1">
            <w:col w:w="11240"/>
          </w:cols>
          <w:pgMar w:left="320" w:top="229" w:right="339" w:bottom="1440" w:gutter="0" w:footer="0" w:header="0"/>
        </w:sectPr>
      </w:pPr>
    </w:p>
    <w:p>
      <w:pPr>
        <w:spacing w:after="0" w:line="191" w:lineRule="exact"/>
        <w:rPr>
          <w:sz w:val="20"/>
          <w:szCs w:val="20"/>
          <w:color w:val="auto"/>
        </w:rPr>
      </w:pPr>
    </w:p>
    <w:p>
      <w:pPr>
        <w:ind w:left="1700" w:hanging="967"/>
        <w:spacing w:after="0"/>
        <w:tabs>
          <w:tab w:leader="none" w:pos="1700" w:val="left"/>
        </w:tabs>
        <w:numPr>
          <w:ilvl w:val="0"/>
          <w:numId w:val="6"/>
        </w:numPr>
        <w:rPr>
          <w:rFonts w:ascii="Arial" w:cs="Arial" w:eastAsia="Arial" w:hAnsi="Arial"/>
          <w:sz w:val="58"/>
          <w:szCs w:val="58"/>
          <w:b w:val="1"/>
          <w:bCs w:val="1"/>
          <w:color w:val="auto"/>
          <w:vertAlign w:val="subscript"/>
        </w:rPr>
      </w:pP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47917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791710"/>
                    </a:xfrm>
                    <a:prstGeom prst="rect">
                      <a:avLst/>
                    </a:prstGeom>
                    <a:noFill/>
                  </pic:spPr>
                </pic:pic>
              </a:graphicData>
            </a:graphic>
          </wp:anchor>
        </w:drawing>
      </w:r>
    </w:p>
    <w:p>
      <w:pPr>
        <w:spacing w:after="0" w:line="226" w:lineRule="exact"/>
        <w:rPr>
          <w:sz w:val="20"/>
          <w:szCs w:val="20"/>
          <w:color w:val="auto"/>
        </w:rPr>
      </w:pPr>
    </w:p>
    <w:p>
      <w:pPr>
        <w:ind w:left="2020"/>
        <w:spacing w:after="0"/>
        <w:rPr>
          <w:sz w:val="20"/>
          <w:szCs w:val="20"/>
          <w:color w:val="auto"/>
        </w:rPr>
      </w:pPr>
      <w:r>
        <w:rPr>
          <w:rFonts w:ascii="Arial" w:cs="Arial" w:eastAsia="Arial" w:hAnsi="Arial"/>
          <w:sz w:val="20"/>
          <w:szCs w:val="20"/>
          <w:color w:val="auto"/>
        </w:rPr>
        <w:t>Point72 Capital Advisors, Inc.</w:t>
      </w:r>
    </w:p>
    <w:p>
      <w:pPr>
        <w:ind w:left="1700" w:hanging="967"/>
        <w:spacing w:after="0" w:line="180" w:lineRule="auto"/>
        <w:tabs>
          <w:tab w:leader="none" w:pos="1700" w:val="left"/>
        </w:tabs>
        <w:numPr>
          <w:ilvl w:val="0"/>
          <w:numId w:val="7"/>
        </w:numPr>
        <w:rPr>
          <w:rFonts w:ascii="Arial" w:cs="Arial" w:eastAsia="Arial" w:hAnsi="Arial"/>
          <w:sz w:val="45"/>
          <w:szCs w:val="45"/>
          <w:b w:val="1"/>
          <w:bCs w:val="1"/>
          <w:color w:val="auto"/>
          <w:vertAlign w:val="subscript"/>
        </w:rPr>
      </w:pPr>
      <w:r>
        <w:rPr>
          <w:rFonts w:ascii="Arial" w:cs="Arial" w:eastAsia="Arial" w:hAnsi="Arial"/>
          <w:sz w:val="15"/>
          <w:szCs w:val="15"/>
          <w:color w:val="auto"/>
        </w:rPr>
        <w:t>CHECK THE APPROPRIATE BOX IF A MEMBER OF A GROUP</w:t>
      </w:r>
    </w:p>
    <w:p>
      <w:pPr>
        <w:spacing w:after="0" w:line="89" w:lineRule="exact"/>
        <w:rPr>
          <w:sz w:val="20"/>
          <w:szCs w:val="20"/>
          <w:color w:val="auto"/>
        </w:rPr>
      </w:pPr>
    </w:p>
    <w:p>
      <w:pPr>
        <w:ind w:left="1700" w:hanging="967"/>
        <w:spacing w:after="0"/>
        <w:tabs>
          <w:tab w:leader="none" w:pos="1700" w:val="left"/>
        </w:tabs>
        <w:numPr>
          <w:ilvl w:val="0"/>
          <w:numId w:val="8"/>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4</w:t>
            </w:r>
          </w:p>
        </w:tc>
        <w:tc>
          <w:tcPr>
            <w:tcW w:w="652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380" w:type="dxa"/>
            <w:vAlign w:val="bottom"/>
            <w:gridSpan w:val="2"/>
            <w:vMerge w:val="restart"/>
          </w:tcPr>
          <w:p>
            <w:pPr>
              <w:ind w:left="480"/>
              <w:spacing w:after="0"/>
              <w:rPr>
                <w:sz w:val="20"/>
                <w:szCs w:val="20"/>
                <w:color w:val="auto"/>
              </w:rPr>
            </w:pPr>
            <w:r>
              <w:rPr>
                <w:rFonts w:ascii="Arial" w:cs="Arial" w:eastAsia="Arial" w:hAnsi="Arial"/>
                <w:sz w:val="20"/>
                <w:szCs w:val="20"/>
                <w:color w:val="auto"/>
              </w:rPr>
              <w:t>Delaware</w:t>
            </w:r>
          </w:p>
        </w:tc>
        <w:tc>
          <w:tcPr>
            <w:tcW w:w="5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5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5</w:t>
            </w:r>
          </w:p>
        </w:tc>
        <w:tc>
          <w:tcPr>
            <w:tcW w:w="100" w:type="dxa"/>
            <w:vAlign w:val="bottom"/>
          </w:tcPr>
          <w:p>
            <w:pPr>
              <w:spacing w:after="0"/>
              <w:rPr>
                <w:sz w:val="9"/>
                <w:szCs w:val="9"/>
                <w:color w:val="auto"/>
              </w:rPr>
            </w:pPr>
          </w:p>
        </w:tc>
        <w:tc>
          <w:tcPr>
            <w:tcW w:w="5140" w:type="dxa"/>
            <w:vAlign w:val="bottom"/>
            <w:vMerge w:val="restart"/>
          </w:tcPr>
          <w:p>
            <w:pPr>
              <w:ind w:left="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100" w:type="dxa"/>
            <w:vAlign w:val="bottom"/>
            <w:tcBorders>
              <w:left w:val="single" w:sz="8" w:color="auto"/>
            </w:tcBorders>
          </w:tcPr>
          <w:p>
            <w:pPr>
              <w:spacing w:after="0"/>
              <w:rPr>
                <w:sz w:val="22"/>
                <w:szCs w:val="22"/>
                <w:color w:val="auto"/>
              </w:rPr>
            </w:pPr>
          </w:p>
        </w:tc>
        <w:tc>
          <w:tcPr>
            <w:tcW w:w="5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514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Borders>
              <w:left w:val="single" w:sz="8" w:color="auto"/>
            </w:tcBorders>
          </w:tcPr>
          <w:p>
            <w:pPr>
              <w:spacing w:after="0"/>
              <w:rPr>
                <w:sz w:val="6"/>
                <w:szCs w:val="6"/>
                <w:color w:val="auto"/>
              </w:rPr>
            </w:pPr>
          </w:p>
        </w:tc>
        <w:tc>
          <w:tcPr>
            <w:tcW w:w="5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6</w:t>
            </w:r>
          </w:p>
        </w:tc>
        <w:tc>
          <w:tcPr>
            <w:tcW w:w="100" w:type="dxa"/>
            <w:vAlign w:val="bottom"/>
            <w:tcBorders>
              <w:left w:val="single" w:sz="8" w:color="auto"/>
            </w:tcBorders>
          </w:tcPr>
          <w:p>
            <w:pPr>
              <w:spacing w:after="0"/>
              <w:rPr>
                <w:sz w:val="19"/>
                <w:szCs w:val="19"/>
                <w:color w:val="auto"/>
              </w:rPr>
            </w:pPr>
          </w:p>
        </w:tc>
        <w:tc>
          <w:tcPr>
            <w:tcW w:w="5140" w:type="dxa"/>
            <w:vAlign w:val="bottom"/>
            <w:vMerge w:val="restart"/>
          </w:tcPr>
          <w:p>
            <w:pPr>
              <w:ind w:left="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53"/>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100" w:type="dxa"/>
            <w:vAlign w:val="bottom"/>
            <w:tcBorders>
              <w:left w:val="single" w:sz="8" w:color="auto"/>
            </w:tcBorders>
          </w:tcPr>
          <w:p>
            <w:pPr>
              <w:spacing w:after="0"/>
              <w:rPr>
                <w:sz w:val="11"/>
                <w:szCs w:val="11"/>
                <w:color w:val="auto"/>
              </w:rPr>
            </w:pPr>
          </w:p>
        </w:tc>
        <w:tc>
          <w:tcPr>
            <w:tcW w:w="5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00" w:type="dxa"/>
            <w:vAlign w:val="bottom"/>
            <w:tcBorders>
              <w:left w:val="single" w:sz="8" w:color="auto"/>
            </w:tcBorders>
          </w:tcPr>
          <w:p>
            <w:pPr>
              <w:spacing w:after="0"/>
              <w:rPr>
                <w:sz w:val="6"/>
                <w:szCs w:val="6"/>
                <w:color w:val="auto"/>
              </w:rPr>
            </w:pPr>
          </w:p>
        </w:tc>
        <w:tc>
          <w:tcPr>
            <w:tcW w:w="5140" w:type="dxa"/>
            <w:vAlign w:val="bottom"/>
            <w:vMerge w:val="restart"/>
          </w:tcPr>
          <w:p>
            <w:pPr>
              <w:ind w:left="340"/>
              <w:spacing w:after="0"/>
              <w:rPr>
                <w:sz w:val="20"/>
                <w:szCs w:val="20"/>
                <w:color w:val="auto"/>
              </w:rPr>
            </w:pPr>
            <w:r>
              <w:rPr>
                <w:rFonts w:ascii="Arial" w:cs="Arial" w:eastAsia="Arial" w:hAnsi="Arial"/>
                <w:sz w:val="20"/>
                <w:szCs w:val="20"/>
                <w:color w:val="auto"/>
              </w:rPr>
              <w:t>18,950,000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100" w:type="dxa"/>
            <w:vAlign w:val="bottom"/>
            <w:tcBorders>
              <w:left w:val="single" w:sz="8" w:color="auto"/>
            </w:tcBorders>
          </w:tcPr>
          <w:p>
            <w:pPr>
              <w:spacing w:after="0"/>
              <w:rPr>
                <w:sz w:val="17"/>
                <w:szCs w:val="17"/>
                <w:color w:val="auto"/>
              </w:rPr>
            </w:pPr>
          </w:p>
        </w:tc>
        <w:tc>
          <w:tcPr>
            <w:tcW w:w="5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7</w:t>
            </w:r>
          </w:p>
        </w:tc>
        <w:tc>
          <w:tcPr>
            <w:tcW w:w="100" w:type="dxa"/>
            <w:vAlign w:val="bottom"/>
            <w:tcBorders>
              <w:left w:val="single" w:sz="8" w:color="auto"/>
            </w:tcBorders>
          </w:tcPr>
          <w:p>
            <w:pPr>
              <w:spacing w:after="0"/>
              <w:rPr>
                <w:sz w:val="17"/>
                <w:szCs w:val="17"/>
                <w:color w:val="auto"/>
              </w:rPr>
            </w:pPr>
          </w:p>
        </w:tc>
        <w:tc>
          <w:tcPr>
            <w:tcW w:w="5140" w:type="dxa"/>
            <w:vAlign w:val="bottom"/>
            <w:vMerge w:val="restart"/>
          </w:tcPr>
          <w:p>
            <w:pPr>
              <w:ind w:left="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100" w:type="dxa"/>
            <w:vAlign w:val="bottom"/>
            <w:tcBorders>
              <w:left w:val="single" w:sz="8" w:color="auto"/>
            </w:tcBorders>
          </w:tcPr>
          <w:p>
            <w:pPr>
              <w:spacing w:after="0"/>
              <w:rPr>
                <w:sz w:val="11"/>
                <w:szCs w:val="11"/>
                <w:color w:val="auto"/>
              </w:rPr>
            </w:pPr>
          </w:p>
        </w:tc>
        <w:tc>
          <w:tcPr>
            <w:tcW w:w="5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00" w:type="dxa"/>
            <w:vAlign w:val="bottom"/>
            <w:tcBorders>
              <w:left w:val="single" w:sz="8" w:color="auto"/>
            </w:tcBorders>
          </w:tcPr>
          <w:p>
            <w:pPr>
              <w:spacing w:after="0"/>
              <w:rPr>
                <w:sz w:val="6"/>
                <w:szCs w:val="6"/>
                <w:color w:val="auto"/>
              </w:rPr>
            </w:pPr>
          </w:p>
        </w:tc>
        <w:tc>
          <w:tcPr>
            <w:tcW w:w="514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100" w:type="dxa"/>
            <w:vAlign w:val="bottom"/>
            <w:tcBorders>
              <w:left w:val="single" w:sz="8" w:color="auto"/>
            </w:tcBorders>
          </w:tcPr>
          <w:p>
            <w:pPr>
              <w:spacing w:after="0"/>
              <w:rPr>
                <w:sz w:val="17"/>
                <w:szCs w:val="17"/>
                <w:color w:val="auto"/>
              </w:rPr>
            </w:pPr>
          </w:p>
        </w:tc>
        <w:tc>
          <w:tcPr>
            <w:tcW w:w="5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8</w:t>
            </w:r>
          </w:p>
        </w:tc>
        <w:tc>
          <w:tcPr>
            <w:tcW w:w="100" w:type="dxa"/>
            <w:vAlign w:val="bottom"/>
            <w:tcBorders>
              <w:left w:val="single" w:sz="8" w:color="auto"/>
            </w:tcBorders>
          </w:tcPr>
          <w:p>
            <w:pPr>
              <w:spacing w:after="0"/>
              <w:rPr>
                <w:sz w:val="17"/>
                <w:szCs w:val="17"/>
                <w:color w:val="auto"/>
              </w:rPr>
            </w:pPr>
          </w:p>
        </w:tc>
        <w:tc>
          <w:tcPr>
            <w:tcW w:w="5140" w:type="dxa"/>
            <w:vAlign w:val="bottom"/>
            <w:vMerge w:val="restart"/>
          </w:tcPr>
          <w:p>
            <w:pPr>
              <w:ind w:left="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00" w:type="dxa"/>
            <w:vAlign w:val="bottom"/>
            <w:tcBorders>
              <w:left w:val="single" w:sz="8" w:color="auto"/>
            </w:tcBorders>
          </w:tcPr>
          <w:p>
            <w:pPr>
              <w:spacing w:after="0"/>
              <w:rPr>
                <w:sz w:val="10"/>
                <w:szCs w:val="10"/>
                <w:color w:val="auto"/>
              </w:rPr>
            </w:pPr>
          </w:p>
        </w:tc>
        <w:tc>
          <w:tcPr>
            <w:tcW w:w="5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5140" w:type="dxa"/>
            <w:vAlign w:val="bottom"/>
            <w:vMerge w:val="restart"/>
          </w:tcPr>
          <w:p>
            <w:pPr>
              <w:ind w:left="340"/>
              <w:spacing w:after="0"/>
              <w:rPr>
                <w:sz w:val="20"/>
                <w:szCs w:val="20"/>
                <w:color w:val="auto"/>
              </w:rPr>
            </w:pPr>
            <w:r>
              <w:rPr>
                <w:rFonts w:ascii="Arial" w:cs="Arial" w:eastAsia="Arial" w:hAnsi="Arial"/>
                <w:sz w:val="20"/>
                <w:szCs w:val="20"/>
                <w:color w:val="auto"/>
              </w:rPr>
              <w:t>18,950,000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Borders>
              <w:left w:val="single" w:sz="8" w:color="auto"/>
            </w:tcBorders>
          </w:tcPr>
          <w:p>
            <w:pPr>
              <w:spacing w:after="0"/>
              <w:rPr>
                <w:sz w:val="6"/>
                <w:szCs w:val="6"/>
                <w:color w:val="auto"/>
              </w:rPr>
            </w:pPr>
          </w:p>
        </w:tc>
        <w:tc>
          <w:tcPr>
            <w:tcW w:w="5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9</w:t>
            </w:r>
          </w:p>
        </w:tc>
        <w:tc>
          <w:tcPr>
            <w:tcW w:w="1280" w:type="dxa"/>
            <w:vAlign w:val="bottom"/>
          </w:tcPr>
          <w:p>
            <w:pPr>
              <w:spacing w:after="0"/>
              <w:rPr>
                <w:sz w:val="10"/>
                <w:szCs w:val="10"/>
                <w:color w:val="auto"/>
              </w:rPr>
            </w:pPr>
          </w:p>
        </w:tc>
        <w:tc>
          <w:tcPr>
            <w:tcW w:w="5240" w:type="dxa"/>
            <w:vAlign w:val="bottom"/>
            <w:tcBorders>
              <w:lef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00" w:type="dxa"/>
            <w:vAlign w:val="bottom"/>
            <w:vMerge w:val="continue"/>
          </w:tcPr>
          <w:p>
            <w:pPr>
              <w:spacing w:after="0"/>
              <w:rPr>
                <w:sz w:val="20"/>
                <w:szCs w:val="20"/>
                <w:color w:val="auto"/>
              </w:rPr>
            </w:pPr>
          </w:p>
        </w:tc>
        <w:tc>
          <w:tcPr>
            <w:tcW w:w="652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380" w:type="dxa"/>
            <w:vAlign w:val="bottom"/>
            <w:gridSpan w:val="2"/>
            <w:vMerge w:val="restart"/>
          </w:tcPr>
          <w:p>
            <w:pPr>
              <w:ind w:left="480"/>
              <w:spacing w:after="0"/>
              <w:rPr>
                <w:sz w:val="20"/>
                <w:szCs w:val="20"/>
                <w:color w:val="auto"/>
              </w:rPr>
            </w:pPr>
            <w:r>
              <w:rPr>
                <w:rFonts w:ascii="Arial" w:cs="Arial" w:eastAsia="Arial" w:hAnsi="Arial"/>
                <w:sz w:val="20"/>
                <w:szCs w:val="20"/>
                <w:color w:val="auto"/>
                <w:w w:val="87"/>
              </w:rPr>
              <w:t>18,950,000</w:t>
            </w:r>
          </w:p>
        </w:tc>
        <w:tc>
          <w:tcPr>
            <w:tcW w:w="5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5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20" w:type="dxa"/>
            <w:vAlign w:val="bottom"/>
            <w:gridSpan w:val="3"/>
          </w:tcPr>
          <w:p>
            <w:pPr>
              <w:ind w:left="16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60"/>
        </w:trPr>
        <w:tc>
          <w:tcPr>
            <w:tcW w:w="13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2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480"/>
              <w:spacing w:after="0"/>
              <w:rPr>
                <w:sz w:val="20"/>
                <w:szCs w:val="20"/>
                <w:color w:val="auto"/>
              </w:rPr>
            </w:pPr>
            <w:r>
              <w:rPr>
                <w:rFonts w:ascii="Arial" w:cs="Arial" w:eastAsia="Arial" w:hAnsi="Arial"/>
                <w:sz w:val="20"/>
                <w:szCs w:val="20"/>
                <w:color w:val="auto"/>
              </w:rPr>
              <w:t>8.1%</w:t>
            </w:r>
          </w:p>
        </w:tc>
        <w:tc>
          <w:tcPr>
            <w:tcW w:w="10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2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380" w:type="dxa"/>
            <w:vAlign w:val="bottom"/>
            <w:gridSpan w:val="2"/>
            <w:vMerge w:val="restart"/>
          </w:tcPr>
          <w:p>
            <w:pPr>
              <w:ind w:left="480"/>
              <w:spacing w:after="0"/>
              <w:rPr>
                <w:sz w:val="20"/>
                <w:szCs w:val="20"/>
                <w:color w:val="auto"/>
              </w:rPr>
            </w:pPr>
            <w:r>
              <w:rPr>
                <w:rFonts w:ascii="Arial" w:cs="Arial" w:eastAsia="Arial" w:hAnsi="Arial"/>
                <w:sz w:val="20"/>
                <w:szCs w:val="20"/>
                <w:color w:val="auto"/>
              </w:rPr>
              <w:t>CO</w:t>
            </w:r>
          </w:p>
        </w:tc>
        <w:tc>
          <w:tcPr>
            <w:tcW w:w="5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5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63" w:hanging="263"/>
        <w:spacing w:after="0" w:line="262" w:lineRule="exact"/>
        <w:tabs>
          <w:tab w:leader="none" w:pos="263" w:val="left"/>
        </w:tabs>
        <w:numPr>
          <w:ilvl w:val="0"/>
          <w:numId w:val="9"/>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23" w:lineRule="exact"/>
        <w:rPr>
          <w:rFonts w:ascii="Arial" w:cs="Arial" w:eastAsia="Arial" w:hAnsi="Arial"/>
          <w:sz w:val="18"/>
          <w:szCs w:val="18"/>
          <w:color w:val="auto"/>
        </w:rPr>
      </w:pPr>
    </w:p>
    <w:p>
      <w:pPr>
        <w:ind w:left="283" w:hanging="283"/>
        <w:spacing w:after="0" w:line="209" w:lineRule="auto"/>
        <w:tabs>
          <w:tab w:leader="none" w:pos="283" w:val="left"/>
        </w:tabs>
        <w:numPr>
          <w:ilvl w:val="0"/>
          <w:numId w:val="9"/>
        </w:numPr>
        <w:rPr>
          <w:rFonts w:ascii="Arial" w:cs="Arial" w:eastAsia="Arial" w:hAnsi="Arial"/>
          <w:sz w:val="20"/>
          <w:szCs w:val="20"/>
          <w:color w:val="auto"/>
        </w:rPr>
      </w:pPr>
      <w:r>
        <w:rPr>
          <w:rFonts w:ascii="Arial" w:cs="Arial" w:eastAsia="Arial" w:hAnsi="Arial"/>
          <w:sz w:val="29"/>
          <w:szCs w:val="29"/>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497" w:space="720"/>
            <w:col w:w="1023"/>
          </w:cols>
          <w:pgMar w:left="320" w:top="229" w:right="339" w:bottom="1440" w:gutter="0" w:footer="0" w:header="0"/>
          <w:type w:val="continuous"/>
        </w:sectPr>
      </w:pPr>
    </w:p>
    <w:bookmarkStart w:id="3" w:name="page4"/>
    <w:bookmarkEnd w:id="3"/>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23256X100</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4 of 7 Pages</w:t>
      </w:r>
    </w:p>
    <w:p>
      <w:pPr>
        <w:sectPr>
          <w:pgSz w:w="11900" w:h="16838" w:orient="portrait"/>
          <w:cols w:equalWidth="0" w:num="1">
            <w:col w:w="11240"/>
          </w:cols>
          <w:pgMar w:left="320" w:top="229" w:right="339" w:bottom="1440" w:gutter="0" w:footer="0" w:header="0"/>
        </w:sectPr>
      </w:pPr>
    </w:p>
    <w:p>
      <w:pPr>
        <w:spacing w:after="0" w:line="191" w:lineRule="exact"/>
        <w:rPr>
          <w:sz w:val="20"/>
          <w:szCs w:val="20"/>
          <w:color w:val="auto"/>
        </w:rPr>
      </w:pPr>
    </w:p>
    <w:p>
      <w:pPr>
        <w:ind w:left="1700" w:hanging="967"/>
        <w:spacing w:after="0"/>
        <w:tabs>
          <w:tab w:leader="none" w:pos="1700" w:val="left"/>
        </w:tabs>
        <w:numPr>
          <w:ilvl w:val="0"/>
          <w:numId w:val="10"/>
        </w:numPr>
        <w:rPr>
          <w:rFonts w:ascii="Arial" w:cs="Arial" w:eastAsia="Arial" w:hAnsi="Arial"/>
          <w:sz w:val="58"/>
          <w:szCs w:val="58"/>
          <w:b w:val="1"/>
          <w:bCs w:val="1"/>
          <w:color w:val="auto"/>
          <w:vertAlign w:val="subscript"/>
        </w:rPr>
      </w:pP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47917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791710"/>
                    </a:xfrm>
                    <a:prstGeom prst="rect">
                      <a:avLst/>
                    </a:prstGeom>
                    <a:noFill/>
                  </pic:spPr>
                </pic:pic>
              </a:graphicData>
            </a:graphic>
          </wp:anchor>
        </w:drawing>
      </w:r>
    </w:p>
    <w:p>
      <w:pPr>
        <w:spacing w:after="0" w:line="226"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Steven A. Cohen</w:t>
      </w:r>
    </w:p>
    <w:p>
      <w:pPr>
        <w:ind w:left="1700" w:hanging="967"/>
        <w:spacing w:after="0" w:line="180" w:lineRule="auto"/>
        <w:tabs>
          <w:tab w:leader="none" w:pos="1700" w:val="left"/>
        </w:tabs>
        <w:numPr>
          <w:ilvl w:val="0"/>
          <w:numId w:val="11"/>
        </w:numPr>
        <w:rPr>
          <w:rFonts w:ascii="Arial" w:cs="Arial" w:eastAsia="Arial" w:hAnsi="Arial"/>
          <w:sz w:val="45"/>
          <w:szCs w:val="45"/>
          <w:b w:val="1"/>
          <w:bCs w:val="1"/>
          <w:color w:val="auto"/>
          <w:vertAlign w:val="subscript"/>
        </w:rPr>
      </w:pPr>
      <w:r>
        <w:rPr>
          <w:rFonts w:ascii="Arial" w:cs="Arial" w:eastAsia="Arial" w:hAnsi="Arial"/>
          <w:sz w:val="15"/>
          <w:szCs w:val="15"/>
          <w:color w:val="auto"/>
        </w:rPr>
        <w:t>CHECK THE APPROPRIATE BOX IF A MEMBER OF A GROUP</w:t>
      </w:r>
    </w:p>
    <w:p>
      <w:pPr>
        <w:spacing w:after="0" w:line="89" w:lineRule="exact"/>
        <w:rPr>
          <w:sz w:val="20"/>
          <w:szCs w:val="20"/>
          <w:color w:val="auto"/>
        </w:rPr>
      </w:pPr>
    </w:p>
    <w:p>
      <w:pPr>
        <w:ind w:left="1700" w:hanging="967"/>
        <w:spacing w:after="0"/>
        <w:tabs>
          <w:tab w:leader="none" w:pos="1700" w:val="left"/>
        </w:tabs>
        <w:numPr>
          <w:ilvl w:val="0"/>
          <w:numId w:val="12"/>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4</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6540" w:type="dxa"/>
            <w:vAlign w:val="bottom"/>
            <w:gridSpan w:val="3"/>
            <w:vMerge w:val="restart"/>
          </w:tcPr>
          <w:p>
            <w:pPr>
              <w:ind w:left="500"/>
              <w:spacing w:after="0"/>
              <w:rPr>
                <w:sz w:val="20"/>
                <w:szCs w:val="20"/>
                <w:color w:val="auto"/>
              </w:rPr>
            </w:pPr>
            <w:r>
              <w:rPr>
                <w:rFonts w:ascii="Arial" w:cs="Arial" w:eastAsia="Arial" w:hAnsi="Arial"/>
                <w:sz w:val="20"/>
                <w:szCs w:val="20"/>
                <w:color w:val="auto"/>
              </w:rPr>
              <w:t>United States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5</w:t>
            </w:r>
          </w:p>
        </w:tc>
        <w:tc>
          <w:tcPr>
            <w:tcW w:w="120" w:type="dxa"/>
            <w:vAlign w:val="bottom"/>
          </w:tcPr>
          <w:p>
            <w:pPr>
              <w:spacing w:after="0"/>
              <w:rPr>
                <w:sz w:val="9"/>
                <w:szCs w:val="9"/>
                <w:color w:val="auto"/>
              </w:rPr>
            </w:pPr>
          </w:p>
        </w:tc>
        <w:tc>
          <w:tcPr>
            <w:tcW w:w="5140" w:type="dxa"/>
            <w:vAlign w:val="bottom"/>
            <w:vMerge w:val="restart"/>
          </w:tcPr>
          <w:p>
            <w:pPr>
              <w:ind w:left="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120" w:type="dxa"/>
            <w:vAlign w:val="bottom"/>
            <w:tcBorders>
              <w:left w:val="single" w:sz="8" w:color="auto"/>
            </w:tcBorders>
          </w:tcPr>
          <w:p>
            <w:pPr>
              <w:spacing w:after="0"/>
              <w:rPr>
                <w:sz w:val="22"/>
                <w:szCs w:val="22"/>
                <w:color w:val="auto"/>
              </w:rPr>
            </w:pPr>
          </w:p>
        </w:tc>
        <w:tc>
          <w:tcPr>
            <w:tcW w:w="5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20" w:type="dxa"/>
            <w:vAlign w:val="bottom"/>
            <w:tcBorders>
              <w:left w:val="single" w:sz="8" w:color="auto"/>
            </w:tcBorders>
          </w:tcPr>
          <w:p>
            <w:pPr>
              <w:spacing w:after="0"/>
              <w:rPr>
                <w:sz w:val="14"/>
                <w:szCs w:val="14"/>
                <w:color w:val="auto"/>
              </w:rPr>
            </w:pPr>
          </w:p>
        </w:tc>
        <w:tc>
          <w:tcPr>
            <w:tcW w:w="514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6</w:t>
            </w:r>
          </w:p>
        </w:tc>
        <w:tc>
          <w:tcPr>
            <w:tcW w:w="120" w:type="dxa"/>
            <w:vAlign w:val="bottom"/>
            <w:tcBorders>
              <w:left w:val="single" w:sz="8" w:color="auto"/>
            </w:tcBorders>
          </w:tcPr>
          <w:p>
            <w:pPr>
              <w:spacing w:after="0"/>
              <w:rPr>
                <w:sz w:val="19"/>
                <w:szCs w:val="19"/>
                <w:color w:val="auto"/>
              </w:rPr>
            </w:pPr>
          </w:p>
        </w:tc>
        <w:tc>
          <w:tcPr>
            <w:tcW w:w="5140" w:type="dxa"/>
            <w:vAlign w:val="bottom"/>
            <w:vMerge w:val="restart"/>
          </w:tcPr>
          <w:p>
            <w:pPr>
              <w:ind w:left="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53"/>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5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140" w:type="dxa"/>
            <w:vAlign w:val="bottom"/>
            <w:vMerge w:val="restart"/>
          </w:tcPr>
          <w:p>
            <w:pPr>
              <w:ind w:left="340"/>
              <w:spacing w:after="0"/>
              <w:rPr>
                <w:sz w:val="20"/>
                <w:szCs w:val="20"/>
                <w:color w:val="auto"/>
              </w:rPr>
            </w:pPr>
            <w:r>
              <w:rPr>
                <w:rFonts w:ascii="Arial" w:cs="Arial" w:eastAsia="Arial" w:hAnsi="Arial"/>
                <w:sz w:val="20"/>
                <w:szCs w:val="20"/>
                <w:color w:val="auto"/>
              </w:rPr>
              <w:t>18,950,000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5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7</w:t>
            </w:r>
          </w:p>
        </w:tc>
        <w:tc>
          <w:tcPr>
            <w:tcW w:w="120" w:type="dxa"/>
            <w:vAlign w:val="bottom"/>
            <w:tcBorders>
              <w:left w:val="single" w:sz="8" w:color="auto"/>
            </w:tcBorders>
          </w:tcPr>
          <w:p>
            <w:pPr>
              <w:spacing w:after="0"/>
              <w:rPr>
                <w:sz w:val="17"/>
                <w:szCs w:val="17"/>
                <w:color w:val="auto"/>
              </w:rPr>
            </w:pPr>
          </w:p>
        </w:tc>
        <w:tc>
          <w:tcPr>
            <w:tcW w:w="5140" w:type="dxa"/>
            <w:vAlign w:val="bottom"/>
            <w:vMerge w:val="restart"/>
          </w:tcPr>
          <w:p>
            <w:pPr>
              <w:ind w:left="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5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14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5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8</w:t>
            </w:r>
          </w:p>
        </w:tc>
        <w:tc>
          <w:tcPr>
            <w:tcW w:w="120" w:type="dxa"/>
            <w:vAlign w:val="bottom"/>
            <w:tcBorders>
              <w:left w:val="single" w:sz="8" w:color="auto"/>
            </w:tcBorders>
          </w:tcPr>
          <w:p>
            <w:pPr>
              <w:spacing w:after="0"/>
              <w:rPr>
                <w:sz w:val="17"/>
                <w:szCs w:val="17"/>
                <w:color w:val="auto"/>
              </w:rPr>
            </w:pPr>
          </w:p>
        </w:tc>
        <w:tc>
          <w:tcPr>
            <w:tcW w:w="5140" w:type="dxa"/>
            <w:vAlign w:val="bottom"/>
            <w:vMerge w:val="restart"/>
          </w:tcPr>
          <w:p>
            <w:pPr>
              <w:ind w:left="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5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20" w:type="dxa"/>
            <w:vAlign w:val="bottom"/>
            <w:tcBorders>
              <w:left w:val="single" w:sz="8" w:color="auto"/>
            </w:tcBorders>
          </w:tcPr>
          <w:p>
            <w:pPr>
              <w:spacing w:after="0"/>
              <w:rPr>
                <w:sz w:val="14"/>
                <w:szCs w:val="14"/>
                <w:color w:val="auto"/>
              </w:rPr>
            </w:pPr>
          </w:p>
        </w:tc>
        <w:tc>
          <w:tcPr>
            <w:tcW w:w="5140" w:type="dxa"/>
            <w:vAlign w:val="bottom"/>
            <w:vMerge w:val="restart"/>
          </w:tcPr>
          <w:p>
            <w:pPr>
              <w:ind w:left="340"/>
              <w:spacing w:after="0"/>
              <w:rPr>
                <w:sz w:val="20"/>
                <w:szCs w:val="20"/>
                <w:color w:val="auto"/>
              </w:rPr>
            </w:pPr>
            <w:r>
              <w:rPr>
                <w:rFonts w:ascii="Arial" w:cs="Arial" w:eastAsia="Arial" w:hAnsi="Arial"/>
                <w:sz w:val="20"/>
                <w:szCs w:val="20"/>
                <w:color w:val="auto"/>
              </w:rPr>
              <w:t>18,950,000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9</w:t>
            </w:r>
          </w:p>
        </w:tc>
        <w:tc>
          <w:tcPr>
            <w:tcW w:w="1280" w:type="dxa"/>
            <w:vAlign w:val="bottom"/>
          </w:tcPr>
          <w:p>
            <w:pPr>
              <w:spacing w:after="0"/>
              <w:rPr>
                <w:sz w:val="10"/>
                <w:szCs w:val="10"/>
                <w:color w:val="auto"/>
              </w:rPr>
            </w:pPr>
          </w:p>
        </w:tc>
        <w:tc>
          <w:tcPr>
            <w:tcW w:w="5260" w:type="dxa"/>
            <w:vAlign w:val="bottom"/>
            <w:tcBorders>
              <w:lef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400" w:type="dxa"/>
            <w:vAlign w:val="bottom"/>
            <w:gridSpan w:val="2"/>
            <w:vMerge w:val="restart"/>
          </w:tcPr>
          <w:p>
            <w:pPr>
              <w:ind w:left="500"/>
              <w:spacing w:after="0"/>
              <w:rPr>
                <w:sz w:val="20"/>
                <w:szCs w:val="20"/>
                <w:color w:val="auto"/>
              </w:rPr>
            </w:pPr>
            <w:r>
              <w:rPr>
                <w:rFonts w:ascii="Arial" w:cs="Arial" w:eastAsia="Arial" w:hAnsi="Arial"/>
                <w:sz w:val="20"/>
                <w:szCs w:val="20"/>
                <w:color w:val="auto"/>
                <w:w w:val="87"/>
              </w:rPr>
              <w:t>18,950,000</w:t>
            </w:r>
          </w:p>
        </w:tc>
        <w:tc>
          <w:tcPr>
            <w:tcW w:w="5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5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59"/>
        </w:trPr>
        <w:tc>
          <w:tcPr>
            <w:tcW w:w="13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jc w:val="right"/>
              <w:ind w:right="274"/>
              <w:spacing w:after="0"/>
              <w:rPr>
                <w:sz w:val="20"/>
                <w:szCs w:val="20"/>
                <w:color w:val="auto"/>
              </w:rPr>
            </w:pPr>
            <w:r>
              <w:rPr>
                <w:rFonts w:ascii="Arial" w:cs="Arial" w:eastAsia="Arial" w:hAnsi="Arial"/>
                <w:sz w:val="20"/>
                <w:szCs w:val="20"/>
                <w:color w:val="auto"/>
              </w:rPr>
              <w:t>8.1%</w:t>
            </w:r>
          </w:p>
        </w:tc>
        <w:tc>
          <w:tcPr>
            <w:tcW w:w="1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400" w:type="dxa"/>
            <w:vAlign w:val="bottom"/>
            <w:gridSpan w:val="2"/>
            <w:vMerge w:val="restart"/>
          </w:tcPr>
          <w:p>
            <w:pPr>
              <w:ind w:left="500"/>
              <w:spacing w:after="0"/>
              <w:rPr>
                <w:sz w:val="20"/>
                <w:szCs w:val="20"/>
                <w:color w:val="auto"/>
              </w:rPr>
            </w:pPr>
            <w:r>
              <w:rPr>
                <w:rFonts w:ascii="Arial" w:cs="Arial" w:eastAsia="Arial" w:hAnsi="Arial"/>
                <w:sz w:val="20"/>
                <w:szCs w:val="20"/>
                <w:color w:val="auto"/>
              </w:rPr>
              <w:t>IN</w:t>
            </w:r>
          </w:p>
        </w:tc>
        <w:tc>
          <w:tcPr>
            <w:tcW w:w="5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5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73" w:hanging="273"/>
        <w:spacing w:after="0" w:line="262" w:lineRule="exact"/>
        <w:tabs>
          <w:tab w:leader="none" w:pos="273" w:val="left"/>
        </w:tabs>
        <w:numPr>
          <w:ilvl w:val="0"/>
          <w:numId w:val="13"/>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23" w:lineRule="exact"/>
        <w:rPr>
          <w:rFonts w:ascii="Arial" w:cs="Arial" w:eastAsia="Arial" w:hAnsi="Arial"/>
          <w:sz w:val="18"/>
          <w:szCs w:val="18"/>
          <w:color w:val="auto"/>
        </w:rPr>
      </w:pPr>
    </w:p>
    <w:p>
      <w:pPr>
        <w:ind w:left="273" w:hanging="273"/>
        <w:spacing w:after="0" w:line="209" w:lineRule="auto"/>
        <w:tabs>
          <w:tab w:leader="none" w:pos="273" w:val="left"/>
        </w:tabs>
        <w:numPr>
          <w:ilvl w:val="0"/>
          <w:numId w:val="13"/>
        </w:numPr>
        <w:rPr>
          <w:rFonts w:ascii="Arial" w:cs="Arial" w:eastAsia="Arial" w:hAnsi="Arial"/>
          <w:sz w:val="20"/>
          <w:szCs w:val="20"/>
          <w:color w:val="auto"/>
        </w:rPr>
      </w:pPr>
      <w:r>
        <w:rPr>
          <w:rFonts w:ascii="Arial" w:cs="Arial" w:eastAsia="Arial" w:hAnsi="Arial"/>
          <w:sz w:val="29"/>
          <w:szCs w:val="29"/>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4" w:name="page5"/>
    <w:bookmarkEnd w:id="4"/>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23256X100</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5 of 7 Pages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320" w:type="dxa"/>
            <w:vAlign w:val="bottom"/>
          </w:tcPr>
          <w:p>
            <w:pPr>
              <w:spacing w:after="0"/>
              <w:rPr>
                <w:sz w:val="20"/>
                <w:szCs w:val="20"/>
                <w:color w:val="auto"/>
              </w:rPr>
            </w:pPr>
            <w:r>
              <w:rPr>
                <w:rFonts w:ascii="Arial" w:cs="Arial" w:eastAsia="Arial" w:hAnsi="Arial"/>
                <w:sz w:val="20"/>
                <w:szCs w:val="20"/>
                <w:b w:val="1"/>
                <w:bCs w:val="1"/>
                <w:color w:val="auto"/>
              </w:rPr>
              <w:t>Item 1(a).</w:t>
            </w:r>
          </w:p>
        </w:tc>
        <w:tc>
          <w:tcPr>
            <w:tcW w:w="9920" w:type="dxa"/>
            <w:vAlign w:val="bottom"/>
            <w:gridSpan w:val="13"/>
          </w:tcPr>
          <w:p>
            <w:pPr>
              <w:ind w:left="380"/>
              <w:spacing w:after="0"/>
              <w:rPr>
                <w:sz w:val="20"/>
                <w:szCs w:val="20"/>
                <w:color w:val="auto"/>
              </w:rPr>
            </w:pPr>
            <w:r>
              <w:rPr>
                <w:rFonts w:ascii="Arial" w:cs="Arial" w:eastAsia="Arial" w:hAnsi="Arial"/>
                <w:sz w:val="20"/>
                <w:szCs w:val="20"/>
                <w:b w:val="1"/>
                <w:bCs w:val="1"/>
                <w:color w:val="auto"/>
              </w:rPr>
              <w:t>Name of Issuer.</w:t>
            </w:r>
          </w:p>
        </w:tc>
      </w:tr>
      <w:tr>
        <w:trPr>
          <w:trHeight w:val="250"/>
        </w:trPr>
        <w:tc>
          <w:tcPr>
            <w:tcW w:w="1320" w:type="dxa"/>
            <w:vAlign w:val="bottom"/>
          </w:tcPr>
          <w:p>
            <w:pPr>
              <w:spacing w:after="0"/>
              <w:rPr>
                <w:sz w:val="21"/>
                <w:szCs w:val="21"/>
                <w:color w:val="auto"/>
              </w:rPr>
            </w:pPr>
          </w:p>
        </w:tc>
        <w:tc>
          <w:tcPr>
            <w:tcW w:w="9920" w:type="dxa"/>
            <w:vAlign w:val="bottom"/>
            <w:gridSpan w:val="13"/>
          </w:tcPr>
          <w:p>
            <w:pPr>
              <w:ind w:left="380"/>
              <w:spacing w:after="0"/>
              <w:rPr>
                <w:sz w:val="20"/>
                <w:szCs w:val="20"/>
                <w:color w:val="auto"/>
              </w:rPr>
            </w:pPr>
            <w:r>
              <w:rPr>
                <w:rFonts w:ascii="Arial" w:cs="Arial" w:eastAsia="Arial" w:hAnsi="Arial"/>
                <w:sz w:val="20"/>
                <w:szCs w:val="20"/>
                <w:color w:val="auto"/>
              </w:rPr>
              <w:t>Cybin Inc.</w:t>
            </w:r>
          </w:p>
        </w:tc>
      </w:tr>
      <w:tr>
        <w:trPr>
          <w:trHeight w:val="438"/>
        </w:trPr>
        <w:tc>
          <w:tcPr>
            <w:tcW w:w="1320" w:type="dxa"/>
            <w:vAlign w:val="bottom"/>
          </w:tcPr>
          <w:p>
            <w:pPr>
              <w:spacing w:after="0"/>
              <w:rPr>
                <w:sz w:val="20"/>
                <w:szCs w:val="20"/>
                <w:color w:val="auto"/>
              </w:rPr>
            </w:pPr>
            <w:r>
              <w:rPr>
                <w:rFonts w:ascii="Arial" w:cs="Arial" w:eastAsia="Arial" w:hAnsi="Arial"/>
                <w:sz w:val="20"/>
                <w:szCs w:val="20"/>
                <w:b w:val="1"/>
                <w:bCs w:val="1"/>
                <w:color w:val="auto"/>
              </w:rPr>
              <w:t>Item 1(b).</w:t>
            </w:r>
          </w:p>
        </w:tc>
        <w:tc>
          <w:tcPr>
            <w:tcW w:w="9920" w:type="dxa"/>
            <w:vAlign w:val="bottom"/>
            <w:gridSpan w:val="13"/>
          </w:tcPr>
          <w:p>
            <w:pPr>
              <w:ind w:left="380"/>
              <w:spacing w:after="0"/>
              <w:rPr>
                <w:sz w:val="20"/>
                <w:szCs w:val="20"/>
                <w:color w:val="auto"/>
              </w:rPr>
            </w:pPr>
            <w:r>
              <w:rPr>
                <w:rFonts w:ascii="Arial" w:cs="Arial" w:eastAsia="Arial" w:hAnsi="Arial"/>
                <w:sz w:val="20"/>
                <w:szCs w:val="20"/>
                <w:b w:val="1"/>
                <w:bCs w:val="1"/>
                <w:color w:val="auto"/>
              </w:rPr>
              <w:t>Address of Issuer's Principal Executive Offices.</w:t>
            </w:r>
          </w:p>
        </w:tc>
      </w:tr>
      <w:tr>
        <w:trPr>
          <w:trHeight w:val="250"/>
        </w:trPr>
        <w:tc>
          <w:tcPr>
            <w:tcW w:w="1320" w:type="dxa"/>
            <w:vAlign w:val="bottom"/>
          </w:tcPr>
          <w:p>
            <w:pPr>
              <w:spacing w:after="0"/>
              <w:rPr>
                <w:sz w:val="21"/>
                <w:szCs w:val="21"/>
                <w:color w:val="auto"/>
              </w:rPr>
            </w:pPr>
          </w:p>
        </w:tc>
        <w:tc>
          <w:tcPr>
            <w:tcW w:w="9920" w:type="dxa"/>
            <w:vAlign w:val="bottom"/>
            <w:gridSpan w:val="13"/>
          </w:tcPr>
          <w:p>
            <w:pPr>
              <w:ind w:left="380"/>
              <w:spacing w:after="0"/>
              <w:rPr>
                <w:sz w:val="20"/>
                <w:szCs w:val="20"/>
                <w:color w:val="auto"/>
              </w:rPr>
            </w:pPr>
            <w:r>
              <w:rPr>
                <w:rFonts w:ascii="Arial" w:cs="Arial" w:eastAsia="Arial" w:hAnsi="Arial"/>
                <w:sz w:val="20"/>
                <w:szCs w:val="20"/>
                <w:color w:val="auto"/>
              </w:rPr>
              <w:t>100 King Street West, Suite 5600, Toronto, Ontario, Canada M5X 1C9</w:t>
            </w:r>
          </w:p>
        </w:tc>
      </w:tr>
      <w:tr>
        <w:trPr>
          <w:trHeight w:val="438"/>
        </w:trPr>
        <w:tc>
          <w:tcPr>
            <w:tcW w:w="1320" w:type="dxa"/>
            <w:vAlign w:val="bottom"/>
          </w:tcPr>
          <w:p>
            <w:pPr>
              <w:spacing w:after="0"/>
              <w:rPr>
                <w:sz w:val="20"/>
                <w:szCs w:val="20"/>
                <w:color w:val="auto"/>
              </w:rPr>
            </w:pPr>
            <w:r>
              <w:rPr>
                <w:rFonts w:ascii="Arial" w:cs="Arial" w:eastAsia="Arial" w:hAnsi="Arial"/>
                <w:sz w:val="20"/>
                <w:szCs w:val="20"/>
                <w:b w:val="1"/>
                <w:bCs w:val="1"/>
                <w:color w:val="auto"/>
              </w:rPr>
              <w:t>Item 2(a).</w:t>
            </w:r>
          </w:p>
        </w:tc>
        <w:tc>
          <w:tcPr>
            <w:tcW w:w="9920" w:type="dxa"/>
            <w:vAlign w:val="bottom"/>
            <w:gridSpan w:val="13"/>
          </w:tcPr>
          <w:p>
            <w:pPr>
              <w:ind w:left="380"/>
              <w:spacing w:after="0"/>
              <w:rPr>
                <w:sz w:val="20"/>
                <w:szCs w:val="20"/>
                <w:color w:val="auto"/>
              </w:rPr>
            </w:pPr>
            <w:r>
              <w:rPr>
                <w:rFonts w:ascii="Arial" w:cs="Arial" w:eastAsia="Arial" w:hAnsi="Arial"/>
                <w:sz w:val="20"/>
                <w:szCs w:val="20"/>
                <w:b w:val="1"/>
                <w:bCs w:val="1"/>
                <w:color w:val="auto"/>
              </w:rPr>
              <w:t>Name of Person Filing.</w:t>
            </w:r>
          </w:p>
        </w:tc>
      </w:tr>
      <w:tr>
        <w:trPr>
          <w:trHeight w:val="206"/>
        </w:trPr>
        <w:tc>
          <w:tcPr>
            <w:tcW w:w="1320" w:type="dxa"/>
            <w:vAlign w:val="bottom"/>
          </w:tcPr>
          <w:p>
            <w:pPr>
              <w:spacing w:after="0"/>
              <w:rPr>
                <w:sz w:val="17"/>
                <w:szCs w:val="17"/>
                <w:color w:val="auto"/>
              </w:rPr>
            </w:pPr>
          </w:p>
        </w:tc>
        <w:tc>
          <w:tcPr>
            <w:tcW w:w="9920" w:type="dxa"/>
            <w:vAlign w:val="bottom"/>
            <w:gridSpan w:val="13"/>
          </w:tcPr>
          <w:p>
            <w:pPr>
              <w:ind w:left="380"/>
              <w:spacing w:after="0" w:line="206" w:lineRule="exact"/>
              <w:rPr>
                <w:sz w:val="20"/>
                <w:szCs w:val="20"/>
                <w:color w:val="auto"/>
              </w:rPr>
            </w:pPr>
            <w:r>
              <w:rPr>
                <w:rFonts w:ascii="Arial" w:cs="Arial" w:eastAsia="Arial" w:hAnsi="Arial"/>
                <w:sz w:val="20"/>
                <w:szCs w:val="20"/>
                <w:color w:val="auto"/>
                <w:w w:val="92"/>
              </w:rPr>
              <w:t>This statement is filed by: (i) Point72 Asset Management, L.P. (“Point72 Asset Management”) with respect to shares</w:t>
            </w:r>
          </w:p>
        </w:tc>
      </w:tr>
      <w:tr>
        <w:trPr>
          <w:trHeight w:val="20"/>
        </w:trPr>
        <w:tc>
          <w:tcPr>
            <w:tcW w:w="1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09"/>
        </w:trPr>
        <w:tc>
          <w:tcPr>
            <w:tcW w:w="1320" w:type="dxa"/>
            <w:vAlign w:val="bottom"/>
          </w:tcPr>
          <w:p>
            <w:pPr>
              <w:spacing w:after="0"/>
              <w:rPr>
                <w:sz w:val="18"/>
                <w:szCs w:val="18"/>
                <w:color w:val="auto"/>
              </w:rPr>
            </w:pPr>
          </w:p>
        </w:tc>
        <w:tc>
          <w:tcPr>
            <w:tcW w:w="9920" w:type="dxa"/>
            <w:vAlign w:val="bottom"/>
            <w:gridSpan w:val="13"/>
          </w:tcPr>
          <w:p>
            <w:pPr>
              <w:ind w:left="380"/>
              <w:spacing w:after="0" w:line="209" w:lineRule="exact"/>
              <w:rPr>
                <w:sz w:val="20"/>
                <w:szCs w:val="20"/>
                <w:color w:val="auto"/>
              </w:rPr>
            </w:pPr>
            <w:r>
              <w:rPr>
                <w:rFonts w:ascii="Arial" w:cs="Arial" w:eastAsia="Arial" w:hAnsi="Arial"/>
                <w:sz w:val="20"/>
                <w:szCs w:val="20"/>
                <w:color w:val="auto"/>
                <w:w w:val="95"/>
              </w:rPr>
              <w:t>of common shares, no par value  (“Shares”), of the Issuer held by Point72 Associates, LLC, an investment fund it</w:t>
            </w:r>
          </w:p>
        </w:tc>
      </w:tr>
      <w:tr>
        <w:trPr>
          <w:trHeight w:val="20"/>
        </w:trPr>
        <w:tc>
          <w:tcPr>
            <w:tcW w:w="1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10"/>
        </w:trPr>
        <w:tc>
          <w:tcPr>
            <w:tcW w:w="1320" w:type="dxa"/>
            <w:vAlign w:val="bottom"/>
          </w:tcPr>
          <w:p>
            <w:pPr>
              <w:spacing w:after="0"/>
              <w:rPr>
                <w:sz w:val="18"/>
                <w:szCs w:val="18"/>
                <w:color w:val="auto"/>
              </w:rPr>
            </w:pPr>
          </w:p>
        </w:tc>
        <w:tc>
          <w:tcPr>
            <w:tcW w:w="9920" w:type="dxa"/>
            <w:vAlign w:val="bottom"/>
            <w:gridSpan w:val="13"/>
          </w:tcPr>
          <w:p>
            <w:pPr>
              <w:ind w:left="380"/>
              <w:spacing w:after="0" w:line="209" w:lineRule="exact"/>
              <w:rPr>
                <w:sz w:val="20"/>
                <w:szCs w:val="20"/>
                <w:color w:val="auto"/>
              </w:rPr>
            </w:pPr>
            <w:r>
              <w:rPr>
                <w:rFonts w:ascii="Arial" w:cs="Arial" w:eastAsia="Arial" w:hAnsi="Arial"/>
                <w:sz w:val="20"/>
                <w:szCs w:val="20"/>
                <w:color w:val="auto"/>
                <w:w w:val="94"/>
              </w:rPr>
              <w:t>manages (“Point72 Associates”); (ii) Point72 Capital Advisors, Inc. (“Point72 Capital Advisors Inc.”) with respect to</w:t>
            </w:r>
          </w:p>
        </w:tc>
      </w:tr>
      <w:tr>
        <w:trPr>
          <w:trHeight w:val="20"/>
        </w:trPr>
        <w:tc>
          <w:tcPr>
            <w:tcW w:w="1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60" w:type="dxa"/>
            <w:vAlign w:val="bottom"/>
            <w:gridSpan w:val="2"/>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09"/>
        </w:trPr>
        <w:tc>
          <w:tcPr>
            <w:tcW w:w="1320" w:type="dxa"/>
            <w:vAlign w:val="bottom"/>
          </w:tcPr>
          <w:p>
            <w:pPr>
              <w:spacing w:after="0"/>
              <w:rPr>
                <w:sz w:val="18"/>
                <w:szCs w:val="18"/>
                <w:color w:val="auto"/>
              </w:rPr>
            </w:pPr>
          </w:p>
        </w:tc>
        <w:tc>
          <w:tcPr>
            <w:tcW w:w="9920" w:type="dxa"/>
            <w:vAlign w:val="bottom"/>
            <w:gridSpan w:val="13"/>
          </w:tcPr>
          <w:p>
            <w:pPr>
              <w:ind w:left="380"/>
              <w:spacing w:after="0" w:line="209" w:lineRule="exact"/>
              <w:rPr>
                <w:sz w:val="20"/>
                <w:szCs w:val="20"/>
                <w:color w:val="auto"/>
              </w:rPr>
            </w:pPr>
            <w:r>
              <w:rPr>
                <w:rFonts w:ascii="Arial" w:cs="Arial" w:eastAsia="Arial" w:hAnsi="Arial"/>
                <w:sz w:val="20"/>
                <w:szCs w:val="20"/>
                <w:color w:val="auto"/>
                <w:w w:val="91"/>
              </w:rPr>
              <w:t>Shares held by Point72 Associates; and (iii) Steven A. Cohen (“Mr. Cohen”) with respect to Shares beneficially owned</w:t>
            </w:r>
          </w:p>
        </w:tc>
      </w:tr>
      <w:tr>
        <w:trPr>
          <w:trHeight w:val="20"/>
        </w:trPr>
        <w:tc>
          <w:tcPr>
            <w:tcW w:w="1320" w:type="dxa"/>
            <w:vAlign w:val="bottom"/>
          </w:tcPr>
          <w:p>
            <w:pPr>
              <w:spacing w:after="0" w:line="20" w:lineRule="exact"/>
              <w:rPr>
                <w:sz w:val="1"/>
                <w:szCs w:val="1"/>
                <w:color w:val="auto"/>
              </w:rPr>
            </w:pPr>
          </w:p>
        </w:tc>
        <w:tc>
          <w:tcPr>
            <w:tcW w:w="476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r>
      <w:tr>
        <w:trPr>
          <w:trHeight w:val="254"/>
        </w:trPr>
        <w:tc>
          <w:tcPr>
            <w:tcW w:w="1320" w:type="dxa"/>
            <w:vAlign w:val="bottom"/>
          </w:tcPr>
          <w:p>
            <w:pPr>
              <w:spacing w:after="0"/>
              <w:rPr>
                <w:sz w:val="22"/>
                <w:szCs w:val="22"/>
                <w:color w:val="auto"/>
              </w:rPr>
            </w:pPr>
          </w:p>
        </w:tc>
        <w:tc>
          <w:tcPr>
            <w:tcW w:w="9920" w:type="dxa"/>
            <w:vAlign w:val="bottom"/>
            <w:gridSpan w:val="13"/>
          </w:tcPr>
          <w:p>
            <w:pPr>
              <w:ind w:left="380"/>
              <w:spacing w:after="0"/>
              <w:rPr>
                <w:sz w:val="20"/>
                <w:szCs w:val="20"/>
                <w:color w:val="auto"/>
              </w:rPr>
            </w:pPr>
            <w:r>
              <w:rPr>
                <w:rFonts w:ascii="Arial" w:cs="Arial" w:eastAsia="Arial" w:hAnsi="Arial"/>
                <w:sz w:val="20"/>
                <w:szCs w:val="20"/>
                <w:color w:val="auto"/>
              </w:rPr>
              <w:t>by Point72 Asset Management and Point72 Capital Advisors Inc.</w:t>
            </w:r>
          </w:p>
        </w:tc>
      </w:tr>
      <w:tr>
        <w:trPr>
          <w:trHeight w:val="438"/>
        </w:trPr>
        <w:tc>
          <w:tcPr>
            <w:tcW w:w="1320" w:type="dxa"/>
            <w:vAlign w:val="bottom"/>
          </w:tcPr>
          <w:p>
            <w:pPr>
              <w:spacing w:after="0"/>
              <w:rPr>
                <w:sz w:val="24"/>
                <w:szCs w:val="24"/>
                <w:color w:val="auto"/>
              </w:rPr>
            </w:pPr>
          </w:p>
        </w:tc>
        <w:tc>
          <w:tcPr>
            <w:tcW w:w="9920" w:type="dxa"/>
            <w:vAlign w:val="bottom"/>
            <w:gridSpan w:val="13"/>
          </w:tcPr>
          <w:p>
            <w:pPr>
              <w:ind w:left="380"/>
              <w:spacing w:after="0"/>
              <w:rPr>
                <w:sz w:val="20"/>
                <w:szCs w:val="20"/>
                <w:color w:val="auto"/>
              </w:rPr>
            </w:pPr>
            <w:r>
              <w:rPr>
                <w:rFonts w:ascii="Arial" w:cs="Arial" w:eastAsia="Arial" w:hAnsi="Arial"/>
                <w:sz w:val="20"/>
                <w:szCs w:val="20"/>
                <w:color w:val="auto"/>
                <w:w w:val="91"/>
              </w:rPr>
              <w:t>Point72 Asset Management, Point72 Capital Advisors Inc., and Mr. Cohen have entered into a Joint Filing Agreement,</w:t>
            </w:r>
          </w:p>
        </w:tc>
      </w:tr>
      <w:tr>
        <w:trPr>
          <w:trHeight w:val="206"/>
        </w:trPr>
        <w:tc>
          <w:tcPr>
            <w:tcW w:w="1320" w:type="dxa"/>
            <w:vAlign w:val="bottom"/>
          </w:tcPr>
          <w:p>
            <w:pPr>
              <w:spacing w:after="0"/>
              <w:rPr>
                <w:sz w:val="17"/>
                <w:szCs w:val="17"/>
                <w:color w:val="auto"/>
              </w:rPr>
            </w:pPr>
          </w:p>
        </w:tc>
        <w:tc>
          <w:tcPr>
            <w:tcW w:w="9920" w:type="dxa"/>
            <w:vAlign w:val="bottom"/>
            <w:gridSpan w:val="13"/>
          </w:tcPr>
          <w:p>
            <w:pPr>
              <w:ind w:left="380"/>
              <w:spacing w:after="0" w:line="206" w:lineRule="exact"/>
              <w:rPr>
                <w:sz w:val="20"/>
                <w:szCs w:val="20"/>
                <w:color w:val="auto"/>
              </w:rPr>
            </w:pPr>
            <w:r>
              <w:rPr>
                <w:rFonts w:ascii="Arial" w:cs="Arial" w:eastAsia="Arial" w:hAnsi="Arial"/>
                <w:sz w:val="20"/>
                <w:szCs w:val="20"/>
                <w:color w:val="auto"/>
                <w:w w:val="98"/>
              </w:rPr>
              <w:t>a copy of which is filed with this Schedule 13G as Exhibit 99.1, pursuant to which they have agreed to file this</w:t>
            </w:r>
          </w:p>
        </w:tc>
      </w:tr>
      <w:tr>
        <w:trPr>
          <w:trHeight w:val="20"/>
        </w:trPr>
        <w:tc>
          <w:tcPr>
            <w:tcW w:w="1320" w:type="dxa"/>
            <w:vAlign w:val="bottom"/>
          </w:tcPr>
          <w:p>
            <w:pPr>
              <w:spacing w:after="0" w:line="20" w:lineRule="exact"/>
              <w:rPr>
                <w:sz w:val="1"/>
                <w:szCs w:val="1"/>
                <w:color w:val="auto"/>
              </w:rPr>
            </w:pPr>
          </w:p>
        </w:tc>
        <w:tc>
          <w:tcPr>
            <w:tcW w:w="4760" w:type="dxa"/>
            <w:vAlign w:val="bottom"/>
            <w:gridSpan w:val="5"/>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4160" w:type="dxa"/>
            <w:vAlign w:val="bottom"/>
            <w:gridSpan w:val="5"/>
          </w:tcPr>
          <w:p>
            <w:pPr>
              <w:spacing w:after="0" w:line="20" w:lineRule="exact"/>
              <w:rPr>
                <w:sz w:val="1"/>
                <w:szCs w:val="1"/>
                <w:color w:val="auto"/>
              </w:rPr>
            </w:pPr>
          </w:p>
        </w:tc>
      </w:tr>
      <w:tr>
        <w:trPr>
          <w:trHeight w:val="254"/>
        </w:trPr>
        <w:tc>
          <w:tcPr>
            <w:tcW w:w="1320" w:type="dxa"/>
            <w:vAlign w:val="bottom"/>
          </w:tcPr>
          <w:p>
            <w:pPr>
              <w:spacing w:after="0"/>
              <w:rPr>
                <w:sz w:val="22"/>
                <w:szCs w:val="22"/>
                <w:color w:val="auto"/>
              </w:rPr>
            </w:pPr>
          </w:p>
        </w:tc>
        <w:tc>
          <w:tcPr>
            <w:tcW w:w="9920" w:type="dxa"/>
            <w:vAlign w:val="bottom"/>
            <w:gridSpan w:val="13"/>
          </w:tcPr>
          <w:p>
            <w:pPr>
              <w:ind w:left="380"/>
              <w:spacing w:after="0"/>
              <w:rPr>
                <w:sz w:val="20"/>
                <w:szCs w:val="20"/>
                <w:color w:val="auto"/>
              </w:rPr>
            </w:pPr>
            <w:r>
              <w:rPr>
                <w:rFonts w:ascii="Arial" w:cs="Arial" w:eastAsia="Arial" w:hAnsi="Arial"/>
                <w:sz w:val="20"/>
                <w:szCs w:val="20"/>
                <w:color w:val="auto"/>
              </w:rPr>
              <w:t>Schedule 13G jointly in accordance with the provisions of Rule 13d-1(k) of the Act.</w:t>
            </w:r>
          </w:p>
        </w:tc>
      </w:tr>
      <w:tr>
        <w:trPr>
          <w:trHeight w:val="438"/>
        </w:trPr>
        <w:tc>
          <w:tcPr>
            <w:tcW w:w="1320" w:type="dxa"/>
            <w:vAlign w:val="bottom"/>
          </w:tcPr>
          <w:p>
            <w:pPr>
              <w:ind w:left="100"/>
              <w:spacing w:after="0"/>
              <w:rPr>
                <w:sz w:val="20"/>
                <w:szCs w:val="20"/>
                <w:color w:val="auto"/>
              </w:rPr>
            </w:pPr>
            <w:r>
              <w:rPr>
                <w:rFonts w:ascii="Arial" w:cs="Arial" w:eastAsia="Arial" w:hAnsi="Arial"/>
                <w:sz w:val="20"/>
                <w:szCs w:val="20"/>
                <w:b w:val="1"/>
                <w:bCs w:val="1"/>
                <w:color w:val="auto"/>
              </w:rPr>
              <w:t>Item 2(b).</w:t>
            </w:r>
          </w:p>
        </w:tc>
        <w:tc>
          <w:tcPr>
            <w:tcW w:w="9920" w:type="dxa"/>
            <w:vAlign w:val="bottom"/>
            <w:gridSpan w:val="13"/>
          </w:tcPr>
          <w:p>
            <w:pPr>
              <w:ind w:left="380"/>
              <w:spacing w:after="0"/>
              <w:rPr>
                <w:sz w:val="20"/>
                <w:szCs w:val="20"/>
                <w:color w:val="auto"/>
              </w:rPr>
            </w:pPr>
            <w:r>
              <w:rPr>
                <w:rFonts w:ascii="Arial" w:cs="Arial" w:eastAsia="Arial" w:hAnsi="Arial"/>
                <w:sz w:val="20"/>
                <w:szCs w:val="20"/>
                <w:b w:val="1"/>
                <w:bCs w:val="1"/>
                <w:color w:val="auto"/>
              </w:rPr>
              <w:t>Address of Principal Business Office.</w:t>
            </w:r>
          </w:p>
        </w:tc>
      </w:tr>
      <w:tr>
        <w:trPr>
          <w:trHeight w:val="229"/>
        </w:trPr>
        <w:tc>
          <w:tcPr>
            <w:tcW w:w="1320" w:type="dxa"/>
            <w:vAlign w:val="bottom"/>
          </w:tcPr>
          <w:p>
            <w:pPr>
              <w:spacing w:after="0"/>
              <w:rPr>
                <w:sz w:val="19"/>
                <w:szCs w:val="19"/>
                <w:color w:val="auto"/>
              </w:rPr>
            </w:pPr>
          </w:p>
        </w:tc>
        <w:tc>
          <w:tcPr>
            <w:tcW w:w="9920" w:type="dxa"/>
            <w:vAlign w:val="bottom"/>
            <w:gridSpan w:val="13"/>
          </w:tcPr>
          <w:p>
            <w:pPr>
              <w:ind w:left="380"/>
              <w:spacing w:after="0"/>
              <w:rPr>
                <w:sz w:val="20"/>
                <w:szCs w:val="20"/>
                <w:color w:val="auto"/>
              </w:rPr>
            </w:pPr>
            <w:r>
              <w:rPr>
                <w:rFonts w:ascii="Arial" w:cs="Arial" w:eastAsia="Arial" w:hAnsi="Arial"/>
                <w:sz w:val="20"/>
                <w:szCs w:val="20"/>
                <w:color w:val="auto"/>
                <w:w w:val="94"/>
              </w:rPr>
              <w:t>The address of the principal business office of Point72 Asset Management, Point72 Capital Advisors Inc., and Mr.</w:t>
            </w:r>
          </w:p>
        </w:tc>
      </w:tr>
      <w:tr>
        <w:trPr>
          <w:trHeight w:val="250"/>
        </w:trPr>
        <w:tc>
          <w:tcPr>
            <w:tcW w:w="1320" w:type="dxa"/>
            <w:vAlign w:val="bottom"/>
          </w:tcPr>
          <w:p>
            <w:pPr>
              <w:spacing w:after="0"/>
              <w:rPr>
                <w:sz w:val="21"/>
                <w:szCs w:val="21"/>
                <w:color w:val="auto"/>
              </w:rPr>
            </w:pPr>
          </w:p>
        </w:tc>
        <w:tc>
          <w:tcPr>
            <w:tcW w:w="9920" w:type="dxa"/>
            <w:vAlign w:val="bottom"/>
            <w:gridSpan w:val="13"/>
          </w:tcPr>
          <w:p>
            <w:pPr>
              <w:ind w:left="380"/>
              <w:spacing w:after="0"/>
              <w:rPr>
                <w:sz w:val="20"/>
                <w:szCs w:val="20"/>
                <w:color w:val="auto"/>
              </w:rPr>
            </w:pPr>
            <w:r>
              <w:rPr>
                <w:rFonts w:ascii="Arial" w:cs="Arial" w:eastAsia="Arial" w:hAnsi="Arial"/>
                <w:sz w:val="20"/>
                <w:szCs w:val="20"/>
                <w:color w:val="auto"/>
              </w:rPr>
              <w:t>Cohen is 72 Cummings Point Road, Stamford, CT 06902.</w:t>
            </w:r>
          </w:p>
        </w:tc>
      </w:tr>
      <w:tr>
        <w:trPr>
          <w:trHeight w:val="438"/>
        </w:trPr>
        <w:tc>
          <w:tcPr>
            <w:tcW w:w="132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9920" w:type="dxa"/>
            <w:vAlign w:val="bottom"/>
            <w:gridSpan w:val="13"/>
          </w:tcPr>
          <w:p>
            <w:pPr>
              <w:ind w:left="380"/>
              <w:spacing w:after="0"/>
              <w:rPr>
                <w:sz w:val="20"/>
                <w:szCs w:val="20"/>
                <w:color w:val="auto"/>
              </w:rPr>
            </w:pPr>
            <w:r>
              <w:rPr>
                <w:rFonts w:ascii="Arial" w:cs="Arial" w:eastAsia="Arial" w:hAnsi="Arial"/>
                <w:sz w:val="20"/>
                <w:szCs w:val="20"/>
                <w:b w:val="1"/>
                <w:bCs w:val="1"/>
                <w:color w:val="auto"/>
              </w:rPr>
              <w:t>Place of Organization.</w:t>
            </w:r>
          </w:p>
        </w:tc>
      </w:tr>
      <w:tr>
        <w:trPr>
          <w:trHeight w:val="229"/>
        </w:trPr>
        <w:tc>
          <w:tcPr>
            <w:tcW w:w="1320" w:type="dxa"/>
            <w:vAlign w:val="bottom"/>
          </w:tcPr>
          <w:p>
            <w:pPr>
              <w:spacing w:after="0"/>
              <w:rPr>
                <w:sz w:val="19"/>
                <w:szCs w:val="19"/>
                <w:color w:val="auto"/>
              </w:rPr>
            </w:pPr>
          </w:p>
        </w:tc>
        <w:tc>
          <w:tcPr>
            <w:tcW w:w="9920" w:type="dxa"/>
            <w:vAlign w:val="bottom"/>
            <w:gridSpan w:val="13"/>
          </w:tcPr>
          <w:p>
            <w:pPr>
              <w:ind w:left="380"/>
              <w:spacing w:after="0"/>
              <w:rPr>
                <w:sz w:val="20"/>
                <w:szCs w:val="20"/>
                <w:color w:val="auto"/>
              </w:rPr>
            </w:pPr>
            <w:r>
              <w:rPr>
                <w:rFonts w:ascii="Arial" w:cs="Arial" w:eastAsia="Arial" w:hAnsi="Arial"/>
                <w:sz w:val="20"/>
                <w:szCs w:val="20"/>
                <w:color w:val="auto"/>
              </w:rPr>
              <w:t>Point72 Asset Management is a Delaware limited partnership. Point72 Capital Advisors Inc. is a Delaware</w:t>
            </w:r>
          </w:p>
        </w:tc>
      </w:tr>
      <w:tr>
        <w:trPr>
          <w:trHeight w:val="250"/>
        </w:trPr>
        <w:tc>
          <w:tcPr>
            <w:tcW w:w="1320" w:type="dxa"/>
            <w:vAlign w:val="bottom"/>
          </w:tcPr>
          <w:p>
            <w:pPr>
              <w:spacing w:after="0"/>
              <w:rPr>
                <w:sz w:val="21"/>
                <w:szCs w:val="21"/>
                <w:color w:val="auto"/>
              </w:rPr>
            </w:pPr>
          </w:p>
        </w:tc>
        <w:tc>
          <w:tcPr>
            <w:tcW w:w="9920" w:type="dxa"/>
            <w:vAlign w:val="bottom"/>
            <w:gridSpan w:val="13"/>
          </w:tcPr>
          <w:p>
            <w:pPr>
              <w:ind w:left="380"/>
              <w:spacing w:after="0"/>
              <w:rPr>
                <w:sz w:val="20"/>
                <w:szCs w:val="20"/>
                <w:color w:val="auto"/>
              </w:rPr>
            </w:pPr>
            <w:r>
              <w:rPr>
                <w:rFonts w:ascii="Arial" w:cs="Arial" w:eastAsia="Arial" w:hAnsi="Arial"/>
                <w:sz w:val="20"/>
                <w:szCs w:val="20"/>
                <w:color w:val="auto"/>
              </w:rPr>
              <w:t>corporation. Mr. Cohen is a United States citizen.</w:t>
            </w:r>
          </w:p>
        </w:tc>
      </w:tr>
      <w:tr>
        <w:trPr>
          <w:trHeight w:val="438"/>
        </w:trPr>
        <w:tc>
          <w:tcPr>
            <w:tcW w:w="132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9920" w:type="dxa"/>
            <w:vAlign w:val="bottom"/>
            <w:gridSpan w:val="13"/>
          </w:tcPr>
          <w:p>
            <w:pPr>
              <w:ind w:left="380"/>
              <w:spacing w:after="0"/>
              <w:rPr>
                <w:sz w:val="20"/>
                <w:szCs w:val="20"/>
                <w:color w:val="auto"/>
              </w:rPr>
            </w:pPr>
            <w:r>
              <w:rPr>
                <w:rFonts w:ascii="Arial" w:cs="Arial" w:eastAsia="Arial" w:hAnsi="Arial"/>
                <w:sz w:val="20"/>
                <w:szCs w:val="20"/>
                <w:b w:val="1"/>
                <w:bCs w:val="1"/>
                <w:color w:val="auto"/>
              </w:rPr>
              <w:t>Title of Class of Securities.</w:t>
            </w:r>
          </w:p>
        </w:tc>
      </w:tr>
      <w:tr>
        <w:trPr>
          <w:trHeight w:val="250"/>
        </w:trPr>
        <w:tc>
          <w:tcPr>
            <w:tcW w:w="1320" w:type="dxa"/>
            <w:vAlign w:val="bottom"/>
          </w:tcPr>
          <w:p>
            <w:pPr>
              <w:spacing w:after="0"/>
              <w:rPr>
                <w:sz w:val="21"/>
                <w:szCs w:val="21"/>
                <w:color w:val="auto"/>
              </w:rPr>
            </w:pPr>
          </w:p>
        </w:tc>
        <w:tc>
          <w:tcPr>
            <w:tcW w:w="9920" w:type="dxa"/>
            <w:vAlign w:val="bottom"/>
            <w:gridSpan w:val="13"/>
          </w:tcPr>
          <w:p>
            <w:pPr>
              <w:ind w:left="380"/>
              <w:spacing w:after="0"/>
              <w:rPr>
                <w:sz w:val="20"/>
                <w:szCs w:val="20"/>
                <w:color w:val="auto"/>
              </w:rPr>
            </w:pPr>
            <w:r>
              <w:rPr>
                <w:rFonts w:ascii="Arial" w:cs="Arial" w:eastAsia="Arial" w:hAnsi="Arial"/>
                <w:sz w:val="20"/>
                <w:szCs w:val="20"/>
                <w:color w:val="auto"/>
              </w:rPr>
              <w:t>Common Shares, no par value</w:t>
            </w:r>
          </w:p>
        </w:tc>
      </w:tr>
      <w:tr>
        <w:trPr>
          <w:trHeight w:val="438"/>
        </w:trPr>
        <w:tc>
          <w:tcPr>
            <w:tcW w:w="132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9920" w:type="dxa"/>
            <w:vAlign w:val="bottom"/>
            <w:gridSpan w:val="13"/>
          </w:tcPr>
          <w:p>
            <w:pPr>
              <w:ind w:left="380"/>
              <w:spacing w:after="0"/>
              <w:rPr>
                <w:sz w:val="20"/>
                <w:szCs w:val="20"/>
                <w:color w:val="auto"/>
              </w:rPr>
            </w:pPr>
            <w:r>
              <w:rPr>
                <w:rFonts w:ascii="Arial" w:cs="Arial" w:eastAsia="Arial" w:hAnsi="Arial"/>
                <w:sz w:val="20"/>
                <w:szCs w:val="20"/>
                <w:b w:val="1"/>
                <w:bCs w:val="1"/>
                <w:color w:val="auto"/>
              </w:rPr>
              <w:t>CUSIP Number.</w:t>
            </w:r>
          </w:p>
        </w:tc>
      </w:tr>
      <w:tr>
        <w:trPr>
          <w:trHeight w:val="250"/>
        </w:trPr>
        <w:tc>
          <w:tcPr>
            <w:tcW w:w="1320" w:type="dxa"/>
            <w:vAlign w:val="bottom"/>
          </w:tcPr>
          <w:p>
            <w:pPr>
              <w:spacing w:after="0"/>
              <w:rPr>
                <w:sz w:val="21"/>
                <w:szCs w:val="21"/>
                <w:color w:val="auto"/>
              </w:rPr>
            </w:pPr>
          </w:p>
        </w:tc>
        <w:tc>
          <w:tcPr>
            <w:tcW w:w="9920" w:type="dxa"/>
            <w:vAlign w:val="bottom"/>
            <w:gridSpan w:val="13"/>
          </w:tcPr>
          <w:p>
            <w:pPr>
              <w:ind w:left="380"/>
              <w:spacing w:after="0"/>
              <w:rPr>
                <w:sz w:val="20"/>
                <w:szCs w:val="20"/>
                <w:color w:val="auto"/>
              </w:rPr>
            </w:pPr>
            <w:r>
              <w:rPr>
                <w:rFonts w:ascii="Arial" w:cs="Arial" w:eastAsia="Arial" w:hAnsi="Arial"/>
                <w:sz w:val="20"/>
                <w:szCs w:val="20"/>
                <w:color w:val="auto"/>
              </w:rPr>
              <w:t>23256X100</w:t>
            </w:r>
          </w:p>
        </w:tc>
      </w:tr>
      <w:tr>
        <w:trPr>
          <w:trHeight w:val="432"/>
        </w:trPr>
        <w:tc>
          <w:tcPr>
            <w:tcW w:w="132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9920" w:type="dxa"/>
            <w:vAlign w:val="bottom"/>
            <w:gridSpan w:val="13"/>
          </w:tcPr>
          <w:p>
            <w:pPr>
              <w:ind w:left="380"/>
              <w:spacing w:after="0"/>
              <w:rPr>
                <w:sz w:val="20"/>
                <w:szCs w:val="20"/>
                <w:color w:val="auto"/>
              </w:rPr>
            </w:pPr>
            <w:r>
              <w:rPr>
                <w:rFonts w:ascii="Arial" w:cs="Arial" w:eastAsia="Arial" w:hAnsi="Arial"/>
                <w:sz w:val="20"/>
                <w:szCs w:val="20"/>
                <w:b w:val="1"/>
                <w:bCs w:val="1"/>
                <w:color w:val="auto"/>
                <w:w w:val="91"/>
              </w:rPr>
              <w:t>If this Statement is Filed Pursuant to §§ 240.13d-1(b) or 240.13d-2(b), or (c), check whether the Person Filing is</w:t>
            </w:r>
          </w:p>
        </w:tc>
      </w:tr>
      <w:tr>
        <w:trPr>
          <w:trHeight w:val="235"/>
        </w:trPr>
        <w:tc>
          <w:tcPr>
            <w:tcW w:w="1320" w:type="dxa"/>
            <w:vAlign w:val="bottom"/>
          </w:tcPr>
          <w:p>
            <w:pPr>
              <w:spacing w:after="0"/>
              <w:rPr>
                <w:sz w:val="20"/>
                <w:szCs w:val="20"/>
                <w:color w:val="auto"/>
              </w:rPr>
            </w:pPr>
          </w:p>
        </w:tc>
        <w:tc>
          <w:tcPr>
            <w:tcW w:w="9920" w:type="dxa"/>
            <w:vAlign w:val="bottom"/>
            <w:gridSpan w:val="13"/>
          </w:tcPr>
          <w:p>
            <w:pPr>
              <w:ind w:left="380"/>
              <w:spacing w:after="0"/>
              <w:rPr>
                <w:sz w:val="20"/>
                <w:szCs w:val="20"/>
                <w:color w:val="auto"/>
              </w:rPr>
            </w:pPr>
            <w:r>
              <w:rPr>
                <w:rFonts w:ascii="Arial" w:cs="Arial" w:eastAsia="Arial" w:hAnsi="Arial"/>
                <w:sz w:val="20"/>
                <w:szCs w:val="20"/>
                <w:b w:val="1"/>
                <w:bCs w:val="1"/>
                <w:color w:val="auto"/>
              </w:rPr>
              <w:t>a:</w:t>
            </w:r>
          </w:p>
        </w:tc>
      </w:tr>
      <w:tr>
        <w:trPr>
          <w:trHeight w:val="250"/>
        </w:trPr>
        <w:tc>
          <w:tcPr>
            <w:tcW w:w="1320" w:type="dxa"/>
            <w:vAlign w:val="bottom"/>
          </w:tcPr>
          <w:p>
            <w:pPr>
              <w:spacing w:after="0"/>
              <w:rPr>
                <w:sz w:val="21"/>
                <w:szCs w:val="21"/>
                <w:color w:val="auto"/>
              </w:rPr>
            </w:pPr>
          </w:p>
        </w:tc>
        <w:tc>
          <w:tcPr>
            <w:tcW w:w="9920" w:type="dxa"/>
            <w:vAlign w:val="bottom"/>
            <w:gridSpan w:val="13"/>
          </w:tcPr>
          <w:p>
            <w:pPr>
              <w:ind w:left="380"/>
              <w:spacing w:after="0"/>
              <w:rPr>
                <w:sz w:val="20"/>
                <w:szCs w:val="20"/>
                <w:color w:val="auto"/>
              </w:rPr>
            </w:pPr>
            <w:r>
              <w:rPr>
                <w:rFonts w:ascii="Arial" w:cs="Arial" w:eastAsia="Arial" w:hAnsi="Arial"/>
                <w:sz w:val="20"/>
                <w:szCs w:val="20"/>
                <w:color w:val="auto"/>
              </w:rPr>
              <w:t>Not applicable.</w:t>
            </w:r>
          </w:p>
        </w:tc>
      </w:tr>
      <w:tr>
        <w:trPr>
          <w:trHeight w:val="438"/>
        </w:trPr>
        <w:tc>
          <w:tcPr>
            <w:tcW w:w="1320" w:type="dxa"/>
            <w:vAlign w:val="bottom"/>
          </w:tcPr>
          <w:p>
            <w:pPr>
              <w:ind w:left="100"/>
              <w:spacing w:after="0"/>
              <w:rPr>
                <w:sz w:val="20"/>
                <w:szCs w:val="20"/>
                <w:color w:val="auto"/>
              </w:rPr>
            </w:pPr>
            <w:r>
              <w:rPr>
                <w:rFonts w:ascii="Arial" w:cs="Arial" w:eastAsia="Arial" w:hAnsi="Arial"/>
                <w:sz w:val="20"/>
                <w:szCs w:val="20"/>
                <w:b w:val="1"/>
                <w:bCs w:val="1"/>
                <w:color w:val="auto"/>
              </w:rPr>
              <w:t>Item 4.</w:t>
            </w:r>
          </w:p>
        </w:tc>
        <w:tc>
          <w:tcPr>
            <w:tcW w:w="9920" w:type="dxa"/>
            <w:vAlign w:val="bottom"/>
            <w:gridSpan w:val="13"/>
          </w:tcPr>
          <w:p>
            <w:pPr>
              <w:ind w:left="380"/>
              <w:spacing w:after="0"/>
              <w:rPr>
                <w:sz w:val="20"/>
                <w:szCs w:val="20"/>
                <w:color w:val="auto"/>
              </w:rPr>
            </w:pPr>
            <w:r>
              <w:rPr>
                <w:rFonts w:ascii="Arial" w:cs="Arial" w:eastAsia="Arial" w:hAnsi="Arial"/>
                <w:sz w:val="20"/>
                <w:szCs w:val="20"/>
                <w:b w:val="1"/>
                <w:bCs w:val="1"/>
                <w:color w:val="auto"/>
              </w:rPr>
              <w:t>Ownership.</w:t>
            </w:r>
          </w:p>
        </w:tc>
      </w:tr>
      <w:tr>
        <w:trPr>
          <w:trHeight w:val="229"/>
        </w:trPr>
        <w:tc>
          <w:tcPr>
            <w:tcW w:w="1320" w:type="dxa"/>
            <w:vAlign w:val="bottom"/>
          </w:tcPr>
          <w:p>
            <w:pPr>
              <w:spacing w:after="0"/>
              <w:rPr>
                <w:sz w:val="19"/>
                <w:szCs w:val="19"/>
                <w:color w:val="auto"/>
              </w:rPr>
            </w:pPr>
          </w:p>
        </w:tc>
        <w:tc>
          <w:tcPr>
            <w:tcW w:w="9920" w:type="dxa"/>
            <w:vAlign w:val="bottom"/>
            <w:gridSpan w:val="13"/>
          </w:tcPr>
          <w:p>
            <w:pPr>
              <w:ind w:left="380"/>
              <w:spacing w:after="0"/>
              <w:rPr>
                <w:sz w:val="20"/>
                <w:szCs w:val="20"/>
                <w:color w:val="auto"/>
              </w:rPr>
            </w:pPr>
            <w:r>
              <w:rPr>
                <w:rFonts w:ascii="Arial" w:cs="Arial" w:eastAsia="Arial" w:hAnsi="Arial"/>
                <w:sz w:val="20"/>
                <w:szCs w:val="20"/>
                <w:color w:val="auto"/>
                <w:w w:val="97"/>
              </w:rPr>
              <w:t>The information required by Items 4(a) – (c) is set forth in Rows (5) – (11) of the cover page for each Reporting</w:t>
            </w:r>
          </w:p>
        </w:tc>
      </w:tr>
      <w:tr>
        <w:trPr>
          <w:trHeight w:val="230"/>
        </w:trPr>
        <w:tc>
          <w:tcPr>
            <w:tcW w:w="1320" w:type="dxa"/>
            <w:vAlign w:val="bottom"/>
          </w:tcPr>
          <w:p>
            <w:pPr>
              <w:spacing w:after="0"/>
              <w:rPr>
                <w:sz w:val="19"/>
                <w:szCs w:val="19"/>
                <w:color w:val="auto"/>
              </w:rPr>
            </w:pPr>
          </w:p>
        </w:tc>
        <w:tc>
          <w:tcPr>
            <w:tcW w:w="9920" w:type="dxa"/>
            <w:vAlign w:val="bottom"/>
            <w:gridSpan w:val="13"/>
          </w:tcPr>
          <w:p>
            <w:pPr>
              <w:ind w:left="380"/>
              <w:spacing w:after="0"/>
              <w:rPr>
                <w:sz w:val="20"/>
                <w:szCs w:val="20"/>
                <w:color w:val="auto"/>
              </w:rPr>
            </w:pPr>
            <w:r>
              <w:rPr>
                <w:rFonts w:ascii="Arial" w:cs="Arial" w:eastAsia="Arial" w:hAnsi="Arial"/>
                <w:sz w:val="20"/>
                <w:szCs w:val="20"/>
                <w:color w:val="auto"/>
                <w:w w:val="90"/>
              </w:rPr>
              <w:t>Person hereto and is incorporated herein by reference for each Reporting Person. Such information is as of the close of</w:t>
            </w:r>
          </w:p>
        </w:tc>
      </w:tr>
      <w:tr>
        <w:trPr>
          <w:trHeight w:val="250"/>
        </w:trPr>
        <w:tc>
          <w:tcPr>
            <w:tcW w:w="1320" w:type="dxa"/>
            <w:vAlign w:val="bottom"/>
          </w:tcPr>
          <w:p>
            <w:pPr>
              <w:spacing w:after="0"/>
              <w:rPr>
                <w:sz w:val="21"/>
                <w:szCs w:val="21"/>
                <w:color w:val="auto"/>
              </w:rPr>
            </w:pPr>
          </w:p>
        </w:tc>
        <w:tc>
          <w:tcPr>
            <w:tcW w:w="9920" w:type="dxa"/>
            <w:vAlign w:val="bottom"/>
            <w:gridSpan w:val="13"/>
          </w:tcPr>
          <w:p>
            <w:pPr>
              <w:ind w:left="380"/>
              <w:spacing w:after="0"/>
              <w:rPr>
                <w:sz w:val="20"/>
                <w:szCs w:val="20"/>
                <w:color w:val="auto"/>
              </w:rPr>
            </w:pPr>
            <w:r>
              <w:rPr>
                <w:rFonts w:ascii="Arial" w:cs="Arial" w:eastAsia="Arial" w:hAnsi="Arial"/>
                <w:sz w:val="20"/>
                <w:szCs w:val="20"/>
                <w:color w:val="auto"/>
              </w:rPr>
              <w:t>business on September 14, 2023.</w:t>
            </w:r>
          </w:p>
        </w:tc>
      </w:tr>
      <w:tr>
        <w:trPr>
          <w:trHeight w:val="452"/>
        </w:trPr>
        <w:tc>
          <w:tcPr>
            <w:tcW w:w="1320" w:type="dxa"/>
            <w:vAlign w:val="bottom"/>
          </w:tcPr>
          <w:p>
            <w:pPr>
              <w:spacing w:after="0"/>
              <w:rPr>
                <w:sz w:val="24"/>
                <w:szCs w:val="24"/>
                <w:color w:val="auto"/>
              </w:rPr>
            </w:pPr>
          </w:p>
        </w:tc>
        <w:tc>
          <w:tcPr>
            <w:tcW w:w="9920" w:type="dxa"/>
            <w:vAlign w:val="bottom"/>
            <w:gridSpan w:val="13"/>
          </w:tcPr>
          <w:p>
            <w:pPr>
              <w:ind w:left="380"/>
              <w:spacing w:after="0"/>
              <w:rPr>
                <w:sz w:val="20"/>
                <w:szCs w:val="20"/>
                <w:color w:val="auto"/>
              </w:rPr>
            </w:pPr>
            <w:r>
              <w:rPr>
                <w:rFonts w:ascii="Arial" w:cs="Arial" w:eastAsia="Arial" w:hAnsi="Arial"/>
                <w:sz w:val="20"/>
                <w:szCs w:val="20"/>
                <w:color w:val="auto"/>
                <w:w w:val="94"/>
              </w:rPr>
              <w:t>Point72 Asset Management, Point72 Capital Advisors Inc., and Mr. Cohen own directly no Shares. Pursuant to an</w:t>
            </w:r>
          </w:p>
        </w:tc>
      </w:tr>
      <w:tr>
        <w:trPr>
          <w:trHeight w:val="230"/>
        </w:trPr>
        <w:tc>
          <w:tcPr>
            <w:tcW w:w="1320" w:type="dxa"/>
            <w:vAlign w:val="bottom"/>
          </w:tcPr>
          <w:p>
            <w:pPr>
              <w:spacing w:after="0"/>
              <w:rPr>
                <w:sz w:val="19"/>
                <w:szCs w:val="19"/>
                <w:color w:val="auto"/>
              </w:rPr>
            </w:pPr>
          </w:p>
        </w:tc>
        <w:tc>
          <w:tcPr>
            <w:tcW w:w="9920" w:type="dxa"/>
            <w:vAlign w:val="bottom"/>
            <w:gridSpan w:val="13"/>
          </w:tcPr>
          <w:p>
            <w:pPr>
              <w:ind w:left="380"/>
              <w:spacing w:after="0"/>
              <w:rPr>
                <w:sz w:val="20"/>
                <w:szCs w:val="20"/>
                <w:color w:val="auto"/>
              </w:rPr>
            </w:pPr>
            <w:r>
              <w:rPr>
                <w:rFonts w:ascii="Arial" w:cs="Arial" w:eastAsia="Arial" w:hAnsi="Arial"/>
                <w:sz w:val="20"/>
                <w:szCs w:val="20"/>
                <w:color w:val="auto"/>
                <w:w w:val="91"/>
              </w:rPr>
              <w:t>investment management agreement, Point72 Asset Management maintains investment and voting power with respect</w:t>
            </w:r>
          </w:p>
        </w:tc>
      </w:tr>
      <w:tr>
        <w:trPr>
          <w:trHeight w:val="229"/>
        </w:trPr>
        <w:tc>
          <w:tcPr>
            <w:tcW w:w="1320" w:type="dxa"/>
            <w:vAlign w:val="bottom"/>
          </w:tcPr>
          <w:p>
            <w:pPr>
              <w:spacing w:after="0"/>
              <w:rPr>
                <w:sz w:val="19"/>
                <w:szCs w:val="19"/>
                <w:color w:val="auto"/>
              </w:rPr>
            </w:pPr>
          </w:p>
        </w:tc>
        <w:tc>
          <w:tcPr>
            <w:tcW w:w="9920" w:type="dxa"/>
            <w:vAlign w:val="bottom"/>
            <w:gridSpan w:val="13"/>
          </w:tcPr>
          <w:p>
            <w:pPr>
              <w:ind w:left="380"/>
              <w:spacing w:after="0"/>
              <w:rPr>
                <w:sz w:val="20"/>
                <w:szCs w:val="20"/>
                <w:color w:val="auto"/>
              </w:rPr>
            </w:pPr>
            <w:r>
              <w:rPr>
                <w:rFonts w:ascii="Arial" w:cs="Arial" w:eastAsia="Arial" w:hAnsi="Arial"/>
                <w:sz w:val="20"/>
                <w:szCs w:val="20"/>
                <w:color w:val="auto"/>
                <w:w w:val="95"/>
              </w:rPr>
              <w:t>to the securities held by Point72 Associates. Point72 Capital Advisors Inc. is the general partner of Point72 Asset</w:t>
            </w:r>
          </w:p>
        </w:tc>
      </w:tr>
      <w:tr>
        <w:trPr>
          <w:trHeight w:val="230"/>
        </w:trPr>
        <w:tc>
          <w:tcPr>
            <w:tcW w:w="1320" w:type="dxa"/>
            <w:vAlign w:val="bottom"/>
          </w:tcPr>
          <w:p>
            <w:pPr>
              <w:spacing w:after="0"/>
              <w:rPr>
                <w:sz w:val="19"/>
                <w:szCs w:val="19"/>
                <w:color w:val="auto"/>
              </w:rPr>
            </w:pPr>
          </w:p>
        </w:tc>
        <w:tc>
          <w:tcPr>
            <w:tcW w:w="9920" w:type="dxa"/>
            <w:vAlign w:val="bottom"/>
            <w:gridSpan w:val="13"/>
          </w:tcPr>
          <w:p>
            <w:pPr>
              <w:ind w:left="380"/>
              <w:spacing w:after="0"/>
              <w:rPr>
                <w:sz w:val="20"/>
                <w:szCs w:val="20"/>
                <w:color w:val="auto"/>
              </w:rPr>
            </w:pPr>
            <w:r>
              <w:rPr>
                <w:rFonts w:ascii="Arial" w:cs="Arial" w:eastAsia="Arial" w:hAnsi="Arial"/>
                <w:sz w:val="20"/>
                <w:szCs w:val="20"/>
                <w:color w:val="auto"/>
                <w:w w:val="94"/>
              </w:rPr>
              <w:t>Management. Mr. Cohen controls each of Point72 Asset Management and Point72 Capital Advisors Inc.  The filing</w:t>
            </w:r>
          </w:p>
        </w:tc>
      </w:tr>
      <w:tr>
        <w:trPr>
          <w:trHeight w:val="230"/>
        </w:trPr>
        <w:tc>
          <w:tcPr>
            <w:tcW w:w="1320" w:type="dxa"/>
            <w:vAlign w:val="bottom"/>
          </w:tcPr>
          <w:p>
            <w:pPr>
              <w:spacing w:after="0"/>
              <w:rPr>
                <w:sz w:val="19"/>
                <w:szCs w:val="19"/>
                <w:color w:val="auto"/>
              </w:rPr>
            </w:pPr>
          </w:p>
        </w:tc>
        <w:tc>
          <w:tcPr>
            <w:tcW w:w="9920" w:type="dxa"/>
            <w:vAlign w:val="bottom"/>
            <w:gridSpan w:val="13"/>
          </w:tcPr>
          <w:p>
            <w:pPr>
              <w:ind w:left="380"/>
              <w:spacing w:after="0"/>
              <w:rPr>
                <w:sz w:val="20"/>
                <w:szCs w:val="20"/>
                <w:color w:val="auto"/>
              </w:rPr>
            </w:pPr>
            <w:r>
              <w:rPr>
                <w:rFonts w:ascii="Arial" w:cs="Arial" w:eastAsia="Arial" w:hAnsi="Arial"/>
                <w:sz w:val="20"/>
                <w:szCs w:val="20"/>
                <w:color w:val="auto"/>
                <w:w w:val="90"/>
              </w:rPr>
              <w:t>of this statement should not be construed as an admission that any of the foregoing persons or any reporting person is,</w:t>
            </w:r>
          </w:p>
        </w:tc>
      </w:tr>
      <w:tr>
        <w:trPr>
          <w:trHeight w:val="250"/>
        </w:trPr>
        <w:tc>
          <w:tcPr>
            <w:tcW w:w="1320" w:type="dxa"/>
            <w:vAlign w:val="bottom"/>
          </w:tcPr>
          <w:p>
            <w:pPr>
              <w:spacing w:after="0"/>
              <w:rPr>
                <w:sz w:val="21"/>
                <w:szCs w:val="21"/>
                <w:color w:val="auto"/>
              </w:rPr>
            </w:pPr>
          </w:p>
        </w:tc>
        <w:tc>
          <w:tcPr>
            <w:tcW w:w="9920" w:type="dxa"/>
            <w:vAlign w:val="bottom"/>
            <w:gridSpan w:val="13"/>
          </w:tcPr>
          <w:p>
            <w:pPr>
              <w:ind w:left="380"/>
              <w:spacing w:after="0"/>
              <w:rPr>
                <w:sz w:val="20"/>
                <w:szCs w:val="20"/>
                <w:color w:val="auto"/>
              </w:rPr>
            </w:pPr>
            <w:r>
              <w:rPr>
                <w:rFonts w:ascii="Arial" w:cs="Arial" w:eastAsia="Arial" w:hAnsi="Arial"/>
                <w:sz w:val="20"/>
                <w:szCs w:val="20"/>
                <w:color w:val="auto"/>
              </w:rPr>
              <w:t>for the purposes of Section 13 of the Act, the beneficial owner of the Shares reported herein.</w:t>
            </w:r>
          </w:p>
        </w:tc>
      </w:tr>
    </w:tbl>
    <w:p>
      <w:pPr>
        <w:sectPr>
          <w:pgSz w:w="11900" w:h="16838" w:orient="portrait"/>
          <w:cols w:equalWidth="0" w:num="1">
            <w:col w:w="11240"/>
          </w:cols>
          <w:pgMar w:left="320" w:top="229" w:right="339" w:bottom="1440" w:gutter="0" w:footer="0" w:header="0"/>
        </w:sectPr>
      </w:pPr>
    </w:p>
    <w:bookmarkStart w:id="5" w:name="page6"/>
    <w:bookmarkEnd w:id="5"/>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23256X100</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6 of 7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100"/>
        <w:spacing w:after="0"/>
        <w:tabs>
          <w:tab w:leader="none" w:pos="156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 w:lineRule="exact"/>
        <w:rPr>
          <w:sz w:val="20"/>
          <w:szCs w:val="20"/>
          <w:color w:val="auto"/>
        </w:rPr>
      </w:pPr>
    </w:p>
    <w:p>
      <w:pPr>
        <w:ind w:left="1580" w:right="660"/>
        <w:spacing w:after="0" w:line="269"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 beneficial owner of more than 5 percent of the class of securities, check the following [ ].</w:t>
      </w:r>
    </w:p>
    <w:p>
      <w:pPr>
        <w:spacing w:after="0" w:line="177" w:lineRule="exact"/>
        <w:rPr>
          <w:sz w:val="20"/>
          <w:szCs w:val="20"/>
          <w:color w:val="auto"/>
        </w:rPr>
      </w:pPr>
    </w:p>
    <w:p>
      <w:pPr>
        <w:ind w:left="100"/>
        <w:spacing w:after="0"/>
        <w:tabs>
          <w:tab w:leader="none" w:pos="156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22" w:lineRule="exact"/>
        <w:rPr>
          <w:sz w:val="20"/>
          <w:szCs w:val="20"/>
          <w:color w:val="auto"/>
        </w:rPr>
      </w:pPr>
    </w:p>
    <w:p>
      <w:pPr>
        <w:ind w:left="1580"/>
        <w:spacing w:after="0" w:line="244" w:lineRule="auto"/>
        <w:rPr>
          <w:sz w:val="20"/>
          <w:szCs w:val="20"/>
          <w:color w:val="auto"/>
        </w:rPr>
      </w:pPr>
      <w:r>
        <w:rPr>
          <w:rFonts w:ascii="Arial" w:cs="Arial" w:eastAsia="Arial" w:hAnsi="Arial"/>
          <w:sz w:val="20"/>
          <w:szCs w:val="20"/>
          <w:color w:val="auto"/>
        </w:rPr>
        <w:t>Point72 Associates has the right to receive or the power to direct the receipt of dividends from, or the proceeds from the sale of, more than 5 percent of the outstanding Shares.</w:t>
      </w:r>
    </w:p>
    <w:p>
      <w:pPr>
        <w:spacing w:after="0" w:line="199" w:lineRule="exact"/>
        <w:rPr>
          <w:sz w:val="20"/>
          <w:szCs w:val="20"/>
          <w:color w:val="auto"/>
        </w:rPr>
      </w:pPr>
    </w:p>
    <w:p>
      <w:pPr>
        <w:ind w:left="100"/>
        <w:spacing w:after="0"/>
        <w:tabs>
          <w:tab w:leader="none" w:pos="156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w:t>
      </w:r>
    </w:p>
    <w:p>
      <w:pPr>
        <w:spacing w:after="0" w:line="21" w:lineRule="exact"/>
        <w:rPr>
          <w:sz w:val="20"/>
          <w:szCs w:val="20"/>
          <w:color w:val="auto"/>
        </w:rPr>
      </w:pPr>
    </w:p>
    <w:p>
      <w:pPr>
        <w:ind w:left="1580"/>
        <w:spacing w:after="0"/>
        <w:rPr>
          <w:sz w:val="20"/>
          <w:szCs w:val="20"/>
          <w:color w:val="auto"/>
        </w:rPr>
      </w:pPr>
      <w:r>
        <w:rPr>
          <w:rFonts w:ascii="Arial" w:cs="Arial" w:eastAsia="Arial" w:hAnsi="Arial"/>
          <w:sz w:val="20"/>
          <w:szCs w:val="20"/>
          <w:b w:val="1"/>
          <w:bCs w:val="1"/>
          <w:color w:val="auto"/>
        </w:rPr>
        <w:t>Holding Company or Control Person.</w:t>
      </w:r>
    </w:p>
    <w:p>
      <w:pPr>
        <w:ind w:left="1580"/>
        <w:spacing w:after="0"/>
        <w:rPr>
          <w:sz w:val="20"/>
          <w:szCs w:val="20"/>
          <w:color w:val="auto"/>
        </w:rPr>
      </w:pPr>
      <w:r>
        <w:rPr>
          <w:rFonts w:ascii="Arial" w:cs="Arial" w:eastAsia="Arial" w:hAnsi="Arial"/>
          <w:sz w:val="20"/>
          <w:szCs w:val="20"/>
          <w:color w:val="auto"/>
        </w:rPr>
        <w:t>Not applicable.</w:t>
      </w:r>
    </w:p>
    <w:p>
      <w:pPr>
        <w:spacing w:after="0" w:line="207" w:lineRule="exact"/>
        <w:rPr>
          <w:sz w:val="20"/>
          <w:szCs w:val="20"/>
          <w:color w:val="auto"/>
        </w:rPr>
      </w:pPr>
    </w:p>
    <w:p>
      <w:pPr>
        <w:ind w:left="100"/>
        <w:spacing w:after="0"/>
        <w:tabs>
          <w:tab w:leader="none" w:pos="156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2" w:lineRule="exact"/>
        <w:rPr>
          <w:sz w:val="20"/>
          <w:szCs w:val="20"/>
          <w:color w:val="auto"/>
        </w:rPr>
      </w:pPr>
    </w:p>
    <w:p>
      <w:pPr>
        <w:jc w:val="center"/>
        <w:ind w:right="6860"/>
        <w:spacing w:after="0"/>
        <w:rPr>
          <w:sz w:val="20"/>
          <w:szCs w:val="20"/>
          <w:color w:val="auto"/>
        </w:rPr>
      </w:pPr>
      <w:r>
        <w:rPr>
          <w:rFonts w:ascii="Arial" w:cs="Arial" w:eastAsia="Arial" w:hAnsi="Arial"/>
          <w:sz w:val="20"/>
          <w:szCs w:val="20"/>
          <w:color w:val="auto"/>
        </w:rPr>
        <w:t>Not applicable.</w:t>
      </w:r>
    </w:p>
    <w:p>
      <w:pPr>
        <w:spacing w:after="0" w:line="207" w:lineRule="exact"/>
        <w:rPr>
          <w:sz w:val="20"/>
          <w:szCs w:val="20"/>
          <w:color w:val="auto"/>
        </w:rPr>
      </w:pPr>
    </w:p>
    <w:p>
      <w:pPr>
        <w:ind w:left="100"/>
        <w:spacing w:after="0"/>
        <w:tabs>
          <w:tab w:leader="none" w:pos="156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 w:lineRule="exact"/>
        <w:rPr>
          <w:sz w:val="20"/>
          <w:szCs w:val="20"/>
          <w:color w:val="auto"/>
        </w:rPr>
      </w:pPr>
    </w:p>
    <w:p>
      <w:pPr>
        <w:ind w:left="1580"/>
        <w:spacing w:after="0"/>
        <w:rPr>
          <w:sz w:val="20"/>
          <w:szCs w:val="20"/>
          <w:color w:val="auto"/>
        </w:rPr>
      </w:pPr>
      <w:r>
        <w:rPr>
          <w:rFonts w:ascii="Arial" w:cs="Arial" w:eastAsia="Arial" w:hAnsi="Arial"/>
          <w:sz w:val="20"/>
          <w:szCs w:val="20"/>
          <w:color w:val="auto"/>
        </w:rPr>
        <w:t>Not applicable.</w:t>
      </w:r>
    </w:p>
    <w:p>
      <w:pPr>
        <w:spacing w:after="0" w:line="207" w:lineRule="exact"/>
        <w:rPr>
          <w:sz w:val="20"/>
          <w:szCs w:val="20"/>
          <w:color w:val="auto"/>
        </w:rPr>
      </w:pPr>
    </w:p>
    <w:p>
      <w:pPr>
        <w:ind w:left="100"/>
        <w:spacing w:after="0"/>
        <w:tabs>
          <w:tab w:leader="none" w:pos="156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2"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By signing below each Reporting Person certifies that, to the best of its knowledge and belief, the securities referred to</w:t>
      </w:r>
    </w:p>
    <w:p>
      <w:pPr>
        <w:spacing w:after="0" w:line="2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above were not acquired and are not held for the purpose of or with the effect of changing or influencing the control of</w:t>
      </w:r>
    </w:p>
    <w:p>
      <w:pPr>
        <w:spacing w:after="0" w:line="23" w:lineRule="exact"/>
        <w:rPr>
          <w:sz w:val="20"/>
          <w:szCs w:val="20"/>
          <w:color w:val="auto"/>
        </w:rPr>
      </w:pPr>
    </w:p>
    <w:p>
      <w:pPr>
        <w:ind w:left="1580"/>
        <w:spacing w:after="0"/>
        <w:rPr>
          <w:sz w:val="20"/>
          <w:szCs w:val="20"/>
          <w:color w:val="auto"/>
        </w:rPr>
      </w:pPr>
      <w:r>
        <w:rPr>
          <w:rFonts w:ascii="Arial" w:cs="Arial" w:eastAsia="Arial" w:hAnsi="Arial"/>
          <w:sz w:val="19"/>
          <w:szCs w:val="19"/>
          <w:color w:val="auto"/>
        </w:rPr>
        <w:t>the issuer of the securities and were not acquired and are not held in connection with or as a participant in any</w:t>
      </w:r>
    </w:p>
    <w:p>
      <w:pPr>
        <w:spacing w:after="0" w:line="11" w:lineRule="exact"/>
        <w:rPr>
          <w:sz w:val="20"/>
          <w:szCs w:val="20"/>
          <w:color w:val="auto"/>
        </w:rPr>
      </w:pPr>
    </w:p>
    <w:p>
      <w:pPr>
        <w:ind w:left="1580"/>
        <w:spacing w:after="0"/>
        <w:rPr>
          <w:sz w:val="20"/>
          <w:szCs w:val="20"/>
          <w:color w:val="auto"/>
        </w:rPr>
      </w:pPr>
      <w:r>
        <w:rPr>
          <w:rFonts w:ascii="Arial" w:cs="Arial" w:eastAsia="Arial" w:hAnsi="Arial"/>
          <w:sz w:val="20"/>
          <w:szCs w:val="20"/>
          <w:color w:val="auto"/>
        </w:rPr>
        <w:t>transaction having that purpose or effect.</w:t>
      </w:r>
    </w:p>
    <w:p>
      <w:pPr>
        <w:sectPr>
          <w:pgSz w:w="11900" w:h="16838" w:orient="portrait"/>
          <w:cols w:equalWidth="0" w:num="1">
            <w:col w:w="11240"/>
          </w:cols>
          <w:pgMar w:left="320" w:top="229" w:right="339" w:bottom="1440" w:gutter="0" w:footer="0" w:header="0"/>
          <w:type w:val="continuous"/>
        </w:sectPr>
      </w:pPr>
    </w:p>
    <w:bookmarkStart w:id="6" w:name="page7"/>
    <w:bookmarkEnd w:id="6"/>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23256X100</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7 of 7 Pages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SIGNATURE</w:t>
      </w:r>
    </w:p>
    <w:p>
      <w:pPr>
        <w:spacing w:after="0" w:line="222" w:lineRule="exact"/>
        <w:rPr>
          <w:sz w:val="20"/>
          <w:szCs w:val="20"/>
          <w:color w:val="auto"/>
        </w:rPr>
      </w:pPr>
    </w:p>
    <w:p>
      <w:pPr>
        <w:ind w:right="180" w:firstLine="648"/>
        <w:spacing w:after="0" w:line="260" w:lineRule="auto"/>
        <w:rPr>
          <w:sz w:val="20"/>
          <w:szCs w:val="20"/>
          <w:color w:val="auto"/>
        </w:rPr>
      </w:pPr>
      <w:r>
        <w:rPr>
          <w:rFonts w:ascii="Arial" w:cs="Arial" w:eastAsia="Arial" w:hAnsi="Arial"/>
          <w:sz w:val="20"/>
          <w:szCs w:val="20"/>
          <w:color w:val="auto"/>
        </w:rPr>
        <w:t>After reasonable inquiry and to the best of my knowledge and belief, each of the undersigned certifies that the information set forth in this statement is true, complete and correct.</w:t>
      </w:r>
    </w:p>
    <w:p>
      <w:pPr>
        <w:spacing w:after="0" w:line="19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Date: September 15, 2023</w:t>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20"/>
          <w:szCs w:val="20"/>
          <w:b w:val="1"/>
          <w:bCs w:val="1"/>
          <w:color w:val="auto"/>
        </w:rPr>
        <w:t>POINT72 ASSET MANAGEMENT, L.P.</w:t>
      </w:r>
    </w:p>
    <w:p>
      <w:pPr>
        <w:spacing w:after="0" w:line="21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Jason M. Colombo</w:t>
      </w:r>
    </w:p>
    <w:p>
      <w:pPr>
        <w:spacing w:after="0" w:line="15" w:lineRule="exact"/>
        <w:rPr>
          <w:sz w:val="20"/>
          <w:szCs w:val="20"/>
          <w:color w:val="auto"/>
        </w:rPr>
      </w:pPr>
    </w:p>
    <w:p>
      <w:pPr>
        <w:ind w:left="5600"/>
        <w:spacing w:after="0"/>
        <w:rPr>
          <w:sz w:val="20"/>
          <w:szCs w:val="20"/>
          <w:color w:val="auto"/>
        </w:rPr>
      </w:pPr>
      <w:r>
        <w:rPr>
          <w:rFonts w:ascii="Arial" w:cs="Arial" w:eastAsia="Arial" w:hAnsi="Arial"/>
          <w:sz w:val="20"/>
          <w:szCs w:val="20"/>
          <w:color w:val="auto"/>
        </w:rPr>
        <w:t>Name: Jason M. Colombo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-144780</wp:posOffset>
            </wp:positionV>
            <wp:extent cx="32746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ind w:left="5600"/>
        <w:spacing w:after="0"/>
        <w:tabs>
          <w:tab w:leader="none" w:pos="62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Authorized Person</w:t>
      </w:r>
    </w:p>
    <w:p>
      <w:pPr>
        <w:spacing w:after="0" w:line="200" w:lineRule="exact"/>
        <w:rPr>
          <w:sz w:val="20"/>
          <w:szCs w:val="20"/>
          <w:color w:val="auto"/>
        </w:rPr>
      </w:pPr>
    </w:p>
    <w:p>
      <w:pPr>
        <w:spacing w:after="0" w:line="237" w:lineRule="exact"/>
        <w:rPr>
          <w:sz w:val="20"/>
          <w:szCs w:val="20"/>
          <w:color w:val="auto"/>
        </w:rPr>
      </w:pPr>
    </w:p>
    <w:p>
      <w:pPr>
        <w:ind w:left="5600"/>
        <w:spacing w:after="0"/>
        <w:rPr>
          <w:sz w:val="20"/>
          <w:szCs w:val="20"/>
          <w:color w:val="auto"/>
        </w:rPr>
      </w:pPr>
      <w:r>
        <w:rPr>
          <w:rFonts w:ascii="Arial" w:cs="Arial" w:eastAsia="Arial" w:hAnsi="Arial"/>
          <w:sz w:val="20"/>
          <w:szCs w:val="20"/>
          <w:b w:val="1"/>
          <w:bCs w:val="1"/>
          <w:color w:val="auto"/>
        </w:rPr>
        <w:t>POINT72 CAPITAL ADVISORS, INC.</w:t>
      </w:r>
    </w:p>
    <w:p>
      <w:pPr>
        <w:spacing w:after="0" w:line="235"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Jason M. Colombo</w:t>
      </w:r>
    </w:p>
    <w:p>
      <w:pPr>
        <w:spacing w:after="0" w:line="15" w:lineRule="exact"/>
        <w:rPr>
          <w:sz w:val="20"/>
          <w:szCs w:val="20"/>
          <w:color w:val="auto"/>
        </w:rPr>
      </w:pPr>
    </w:p>
    <w:p>
      <w:pPr>
        <w:ind w:left="5600"/>
        <w:spacing w:after="0"/>
        <w:rPr>
          <w:sz w:val="20"/>
          <w:szCs w:val="20"/>
          <w:color w:val="auto"/>
        </w:rPr>
      </w:pPr>
      <w:r>
        <w:rPr>
          <w:rFonts w:ascii="Arial" w:cs="Arial" w:eastAsia="Arial" w:hAnsi="Arial"/>
          <w:sz w:val="20"/>
          <w:szCs w:val="20"/>
          <w:color w:val="auto"/>
        </w:rPr>
        <w:t>Name: Jason M. Colombo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-144780</wp:posOffset>
            </wp:positionV>
            <wp:extent cx="32746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5600"/>
        <w:spacing w:after="0"/>
        <w:tabs>
          <w:tab w:leader="none" w:pos="62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Authorized Person</w:t>
      </w:r>
    </w:p>
    <w:p>
      <w:pPr>
        <w:spacing w:after="0" w:line="200" w:lineRule="exact"/>
        <w:rPr>
          <w:sz w:val="20"/>
          <w:szCs w:val="20"/>
          <w:color w:val="auto"/>
        </w:rPr>
      </w:pPr>
    </w:p>
    <w:p>
      <w:pPr>
        <w:spacing w:after="0" w:line="237" w:lineRule="exact"/>
        <w:rPr>
          <w:sz w:val="20"/>
          <w:szCs w:val="20"/>
          <w:color w:val="auto"/>
        </w:rPr>
      </w:pPr>
    </w:p>
    <w:p>
      <w:pPr>
        <w:ind w:left="5600"/>
        <w:spacing w:after="0"/>
        <w:rPr>
          <w:sz w:val="20"/>
          <w:szCs w:val="20"/>
          <w:color w:val="auto"/>
        </w:rPr>
      </w:pPr>
      <w:r>
        <w:rPr>
          <w:rFonts w:ascii="Arial" w:cs="Arial" w:eastAsia="Arial" w:hAnsi="Arial"/>
          <w:sz w:val="20"/>
          <w:szCs w:val="20"/>
          <w:b w:val="1"/>
          <w:bCs w:val="1"/>
          <w:color w:val="auto"/>
        </w:rPr>
        <w:t>STEVEN A. COHEN</w:t>
      </w:r>
    </w:p>
    <w:p>
      <w:pPr>
        <w:spacing w:after="0" w:line="235"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Jason M. Colombo</w:t>
      </w:r>
    </w:p>
    <w:p>
      <w:pPr>
        <w:spacing w:after="0" w:line="15" w:lineRule="exact"/>
        <w:rPr>
          <w:sz w:val="20"/>
          <w:szCs w:val="20"/>
          <w:color w:val="auto"/>
        </w:rPr>
      </w:pPr>
    </w:p>
    <w:p>
      <w:pPr>
        <w:ind w:left="5600"/>
        <w:spacing w:after="0"/>
        <w:rPr>
          <w:sz w:val="20"/>
          <w:szCs w:val="20"/>
          <w:color w:val="auto"/>
        </w:rPr>
      </w:pPr>
      <w:r>
        <w:rPr>
          <w:rFonts w:ascii="Arial" w:cs="Arial" w:eastAsia="Arial" w:hAnsi="Arial"/>
          <w:sz w:val="20"/>
          <w:szCs w:val="20"/>
          <w:color w:val="auto"/>
        </w:rPr>
        <w:t>Name: Jason M. Colombo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-144780</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5600"/>
        <w:spacing w:after="0"/>
        <w:tabs>
          <w:tab w:leader="none" w:pos="62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Authorized Person</w:t>
      </w:r>
    </w:p>
    <w:p>
      <w:pPr>
        <w:sectPr>
          <w:pgSz w:w="11900" w:h="16838" w:orient="portrait"/>
          <w:cols w:equalWidth="0" w:num="1">
            <w:col w:w="11240"/>
          </w:cols>
          <w:pgMar w:left="320" w:top="229"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20"/>
          <w:szCs w:val="20"/>
          <w:b w:val="1"/>
          <w:bCs w:val="1"/>
          <w:color w:val="auto"/>
        </w:rPr>
        <w:t>EXHIBIT 99.1</w:t>
      </w:r>
    </w:p>
    <w:p>
      <w:pPr>
        <w:spacing w:after="0" w:line="229" w:lineRule="exact"/>
        <w:rPr>
          <w:sz w:val="20"/>
          <w:szCs w:val="20"/>
          <w:color w:val="auto"/>
        </w:rPr>
      </w:pPr>
    </w:p>
    <w:p>
      <w:pPr>
        <w:ind w:left="4280"/>
        <w:spacing w:after="0"/>
        <w:rPr>
          <w:sz w:val="20"/>
          <w:szCs w:val="20"/>
          <w:color w:val="auto"/>
        </w:rPr>
      </w:pPr>
      <w:r>
        <w:rPr>
          <w:rFonts w:ascii="Arial" w:cs="Arial" w:eastAsia="Arial" w:hAnsi="Arial"/>
          <w:sz w:val="20"/>
          <w:szCs w:val="20"/>
          <w:b w:val="1"/>
          <w:bCs w:val="1"/>
          <w:color w:val="auto"/>
        </w:rPr>
        <w:t>JOINT FILING AGREEMENT</w:t>
      </w:r>
    </w:p>
    <w:p>
      <w:pPr>
        <w:spacing w:after="0" w:line="22"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PURSUANT TO RULE 13d-1(k)</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96" w:lineRule="exact"/>
        <w:rPr>
          <w:sz w:val="20"/>
          <w:szCs w:val="20"/>
          <w:color w:val="auto"/>
        </w:rPr>
      </w:pPr>
    </w:p>
    <w:p>
      <w:pPr>
        <w:ind w:left="100"/>
        <w:spacing w:after="0"/>
        <w:rPr>
          <w:sz w:val="20"/>
          <w:szCs w:val="20"/>
          <w:color w:val="auto"/>
        </w:rPr>
      </w:pPr>
      <w:r>
        <w:rPr>
          <w:rFonts w:ascii="Arial" w:cs="Arial" w:eastAsia="Arial" w:hAnsi="Arial"/>
          <w:sz w:val="20"/>
          <w:szCs w:val="20"/>
          <w:color w:val="auto"/>
        </w:rPr>
        <w:t>Date: September 15, 2023</w:t>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20"/>
          <w:szCs w:val="20"/>
          <w:b w:val="1"/>
          <w:bCs w:val="1"/>
          <w:color w:val="auto"/>
        </w:rPr>
        <w:t>POINT72 ASSET MANAGEMENT, L.P.</w:t>
      </w:r>
    </w:p>
    <w:p>
      <w:pPr>
        <w:spacing w:after="0" w:line="21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Jason M. Colombo</w:t>
      </w:r>
    </w:p>
    <w:p>
      <w:pPr>
        <w:spacing w:after="0" w:line="15" w:lineRule="exact"/>
        <w:rPr>
          <w:sz w:val="20"/>
          <w:szCs w:val="20"/>
          <w:color w:val="auto"/>
        </w:rPr>
      </w:pPr>
    </w:p>
    <w:p>
      <w:pPr>
        <w:ind w:left="5600"/>
        <w:spacing w:after="0"/>
        <w:rPr>
          <w:sz w:val="20"/>
          <w:szCs w:val="20"/>
          <w:color w:val="auto"/>
        </w:rPr>
      </w:pPr>
      <w:r>
        <w:rPr>
          <w:rFonts w:ascii="Arial" w:cs="Arial" w:eastAsia="Arial" w:hAnsi="Arial"/>
          <w:sz w:val="20"/>
          <w:szCs w:val="20"/>
          <w:color w:val="auto"/>
        </w:rPr>
        <w:t>Name: Jason M. Colombo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-144780</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ind w:left="5600"/>
        <w:spacing w:after="0"/>
        <w:tabs>
          <w:tab w:leader="none" w:pos="62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Authorized Person</w:t>
      </w:r>
    </w:p>
    <w:p>
      <w:pPr>
        <w:spacing w:after="0" w:line="200" w:lineRule="exact"/>
        <w:rPr>
          <w:sz w:val="20"/>
          <w:szCs w:val="20"/>
          <w:color w:val="auto"/>
        </w:rPr>
      </w:pPr>
    </w:p>
    <w:p>
      <w:pPr>
        <w:spacing w:after="0" w:line="237" w:lineRule="exact"/>
        <w:rPr>
          <w:sz w:val="20"/>
          <w:szCs w:val="20"/>
          <w:color w:val="auto"/>
        </w:rPr>
      </w:pPr>
    </w:p>
    <w:p>
      <w:pPr>
        <w:ind w:left="5600"/>
        <w:spacing w:after="0"/>
        <w:rPr>
          <w:sz w:val="20"/>
          <w:szCs w:val="20"/>
          <w:color w:val="auto"/>
        </w:rPr>
      </w:pPr>
      <w:r>
        <w:rPr>
          <w:rFonts w:ascii="Arial" w:cs="Arial" w:eastAsia="Arial" w:hAnsi="Arial"/>
          <w:sz w:val="20"/>
          <w:szCs w:val="20"/>
          <w:b w:val="1"/>
          <w:bCs w:val="1"/>
          <w:color w:val="auto"/>
        </w:rPr>
        <w:t>POINT72 CAPITAL ADVISORS, INC.</w:t>
      </w:r>
    </w:p>
    <w:p>
      <w:pPr>
        <w:spacing w:after="0" w:line="235"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Jason M. Colombo</w:t>
      </w:r>
    </w:p>
    <w:p>
      <w:pPr>
        <w:spacing w:after="0" w:line="15" w:lineRule="exact"/>
        <w:rPr>
          <w:sz w:val="20"/>
          <w:szCs w:val="20"/>
          <w:color w:val="auto"/>
        </w:rPr>
      </w:pPr>
    </w:p>
    <w:p>
      <w:pPr>
        <w:ind w:left="5600"/>
        <w:spacing w:after="0"/>
        <w:rPr>
          <w:sz w:val="20"/>
          <w:szCs w:val="20"/>
          <w:color w:val="auto"/>
        </w:rPr>
      </w:pPr>
      <w:r>
        <w:rPr>
          <w:rFonts w:ascii="Arial" w:cs="Arial" w:eastAsia="Arial" w:hAnsi="Arial"/>
          <w:sz w:val="20"/>
          <w:szCs w:val="20"/>
          <w:color w:val="auto"/>
        </w:rPr>
        <w:t>Name: Jason M. Colombo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-144780</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5600"/>
        <w:spacing w:after="0"/>
        <w:tabs>
          <w:tab w:leader="none" w:pos="62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Authorized Person</w:t>
      </w:r>
    </w:p>
    <w:p>
      <w:pPr>
        <w:spacing w:after="0" w:line="200" w:lineRule="exact"/>
        <w:rPr>
          <w:sz w:val="20"/>
          <w:szCs w:val="20"/>
          <w:color w:val="auto"/>
        </w:rPr>
      </w:pPr>
    </w:p>
    <w:p>
      <w:pPr>
        <w:spacing w:after="0" w:line="237" w:lineRule="exact"/>
        <w:rPr>
          <w:sz w:val="20"/>
          <w:szCs w:val="20"/>
          <w:color w:val="auto"/>
        </w:rPr>
      </w:pPr>
    </w:p>
    <w:p>
      <w:pPr>
        <w:ind w:left="5600"/>
        <w:spacing w:after="0"/>
        <w:rPr>
          <w:sz w:val="20"/>
          <w:szCs w:val="20"/>
          <w:color w:val="auto"/>
        </w:rPr>
      </w:pPr>
      <w:r>
        <w:rPr>
          <w:rFonts w:ascii="Arial" w:cs="Arial" w:eastAsia="Arial" w:hAnsi="Arial"/>
          <w:sz w:val="20"/>
          <w:szCs w:val="20"/>
          <w:b w:val="1"/>
          <w:bCs w:val="1"/>
          <w:color w:val="auto"/>
        </w:rPr>
        <w:t>STEVEN A. COHEN</w:t>
      </w:r>
    </w:p>
    <w:p>
      <w:pPr>
        <w:spacing w:after="0" w:line="235"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Jason M. Colombo</w:t>
      </w:r>
    </w:p>
    <w:p>
      <w:pPr>
        <w:spacing w:after="0" w:line="15" w:lineRule="exact"/>
        <w:rPr>
          <w:sz w:val="20"/>
          <w:szCs w:val="20"/>
          <w:color w:val="auto"/>
        </w:rPr>
      </w:pPr>
    </w:p>
    <w:p>
      <w:pPr>
        <w:ind w:left="5600"/>
        <w:spacing w:after="0"/>
        <w:rPr>
          <w:sz w:val="20"/>
          <w:szCs w:val="20"/>
          <w:color w:val="auto"/>
        </w:rPr>
      </w:pPr>
      <w:r>
        <w:rPr>
          <w:rFonts w:ascii="Arial" w:cs="Arial" w:eastAsia="Arial" w:hAnsi="Arial"/>
          <w:sz w:val="20"/>
          <w:szCs w:val="20"/>
          <w:color w:val="auto"/>
        </w:rPr>
        <w:t>Name: Jason M. Colombo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-144780</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ind w:left="5600"/>
        <w:spacing w:after="0"/>
        <w:tabs>
          <w:tab w:leader="none" w:pos="62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Authorized Person</w:t>
      </w:r>
    </w:p>
    <w:sectPr>
      <w:pgSz w:w="11900" w:h="16838" w:orient="portrait"/>
      <w:cols w:equalWidth="0" w:num="1">
        <w:col w:w="11240"/>
      </w:cols>
      <w:pgMar w:left="320" w:top="4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bullet"/>
      <w:start w:val="1"/>
    </w:lvl>
  </w:abstractNum>
  <w:abstractNum w:abstractNumId="6">
    <w:nsid w:val="4DB127F8"/>
    <w:multiLevelType w:val="hybridMultilevel"/>
    <w:lvl w:ilvl="0">
      <w:lvlJc w:val="left"/>
      <w:lvlText w:val="2"/>
      <w:numFmt w:val="bullet"/>
      <w:start w:val="1"/>
    </w:lvl>
  </w:abstractNum>
  <w:abstractNum w:abstractNumId="7">
    <w:nsid w:val="216231B"/>
    <w:multiLevelType w:val="hybridMultilevel"/>
    <w:lvl w:ilvl="0">
      <w:lvlJc w:val="left"/>
      <w:lvlText w:val="3"/>
      <w:numFmt w:val="bullet"/>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bullet"/>
      <w:start w:val="1"/>
    </w:lvl>
  </w:abstractNum>
  <w:abstractNum w:abstractNumId="10">
    <w:nsid w:val="66EF438D"/>
    <w:multiLevelType w:val="hybridMultilevel"/>
    <w:lvl w:ilvl="0">
      <w:lvlJc w:val="left"/>
      <w:lvlText w:val="2"/>
      <w:numFmt w:val="bullet"/>
      <w:start w:val="1"/>
    </w:lvl>
  </w:abstractNum>
  <w:abstractNum w:abstractNumId="11">
    <w:nsid w:val="140E0F76"/>
    <w:multiLevelType w:val="hybridMultilevel"/>
    <w:lvl w:ilvl="0">
      <w:lvlJc w:val="left"/>
      <w:lvlText w:val="3"/>
      <w:numFmt w:val="bullet"/>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2023-09-15T16:14:48Z</dcterms:created>
  <dcterms:modified xsi:type="dcterms:W3CDTF">2023-09-15T16:14:48Z</dcterms:modified>
</cp:coreProperties>
</file>