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August,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0"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91" w:lineRule="exact"/>
        <w:rPr>
          <w:sz w:val="24"/>
          <w:szCs w:val="24"/>
          <w:color w:val="auto"/>
        </w:rPr>
      </w:pPr>
    </w:p>
    <w:p>
      <w:pPr>
        <w:spacing w:after="0" w:line="207" w:lineRule="exact"/>
        <w:tabs>
          <w:tab w:leader="none" w:pos="13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1"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526"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2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(Registrant)</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Date: August 12, 2021</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Doug Drysdale</w:t>
            </w:r>
          </w:p>
        </w:tc>
      </w:tr>
      <w:tr>
        <w:trPr>
          <w:trHeight w:val="195"/>
        </w:trPr>
        <w:tc>
          <w:tcPr>
            <w:tcW w:w="36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Doug Drysdale</w:t>
            </w:r>
          </w:p>
        </w:tc>
      </w:tr>
      <w:tr>
        <w:trPr>
          <w:trHeight w:val="230"/>
        </w:trPr>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News Release dated August 12, 2021</w:t>
      </w:r>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171450</wp:posOffset>
            </wp:positionV>
            <wp:extent cx="1877060" cy="1140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Additional Adelia Milestone Achievements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August 12,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biotechnology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focused on psychedelic pharmaceutical therapies, is pleased to announce that Adelia Therapeutics Inc. (“</w:t>
      </w:r>
      <w:r>
        <w:rPr>
          <w:rFonts w:ascii="Arial" w:cs="Arial" w:eastAsia="Arial" w:hAnsi="Arial"/>
          <w:sz w:val="17"/>
          <w:szCs w:val="17"/>
          <w:b w:val="1"/>
          <w:bCs w:val="1"/>
          <w:color w:val="auto"/>
        </w:rPr>
        <w:t>Adelia</w:t>
      </w:r>
      <w:r>
        <w:rPr>
          <w:rFonts w:ascii="Arial" w:cs="Arial" w:eastAsia="Arial" w:hAnsi="Arial"/>
          <w:sz w:val="17"/>
          <w:szCs w:val="17"/>
          <w:color w:val="auto"/>
        </w:rPr>
        <w:t>”), a wholly-controlled subsidiary of Cybin, has achieved certain milestones for Year 1 Q3 (i)-(iii), and Year 1 Q4 (iii), as contemplated by the terms of a contribution agreement dated December 4, 2020 (the “</w:t>
      </w:r>
      <w:r>
        <w:rPr>
          <w:rFonts w:ascii="Arial" w:cs="Arial" w:eastAsia="Arial" w:hAnsi="Arial"/>
          <w:sz w:val="17"/>
          <w:szCs w:val="17"/>
          <w:b w:val="1"/>
          <w:bCs w:val="1"/>
          <w:color w:val="auto"/>
        </w:rPr>
        <w:t>Transaction Agreement</w:t>
      </w:r>
      <w:r>
        <w:rPr>
          <w:rFonts w:ascii="Arial" w:cs="Arial" w:eastAsia="Arial" w:hAnsi="Arial"/>
          <w:sz w:val="17"/>
          <w:szCs w:val="17"/>
          <w:color w:val="auto"/>
        </w:rPr>
        <w:t>”) among Cybin, Cybin Corp., Cybin US Holdings Inc. (the “</w:t>
      </w:r>
      <w:r>
        <w:rPr>
          <w:rFonts w:ascii="Arial" w:cs="Arial" w:eastAsia="Arial" w:hAnsi="Arial"/>
          <w:sz w:val="17"/>
          <w:szCs w:val="17"/>
          <w:b w:val="1"/>
          <w:bCs w:val="1"/>
          <w:color w:val="auto"/>
        </w:rPr>
        <w:t>Acquiror</w:t>
      </w:r>
      <w:r>
        <w:rPr>
          <w:rFonts w:ascii="Arial" w:cs="Arial" w:eastAsia="Arial" w:hAnsi="Arial"/>
          <w:sz w:val="17"/>
          <w:szCs w:val="17"/>
          <w:color w:val="auto"/>
        </w:rPr>
        <w:t>”), a wholly-controlled subsidiary of Cybin, and all of the previous shareholders of Adelia (the “</w:t>
      </w:r>
      <w:r>
        <w:rPr>
          <w:rFonts w:ascii="Arial" w:cs="Arial" w:eastAsia="Arial" w:hAnsi="Arial"/>
          <w:sz w:val="17"/>
          <w:szCs w:val="17"/>
          <w:b w:val="1"/>
          <w:bCs w:val="1"/>
          <w:color w:val="auto"/>
        </w:rPr>
        <w:t>Adelia Shareholders</w:t>
      </w:r>
      <w:r>
        <w:rPr>
          <w:rFonts w:ascii="Arial" w:cs="Arial" w:eastAsia="Arial" w:hAnsi="Arial"/>
          <w:sz w:val="17"/>
          <w:szCs w:val="17"/>
          <w:color w:val="auto"/>
        </w:rPr>
        <w:t>”).</w:t>
      </w:r>
    </w:p>
    <w:p>
      <w:pPr>
        <w:spacing w:after="0" w:line="16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Pursuant to the terms of the Transaction Agreement, Class B common shares in the capital of the Acquiror (the “</w:t>
      </w:r>
      <w:r>
        <w:rPr>
          <w:rFonts w:ascii="Arial" w:cs="Arial" w:eastAsia="Arial" w:hAnsi="Arial"/>
          <w:sz w:val="16"/>
          <w:szCs w:val="16"/>
          <w:b w:val="1"/>
          <w:bCs w:val="1"/>
          <w:color w:val="auto"/>
        </w:rPr>
        <w:t>Class B Shares</w:t>
      </w:r>
      <w:r>
        <w:rPr>
          <w:rFonts w:ascii="Arial" w:cs="Arial" w:eastAsia="Arial" w:hAnsi="Arial"/>
          <w:sz w:val="16"/>
          <w:szCs w:val="16"/>
          <w:color w:val="auto"/>
        </w:rPr>
        <w:t>”) shall be issued to the Adelia Shareholders, in satisfaction of the $475,292.63 (approximately US $379,021.24) due to them on meeting a portion of the relevant milestones, at an effective issue price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16"/>
          <w:szCs w:val="16"/>
          <w:b w:val="1"/>
          <w:bCs w:val="1"/>
          <w:color w:val="auto"/>
        </w:rPr>
        <w:t>Cybin Shares</w:t>
      </w:r>
      <w:r>
        <w:rPr>
          <w:rFonts w:ascii="Arial" w:cs="Arial" w:eastAsia="Arial" w:hAnsi="Arial"/>
          <w:sz w:val="16"/>
          <w:szCs w:val="16"/>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6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Additional information related to the transaction is available in the Transaction Agreement, which is filed under Cybin’s profile on SEDAR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Cybin is a leading biotechnology company focused on researching and progressing psychedelic therapeutics by utilizing proprietary drug discovery platforms, innovative drug delivery systems, novel formulation approaches and potential treatment regimens for psychiatric disorders.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Adelia</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 Looking Statements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2021 and the Company’s listing statement dated November 9, 2020, which are available under the Company’s profile on </w:t>
      </w:r>
      <w:r>
        <w:rPr>
          <w:rFonts w:ascii="Arial" w:cs="Arial" w:eastAsia="Arial" w:hAnsi="Arial"/>
          <w:sz w:val="16"/>
          <w:szCs w:val="16"/>
          <w:u w:val="single" w:color="auto"/>
          <w:color w:val="auto"/>
        </w:rPr>
        <w:t>www.sedar.com</w:t>
      </w:r>
      <w:r>
        <w:rPr>
          <w:rFonts w:ascii="Arial" w:cs="Arial" w:eastAsia="Arial" w:hAnsi="Arial"/>
          <w:sz w:val="16"/>
          <w:szCs w:val="16"/>
          <w:color w:val="auto"/>
        </w:rPr>
        <w:t xml:space="preserve"> and with the U.S. Securities and Exchange Commission on EDGAR at </w:t>
      </w:r>
      <w:r>
        <w:rPr>
          <w:rFonts w:ascii="Arial" w:cs="Arial" w:eastAsia="Arial" w:hAnsi="Arial"/>
          <w:sz w:val="16"/>
          <w:szCs w:val="16"/>
          <w:u w:val="single" w:color="auto"/>
          <w:color w:val="auto"/>
        </w:rPr>
        <w:t>www.sec.gov</w:t>
      </w:r>
      <w:r>
        <w:rPr>
          <w:rFonts w:ascii="Arial" w:cs="Arial" w:eastAsia="Arial" w:hAnsi="Arial"/>
          <w:sz w:val="16"/>
          <w:szCs w:val="16"/>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000"/>
          </w:cols>
          <w:pgMar w:left="440" w:top="274" w:right="45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Neo Exchange Inc. has neither approved nor disapproved the contents of this news release and is not responsible for the adequacy and accuracy of the contents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news release are expressed in Canadian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2021-08-12T09:34:03Z</dcterms:created>
  <dcterms:modified xsi:type="dcterms:W3CDTF">2021-08-12T09:34:03Z</dcterms:modified>
</cp:coreProperties>
</file>