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Cybin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Richard Raymer</w:t>
              <w:br/>
              <w:t>Dorsey &amp; Whitney LLP, 66 Wellington Street West, Suite 3400</w:t>
              <w:br/>
              <w:t>Toronto, A6, M5K 1E6</w:t>
              <w:br/>
              <w:t>(416) 367-7370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Glavine Paul</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4,071,252.00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336,204.00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4,071,252.00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336,204.00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4,407,456.00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5.8 %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PLG Family Trust</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336,204.00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336,204.00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336,204.00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0.4 %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Includes 105,263 common shares underlying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08"/>
        <w:gridCol w:w="9097"/>
      </w:tblGrid>
      <w:tr>
        <w:trPr/>
        <w:tc>
          <w:tcPr>
            <w:tcW w:w="1108" w:type="dxa"/>
            <w:tcBorders/>
            <w:vAlign w:val="center"/>
          </w:tcPr>
          <w:p>
            <w:pPr>
              <w:pStyle w:val="TableContents"/>
              <w:bidi w:val="0"/>
              <w:spacing w:before="0" w:after="283"/>
              <w:jc w:val="left"/>
              <w:rPr/>
            </w:pPr>
            <w:r>
              <w:rPr/>
              <w:t>Item 1.</w:t>
            </w:r>
          </w:p>
        </w:tc>
        <w:tc>
          <w:tcPr>
            <w:tcW w:w="9097" w:type="dxa"/>
            <w:tcBorders/>
            <w:vAlign w:val="center"/>
          </w:tcPr>
          <w:p>
            <w:pPr>
              <w:pStyle w:val="TableContents"/>
              <w:bidi w:val="0"/>
              <w:spacing w:before="0" w:after="283"/>
              <w:jc w:val="left"/>
              <w:rPr/>
            </w:pPr>
            <w:r>
              <w:rPr/>
              <w:t>Security and Issuer</w:t>
            </w:r>
          </w:p>
        </w:tc>
      </w:tr>
      <w:tr>
        <w:trPr/>
        <w:tc>
          <w:tcPr>
            <w:tcW w:w="1108" w:type="dxa"/>
            <w:tcBorders/>
            <w:vAlign w:val="center"/>
          </w:tcPr>
          <w:p>
            <w:pPr>
              <w:pStyle w:val="TableContents"/>
              <w:bidi w:val="0"/>
              <w:spacing w:before="0" w:after="283"/>
              <w:jc w:val="left"/>
              <w:rPr/>
            </w:pPr>
            <w:r>
              <w:rPr/>
              <w:t>(a)</w:t>
            </w:r>
          </w:p>
        </w:tc>
        <w:tc>
          <w:tcPr>
            <w:tcW w:w="90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No Par Value</w:t>
            </w:r>
          </w:p>
        </w:tc>
      </w:tr>
      <w:tr>
        <w:trPr/>
        <w:tc>
          <w:tcPr>
            <w:tcW w:w="1108" w:type="dxa"/>
            <w:tcBorders/>
            <w:vAlign w:val="center"/>
          </w:tcPr>
          <w:p>
            <w:pPr>
              <w:pStyle w:val="TableContents"/>
              <w:bidi w:val="0"/>
              <w:spacing w:before="0" w:after="283"/>
              <w:jc w:val="left"/>
              <w:rPr/>
            </w:pPr>
            <w:r>
              <w:rPr/>
              <w:t>(b)</w:t>
            </w:r>
          </w:p>
        </w:tc>
        <w:tc>
          <w:tcPr>
            <w:tcW w:w="9097" w:type="dxa"/>
            <w:tcBorders/>
            <w:vAlign w:val="center"/>
          </w:tcPr>
          <w:p>
            <w:pPr>
              <w:pStyle w:val="TableContents"/>
              <w:bidi w:val="0"/>
              <w:jc w:val="left"/>
              <w:rPr/>
            </w:pPr>
            <w:r>
              <w:rPr/>
              <w:t xml:space="preserve">Name of Issuer: </w:t>
            </w:r>
          </w:p>
          <w:p>
            <w:pPr>
              <w:pStyle w:val="TableContents"/>
              <w:bidi w:val="0"/>
              <w:spacing w:before="0" w:after="0"/>
              <w:jc w:val="left"/>
              <w:rPr/>
            </w:pPr>
            <w:r>
              <w:rPr/>
              <w:t>Cybin Inc.</w:t>
            </w:r>
          </w:p>
        </w:tc>
      </w:tr>
      <w:tr>
        <w:trPr/>
        <w:tc>
          <w:tcPr>
            <w:tcW w:w="1108" w:type="dxa"/>
            <w:tcBorders/>
            <w:vAlign w:val="center"/>
          </w:tcPr>
          <w:p>
            <w:pPr>
              <w:pStyle w:val="TableContents"/>
              <w:bidi w:val="0"/>
              <w:spacing w:before="0" w:after="283"/>
              <w:jc w:val="left"/>
              <w:rPr/>
            </w:pPr>
            <w:r>
              <w:rPr/>
              <w:t>(c)</w:t>
            </w:r>
          </w:p>
        </w:tc>
        <w:tc>
          <w:tcPr>
            <w:tcW w:w="90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King Street West, Suite 5600, Toronto, ONTARIO, CANADA , M5X 1C9.</w:t>
            </w:r>
          </w:p>
        </w:tc>
      </w:tr>
      <w:tr>
        <w:trPr/>
        <w:tc>
          <w:tcPr>
            <w:tcW w:w="1108" w:type="dxa"/>
            <w:tcBorders/>
            <w:vAlign w:val="center"/>
          </w:tcPr>
          <w:p>
            <w:pPr>
              <w:pStyle w:val="TableContents"/>
              <w:bidi w:val="0"/>
              <w:spacing w:before="0" w:after="283"/>
              <w:jc w:val="left"/>
              <w:rPr/>
            </w:pPr>
            <w:r>
              <w:rPr/>
              <w:t>Item 2.</w:t>
            </w:r>
          </w:p>
        </w:tc>
        <w:tc>
          <w:tcPr>
            <w:tcW w:w="9097" w:type="dxa"/>
            <w:tcBorders/>
            <w:vAlign w:val="center"/>
          </w:tcPr>
          <w:p>
            <w:pPr>
              <w:pStyle w:val="TableContents"/>
              <w:bidi w:val="0"/>
              <w:spacing w:before="0" w:after="283"/>
              <w:jc w:val="left"/>
              <w:rPr/>
            </w:pPr>
            <w:r>
              <w:rPr/>
              <w:t>Identity and Background</w:t>
            </w:r>
          </w:p>
        </w:tc>
      </w:tr>
      <w:tr>
        <w:trPr/>
        <w:tc>
          <w:tcPr>
            <w:tcW w:w="1108" w:type="dxa"/>
            <w:tcBorders/>
            <w:vAlign w:val="center"/>
          </w:tcPr>
          <w:p>
            <w:pPr>
              <w:pStyle w:val="TableContents"/>
              <w:bidi w:val="0"/>
              <w:spacing w:before="0" w:after="283"/>
              <w:jc w:val="left"/>
              <w:rPr/>
            </w:pPr>
            <w:r>
              <w:rPr/>
              <w:t>(a)</w:t>
            </w:r>
          </w:p>
        </w:tc>
        <w:tc>
          <w:tcPr>
            <w:tcW w:w="9097" w:type="dxa"/>
            <w:tcBorders/>
            <w:vAlign w:val="center"/>
          </w:tcPr>
          <w:p>
            <w:pPr>
              <w:pStyle w:val="TableContents"/>
              <w:bidi w:val="0"/>
              <w:spacing w:before="0" w:after="0"/>
              <w:jc w:val="left"/>
              <w:rPr/>
            </w:pPr>
            <w:r>
              <w:rPr/>
              <w:t>i) Paul Glavine (the "Reporting Person") ii) PLG Family Trust Collectively, the "Reporting Persons."</w:t>
            </w:r>
          </w:p>
        </w:tc>
      </w:tr>
      <w:tr>
        <w:trPr/>
        <w:tc>
          <w:tcPr>
            <w:tcW w:w="1108" w:type="dxa"/>
            <w:tcBorders/>
            <w:vAlign w:val="center"/>
          </w:tcPr>
          <w:p>
            <w:pPr>
              <w:pStyle w:val="TableContents"/>
              <w:bidi w:val="0"/>
              <w:spacing w:before="0" w:after="283"/>
              <w:jc w:val="left"/>
              <w:rPr/>
            </w:pPr>
            <w:r>
              <w:rPr/>
              <w:t>(b)</w:t>
            </w:r>
          </w:p>
        </w:tc>
        <w:tc>
          <w:tcPr>
            <w:tcW w:w="9097" w:type="dxa"/>
            <w:tcBorders/>
            <w:vAlign w:val="center"/>
          </w:tcPr>
          <w:p>
            <w:pPr>
              <w:pStyle w:val="TableContents"/>
              <w:bidi w:val="0"/>
              <w:spacing w:before="0" w:after="0"/>
              <w:jc w:val="left"/>
              <w:rPr/>
            </w:pPr>
            <w:r>
              <w:rPr/>
              <w:t>c/o Cybin Inc. 100 King Street West, Suite 5600 Toronto, Ontario M5X 1C9</w:t>
            </w:r>
          </w:p>
        </w:tc>
      </w:tr>
      <w:tr>
        <w:trPr/>
        <w:tc>
          <w:tcPr>
            <w:tcW w:w="1108" w:type="dxa"/>
            <w:tcBorders/>
            <w:vAlign w:val="center"/>
          </w:tcPr>
          <w:p>
            <w:pPr>
              <w:pStyle w:val="TableContents"/>
              <w:bidi w:val="0"/>
              <w:spacing w:before="0" w:after="283"/>
              <w:jc w:val="left"/>
              <w:rPr/>
            </w:pPr>
            <w:r>
              <w:rPr/>
              <w:t>(c)</w:t>
            </w:r>
          </w:p>
        </w:tc>
        <w:tc>
          <w:tcPr>
            <w:tcW w:w="9097" w:type="dxa"/>
            <w:tcBorders/>
            <w:vAlign w:val="center"/>
          </w:tcPr>
          <w:p>
            <w:pPr>
              <w:pStyle w:val="TableContents"/>
              <w:bidi w:val="0"/>
              <w:spacing w:before="0" w:after="0"/>
              <w:jc w:val="left"/>
              <w:rPr/>
            </w:pPr>
            <w:r>
              <w:rPr/>
              <w:t>The Reporting Person is the Chief Growth Officer of the Issuer. The Reporting Person is a trustee of the PLG Trust.</w:t>
            </w:r>
          </w:p>
        </w:tc>
      </w:tr>
      <w:tr>
        <w:trPr/>
        <w:tc>
          <w:tcPr>
            <w:tcW w:w="1108" w:type="dxa"/>
            <w:tcBorders/>
            <w:vAlign w:val="center"/>
          </w:tcPr>
          <w:p>
            <w:pPr>
              <w:pStyle w:val="TableContents"/>
              <w:bidi w:val="0"/>
              <w:spacing w:before="0" w:after="283"/>
              <w:jc w:val="left"/>
              <w:rPr/>
            </w:pPr>
            <w:r>
              <w:rPr/>
              <w:t>(d)</w:t>
            </w:r>
          </w:p>
        </w:tc>
        <w:tc>
          <w:tcPr>
            <w:tcW w:w="9097" w:type="dxa"/>
            <w:tcBorders/>
            <w:vAlign w:val="center"/>
          </w:tcPr>
          <w:p>
            <w:pPr>
              <w:pStyle w:val="TableContents"/>
              <w:bidi w:val="0"/>
              <w:spacing w:before="0" w:after="0"/>
              <w:jc w:val="left"/>
              <w:rPr/>
            </w:pPr>
            <w:r>
              <w:rPr/>
              <w:t>The Reporting Persons have not, during the last five years, been convicted in a criminal proceeding (excluding traffic violations or similar misdemeanors).</w:t>
            </w:r>
          </w:p>
        </w:tc>
      </w:tr>
      <w:tr>
        <w:trPr/>
        <w:tc>
          <w:tcPr>
            <w:tcW w:w="1108" w:type="dxa"/>
            <w:tcBorders/>
            <w:vAlign w:val="center"/>
          </w:tcPr>
          <w:p>
            <w:pPr>
              <w:pStyle w:val="TableContents"/>
              <w:bidi w:val="0"/>
              <w:spacing w:before="0" w:after="283"/>
              <w:jc w:val="left"/>
              <w:rPr/>
            </w:pPr>
            <w:r>
              <w:rPr/>
              <w:t>(e)</w:t>
            </w:r>
          </w:p>
        </w:tc>
        <w:tc>
          <w:tcPr>
            <w:tcW w:w="9097" w:type="dxa"/>
            <w:tcBorders/>
            <w:vAlign w:val="center"/>
          </w:tcPr>
          <w:p>
            <w:pPr>
              <w:pStyle w:val="TableContents"/>
              <w:bidi w:val="0"/>
              <w:spacing w:before="0" w:after="0"/>
              <w:jc w:val="left"/>
              <w:rPr/>
            </w:pPr>
            <w:r>
              <w:rPr/>
              <w:t>The Reporting Persons have not,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08" w:type="dxa"/>
            <w:tcBorders/>
            <w:vAlign w:val="center"/>
          </w:tcPr>
          <w:p>
            <w:pPr>
              <w:pStyle w:val="TableContents"/>
              <w:bidi w:val="0"/>
              <w:spacing w:before="0" w:after="283"/>
              <w:jc w:val="left"/>
              <w:rPr/>
            </w:pPr>
            <w:r>
              <w:rPr/>
              <w:t>(f)</w:t>
            </w:r>
          </w:p>
        </w:tc>
        <w:tc>
          <w:tcPr>
            <w:tcW w:w="9097" w:type="dxa"/>
            <w:tcBorders/>
            <w:vAlign w:val="center"/>
          </w:tcPr>
          <w:p>
            <w:pPr>
              <w:pStyle w:val="TableContents"/>
              <w:bidi w:val="0"/>
              <w:spacing w:before="0" w:after="0"/>
              <w:jc w:val="left"/>
              <w:rPr/>
            </w:pPr>
            <w:r>
              <w:rPr/>
              <w:t>i) As to the Reporting Person - Canadian ii) As to PLG Family Trust - Ontario, Canada</w:t>
            </w:r>
          </w:p>
        </w:tc>
      </w:tr>
      <w:tr>
        <w:trPr/>
        <w:tc>
          <w:tcPr>
            <w:tcW w:w="1108" w:type="dxa"/>
            <w:tcBorders/>
            <w:vAlign w:val="center"/>
          </w:tcPr>
          <w:p>
            <w:pPr>
              <w:pStyle w:val="TableContents"/>
              <w:bidi w:val="0"/>
              <w:spacing w:before="0" w:after="283"/>
              <w:jc w:val="left"/>
              <w:rPr/>
            </w:pPr>
            <w:r>
              <w:rPr/>
              <w:t>Item 3.</w:t>
            </w:r>
          </w:p>
        </w:tc>
        <w:tc>
          <w:tcPr>
            <w:tcW w:w="9097" w:type="dxa"/>
            <w:tcBorders/>
            <w:vAlign w:val="center"/>
          </w:tcPr>
          <w:p>
            <w:pPr>
              <w:pStyle w:val="TableContents"/>
              <w:bidi w:val="0"/>
              <w:spacing w:before="0" w:after="283"/>
              <w:jc w:val="left"/>
              <w:rPr/>
            </w:pPr>
            <w:r>
              <w:rPr/>
              <w:t>Source and Amount of Funds or Other Consideration</w:t>
            </w:r>
          </w:p>
        </w:tc>
      </w:tr>
      <w:tr>
        <w:trPr/>
        <w:tc>
          <w:tcPr>
            <w:tcW w:w="1108"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0"/>
              <w:jc w:val="left"/>
              <w:rPr/>
            </w:pPr>
            <w:r>
              <w:rPr/>
              <w:t>The Reporting Person's holdings were acquired by the Reporting Persons using personal funds or through company employee incentive awards. PLG Family Trust's holdings were acquired using working capital of PLG Family Trust.</w:t>
            </w:r>
          </w:p>
        </w:tc>
      </w:tr>
      <w:tr>
        <w:trPr/>
        <w:tc>
          <w:tcPr>
            <w:tcW w:w="1108" w:type="dxa"/>
            <w:tcBorders/>
            <w:vAlign w:val="center"/>
          </w:tcPr>
          <w:p>
            <w:pPr>
              <w:pStyle w:val="TableContents"/>
              <w:bidi w:val="0"/>
              <w:spacing w:before="0" w:after="283"/>
              <w:jc w:val="left"/>
              <w:rPr/>
            </w:pPr>
            <w:r>
              <w:rPr/>
              <w:t>Item 4.</w:t>
            </w:r>
          </w:p>
        </w:tc>
        <w:tc>
          <w:tcPr>
            <w:tcW w:w="9097" w:type="dxa"/>
            <w:tcBorders/>
            <w:vAlign w:val="center"/>
          </w:tcPr>
          <w:p>
            <w:pPr>
              <w:pStyle w:val="TableContents"/>
              <w:bidi w:val="0"/>
              <w:spacing w:before="0" w:after="283"/>
              <w:jc w:val="left"/>
              <w:rPr/>
            </w:pPr>
            <w:r>
              <w:rPr/>
              <w:t>Purpose of Transaction</w:t>
            </w:r>
          </w:p>
        </w:tc>
      </w:tr>
      <w:tr>
        <w:trPr/>
        <w:tc>
          <w:tcPr>
            <w:tcW w:w="1108"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0"/>
              <w:jc w:val="left"/>
              <w:rPr/>
            </w:pPr>
            <w:r>
              <w:rPr/>
              <w:t>Investment purposes and Issuer employee incentive awards</w:t>
            </w:r>
          </w:p>
        </w:tc>
      </w:tr>
      <w:tr>
        <w:trPr/>
        <w:tc>
          <w:tcPr>
            <w:tcW w:w="1108" w:type="dxa"/>
            <w:tcBorders/>
            <w:vAlign w:val="center"/>
          </w:tcPr>
          <w:p>
            <w:pPr>
              <w:pStyle w:val="TableContents"/>
              <w:bidi w:val="0"/>
              <w:spacing w:before="0" w:after="283"/>
              <w:jc w:val="left"/>
              <w:rPr/>
            </w:pPr>
            <w:r>
              <w:rPr/>
              <w:t>Item 5.</w:t>
            </w:r>
          </w:p>
        </w:tc>
        <w:tc>
          <w:tcPr>
            <w:tcW w:w="9097" w:type="dxa"/>
            <w:tcBorders/>
            <w:vAlign w:val="center"/>
          </w:tcPr>
          <w:p>
            <w:pPr>
              <w:pStyle w:val="TableContents"/>
              <w:bidi w:val="0"/>
              <w:spacing w:before="0" w:after="283"/>
              <w:jc w:val="left"/>
              <w:rPr/>
            </w:pPr>
            <w:r>
              <w:rPr/>
              <w:t>Interest in Securities of the Issuer</w:t>
            </w:r>
          </w:p>
        </w:tc>
      </w:tr>
      <w:tr>
        <w:trPr/>
        <w:tc>
          <w:tcPr>
            <w:tcW w:w="1108" w:type="dxa"/>
            <w:tcBorders/>
            <w:vAlign w:val="center"/>
          </w:tcPr>
          <w:p>
            <w:pPr>
              <w:pStyle w:val="TableContents"/>
              <w:bidi w:val="0"/>
              <w:spacing w:before="0" w:after="283"/>
              <w:jc w:val="left"/>
              <w:rPr/>
            </w:pPr>
            <w:r>
              <w:rPr/>
              <w:t>(a)</w:t>
            </w:r>
          </w:p>
        </w:tc>
        <w:tc>
          <w:tcPr>
            <w:tcW w:w="9097" w:type="dxa"/>
            <w:tcBorders/>
            <w:vAlign w:val="center"/>
          </w:tcPr>
          <w:p>
            <w:pPr>
              <w:pStyle w:val="TableContents"/>
              <w:bidi w:val="0"/>
              <w:spacing w:before="0" w:after="0"/>
              <w:jc w:val="left"/>
              <w:rPr/>
            </w:pPr>
            <w:r>
              <w:rPr/>
              <w:t>5.8%</w:t>
            </w:r>
          </w:p>
        </w:tc>
      </w:tr>
      <w:tr>
        <w:trPr/>
        <w:tc>
          <w:tcPr>
            <w:tcW w:w="1108" w:type="dxa"/>
            <w:tcBorders/>
            <w:vAlign w:val="center"/>
          </w:tcPr>
          <w:p>
            <w:pPr>
              <w:pStyle w:val="TableContents"/>
              <w:bidi w:val="0"/>
              <w:spacing w:before="0" w:after="283"/>
              <w:jc w:val="left"/>
              <w:rPr/>
            </w:pPr>
            <w:r>
              <w:rPr/>
              <w:t>(b)</w:t>
            </w:r>
          </w:p>
        </w:tc>
        <w:tc>
          <w:tcPr>
            <w:tcW w:w="9097" w:type="dxa"/>
            <w:tcBorders/>
            <w:vAlign w:val="center"/>
          </w:tcPr>
          <w:p>
            <w:pPr>
              <w:pStyle w:val="TableContents"/>
              <w:bidi w:val="0"/>
              <w:spacing w:before="0" w:after="0"/>
              <w:jc w:val="left"/>
              <w:rPr/>
            </w:pPr>
            <w:r>
              <w:rPr/>
              <w:t>The Reporting Person has sole voting and dispositive authority over 4,071,252 common shares held directly by the Reporting Person and shared voting and dispositive authority over 230,941 common shares and warrants exercisable for 105,263 common shares held through PLG Family Trust.</w:t>
            </w:r>
          </w:p>
        </w:tc>
      </w:tr>
      <w:tr>
        <w:trPr/>
        <w:tc>
          <w:tcPr>
            <w:tcW w:w="1108" w:type="dxa"/>
            <w:tcBorders/>
            <w:vAlign w:val="center"/>
          </w:tcPr>
          <w:p>
            <w:pPr>
              <w:pStyle w:val="TableContents"/>
              <w:bidi w:val="0"/>
              <w:spacing w:before="0" w:after="283"/>
              <w:jc w:val="left"/>
              <w:rPr/>
            </w:pPr>
            <w:r>
              <w:rPr/>
              <w:t>(c)</w:t>
            </w:r>
          </w:p>
        </w:tc>
        <w:tc>
          <w:tcPr>
            <w:tcW w:w="9097" w:type="dxa"/>
            <w:tcBorders/>
            <w:vAlign w:val="center"/>
          </w:tcPr>
          <w:p>
            <w:pPr>
              <w:pStyle w:val="TableContents"/>
              <w:bidi w:val="0"/>
              <w:spacing w:before="0" w:after="0"/>
              <w:jc w:val="left"/>
              <w:rPr/>
            </w:pPr>
            <w:r>
              <w:rPr/>
              <w:t>On August 31, 2026, the Reporting Person purchased 90,000 Issuer common shares at a purchase price of $11.5853 per share for a total of $1,042,677. On September 1, 2026, the Issuer awarded the Reporting Person 1,046,899 restricted stock units.</w:t>
            </w:r>
          </w:p>
        </w:tc>
      </w:tr>
      <w:tr>
        <w:trPr/>
        <w:tc>
          <w:tcPr>
            <w:tcW w:w="1108" w:type="dxa"/>
            <w:tcBorders/>
            <w:vAlign w:val="center"/>
          </w:tcPr>
          <w:p>
            <w:pPr>
              <w:pStyle w:val="TableContents"/>
              <w:bidi w:val="0"/>
              <w:spacing w:before="0" w:after="283"/>
              <w:jc w:val="left"/>
              <w:rPr/>
            </w:pPr>
            <w:r>
              <w:rPr/>
              <w:t>(d)</w:t>
            </w:r>
          </w:p>
        </w:tc>
        <w:tc>
          <w:tcPr>
            <w:tcW w:w="9097" w:type="dxa"/>
            <w:tcBorders/>
            <w:vAlign w:val="center"/>
          </w:tcPr>
          <w:p>
            <w:pPr>
              <w:pStyle w:val="TableContents"/>
              <w:bidi w:val="0"/>
              <w:spacing w:before="0" w:after="0"/>
              <w:jc w:val="left"/>
              <w:rPr/>
            </w:pPr>
            <w:r>
              <w:rPr/>
              <w:t>Not applicable</w:t>
            </w:r>
          </w:p>
        </w:tc>
      </w:tr>
      <w:tr>
        <w:trPr/>
        <w:tc>
          <w:tcPr>
            <w:tcW w:w="1108" w:type="dxa"/>
            <w:tcBorders/>
            <w:vAlign w:val="center"/>
          </w:tcPr>
          <w:p>
            <w:pPr>
              <w:pStyle w:val="TableContents"/>
              <w:bidi w:val="0"/>
              <w:spacing w:before="0" w:after="283"/>
              <w:jc w:val="left"/>
              <w:rPr/>
            </w:pPr>
            <w:r>
              <w:rPr/>
              <w:t>(e)</w:t>
            </w:r>
          </w:p>
        </w:tc>
        <w:tc>
          <w:tcPr>
            <w:tcW w:w="9097" w:type="dxa"/>
            <w:tcBorders/>
            <w:vAlign w:val="center"/>
          </w:tcPr>
          <w:p>
            <w:pPr>
              <w:pStyle w:val="TableContents"/>
              <w:bidi w:val="0"/>
              <w:spacing w:before="0" w:after="0"/>
              <w:jc w:val="left"/>
              <w:rPr/>
            </w:pPr>
            <w:r>
              <w:rPr/>
              <w:t>Not applicable</w:t>
            </w:r>
          </w:p>
        </w:tc>
      </w:tr>
      <w:tr>
        <w:trPr/>
        <w:tc>
          <w:tcPr>
            <w:tcW w:w="1108" w:type="dxa"/>
            <w:tcBorders/>
            <w:vAlign w:val="center"/>
          </w:tcPr>
          <w:p>
            <w:pPr>
              <w:pStyle w:val="TableContents"/>
              <w:bidi w:val="0"/>
              <w:spacing w:before="0" w:after="283"/>
              <w:jc w:val="left"/>
              <w:rPr/>
            </w:pPr>
            <w:r>
              <w:rPr/>
              <w:t>Item 6.</w:t>
            </w:r>
          </w:p>
        </w:tc>
        <w:tc>
          <w:tcPr>
            <w:tcW w:w="9097"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08"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0"/>
              <w:jc w:val="left"/>
              <w:rPr/>
            </w:pPr>
            <w:r>
              <w:rPr/>
              <w:t>None</w:t>
            </w:r>
          </w:p>
        </w:tc>
      </w:tr>
      <w:tr>
        <w:trPr/>
        <w:tc>
          <w:tcPr>
            <w:tcW w:w="1108" w:type="dxa"/>
            <w:tcBorders/>
            <w:vAlign w:val="center"/>
          </w:tcPr>
          <w:p>
            <w:pPr>
              <w:pStyle w:val="TableContents"/>
              <w:bidi w:val="0"/>
              <w:spacing w:before="0" w:after="283"/>
              <w:jc w:val="left"/>
              <w:rPr/>
            </w:pPr>
            <w:r>
              <w:rPr/>
              <w:t>Item 7.</w:t>
            </w:r>
          </w:p>
        </w:tc>
        <w:tc>
          <w:tcPr>
            <w:tcW w:w="9097" w:type="dxa"/>
            <w:tcBorders/>
            <w:vAlign w:val="center"/>
          </w:tcPr>
          <w:p>
            <w:pPr>
              <w:pStyle w:val="TableContents"/>
              <w:bidi w:val="0"/>
              <w:spacing w:before="0" w:after="283"/>
              <w:jc w:val="left"/>
              <w:rPr/>
            </w:pPr>
            <w:r>
              <w:rPr/>
              <w:t>Material to be Filed as Exhibits.</w:t>
            </w:r>
          </w:p>
        </w:tc>
      </w:tr>
      <w:tr>
        <w:trPr/>
        <w:tc>
          <w:tcPr>
            <w:tcW w:w="1108"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0"/>
              <w:jc w:val="left"/>
              <w:rPr/>
            </w:pPr>
            <w:r>
              <w:rPr/>
              <w:t>None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Glavine Paul</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4"/>
        <w:gridCol w:w="4421"/>
      </w:tblGrid>
      <w:tr>
        <w:trPr/>
        <w:tc>
          <w:tcPr>
            <w:tcW w:w="57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Paul Glavine</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Chief Growth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42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881</Words>
  <Characters>4596</Characters>
  <CharactersWithSpaces>5394</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