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6-K</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For the month of November, 2023.</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001-40673</w:t>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Cybin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53" w:lineRule="exact"/>
        <w:rPr>
          <w:sz w:val="20"/>
          <w:szCs w:val="20"/>
          <w:color w:val="auto"/>
        </w:rPr>
      </w:pPr>
      <w:r>
        <w:rPr>
          <w:rFonts w:ascii="Arial" w:cs="Arial" w:eastAsia="Arial" w:hAnsi="Arial"/>
          <w:sz w:val="16"/>
          <w:szCs w:val="16"/>
          <w:color w:val="auto"/>
        </w:rPr>
        <w:t xml:space="preserve">Form 20-F </w:t>
      </w:r>
      <w:r>
        <w:rPr>
          <w:rFonts w:ascii="Arial" w:cs="Arial" w:eastAsia="Arial" w:hAnsi="Arial"/>
          <w:sz w:val="22"/>
          <w:szCs w:val="22"/>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INCORPORATION BY REFERENCE</w:t>
      </w:r>
    </w:p>
    <w:p>
      <w:pPr>
        <w:spacing w:after="0" w:line="87" w:lineRule="exact"/>
        <w:rPr>
          <w:sz w:val="24"/>
          <w:szCs w:val="24"/>
          <w:color w:val="auto"/>
        </w:rPr>
      </w:pPr>
    </w:p>
    <w:p>
      <w:pPr>
        <w:ind w:left="580"/>
        <w:spacing w:after="0"/>
        <w:rPr>
          <w:sz w:val="20"/>
          <w:szCs w:val="20"/>
          <w:color w:val="auto"/>
        </w:rPr>
      </w:pPr>
      <w:r>
        <w:rPr>
          <w:rFonts w:ascii="Arial" w:cs="Arial" w:eastAsia="Arial" w:hAnsi="Arial"/>
          <w:sz w:val="15"/>
          <w:szCs w:val="15"/>
          <w:color w:val="auto"/>
        </w:rPr>
        <w:t>Exhibits 99.1 - 99.2 of this Form 6-K of Cybin Inc. (the "Company") are hereby incorporated by reference into the Registration Statement on Form F-10 (File No.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559"/>
        <w:spacing w:after="0"/>
        <w:rPr>
          <w:sz w:val="20"/>
          <w:szCs w:val="20"/>
          <w:color w:val="auto"/>
        </w:rPr>
      </w:pPr>
      <w:r>
        <w:rPr>
          <w:rFonts w:ascii="Arial" w:cs="Arial" w:eastAsia="Arial" w:hAnsi="Arial"/>
          <w:sz w:val="16"/>
          <w:szCs w:val="16"/>
          <w:b w:val="1"/>
          <w:bCs w:val="1"/>
          <w:color w:val="auto"/>
        </w:rPr>
        <w:t>SIGNATURE</w:t>
      </w:r>
    </w:p>
    <w:p>
      <w:pPr>
        <w:spacing w:after="0" w:line="87" w:lineRule="exact"/>
        <w:rPr>
          <w:sz w:val="20"/>
          <w:szCs w:val="20"/>
          <w:color w:val="auto"/>
        </w:rPr>
      </w:pPr>
    </w:p>
    <w:p>
      <w:pPr>
        <w:ind w:firstLine="582"/>
        <w:spacing w:after="0" w:line="26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CYBIN INC.</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6"/>
                <w:szCs w:val="16"/>
                <w:color w:val="auto"/>
              </w:rPr>
              <w:t>(Registrant)</w:t>
            </w:r>
          </w:p>
        </w:tc>
      </w:tr>
      <w:tr>
        <w:trPr>
          <w:trHeight w:val="467"/>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5100" w:type="dxa"/>
            <w:vAlign w:val="bottom"/>
          </w:tcPr>
          <w:p>
            <w:pPr>
              <w:ind w:left="180"/>
              <w:spacing w:after="0"/>
              <w:rPr>
                <w:sz w:val="20"/>
                <w:szCs w:val="20"/>
                <w:color w:val="auto"/>
              </w:rPr>
            </w:pPr>
            <w:r>
              <w:rPr>
                <w:rFonts w:ascii="Arial" w:cs="Arial" w:eastAsia="Arial" w:hAnsi="Arial"/>
                <w:sz w:val="16"/>
                <w:szCs w:val="16"/>
                <w:color w:val="auto"/>
              </w:rPr>
              <w:t>November 14, 2023</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406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/s/ Doug Drysdale</w:t>
            </w:r>
          </w:p>
        </w:tc>
      </w:tr>
      <w:tr>
        <w:trPr>
          <w:trHeight w:val="216"/>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Name:</w:t>
            </w:r>
          </w:p>
        </w:tc>
        <w:tc>
          <w:tcPr>
            <w:tcW w:w="4060" w:type="dxa"/>
            <w:vAlign w:val="bottom"/>
          </w:tcPr>
          <w:p>
            <w:pPr>
              <w:ind w:left="160"/>
              <w:spacing w:after="0"/>
              <w:rPr>
                <w:sz w:val="20"/>
                <w:szCs w:val="20"/>
                <w:color w:val="auto"/>
              </w:rPr>
            </w:pPr>
            <w:r>
              <w:rPr>
                <w:rFonts w:ascii="Arial" w:cs="Arial" w:eastAsia="Arial" w:hAnsi="Arial"/>
                <w:sz w:val="16"/>
                <w:szCs w:val="16"/>
                <w:color w:val="auto"/>
              </w:rPr>
              <w:t>Doug Drysdale</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Title:</w:t>
            </w:r>
          </w:p>
        </w:tc>
        <w:tc>
          <w:tcPr>
            <w:tcW w:w="406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0680"/>
          </w:cols>
          <w:pgMar w:left="320" w:top="1287" w:right="8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EXHIBIT INDEX</w:t>
            </w:r>
          </w:p>
        </w:tc>
        <w:tc>
          <w:tcPr>
            <w:tcW w:w="620" w:type="dxa"/>
            <w:vAlign w:val="bottom"/>
            <w:gridSpan w:val="2"/>
          </w:tcPr>
          <w:p>
            <w:pPr>
              <w:spacing w:after="0"/>
              <w:rPr>
                <w:sz w:val="16"/>
                <w:szCs w:val="16"/>
                <w:color w:val="auto"/>
              </w:rPr>
            </w:pPr>
          </w:p>
        </w:tc>
      </w:tr>
      <w:tr>
        <w:trPr>
          <w:trHeight w:val="514"/>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99.1</w:t>
            </w:r>
          </w:p>
        </w:tc>
        <w:tc>
          <w:tcPr>
            <w:tcW w:w="57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0"/>
              </w:rPr>
              <w:t>Interim Consolidated Financial Statements for the six months ended September 30, 2023</w:t>
            </w: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99.2</w:t>
            </w:r>
          </w:p>
        </w:tc>
        <w:tc>
          <w:tcPr>
            <w:tcW w:w="55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0"/>
              </w:rPr>
              <w:t>Management’s Discussion and Analysis for the six months ended September 30, 2023</w:t>
            </w:r>
          </w:p>
        </w:tc>
        <w:tc>
          <w:tcPr>
            <w:tcW w:w="180" w:type="dxa"/>
            <w:vAlign w:val="bottom"/>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99.3</w:t>
            </w:r>
          </w:p>
        </w:tc>
        <w:tc>
          <w:tcPr>
            <w:tcW w:w="43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3"/>
              </w:rPr>
              <w:t>Certification of Interim Filings by CEO dated November 14, 2023</w:t>
            </w:r>
          </w:p>
        </w:tc>
        <w:tc>
          <w:tcPr>
            <w:tcW w:w="1440" w:type="dxa"/>
            <w:vAlign w:val="bottom"/>
            <w:gridSpan w:val="3"/>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99.4</w:t>
            </w:r>
          </w:p>
        </w:tc>
        <w:tc>
          <w:tcPr>
            <w:tcW w:w="42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3"/>
              </w:rPr>
              <w:t>Certification of Interim Filings by CFO dated November 14, 2023</w:t>
            </w:r>
          </w:p>
        </w:tc>
        <w:tc>
          <w:tcPr>
            <w:tcW w:w="1460" w:type="dxa"/>
            <w:vAlign w:val="bottom"/>
            <w:gridSpan w:val="4"/>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Arial" w:cs="Arial" w:eastAsia="Arial" w:hAnsi="Arial"/>
                <w:sz w:val="16"/>
                <w:szCs w:val="16"/>
                <w:color w:val="auto"/>
                <w:w w:val="83"/>
              </w:rPr>
              <w:t>99.5</w:t>
            </w:r>
          </w:p>
        </w:tc>
        <w:tc>
          <w:tcPr>
            <w:tcW w:w="26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News Release dated November 14, 2023</w:t>
            </w:r>
          </w:p>
        </w:tc>
        <w:tc>
          <w:tcPr>
            <w:tcW w:w="3100" w:type="dxa"/>
            <w:vAlign w:val="bottom"/>
            <w:gridSpan w:val="6"/>
          </w:tcPr>
          <w:p>
            <w:pPr>
              <w:spacing w:after="0"/>
              <w:rPr>
                <w:sz w:val="18"/>
                <w:szCs w:val="18"/>
                <w:color w:val="auto"/>
              </w:rPr>
            </w:pPr>
          </w:p>
        </w:tc>
      </w:tr>
    </w:tbl>
    <w:p>
      <w:pPr>
        <w:sectPr>
          <w:pgSz w:w="11900" w:h="16838" w:orient="portrait"/>
          <w:cols w:equalWidth="0" w:num="1">
            <w:col w:w="10119"/>
          </w:cols>
          <w:pgMar w:left="340" w:top="127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2314575</wp:posOffset>
            </wp:positionV>
            <wp:extent cx="1386205" cy="800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6205" cy="800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CYBIN INC.</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INTERIM CONSOLIDATED FINANCIAL STATEMENTS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SEPTEMBER 30, 2023</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OUR SHAREHOLDERS</w:t>
      </w:r>
    </w:p>
    <w:p>
      <w:pPr>
        <w:spacing w:after="0" w:line="220"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2023, which are available on SEDAR at www.sedar.com.</w:t>
      </w:r>
    </w:p>
    <w:p>
      <w:pPr>
        <w:sectPr>
          <w:pgSz w:w="11900" w:h="16838" w:orient="portrait"/>
          <w:cols w:equalWidth="0" w:num="1">
            <w:col w:w="11240"/>
          </w:cols>
          <w:pgMar w:left="320" w:top="1440"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9"/>
          <w:szCs w:val="19"/>
          <w:b w:val="1"/>
          <w:bCs w:val="1"/>
          <w:color w:val="auto"/>
        </w:rPr>
        <w:t>CYBIN INC.</w:t>
      </w:r>
    </w:p>
    <w:p>
      <w:pPr>
        <w:spacing w:after="0" w:line="28" w:lineRule="exact"/>
        <w:rPr>
          <w:sz w:val="20"/>
          <w:szCs w:val="20"/>
          <w:color w:val="auto"/>
        </w:rPr>
      </w:pPr>
    </w:p>
    <w:p>
      <w:pPr>
        <w:ind w:left="60" w:right="5060"/>
        <w:spacing w:after="0" w:line="214" w:lineRule="auto"/>
        <w:rPr>
          <w:sz w:val="20"/>
          <w:szCs w:val="20"/>
          <w:color w:val="auto"/>
        </w:rPr>
      </w:pPr>
      <w:r>
        <w:rPr>
          <w:rFonts w:ascii="Arial" w:cs="Arial" w:eastAsia="Arial" w:hAnsi="Arial"/>
          <w:sz w:val="19"/>
          <w:szCs w:val="19"/>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As at</w:t>
            </w:r>
          </w:p>
        </w:tc>
        <w:tc>
          <w:tcPr>
            <w:tcW w:w="2680" w:type="dxa"/>
            <w:vAlign w:val="bottom"/>
          </w:tcPr>
          <w:p>
            <w:pPr>
              <w:jc w:val="center"/>
              <w:ind w:left="1227"/>
              <w:spacing w:after="0"/>
              <w:rPr>
                <w:sz w:val="20"/>
                <w:szCs w:val="20"/>
                <w:color w:val="auto"/>
              </w:rPr>
            </w:pPr>
            <w:r>
              <w:rPr>
                <w:rFonts w:ascii="Arial" w:cs="Arial" w:eastAsia="Arial" w:hAnsi="Arial"/>
                <w:sz w:val="15"/>
                <w:szCs w:val="15"/>
                <w:i w:val="1"/>
                <w:iCs w:val="1"/>
                <w:color w:val="auto"/>
                <w:w w:val="86"/>
              </w:rPr>
              <w:t>Notes</w:t>
            </w:r>
          </w:p>
        </w:tc>
        <w:tc>
          <w:tcPr>
            <w:tcW w:w="2280" w:type="dxa"/>
            <w:vAlign w:val="bottom"/>
            <w:vMerge w:val="restart"/>
          </w:tcPr>
          <w:p>
            <w:pPr>
              <w:jc w:val="right"/>
              <w:ind w:right="487"/>
              <w:spacing w:after="0"/>
              <w:rPr>
                <w:sz w:val="20"/>
                <w:szCs w:val="20"/>
                <w:color w:val="auto"/>
              </w:rPr>
            </w:pPr>
            <w:r>
              <w:rPr>
                <w:rFonts w:ascii="Arial" w:cs="Arial" w:eastAsia="Arial" w:hAnsi="Arial"/>
                <w:sz w:val="15"/>
                <w:szCs w:val="15"/>
                <w:b w:val="1"/>
                <w:bCs w:val="1"/>
                <w:color w:val="auto"/>
              </w:rPr>
              <w:t>September 30, 2023</w:t>
            </w:r>
          </w:p>
        </w:tc>
        <w:tc>
          <w:tcPr>
            <w:tcW w:w="15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March 31, 2023</w:t>
            </w:r>
          </w:p>
        </w:tc>
        <w:tc>
          <w:tcPr>
            <w:tcW w:w="0" w:type="dxa"/>
            <w:vAlign w:val="bottom"/>
          </w:tcPr>
          <w:p>
            <w:pPr>
              <w:spacing w:after="0"/>
              <w:rPr>
                <w:sz w:val="1"/>
                <w:szCs w:val="1"/>
                <w:color w:val="auto"/>
              </w:rPr>
            </w:pPr>
          </w:p>
        </w:tc>
      </w:tr>
      <w:tr>
        <w:trPr>
          <w:trHeight w:val="103"/>
        </w:trPr>
        <w:tc>
          <w:tcPr>
            <w:tcW w:w="47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478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4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80" w:type="dxa"/>
            <w:vAlign w:val="bottom"/>
          </w:tcPr>
          <w:p>
            <w:pPr>
              <w:jc w:val="right"/>
              <w:ind w:right="427"/>
              <w:spacing w:after="0"/>
              <w:rPr>
                <w:sz w:val="20"/>
                <w:szCs w:val="20"/>
                <w:color w:val="auto"/>
              </w:rPr>
            </w:pPr>
            <w:r>
              <w:rPr>
                <w:rFonts w:ascii="Arial" w:cs="Arial" w:eastAsia="Arial" w:hAnsi="Arial"/>
                <w:sz w:val="15"/>
                <w:szCs w:val="15"/>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
        </w:trPr>
        <w:tc>
          <w:tcPr>
            <w:tcW w:w="47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780" w:type="dxa"/>
            <w:vAlign w:val="bottom"/>
          </w:tcPr>
          <w:p>
            <w:pPr>
              <w:ind w:left="60"/>
              <w:spacing w:after="0"/>
              <w:rPr>
                <w:sz w:val="20"/>
                <w:szCs w:val="20"/>
                <w:color w:val="auto"/>
              </w:rPr>
            </w:pPr>
            <w:r>
              <w:rPr>
                <w:rFonts w:ascii="Arial" w:cs="Arial" w:eastAsia="Arial" w:hAnsi="Arial"/>
                <w:sz w:val="15"/>
                <w:szCs w:val="15"/>
                <w:b w:val="1"/>
                <w:bCs w:val="1"/>
                <w:color w:val="auto"/>
              </w:rPr>
              <w:t>ASSETS</w:t>
            </w:r>
          </w:p>
        </w:tc>
        <w:tc>
          <w:tcPr>
            <w:tcW w:w="2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8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6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4780" w:type="dxa"/>
            <w:vAlign w:val="bottom"/>
          </w:tcPr>
          <w:p>
            <w:pPr>
              <w:ind w:left="500"/>
              <w:spacing w:after="0"/>
              <w:rPr>
                <w:sz w:val="20"/>
                <w:szCs w:val="20"/>
                <w:color w:val="auto"/>
              </w:rPr>
            </w:pPr>
            <w:r>
              <w:rPr>
                <w:rFonts w:ascii="Arial" w:cs="Arial" w:eastAsia="Arial" w:hAnsi="Arial"/>
                <w:sz w:val="15"/>
                <w:szCs w:val="15"/>
                <w:color w:val="auto"/>
              </w:rPr>
              <w:t>Cash</w:t>
            </w:r>
          </w:p>
        </w:tc>
        <w:tc>
          <w:tcPr>
            <w:tcW w:w="2680" w:type="dxa"/>
            <w:vAlign w:val="bottom"/>
          </w:tcPr>
          <w:p>
            <w:pPr>
              <w:spacing w:after="0"/>
              <w:rPr>
                <w:sz w:val="24"/>
                <w:szCs w:val="24"/>
                <w:color w:val="auto"/>
              </w:rPr>
            </w:pPr>
          </w:p>
        </w:tc>
        <w:tc>
          <w:tcPr>
            <w:tcW w:w="2280" w:type="dxa"/>
            <w:vAlign w:val="bottom"/>
          </w:tcPr>
          <w:p>
            <w:pPr>
              <w:jc w:val="right"/>
              <w:ind w:right="487"/>
              <w:spacing w:after="0"/>
              <w:rPr>
                <w:sz w:val="20"/>
                <w:szCs w:val="20"/>
                <w:color w:val="auto"/>
              </w:rPr>
            </w:pPr>
            <w:r>
              <w:rPr>
                <w:rFonts w:ascii="Arial" w:cs="Arial" w:eastAsia="Arial" w:hAnsi="Arial"/>
                <w:sz w:val="15"/>
                <w:szCs w:val="15"/>
                <w:b w:val="1"/>
                <w:bCs w:val="1"/>
                <w:color w:val="auto"/>
              </w:rPr>
              <w:t>18,118</w:t>
            </w:r>
          </w:p>
        </w:tc>
        <w:tc>
          <w:tcPr>
            <w:tcW w:w="1520" w:type="dxa"/>
            <w:vAlign w:val="bottom"/>
          </w:tcPr>
          <w:p>
            <w:pPr>
              <w:jc w:val="right"/>
              <w:spacing w:after="0"/>
              <w:rPr>
                <w:sz w:val="20"/>
                <w:szCs w:val="20"/>
                <w:color w:val="auto"/>
              </w:rPr>
            </w:pPr>
            <w:r>
              <w:rPr>
                <w:rFonts w:ascii="Arial" w:cs="Arial" w:eastAsia="Arial" w:hAnsi="Arial"/>
                <w:sz w:val="15"/>
                <w:szCs w:val="15"/>
                <w:color w:val="auto"/>
              </w:rPr>
              <w:t>16,633</w:t>
            </w:r>
          </w:p>
        </w:tc>
        <w:tc>
          <w:tcPr>
            <w:tcW w:w="0" w:type="dxa"/>
            <w:vAlign w:val="bottom"/>
          </w:tcPr>
          <w:p>
            <w:pPr>
              <w:spacing w:after="0"/>
              <w:rPr>
                <w:sz w:val="1"/>
                <w:szCs w:val="1"/>
                <w:color w:val="auto"/>
              </w:rPr>
            </w:pPr>
          </w:p>
        </w:tc>
      </w:tr>
      <w:tr>
        <w:trPr>
          <w:trHeight w:val="315"/>
        </w:trPr>
        <w:tc>
          <w:tcPr>
            <w:tcW w:w="478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2680" w:type="dxa"/>
            <w:vAlign w:val="bottom"/>
          </w:tcPr>
          <w:p>
            <w:pPr>
              <w:spacing w:after="0"/>
              <w:rPr>
                <w:sz w:val="24"/>
                <w:szCs w:val="24"/>
                <w:color w:val="auto"/>
              </w:rPr>
            </w:pPr>
          </w:p>
        </w:tc>
        <w:tc>
          <w:tcPr>
            <w:tcW w:w="2280" w:type="dxa"/>
            <w:vAlign w:val="bottom"/>
          </w:tcPr>
          <w:p>
            <w:pPr>
              <w:jc w:val="right"/>
              <w:ind w:right="487"/>
              <w:spacing w:after="0"/>
              <w:rPr>
                <w:sz w:val="20"/>
                <w:szCs w:val="20"/>
                <w:color w:val="auto"/>
              </w:rPr>
            </w:pPr>
            <w:r>
              <w:rPr>
                <w:rFonts w:ascii="Arial" w:cs="Arial" w:eastAsia="Arial" w:hAnsi="Arial"/>
                <w:sz w:val="15"/>
                <w:szCs w:val="15"/>
                <w:b w:val="1"/>
                <w:bCs w:val="1"/>
                <w:color w:val="auto"/>
              </w:rPr>
              <w:t>3,682</w:t>
            </w:r>
          </w:p>
        </w:tc>
        <w:tc>
          <w:tcPr>
            <w:tcW w:w="1520" w:type="dxa"/>
            <w:vAlign w:val="bottom"/>
          </w:tcPr>
          <w:p>
            <w:pPr>
              <w:jc w:val="right"/>
              <w:spacing w:after="0"/>
              <w:rPr>
                <w:sz w:val="20"/>
                <w:szCs w:val="20"/>
                <w:color w:val="auto"/>
              </w:rPr>
            </w:pPr>
            <w:r>
              <w:rPr>
                <w:rFonts w:ascii="Arial" w:cs="Arial" w:eastAsia="Arial" w:hAnsi="Arial"/>
                <w:sz w:val="15"/>
                <w:szCs w:val="15"/>
                <w:color w:val="auto"/>
              </w:rPr>
              <w:t>3,050</w:t>
            </w:r>
          </w:p>
        </w:tc>
        <w:tc>
          <w:tcPr>
            <w:tcW w:w="0" w:type="dxa"/>
            <w:vAlign w:val="bottom"/>
          </w:tcPr>
          <w:p>
            <w:pPr>
              <w:spacing w:after="0"/>
              <w:rPr>
                <w:sz w:val="1"/>
                <w:szCs w:val="1"/>
                <w:color w:val="auto"/>
              </w:rPr>
            </w:pPr>
          </w:p>
        </w:tc>
      </w:tr>
      <w:tr>
        <w:trPr>
          <w:trHeight w:val="315"/>
        </w:trPr>
        <w:tc>
          <w:tcPr>
            <w:tcW w:w="4780" w:type="dxa"/>
            <w:vAlign w:val="bottom"/>
          </w:tcPr>
          <w:p>
            <w:pPr>
              <w:ind w:left="500"/>
              <w:spacing w:after="0"/>
              <w:rPr>
                <w:sz w:val="20"/>
                <w:szCs w:val="20"/>
                <w:color w:val="auto"/>
              </w:rPr>
            </w:pPr>
            <w:r>
              <w:rPr>
                <w:rFonts w:ascii="Arial" w:cs="Arial" w:eastAsia="Arial" w:hAnsi="Arial"/>
                <w:sz w:val="15"/>
                <w:szCs w:val="15"/>
                <w:color w:val="auto"/>
              </w:rPr>
              <w:t>Prepaid expenses</w:t>
            </w:r>
          </w:p>
        </w:tc>
        <w:tc>
          <w:tcPr>
            <w:tcW w:w="2680" w:type="dxa"/>
            <w:vAlign w:val="bottom"/>
          </w:tcPr>
          <w:p>
            <w:pPr>
              <w:spacing w:after="0"/>
              <w:rPr>
                <w:sz w:val="24"/>
                <w:szCs w:val="24"/>
                <w:color w:val="auto"/>
              </w:rPr>
            </w:pPr>
          </w:p>
        </w:tc>
        <w:tc>
          <w:tcPr>
            <w:tcW w:w="2280" w:type="dxa"/>
            <w:vAlign w:val="bottom"/>
          </w:tcPr>
          <w:p>
            <w:pPr>
              <w:jc w:val="right"/>
              <w:ind w:right="487"/>
              <w:spacing w:after="0"/>
              <w:rPr>
                <w:sz w:val="20"/>
                <w:szCs w:val="20"/>
                <w:color w:val="auto"/>
              </w:rPr>
            </w:pPr>
            <w:r>
              <w:rPr>
                <w:rFonts w:ascii="Arial" w:cs="Arial" w:eastAsia="Arial" w:hAnsi="Arial"/>
                <w:sz w:val="15"/>
                <w:szCs w:val="15"/>
                <w:b w:val="1"/>
                <w:bCs w:val="1"/>
                <w:color w:val="auto"/>
              </w:rPr>
              <w:t>3,065</w:t>
            </w:r>
          </w:p>
        </w:tc>
        <w:tc>
          <w:tcPr>
            <w:tcW w:w="1520" w:type="dxa"/>
            <w:vAlign w:val="bottom"/>
          </w:tcPr>
          <w:p>
            <w:pPr>
              <w:jc w:val="right"/>
              <w:spacing w:after="0"/>
              <w:rPr>
                <w:sz w:val="20"/>
                <w:szCs w:val="20"/>
                <w:color w:val="auto"/>
              </w:rPr>
            </w:pPr>
            <w:r>
              <w:rPr>
                <w:rFonts w:ascii="Arial" w:cs="Arial" w:eastAsia="Arial" w:hAnsi="Arial"/>
                <w:sz w:val="15"/>
                <w:szCs w:val="15"/>
                <w:color w:val="auto"/>
              </w:rPr>
              <w:t>1,733</w:t>
            </w:r>
          </w:p>
        </w:tc>
        <w:tc>
          <w:tcPr>
            <w:tcW w:w="0" w:type="dxa"/>
            <w:vAlign w:val="bottom"/>
          </w:tcPr>
          <w:p>
            <w:pPr>
              <w:spacing w:after="0"/>
              <w:rPr>
                <w:sz w:val="1"/>
                <w:szCs w:val="1"/>
                <w:color w:val="auto"/>
              </w:rPr>
            </w:pPr>
          </w:p>
        </w:tc>
      </w:tr>
      <w:tr>
        <w:trPr>
          <w:trHeight w:val="315"/>
        </w:trPr>
        <w:tc>
          <w:tcPr>
            <w:tcW w:w="4780" w:type="dxa"/>
            <w:vAlign w:val="bottom"/>
          </w:tcPr>
          <w:p>
            <w:pPr>
              <w:ind w:left="500"/>
              <w:spacing w:after="0"/>
              <w:rPr>
                <w:sz w:val="20"/>
                <w:szCs w:val="20"/>
                <w:color w:val="auto"/>
              </w:rPr>
            </w:pPr>
            <w:r>
              <w:rPr>
                <w:rFonts w:ascii="Arial" w:cs="Arial" w:eastAsia="Arial" w:hAnsi="Arial"/>
                <w:sz w:val="15"/>
                <w:szCs w:val="15"/>
                <w:color w:val="auto"/>
              </w:rPr>
              <w:t>Other current assets</w:t>
            </w:r>
          </w:p>
        </w:tc>
        <w:tc>
          <w:tcPr>
            <w:tcW w:w="2680" w:type="dxa"/>
            <w:vAlign w:val="bottom"/>
          </w:tcPr>
          <w:p>
            <w:pPr>
              <w:spacing w:after="0"/>
              <w:rPr>
                <w:sz w:val="24"/>
                <w:szCs w:val="24"/>
                <w:color w:val="auto"/>
              </w:rPr>
            </w:pPr>
          </w:p>
        </w:tc>
        <w:tc>
          <w:tcPr>
            <w:tcW w:w="2280" w:type="dxa"/>
            <w:vAlign w:val="bottom"/>
          </w:tcPr>
          <w:p>
            <w:pPr>
              <w:jc w:val="right"/>
              <w:ind w:right="487"/>
              <w:spacing w:after="0"/>
              <w:rPr>
                <w:sz w:val="20"/>
                <w:szCs w:val="20"/>
                <w:color w:val="auto"/>
              </w:rPr>
            </w:pPr>
            <w:r>
              <w:rPr>
                <w:rFonts w:ascii="Arial" w:cs="Arial" w:eastAsia="Arial" w:hAnsi="Arial"/>
                <w:sz w:val="15"/>
                <w:szCs w:val="15"/>
                <w:b w:val="1"/>
                <w:bCs w:val="1"/>
                <w:color w:val="auto"/>
              </w:rPr>
              <w:t>1,874</w:t>
            </w:r>
          </w:p>
        </w:tc>
        <w:tc>
          <w:tcPr>
            <w:tcW w:w="1520" w:type="dxa"/>
            <w:vAlign w:val="bottom"/>
          </w:tcPr>
          <w:p>
            <w:pPr>
              <w:jc w:val="right"/>
              <w:spacing w:after="0"/>
              <w:rPr>
                <w:sz w:val="20"/>
                <w:szCs w:val="20"/>
                <w:color w:val="auto"/>
              </w:rPr>
            </w:pPr>
            <w:r>
              <w:rPr>
                <w:rFonts w:ascii="Arial" w:cs="Arial" w:eastAsia="Arial" w:hAnsi="Arial"/>
                <w:sz w:val="15"/>
                <w:szCs w:val="15"/>
                <w:color w:val="auto"/>
              </w:rPr>
              <w:t>1,769</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Current Assets</w:t>
            </w:r>
          </w:p>
        </w:tc>
        <w:tc>
          <w:tcPr>
            <w:tcW w:w="26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rPr>
              <w:t>26,739</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23,185</w:t>
            </w:r>
          </w:p>
        </w:tc>
        <w:tc>
          <w:tcPr>
            <w:tcW w:w="0" w:type="dxa"/>
            <w:vAlign w:val="bottom"/>
          </w:tcPr>
          <w:p>
            <w:pPr>
              <w:spacing w:after="0"/>
              <w:rPr>
                <w:sz w:val="1"/>
                <w:szCs w:val="1"/>
                <w:color w:val="auto"/>
              </w:rPr>
            </w:pPr>
          </w:p>
        </w:tc>
      </w:tr>
      <w:tr>
        <w:trPr>
          <w:trHeight w:val="398"/>
        </w:trPr>
        <w:tc>
          <w:tcPr>
            <w:tcW w:w="4780" w:type="dxa"/>
            <w:vAlign w:val="bottom"/>
          </w:tcPr>
          <w:p>
            <w:pPr>
              <w:ind w:left="200"/>
              <w:spacing w:after="0"/>
              <w:rPr>
                <w:sz w:val="20"/>
                <w:szCs w:val="20"/>
                <w:color w:val="auto"/>
              </w:rPr>
            </w:pPr>
            <w:r>
              <w:rPr>
                <w:rFonts w:ascii="Arial" w:cs="Arial" w:eastAsia="Arial" w:hAnsi="Arial"/>
                <w:sz w:val="15"/>
                <w:szCs w:val="15"/>
                <w:b w:val="1"/>
                <w:bCs w:val="1"/>
                <w:color w:val="auto"/>
              </w:rPr>
              <w:t>Non-current</w:t>
            </w:r>
          </w:p>
        </w:tc>
        <w:tc>
          <w:tcPr>
            <w:tcW w:w="2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780" w:type="dxa"/>
            <w:vAlign w:val="bottom"/>
            <w:vMerge w:val="restart"/>
          </w:tcPr>
          <w:p>
            <w:pPr>
              <w:ind w:left="500"/>
              <w:spacing w:after="0"/>
              <w:rPr>
                <w:sz w:val="20"/>
                <w:szCs w:val="20"/>
                <w:color w:val="auto"/>
              </w:rPr>
            </w:pPr>
            <w:r>
              <w:rPr>
                <w:rFonts w:ascii="Arial" w:cs="Arial" w:eastAsia="Arial" w:hAnsi="Arial"/>
                <w:sz w:val="15"/>
                <w:szCs w:val="15"/>
                <w:color w:val="auto"/>
              </w:rPr>
              <w:t>Equipment</w:t>
            </w:r>
          </w:p>
        </w:tc>
        <w:tc>
          <w:tcPr>
            <w:tcW w:w="2680" w:type="dxa"/>
            <w:vAlign w:val="bottom"/>
          </w:tcPr>
          <w:p>
            <w:pPr>
              <w:jc w:val="center"/>
              <w:ind w:left="1227"/>
              <w:spacing w:after="0"/>
              <w:rPr>
                <w:sz w:val="20"/>
                <w:szCs w:val="20"/>
                <w:color w:val="auto"/>
              </w:rPr>
            </w:pPr>
            <w:r>
              <w:rPr>
                <w:rFonts w:ascii="Arial" w:cs="Arial" w:eastAsia="Arial" w:hAnsi="Arial"/>
                <w:sz w:val="15"/>
                <w:szCs w:val="15"/>
                <w:i w:val="1"/>
                <w:iCs w:val="1"/>
                <w:color w:val="auto"/>
                <w:w w:val="71"/>
              </w:rPr>
              <w:t>3</w:t>
            </w:r>
          </w:p>
        </w:tc>
        <w:tc>
          <w:tcPr>
            <w:tcW w:w="2280" w:type="dxa"/>
            <w:vAlign w:val="bottom"/>
            <w:vMerge w:val="restart"/>
          </w:tcPr>
          <w:p>
            <w:pPr>
              <w:jc w:val="right"/>
              <w:ind w:right="487"/>
              <w:spacing w:after="0"/>
              <w:rPr>
                <w:sz w:val="20"/>
                <w:szCs w:val="20"/>
                <w:color w:val="auto"/>
              </w:rPr>
            </w:pPr>
            <w:r>
              <w:rPr>
                <w:rFonts w:ascii="Arial" w:cs="Arial" w:eastAsia="Arial" w:hAnsi="Arial"/>
                <w:sz w:val="15"/>
                <w:szCs w:val="15"/>
                <w:b w:val="1"/>
                <w:bCs w:val="1"/>
                <w:color w:val="auto"/>
              </w:rPr>
              <w:t>340</w:t>
            </w: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99"/>
        </w:trPr>
        <w:tc>
          <w:tcPr>
            <w:tcW w:w="47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vMerge w:val="restart"/>
          </w:tcPr>
          <w:p>
            <w:pPr>
              <w:ind w:left="500"/>
              <w:spacing w:after="0"/>
              <w:rPr>
                <w:sz w:val="20"/>
                <w:szCs w:val="20"/>
                <w:color w:val="auto"/>
              </w:rPr>
            </w:pPr>
            <w:r>
              <w:rPr>
                <w:rFonts w:ascii="Arial" w:cs="Arial" w:eastAsia="Arial" w:hAnsi="Arial"/>
                <w:sz w:val="15"/>
                <w:szCs w:val="15"/>
                <w:color w:val="auto"/>
              </w:rPr>
              <w:t>Intangible assets</w:t>
            </w:r>
          </w:p>
        </w:tc>
        <w:tc>
          <w:tcPr>
            <w:tcW w:w="2680" w:type="dxa"/>
            <w:vAlign w:val="bottom"/>
          </w:tcPr>
          <w:p>
            <w:pPr>
              <w:jc w:val="center"/>
              <w:ind w:left="1227"/>
              <w:spacing w:after="0"/>
              <w:rPr>
                <w:sz w:val="20"/>
                <w:szCs w:val="20"/>
                <w:color w:val="auto"/>
              </w:rPr>
            </w:pPr>
            <w:r>
              <w:rPr>
                <w:rFonts w:ascii="Arial" w:cs="Arial" w:eastAsia="Arial" w:hAnsi="Arial"/>
                <w:sz w:val="15"/>
                <w:szCs w:val="15"/>
                <w:i w:val="1"/>
                <w:iCs w:val="1"/>
                <w:color w:val="auto"/>
                <w:w w:val="71"/>
              </w:rPr>
              <w:t>4</w:t>
            </w:r>
          </w:p>
        </w:tc>
        <w:tc>
          <w:tcPr>
            <w:tcW w:w="2280" w:type="dxa"/>
            <w:vAlign w:val="bottom"/>
            <w:vMerge w:val="restart"/>
          </w:tcPr>
          <w:p>
            <w:pPr>
              <w:jc w:val="right"/>
              <w:ind w:right="487"/>
              <w:spacing w:after="0"/>
              <w:rPr>
                <w:sz w:val="20"/>
                <w:szCs w:val="20"/>
                <w:color w:val="auto"/>
              </w:rPr>
            </w:pPr>
            <w:r>
              <w:rPr>
                <w:rFonts w:ascii="Arial" w:cs="Arial" w:eastAsia="Arial" w:hAnsi="Arial"/>
                <w:sz w:val="15"/>
                <w:szCs w:val="15"/>
                <w:b w:val="1"/>
                <w:bCs w:val="1"/>
                <w:color w:val="auto"/>
              </w:rPr>
              <w:t>5,780</w:t>
            </w: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5,470</w:t>
            </w:r>
          </w:p>
        </w:tc>
        <w:tc>
          <w:tcPr>
            <w:tcW w:w="0" w:type="dxa"/>
            <w:vAlign w:val="bottom"/>
          </w:tcPr>
          <w:p>
            <w:pPr>
              <w:spacing w:after="0"/>
              <w:rPr>
                <w:sz w:val="1"/>
                <w:szCs w:val="1"/>
                <w:color w:val="auto"/>
              </w:rPr>
            </w:pPr>
          </w:p>
        </w:tc>
      </w:tr>
      <w:tr>
        <w:trPr>
          <w:trHeight w:val="99"/>
        </w:trPr>
        <w:tc>
          <w:tcPr>
            <w:tcW w:w="47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vMerge w:val="restart"/>
          </w:tcPr>
          <w:p>
            <w:pPr>
              <w:ind w:left="500"/>
              <w:spacing w:after="0"/>
              <w:rPr>
                <w:sz w:val="20"/>
                <w:szCs w:val="20"/>
                <w:color w:val="auto"/>
              </w:rPr>
            </w:pPr>
            <w:r>
              <w:rPr>
                <w:rFonts w:ascii="Arial" w:cs="Arial" w:eastAsia="Arial" w:hAnsi="Arial"/>
                <w:sz w:val="15"/>
                <w:szCs w:val="15"/>
                <w:color w:val="auto"/>
              </w:rPr>
              <w:t>Goodwill</w:t>
            </w:r>
          </w:p>
        </w:tc>
        <w:tc>
          <w:tcPr>
            <w:tcW w:w="2680" w:type="dxa"/>
            <w:vAlign w:val="bottom"/>
          </w:tcPr>
          <w:p>
            <w:pPr>
              <w:jc w:val="center"/>
              <w:ind w:left="1227"/>
              <w:spacing w:after="0"/>
              <w:rPr>
                <w:sz w:val="20"/>
                <w:szCs w:val="20"/>
                <w:color w:val="auto"/>
              </w:rPr>
            </w:pPr>
            <w:r>
              <w:rPr>
                <w:rFonts w:ascii="Arial" w:cs="Arial" w:eastAsia="Arial" w:hAnsi="Arial"/>
                <w:sz w:val="15"/>
                <w:szCs w:val="15"/>
                <w:i w:val="1"/>
                <w:iCs w:val="1"/>
                <w:color w:val="auto"/>
                <w:w w:val="71"/>
              </w:rPr>
              <w:t>5</w:t>
            </w:r>
          </w:p>
        </w:tc>
        <w:tc>
          <w:tcPr>
            <w:tcW w:w="2280" w:type="dxa"/>
            <w:vAlign w:val="bottom"/>
            <w:vMerge w:val="restart"/>
          </w:tcPr>
          <w:p>
            <w:pPr>
              <w:jc w:val="right"/>
              <w:ind w:right="487"/>
              <w:spacing w:after="0"/>
              <w:rPr>
                <w:sz w:val="20"/>
                <w:szCs w:val="20"/>
                <w:color w:val="auto"/>
              </w:rPr>
            </w:pPr>
            <w:r>
              <w:rPr>
                <w:rFonts w:ascii="Arial" w:cs="Arial" w:eastAsia="Arial" w:hAnsi="Arial"/>
                <w:sz w:val="15"/>
                <w:szCs w:val="15"/>
                <w:b w:val="1"/>
                <w:bCs w:val="1"/>
                <w:color w:val="auto"/>
              </w:rPr>
              <w:t>24,768</w:t>
            </w: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24,792</w:t>
            </w:r>
          </w:p>
        </w:tc>
        <w:tc>
          <w:tcPr>
            <w:tcW w:w="0" w:type="dxa"/>
            <w:vAlign w:val="bottom"/>
          </w:tcPr>
          <w:p>
            <w:pPr>
              <w:spacing w:after="0"/>
              <w:rPr>
                <w:sz w:val="1"/>
                <w:szCs w:val="1"/>
                <w:color w:val="auto"/>
              </w:rPr>
            </w:pPr>
          </w:p>
        </w:tc>
      </w:tr>
      <w:tr>
        <w:trPr>
          <w:trHeight w:val="99"/>
        </w:trPr>
        <w:tc>
          <w:tcPr>
            <w:tcW w:w="47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Total Non-Current Assets</w:t>
            </w:r>
          </w:p>
        </w:tc>
        <w:tc>
          <w:tcPr>
            <w:tcW w:w="26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b w:val="1"/>
                <w:bCs w:val="1"/>
                <w:color w:val="auto"/>
              </w:rPr>
              <w:t>30,888</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30,712</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ASSETS</w:t>
            </w:r>
          </w:p>
        </w:tc>
        <w:tc>
          <w:tcPr>
            <w:tcW w:w="2680" w:type="dxa"/>
            <w:vAlign w:val="bottom"/>
            <w:tcBorders>
              <w:bottom w:val="single" w:sz="8" w:color="auto"/>
            </w:tcBorders>
            <w:shd w:val="clear" w:color="auto" w:fill="D9D9D9"/>
          </w:tcPr>
          <w:p>
            <w:pPr>
              <w:spacing w:after="0"/>
              <w:rPr>
                <w:sz w:val="16"/>
                <w:szCs w:val="16"/>
                <w:color w:val="auto"/>
              </w:rPr>
            </w:pPr>
          </w:p>
        </w:tc>
        <w:tc>
          <w:tcPr>
            <w:tcW w:w="228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57,627</w:t>
            </w:r>
          </w:p>
        </w:tc>
        <w:tc>
          <w:tcPr>
            <w:tcW w:w="1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53,897</w:t>
            </w:r>
          </w:p>
        </w:tc>
        <w:tc>
          <w:tcPr>
            <w:tcW w:w="0" w:type="dxa"/>
            <w:vAlign w:val="bottom"/>
          </w:tcPr>
          <w:p>
            <w:pPr>
              <w:spacing w:after="0"/>
              <w:rPr>
                <w:sz w:val="1"/>
                <w:szCs w:val="1"/>
                <w:color w:val="auto"/>
              </w:rPr>
            </w:pPr>
          </w:p>
        </w:tc>
      </w:tr>
      <w:tr>
        <w:trPr>
          <w:trHeight w:val="204"/>
        </w:trPr>
        <w:tc>
          <w:tcPr>
            <w:tcW w:w="4780" w:type="dxa"/>
            <w:vAlign w:val="bottom"/>
          </w:tcPr>
          <w:p>
            <w:pPr>
              <w:ind w:left="60"/>
              <w:spacing w:after="0"/>
              <w:rPr>
                <w:sz w:val="20"/>
                <w:szCs w:val="20"/>
                <w:color w:val="auto"/>
              </w:rPr>
            </w:pPr>
            <w:r>
              <w:rPr>
                <w:rFonts w:ascii="Arial" w:cs="Arial" w:eastAsia="Arial" w:hAnsi="Arial"/>
                <w:sz w:val="15"/>
                <w:szCs w:val="15"/>
                <w:b w:val="1"/>
                <w:bCs w:val="1"/>
                <w:color w:val="auto"/>
              </w:rPr>
              <w:t>LIABILITIES</w:t>
            </w:r>
          </w:p>
        </w:tc>
        <w:tc>
          <w:tcPr>
            <w:tcW w:w="2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780" w:type="dxa"/>
            <w:vAlign w:val="bottom"/>
          </w:tcPr>
          <w:p>
            <w:pPr>
              <w:ind w:left="200"/>
              <w:spacing w:after="0"/>
              <w:rPr>
                <w:sz w:val="20"/>
                <w:szCs w:val="20"/>
                <w:color w:val="auto"/>
              </w:rPr>
            </w:pPr>
            <w:r>
              <w:rPr>
                <w:rFonts w:ascii="Arial" w:cs="Arial" w:eastAsia="Arial" w:hAnsi="Arial"/>
                <w:sz w:val="15"/>
                <w:szCs w:val="15"/>
                <w:b w:val="1"/>
                <w:bCs w:val="1"/>
                <w:color w:val="auto"/>
              </w:rPr>
              <w:t>Current</w:t>
            </w:r>
          </w:p>
        </w:tc>
        <w:tc>
          <w:tcPr>
            <w:tcW w:w="26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780" w:type="dxa"/>
            <w:vAlign w:val="bottom"/>
          </w:tcPr>
          <w:p>
            <w:pPr>
              <w:ind w:left="500"/>
              <w:spacing w:after="0"/>
              <w:rPr>
                <w:sz w:val="20"/>
                <w:szCs w:val="20"/>
                <w:color w:val="auto"/>
              </w:rPr>
            </w:pPr>
            <w:r>
              <w:rPr>
                <w:rFonts w:ascii="Arial" w:cs="Arial" w:eastAsia="Arial" w:hAnsi="Arial"/>
                <w:sz w:val="15"/>
                <w:szCs w:val="15"/>
                <w:color w:val="auto"/>
              </w:rPr>
              <w:t>Accounts payable and accrued liabilites</w:t>
            </w:r>
          </w:p>
        </w:tc>
        <w:tc>
          <w:tcPr>
            <w:tcW w:w="2680" w:type="dxa"/>
            <w:vAlign w:val="bottom"/>
          </w:tcPr>
          <w:p>
            <w:pPr>
              <w:spacing w:after="0"/>
              <w:rPr>
                <w:sz w:val="24"/>
                <w:szCs w:val="24"/>
                <w:color w:val="auto"/>
              </w:rPr>
            </w:pPr>
          </w:p>
        </w:tc>
        <w:tc>
          <w:tcPr>
            <w:tcW w:w="2280" w:type="dxa"/>
            <w:vAlign w:val="bottom"/>
          </w:tcPr>
          <w:p>
            <w:pPr>
              <w:jc w:val="right"/>
              <w:ind w:right="487"/>
              <w:spacing w:after="0"/>
              <w:rPr>
                <w:sz w:val="20"/>
                <w:szCs w:val="20"/>
                <w:color w:val="auto"/>
              </w:rPr>
            </w:pPr>
            <w:r>
              <w:rPr>
                <w:rFonts w:ascii="Arial" w:cs="Arial" w:eastAsia="Arial" w:hAnsi="Arial"/>
                <w:sz w:val="15"/>
                <w:szCs w:val="15"/>
                <w:b w:val="1"/>
                <w:bCs w:val="1"/>
                <w:color w:val="auto"/>
              </w:rPr>
              <w:t>9,243</w:t>
            </w:r>
          </w:p>
        </w:tc>
        <w:tc>
          <w:tcPr>
            <w:tcW w:w="1520" w:type="dxa"/>
            <w:vAlign w:val="bottom"/>
          </w:tcPr>
          <w:p>
            <w:pPr>
              <w:jc w:val="right"/>
              <w:spacing w:after="0"/>
              <w:rPr>
                <w:sz w:val="20"/>
                <w:szCs w:val="20"/>
                <w:color w:val="auto"/>
              </w:rPr>
            </w:pPr>
            <w:r>
              <w:rPr>
                <w:rFonts w:ascii="Arial" w:cs="Arial" w:eastAsia="Arial" w:hAnsi="Arial"/>
                <w:sz w:val="15"/>
                <w:szCs w:val="15"/>
                <w:color w:val="auto"/>
              </w:rPr>
              <w:t>5,663</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w:t>
            </w:r>
          </w:p>
        </w:tc>
        <w:tc>
          <w:tcPr>
            <w:tcW w:w="2680" w:type="dxa"/>
            <w:vAlign w:val="bottom"/>
            <w:tcBorders>
              <w:bottom w:val="single" w:sz="8" w:color="auto"/>
            </w:tcBorders>
            <w:shd w:val="clear" w:color="auto" w:fill="D9D9D9"/>
          </w:tcPr>
          <w:p>
            <w:pPr>
              <w:spacing w:after="0"/>
              <w:rPr>
                <w:sz w:val="15"/>
                <w:szCs w:val="15"/>
                <w:color w:val="auto"/>
              </w:rPr>
            </w:pPr>
          </w:p>
        </w:tc>
        <w:tc>
          <w:tcPr>
            <w:tcW w:w="228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9,243</w:t>
            </w:r>
          </w:p>
        </w:tc>
        <w:tc>
          <w:tcPr>
            <w:tcW w:w="1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5,663</w:t>
            </w:r>
          </w:p>
        </w:tc>
        <w:tc>
          <w:tcPr>
            <w:tcW w:w="0" w:type="dxa"/>
            <w:vAlign w:val="bottom"/>
          </w:tcPr>
          <w:p>
            <w:pPr>
              <w:spacing w:after="0"/>
              <w:rPr>
                <w:sz w:val="1"/>
                <w:szCs w:val="1"/>
                <w:color w:val="auto"/>
              </w:rPr>
            </w:pPr>
          </w:p>
        </w:tc>
      </w:tr>
      <w:tr>
        <w:trPr>
          <w:trHeight w:val="204"/>
        </w:trPr>
        <w:tc>
          <w:tcPr>
            <w:tcW w:w="4780" w:type="dxa"/>
            <w:vAlign w:val="bottom"/>
          </w:tcPr>
          <w:p>
            <w:pPr>
              <w:ind w:left="60"/>
              <w:spacing w:after="0"/>
              <w:rPr>
                <w:sz w:val="20"/>
                <w:szCs w:val="20"/>
                <w:color w:val="auto"/>
              </w:rPr>
            </w:pPr>
            <w:r>
              <w:rPr>
                <w:rFonts w:ascii="Arial" w:cs="Arial" w:eastAsia="Arial" w:hAnsi="Arial"/>
                <w:sz w:val="15"/>
                <w:szCs w:val="15"/>
                <w:b w:val="1"/>
                <w:bCs w:val="1"/>
                <w:color w:val="auto"/>
              </w:rPr>
              <w:t>SHAREHOLDERS' EQUITY</w:t>
            </w:r>
          </w:p>
        </w:tc>
        <w:tc>
          <w:tcPr>
            <w:tcW w:w="2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80" w:type="dxa"/>
            <w:vAlign w:val="bottom"/>
            <w:vMerge w:val="restart"/>
          </w:tcPr>
          <w:p>
            <w:pPr>
              <w:ind w:left="500"/>
              <w:spacing w:after="0"/>
              <w:rPr>
                <w:sz w:val="20"/>
                <w:szCs w:val="20"/>
                <w:color w:val="auto"/>
              </w:rPr>
            </w:pPr>
            <w:r>
              <w:rPr>
                <w:rFonts w:ascii="Arial" w:cs="Arial" w:eastAsia="Arial" w:hAnsi="Arial"/>
                <w:sz w:val="15"/>
                <w:szCs w:val="15"/>
                <w:color w:val="auto"/>
              </w:rPr>
              <w:t>Share capital</w:t>
            </w:r>
          </w:p>
        </w:tc>
        <w:tc>
          <w:tcPr>
            <w:tcW w:w="2680" w:type="dxa"/>
            <w:vAlign w:val="bottom"/>
          </w:tcPr>
          <w:p>
            <w:pPr>
              <w:jc w:val="center"/>
              <w:ind w:left="1227"/>
              <w:spacing w:after="0"/>
              <w:rPr>
                <w:sz w:val="20"/>
                <w:szCs w:val="20"/>
                <w:color w:val="auto"/>
              </w:rPr>
            </w:pPr>
            <w:r>
              <w:rPr>
                <w:rFonts w:ascii="Arial" w:cs="Arial" w:eastAsia="Arial" w:hAnsi="Arial"/>
                <w:sz w:val="15"/>
                <w:szCs w:val="15"/>
                <w:i w:val="1"/>
                <w:iCs w:val="1"/>
                <w:color w:val="auto"/>
                <w:w w:val="71"/>
              </w:rPr>
              <w:t>6</w:t>
            </w:r>
          </w:p>
        </w:tc>
        <w:tc>
          <w:tcPr>
            <w:tcW w:w="2280" w:type="dxa"/>
            <w:vAlign w:val="bottom"/>
            <w:vMerge w:val="restart"/>
          </w:tcPr>
          <w:p>
            <w:pPr>
              <w:jc w:val="right"/>
              <w:ind w:right="487"/>
              <w:spacing w:after="0"/>
              <w:rPr>
                <w:sz w:val="20"/>
                <w:szCs w:val="20"/>
                <w:color w:val="auto"/>
              </w:rPr>
            </w:pPr>
            <w:r>
              <w:rPr>
                <w:rFonts w:ascii="Arial" w:cs="Arial" w:eastAsia="Arial" w:hAnsi="Arial"/>
                <w:sz w:val="15"/>
                <w:szCs w:val="15"/>
                <w:b w:val="1"/>
                <w:bCs w:val="1"/>
                <w:color w:val="auto"/>
              </w:rPr>
              <w:t>177,467</w:t>
            </w: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158,162</w:t>
            </w:r>
          </w:p>
        </w:tc>
        <w:tc>
          <w:tcPr>
            <w:tcW w:w="0" w:type="dxa"/>
            <w:vAlign w:val="bottom"/>
          </w:tcPr>
          <w:p>
            <w:pPr>
              <w:spacing w:after="0"/>
              <w:rPr>
                <w:sz w:val="1"/>
                <w:szCs w:val="1"/>
                <w:color w:val="auto"/>
              </w:rPr>
            </w:pPr>
          </w:p>
        </w:tc>
      </w:tr>
      <w:tr>
        <w:trPr>
          <w:trHeight w:val="99"/>
        </w:trPr>
        <w:tc>
          <w:tcPr>
            <w:tcW w:w="47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4780" w:type="dxa"/>
            <w:vAlign w:val="bottom"/>
          </w:tcPr>
          <w:p>
            <w:pPr>
              <w:ind w:left="500"/>
              <w:spacing w:after="0"/>
              <w:rPr>
                <w:sz w:val="20"/>
                <w:szCs w:val="20"/>
                <w:color w:val="auto"/>
              </w:rPr>
            </w:pPr>
            <w:r>
              <w:rPr>
                <w:rFonts w:ascii="Arial" w:cs="Arial" w:eastAsia="Arial" w:hAnsi="Arial"/>
                <w:sz w:val="15"/>
                <w:szCs w:val="15"/>
                <w:color w:val="auto"/>
              </w:rPr>
              <w:t>Contributed surplus</w:t>
            </w:r>
          </w:p>
        </w:tc>
        <w:tc>
          <w:tcPr>
            <w:tcW w:w="2680" w:type="dxa"/>
            <w:vAlign w:val="bottom"/>
          </w:tcPr>
          <w:p>
            <w:pPr>
              <w:spacing w:after="0"/>
              <w:rPr>
                <w:sz w:val="24"/>
                <w:szCs w:val="24"/>
                <w:color w:val="auto"/>
              </w:rPr>
            </w:pPr>
          </w:p>
        </w:tc>
        <w:tc>
          <w:tcPr>
            <w:tcW w:w="2280" w:type="dxa"/>
            <w:vAlign w:val="bottom"/>
          </w:tcPr>
          <w:p>
            <w:pPr>
              <w:jc w:val="right"/>
              <w:ind w:right="487"/>
              <w:spacing w:after="0"/>
              <w:rPr>
                <w:sz w:val="20"/>
                <w:szCs w:val="20"/>
                <w:color w:val="auto"/>
              </w:rPr>
            </w:pPr>
            <w:r>
              <w:rPr>
                <w:rFonts w:ascii="Arial" w:cs="Arial" w:eastAsia="Arial" w:hAnsi="Arial"/>
                <w:sz w:val="15"/>
                <w:szCs w:val="15"/>
                <w:b w:val="1"/>
                <w:bCs w:val="1"/>
                <w:color w:val="auto"/>
              </w:rPr>
              <w:t>3,725</w:t>
            </w:r>
          </w:p>
        </w:tc>
        <w:tc>
          <w:tcPr>
            <w:tcW w:w="1520" w:type="dxa"/>
            <w:vAlign w:val="bottom"/>
          </w:tcPr>
          <w:p>
            <w:pPr>
              <w:jc w:val="right"/>
              <w:spacing w:after="0"/>
              <w:rPr>
                <w:sz w:val="20"/>
                <w:szCs w:val="20"/>
                <w:color w:val="auto"/>
              </w:rPr>
            </w:pPr>
            <w:r>
              <w:rPr>
                <w:rFonts w:ascii="Arial" w:cs="Arial" w:eastAsia="Arial" w:hAnsi="Arial"/>
                <w:sz w:val="15"/>
                <w:szCs w:val="15"/>
                <w:color w:val="auto"/>
              </w:rPr>
              <w:t>2,102</w:t>
            </w:r>
          </w:p>
        </w:tc>
        <w:tc>
          <w:tcPr>
            <w:tcW w:w="0" w:type="dxa"/>
            <w:vAlign w:val="bottom"/>
          </w:tcPr>
          <w:p>
            <w:pPr>
              <w:spacing w:after="0"/>
              <w:rPr>
                <w:sz w:val="1"/>
                <w:szCs w:val="1"/>
                <w:color w:val="auto"/>
              </w:rPr>
            </w:pPr>
          </w:p>
        </w:tc>
      </w:tr>
      <w:tr>
        <w:trPr>
          <w:trHeight w:val="216"/>
        </w:trPr>
        <w:tc>
          <w:tcPr>
            <w:tcW w:w="4780" w:type="dxa"/>
            <w:vAlign w:val="bottom"/>
            <w:vMerge w:val="restart"/>
          </w:tcPr>
          <w:p>
            <w:pPr>
              <w:ind w:left="500"/>
              <w:spacing w:after="0"/>
              <w:rPr>
                <w:sz w:val="20"/>
                <w:szCs w:val="20"/>
                <w:color w:val="auto"/>
              </w:rPr>
            </w:pPr>
            <w:r>
              <w:rPr>
                <w:rFonts w:ascii="Arial" w:cs="Arial" w:eastAsia="Arial" w:hAnsi="Arial"/>
                <w:sz w:val="15"/>
                <w:szCs w:val="15"/>
                <w:color w:val="auto"/>
              </w:rPr>
              <w:t>Optons reserve</w:t>
            </w:r>
          </w:p>
        </w:tc>
        <w:tc>
          <w:tcPr>
            <w:tcW w:w="2680" w:type="dxa"/>
            <w:vAlign w:val="bottom"/>
          </w:tcPr>
          <w:p>
            <w:pPr>
              <w:jc w:val="center"/>
              <w:ind w:left="1227"/>
              <w:spacing w:after="0"/>
              <w:rPr>
                <w:sz w:val="20"/>
                <w:szCs w:val="20"/>
                <w:color w:val="auto"/>
              </w:rPr>
            </w:pPr>
            <w:r>
              <w:rPr>
                <w:rFonts w:ascii="Arial" w:cs="Arial" w:eastAsia="Arial" w:hAnsi="Arial"/>
                <w:sz w:val="15"/>
                <w:szCs w:val="15"/>
                <w:i w:val="1"/>
                <w:iCs w:val="1"/>
                <w:color w:val="auto"/>
                <w:w w:val="71"/>
              </w:rPr>
              <w:t>6</w:t>
            </w:r>
          </w:p>
        </w:tc>
        <w:tc>
          <w:tcPr>
            <w:tcW w:w="2280" w:type="dxa"/>
            <w:vAlign w:val="bottom"/>
            <w:vMerge w:val="restart"/>
          </w:tcPr>
          <w:p>
            <w:pPr>
              <w:jc w:val="right"/>
              <w:ind w:right="487"/>
              <w:spacing w:after="0"/>
              <w:rPr>
                <w:sz w:val="20"/>
                <w:szCs w:val="20"/>
                <w:color w:val="auto"/>
              </w:rPr>
            </w:pPr>
            <w:r>
              <w:rPr>
                <w:rFonts w:ascii="Arial" w:cs="Arial" w:eastAsia="Arial" w:hAnsi="Arial"/>
                <w:sz w:val="15"/>
                <w:szCs w:val="15"/>
                <w:b w:val="1"/>
                <w:bCs w:val="1"/>
                <w:color w:val="auto"/>
              </w:rPr>
              <w:t>29,505</w:t>
            </w: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27,283</w:t>
            </w:r>
          </w:p>
        </w:tc>
        <w:tc>
          <w:tcPr>
            <w:tcW w:w="0" w:type="dxa"/>
            <w:vAlign w:val="bottom"/>
          </w:tcPr>
          <w:p>
            <w:pPr>
              <w:spacing w:after="0"/>
              <w:rPr>
                <w:sz w:val="1"/>
                <w:szCs w:val="1"/>
                <w:color w:val="auto"/>
              </w:rPr>
            </w:pPr>
          </w:p>
        </w:tc>
      </w:tr>
      <w:tr>
        <w:trPr>
          <w:trHeight w:val="99"/>
        </w:trPr>
        <w:tc>
          <w:tcPr>
            <w:tcW w:w="47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vMerge w:val="restart"/>
          </w:tcPr>
          <w:p>
            <w:pPr>
              <w:ind w:left="500"/>
              <w:spacing w:after="0"/>
              <w:rPr>
                <w:sz w:val="20"/>
                <w:szCs w:val="20"/>
                <w:color w:val="auto"/>
              </w:rPr>
            </w:pPr>
            <w:r>
              <w:rPr>
                <w:rFonts w:ascii="Arial" w:cs="Arial" w:eastAsia="Arial" w:hAnsi="Arial"/>
                <w:sz w:val="15"/>
                <w:szCs w:val="15"/>
                <w:color w:val="auto"/>
              </w:rPr>
              <w:t>Warrants reserve</w:t>
            </w:r>
          </w:p>
        </w:tc>
        <w:tc>
          <w:tcPr>
            <w:tcW w:w="2680" w:type="dxa"/>
            <w:vAlign w:val="bottom"/>
          </w:tcPr>
          <w:p>
            <w:pPr>
              <w:jc w:val="center"/>
              <w:ind w:left="1227"/>
              <w:spacing w:after="0"/>
              <w:rPr>
                <w:sz w:val="20"/>
                <w:szCs w:val="20"/>
                <w:color w:val="auto"/>
              </w:rPr>
            </w:pPr>
            <w:r>
              <w:rPr>
                <w:rFonts w:ascii="Arial" w:cs="Arial" w:eastAsia="Arial" w:hAnsi="Arial"/>
                <w:sz w:val="15"/>
                <w:szCs w:val="15"/>
                <w:i w:val="1"/>
                <w:iCs w:val="1"/>
                <w:color w:val="auto"/>
                <w:w w:val="71"/>
              </w:rPr>
              <w:t>6</w:t>
            </w:r>
          </w:p>
        </w:tc>
        <w:tc>
          <w:tcPr>
            <w:tcW w:w="2280" w:type="dxa"/>
            <w:vAlign w:val="bottom"/>
            <w:vMerge w:val="restart"/>
          </w:tcPr>
          <w:p>
            <w:pPr>
              <w:jc w:val="right"/>
              <w:ind w:right="487"/>
              <w:spacing w:after="0"/>
              <w:rPr>
                <w:sz w:val="20"/>
                <w:szCs w:val="20"/>
                <w:color w:val="auto"/>
              </w:rPr>
            </w:pPr>
            <w:r>
              <w:rPr>
                <w:rFonts w:ascii="Arial" w:cs="Arial" w:eastAsia="Arial" w:hAnsi="Arial"/>
                <w:sz w:val="15"/>
                <w:szCs w:val="15"/>
                <w:b w:val="1"/>
                <w:bCs w:val="1"/>
                <w:color w:val="auto"/>
              </w:rPr>
              <w:t>14,316</w:t>
            </w: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10,873</w:t>
            </w:r>
          </w:p>
        </w:tc>
        <w:tc>
          <w:tcPr>
            <w:tcW w:w="0" w:type="dxa"/>
            <w:vAlign w:val="bottom"/>
          </w:tcPr>
          <w:p>
            <w:pPr>
              <w:spacing w:after="0"/>
              <w:rPr>
                <w:sz w:val="1"/>
                <w:szCs w:val="1"/>
                <w:color w:val="auto"/>
              </w:rPr>
            </w:pPr>
          </w:p>
        </w:tc>
      </w:tr>
      <w:tr>
        <w:trPr>
          <w:trHeight w:val="99"/>
        </w:trPr>
        <w:tc>
          <w:tcPr>
            <w:tcW w:w="4780" w:type="dxa"/>
            <w:vAlign w:val="bottom"/>
            <w:vMerge w:val="continue"/>
          </w:tcPr>
          <w:p>
            <w:pPr>
              <w:spacing w:after="0"/>
              <w:rPr>
                <w:sz w:val="8"/>
                <w:szCs w:val="8"/>
                <w:color w:val="auto"/>
              </w:rPr>
            </w:pPr>
          </w:p>
        </w:tc>
        <w:tc>
          <w:tcPr>
            <w:tcW w:w="268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5"/>
        </w:trPr>
        <w:tc>
          <w:tcPr>
            <w:tcW w:w="4780" w:type="dxa"/>
            <w:vAlign w:val="bottom"/>
          </w:tcPr>
          <w:p>
            <w:pPr>
              <w:ind w:left="500"/>
              <w:spacing w:after="0"/>
              <w:rPr>
                <w:sz w:val="20"/>
                <w:szCs w:val="20"/>
                <w:color w:val="auto"/>
              </w:rPr>
            </w:pPr>
            <w:r>
              <w:rPr>
                <w:rFonts w:ascii="Arial" w:cs="Arial" w:eastAsia="Arial" w:hAnsi="Arial"/>
                <w:sz w:val="15"/>
                <w:szCs w:val="15"/>
                <w:color w:val="auto"/>
              </w:rPr>
              <w:t>Accumulated other comprehensive loss</w:t>
            </w:r>
          </w:p>
        </w:tc>
        <w:tc>
          <w:tcPr>
            <w:tcW w:w="2680" w:type="dxa"/>
            <w:vAlign w:val="bottom"/>
          </w:tcPr>
          <w:p>
            <w:pPr>
              <w:spacing w:after="0"/>
              <w:rPr>
                <w:sz w:val="24"/>
                <w:szCs w:val="24"/>
                <w:color w:val="auto"/>
              </w:rPr>
            </w:pPr>
          </w:p>
        </w:tc>
        <w:tc>
          <w:tcPr>
            <w:tcW w:w="2280" w:type="dxa"/>
            <w:vAlign w:val="bottom"/>
          </w:tcPr>
          <w:p>
            <w:pPr>
              <w:jc w:val="right"/>
              <w:ind w:right="487"/>
              <w:spacing w:after="0"/>
              <w:rPr>
                <w:sz w:val="20"/>
                <w:szCs w:val="20"/>
                <w:color w:val="auto"/>
              </w:rPr>
            </w:pPr>
            <w:r>
              <w:rPr>
                <w:rFonts w:ascii="Arial" w:cs="Arial" w:eastAsia="Arial" w:hAnsi="Arial"/>
                <w:sz w:val="15"/>
                <w:szCs w:val="15"/>
                <w:b w:val="1"/>
                <w:bCs w:val="1"/>
                <w:color w:val="auto"/>
              </w:rPr>
              <w:t>(2,074)</w:t>
            </w:r>
          </w:p>
        </w:tc>
        <w:tc>
          <w:tcPr>
            <w:tcW w:w="1520" w:type="dxa"/>
            <w:vAlign w:val="bottom"/>
          </w:tcPr>
          <w:p>
            <w:pPr>
              <w:jc w:val="right"/>
              <w:spacing w:after="0"/>
              <w:rPr>
                <w:sz w:val="20"/>
                <w:szCs w:val="20"/>
                <w:color w:val="auto"/>
              </w:rPr>
            </w:pPr>
            <w:r>
              <w:rPr>
                <w:rFonts w:ascii="Arial" w:cs="Arial" w:eastAsia="Arial" w:hAnsi="Arial"/>
                <w:sz w:val="15"/>
                <w:szCs w:val="15"/>
                <w:color w:val="auto"/>
              </w:rPr>
              <w:t>(2,035)</w:t>
            </w:r>
          </w:p>
        </w:tc>
        <w:tc>
          <w:tcPr>
            <w:tcW w:w="0" w:type="dxa"/>
            <w:vAlign w:val="bottom"/>
          </w:tcPr>
          <w:p>
            <w:pPr>
              <w:spacing w:after="0"/>
              <w:rPr>
                <w:sz w:val="1"/>
                <w:szCs w:val="1"/>
                <w:color w:val="auto"/>
              </w:rPr>
            </w:pPr>
          </w:p>
        </w:tc>
      </w:tr>
      <w:tr>
        <w:trPr>
          <w:trHeight w:val="315"/>
        </w:trPr>
        <w:tc>
          <w:tcPr>
            <w:tcW w:w="4780" w:type="dxa"/>
            <w:vAlign w:val="bottom"/>
          </w:tcPr>
          <w:p>
            <w:pPr>
              <w:ind w:left="500"/>
              <w:spacing w:after="0"/>
              <w:rPr>
                <w:sz w:val="20"/>
                <w:szCs w:val="20"/>
                <w:color w:val="auto"/>
              </w:rPr>
            </w:pPr>
            <w:r>
              <w:rPr>
                <w:rFonts w:ascii="Arial" w:cs="Arial" w:eastAsia="Arial" w:hAnsi="Arial"/>
                <w:sz w:val="15"/>
                <w:szCs w:val="15"/>
                <w:color w:val="auto"/>
              </w:rPr>
              <w:t>Defcit</w:t>
            </w:r>
          </w:p>
        </w:tc>
        <w:tc>
          <w:tcPr>
            <w:tcW w:w="2680" w:type="dxa"/>
            <w:vAlign w:val="bottom"/>
          </w:tcPr>
          <w:p>
            <w:pPr>
              <w:spacing w:after="0"/>
              <w:rPr>
                <w:sz w:val="24"/>
                <w:szCs w:val="24"/>
                <w:color w:val="auto"/>
              </w:rPr>
            </w:pPr>
          </w:p>
        </w:tc>
        <w:tc>
          <w:tcPr>
            <w:tcW w:w="2280" w:type="dxa"/>
            <w:vAlign w:val="bottom"/>
          </w:tcPr>
          <w:p>
            <w:pPr>
              <w:jc w:val="right"/>
              <w:ind w:right="467"/>
              <w:spacing w:after="0"/>
              <w:rPr>
                <w:sz w:val="20"/>
                <w:szCs w:val="20"/>
                <w:color w:val="auto"/>
              </w:rPr>
            </w:pPr>
            <w:r>
              <w:rPr>
                <w:rFonts w:ascii="Arial" w:cs="Arial" w:eastAsia="Arial" w:hAnsi="Arial"/>
                <w:sz w:val="15"/>
                <w:szCs w:val="15"/>
                <w:b w:val="1"/>
                <w:bCs w:val="1"/>
                <w:color w:val="auto"/>
              </w:rPr>
              <w:t>(174,555)</w:t>
            </w:r>
          </w:p>
        </w:tc>
        <w:tc>
          <w:tcPr>
            <w:tcW w:w="1520" w:type="dxa"/>
            <w:vAlign w:val="bottom"/>
          </w:tcPr>
          <w:p>
            <w:pPr>
              <w:jc w:val="right"/>
              <w:spacing w:after="0"/>
              <w:rPr>
                <w:sz w:val="20"/>
                <w:szCs w:val="20"/>
                <w:color w:val="auto"/>
              </w:rPr>
            </w:pPr>
            <w:r>
              <w:rPr>
                <w:rFonts w:ascii="Arial" w:cs="Arial" w:eastAsia="Arial" w:hAnsi="Arial"/>
                <w:sz w:val="15"/>
                <w:szCs w:val="15"/>
                <w:color w:val="auto"/>
              </w:rPr>
              <w:t>(148,151)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SHAREHOLDERS' EQUITY</w:t>
            </w:r>
          </w:p>
        </w:tc>
        <w:tc>
          <w:tcPr>
            <w:tcW w:w="2680" w:type="dxa"/>
            <w:vAlign w:val="bottom"/>
            <w:tcBorders>
              <w:bottom w:val="single" w:sz="8" w:color="auto"/>
            </w:tcBorders>
            <w:shd w:val="clear" w:color="auto" w:fill="D9D9D9"/>
          </w:tcPr>
          <w:p>
            <w:pPr>
              <w:spacing w:after="0"/>
              <w:rPr>
                <w:sz w:val="15"/>
                <w:szCs w:val="15"/>
                <w:color w:val="auto"/>
              </w:rPr>
            </w:pPr>
          </w:p>
        </w:tc>
        <w:tc>
          <w:tcPr>
            <w:tcW w:w="228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48,384</w:t>
            </w:r>
          </w:p>
        </w:tc>
        <w:tc>
          <w:tcPr>
            <w:tcW w:w="1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48,234</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TOTAL LIABILITIES AND SHAREHOLDERS' EQUITY</w:t>
            </w:r>
          </w:p>
        </w:tc>
        <w:tc>
          <w:tcPr>
            <w:tcW w:w="2680" w:type="dxa"/>
            <w:vAlign w:val="bottom"/>
            <w:tcBorders>
              <w:bottom w:val="single" w:sz="8" w:color="auto"/>
            </w:tcBorders>
            <w:shd w:val="clear" w:color="auto" w:fill="D9D9D9"/>
          </w:tcPr>
          <w:p>
            <w:pPr>
              <w:spacing w:after="0"/>
              <w:rPr>
                <w:sz w:val="16"/>
                <w:szCs w:val="16"/>
                <w:color w:val="auto"/>
              </w:rPr>
            </w:pPr>
          </w:p>
        </w:tc>
        <w:tc>
          <w:tcPr>
            <w:tcW w:w="2280" w:type="dxa"/>
            <w:vAlign w:val="bottom"/>
            <w:tcBorders>
              <w:bottom w:val="single" w:sz="8" w:color="auto"/>
            </w:tcBorders>
            <w:shd w:val="clear" w:color="auto" w:fill="D9D9D9"/>
          </w:tcPr>
          <w:p>
            <w:pPr>
              <w:jc w:val="right"/>
              <w:ind w:right="427"/>
              <w:spacing w:after="0"/>
              <w:rPr>
                <w:sz w:val="20"/>
                <w:szCs w:val="20"/>
                <w:color w:val="auto"/>
              </w:rPr>
            </w:pPr>
            <w:r>
              <w:rPr>
                <w:rFonts w:ascii="Arial" w:cs="Arial" w:eastAsia="Arial" w:hAnsi="Arial"/>
                <w:sz w:val="15"/>
                <w:szCs w:val="15"/>
                <w:b w:val="1"/>
                <w:bCs w:val="1"/>
                <w:color w:val="auto"/>
              </w:rPr>
              <w:t>57,627</w:t>
            </w:r>
          </w:p>
        </w:tc>
        <w:tc>
          <w:tcPr>
            <w:tcW w:w="1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rPr>
              <w:t>53,897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Corporate informaton (note 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Contracts, commitments and contngencies (note 10)</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Subsequent events (note 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These condensed interim consolidated fnancial statements were approved for issue on November 14, 2023 by the board of directors and signed on its behalf by:</w:t>
      </w:r>
    </w:p>
    <w:p>
      <w:pPr>
        <w:spacing w:after="0" w:line="167" w:lineRule="exact"/>
        <w:rPr>
          <w:sz w:val="20"/>
          <w:szCs w:val="20"/>
          <w:color w:val="auto"/>
        </w:rPr>
      </w:pPr>
    </w:p>
    <w:p>
      <w:pPr>
        <w:spacing w:after="0"/>
        <w:tabs>
          <w:tab w:leader="none" w:pos="2780" w:val="left"/>
        </w:tabs>
        <w:rPr>
          <w:sz w:val="20"/>
          <w:szCs w:val="20"/>
          <w:color w:val="auto"/>
        </w:rPr>
      </w:pPr>
      <w:r>
        <w:rPr>
          <w:rFonts w:ascii="Arial" w:cs="Arial" w:eastAsia="Arial" w:hAnsi="Arial"/>
          <w:sz w:val="16"/>
          <w:szCs w:val="16"/>
          <w:i w:val="1"/>
          <w:iCs w:val="1"/>
          <w:color w:val="auto"/>
        </w:rPr>
        <w:t xml:space="preserve">/s/ Paul Glavine </w:t>
      </w:r>
      <w:r>
        <w:rPr>
          <w:rFonts w:ascii="Arial" w:cs="Arial" w:eastAsia="Arial" w:hAnsi="Arial"/>
          <w:sz w:val="16"/>
          <w:szCs w:val="16"/>
          <w:color w:val="auto"/>
        </w:rPr>
        <w:t>Director</w:t>
      </w:r>
      <w:r>
        <w:rPr>
          <w:sz w:val="20"/>
          <w:szCs w:val="20"/>
          <w:color w:val="auto"/>
        </w:rPr>
        <w:tab/>
      </w:r>
      <w:r>
        <w:rPr>
          <w:rFonts w:ascii="Arial" w:cs="Arial" w:eastAsia="Arial" w:hAnsi="Arial"/>
          <w:sz w:val="14"/>
          <w:szCs w:val="14"/>
          <w:i w:val="1"/>
          <w:iCs w:val="1"/>
          <w:color w:val="auto"/>
        </w:rPr>
        <w:t xml:space="preserve">/s/ Eric So </w:t>
      </w:r>
      <w:r>
        <w:rPr>
          <w:rFonts w:ascii="Arial" w:cs="Arial" w:eastAsia="Arial" w:hAnsi="Arial"/>
          <w:sz w:val="14"/>
          <w:szCs w:val="14"/>
          <w:color w:val="auto"/>
        </w:rPr>
        <w:t>Director</w:t>
      </w:r>
    </w:p>
    <w:p>
      <w:pPr>
        <w:sectPr>
          <w:pgSz w:w="11900" w:h="16838" w:orient="portrait"/>
          <w:cols w:equalWidth="0" w:num="1">
            <w:col w:w="11260"/>
          </w:cols>
          <w:pgMar w:left="320" w:top="185" w:right="319" w:bottom="1440" w:gutter="0" w:footer="0" w:header="0"/>
        </w:sectPr>
      </w:pPr>
    </w:p>
    <w:bookmarkStart w:id="6" w:name="page7"/>
    <w:bookmarkEnd w:id="6"/>
    <w:p>
      <w:pPr>
        <w:ind w:left="60"/>
        <w:spacing w:after="0"/>
        <w:rPr>
          <w:sz w:val="20"/>
          <w:szCs w:val="20"/>
          <w:color w:val="auto"/>
        </w:rPr>
      </w:pPr>
      <w:r>
        <w:rPr>
          <w:rFonts w:ascii="Arial" w:cs="Arial" w:eastAsia="Arial" w:hAnsi="Arial"/>
          <w:sz w:val="19"/>
          <w:szCs w:val="19"/>
          <w:b w:val="1"/>
          <w:bCs w:val="1"/>
          <w:color w:val="auto"/>
        </w:rPr>
        <w:t>CYBIN INC.</w:t>
      </w:r>
    </w:p>
    <w:p>
      <w:pPr>
        <w:ind w:left="60"/>
        <w:spacing w:after="0" w:line="214" w:lineRule="auto"/>
        <w:rPr>
          <w:sz w:val="20"/>
          <w:szCs w:val="20"/>
          <w:color w:val="auto"/>
        </w:rPr>
      </w:pPr>
      <w:r>
        <w:rPr>
          <w:rFonts w:ascii="Arial" w:cs="Arial" w:eastAsia="Arial" w:hAnsi="Arial"/>
          <w:sz w:val="19"/>
          <w:szCs w:val="19"/>
          <w:b w:val="1"/>
          <w:bCs w:val="1"/>
          <w:color w:val="auto"/>
        </w:rPr>
        <w:t>CONDENSED INTERIM CONSOLIDATED STATEMENTS OF LOSS AND COMPREHENSIVE LOSS</w:t>
      </w:r>
    </w:p>
    <w:p>
      <w:pPr>
        <w:ind w:left="60"/>
        <w:spacing w:after="0" w:line="208" w:lineRule="auto"/>
        <w:rPr>
          <w:sz w:val="20"/>
          <w:szCs w:val="20"/>
          <w:color w:val="auto"/>
        </w:rPr>
      </w:pPr>
      <w:r>
        <w:rPr>
          <w:rFonts w:ascii="Arial" w:cs="Arial" w:eastAsia="Arial" w:hAnsi="Arial"/>
          <w:sz w:val="19"/>
          <w:szCs w:val="19"/>
          <w:b w:val="1"/>
          <w:bCs w:val="1"/>
          <w:color w:val="auto"/>
        </w:rPr>
        <w:t>(All amounts expressed in thousands of Canadian dollars, except share and per share amounts)</w:t>
      </w:r>
    </w:p>
    <w:p>
      <w:pPr>
        <w:ind w:left="60"/>
        <w:spacing w:after="0" w:line="213" w:lineRule="auto"/>
        <w:rPr>
          <w:sz w:val="20"/>
          <w:szCs w:val="20"/>
          <w:color w:val="auto"/>
        </w:rPr>
      </w:pPr>
      <w:r>
        <w:rPr>
          <w:rFonts w:ascii="Arial" w:cs="Arial" w:eastAsia="Arial" w:hAnsi="Arial"/>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30480</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6"/>
                <w:szCs w:val="16"/>
                <w:b w:val="1"/>
                <w:bCs w:val="1"/>
                <w:color w:val="auto"/>
                <w:w w:val="88"/>
              </w:rPr>
              <w:t>Three months ended September 30,</w:t>
            </w:r>
          </w:p>
        </w:tc>
        <w:tc>
          <w:tcPr>
            <w:tcW w:w="24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6"/>
                <w:szCs w:val="16"/>
                <w:b w:val="1"/>
                <w:bCs w:val="1"/>
                <w:color w:val="auto"/>
                <w:w w:val="89"/>
              </w:rPr>
              <w:t>Six months ended September 30,</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5"/>
                <w:szCs w:val="15"/>
                <w:i w:val="1"/>
                <w:iCs w:val="1"/>
                <w:color w:val="auto"/>
                <w:w w:val="96"/>
              </w:rPr>
              <w:t>Notes</w:t>
            </w:r>
          </w:p>
        </w:tc>
        <w:tc>
          <w:tcPr>
            <w:tcW w:w="1440" w:type="dxa"/>
            <w:vAlign w:val="bottom"/>
          </w:tcPr>
          <w:p>
            <w:pPr>
              <w:jc w:val="right"/>
              <w:ind w:right="211"/>
              <w:spacing w:after="0"/>
              <w:rPr>
                <w:sz w:val="20"/>
                <w:szCs w:val="20"/>
                <w:color w:val="auto"/>
              </w:rPr>
            </w:pPr>
            <w:r>
              <w:rPr>
                <w:rFonts w:ascii="Arial" w:cs="Arial" w:eastAsia="Arial" w:hAnsi="Arial"/>
                <w:sz w:val="15"/>
                <w:szCs w:val="15"/>
                <w:b w:val="1"/>
                <w:bCs w:val="1"/>
                <w:color w:val="auto"/>
              </w:rPr>
              <w:t>2023</w:t>
            </w:r>
          </w:p>
        </w:tc>
        <w:tc>
          <w:tcPr>
            <w:tcW w:w="1060" w:type="dxa"/>
            <w:vAlign w:val="bottom"/>
          </w:tcPr>
          <w:p>
            <w:pPr>
              <w:jc w:val="right"/>
              <w:ind w:right="48"/>
              <w:spacing w:after="0"/>
              <w:rPr>
                <w:sz w:val="20"/>
                <w:szCs w:val="20"/>
                <w:color w:val="auto"/>
              </w:rPr>
            </w:pPr>
            <w:r>
              <w:rPr>
                <w:rFonts w:ascii="Arial" w:cs="Arial" w:eastAsia="Arial" w:hAnsi="Arial"/>
                <w:sz w:val="15"/>
                <w:szCs w:val="15"/>
                <w:b w:val="1"/>
                <w:bCs w:val="1"/>
                <w:color w:val="auto"/>
              </w:rPr>
              <w:t>2022</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2023</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47"/>
        </w:trPr>
        <w:tc>
          <w:tcPr>
            <w:tcW w:w="5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7"/>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vMerge w:val="restart"/>
          </w:tcPr>
          <w:p>
            <w:pPr>
              <w:ind w:left="200"/>
              <w:spacing w:after="0"/>
              <w:rPr>
                <w:sz w:val="20"/>
                <w:szCs w:val="20"/>
                <w:color w:val="auto"/>
              </w:rPr>
            </w:pPr>
            <w:r>
              <w:rPr>
                <w:rFonts w:ascii="Arial" w:cs="Arial" w:eastAsia="Arial" w:hAnsi="Arial"/>
                <w:sz w:val="15"/>
                <w:szCs w:val="15"/>
                <w:color w:val="auto"/>
              </w:rPr>
              <w:t>Research</w:t>
            </w:r>
          </w:p>
        </w:tc>
        <w:tc>
          <w:tcPr>
            <w:tcW w:w="940" w:type="dxa"/>
            <w:vAlign w:val="bottom"/>
          </w:tcPr>
          <w:p>
            <w:pPr>
              <w:jc w:val="center"/>
              <w:spacing w:after="0"/>
              <w:rPr>
                <w:sz w:val="20"/>
                <w:szCs w:val="20"/>
                <w:color w:val="auto"/>
              </w:rPr>
            </w:pPr>
            <w:r>
              <w:rPr>
                <w:rFonts w:ascii="Arial" w:cs="Arial" w:eastAsia="Arial" w:hAnsi="Arial"/>
                <w:sz w:val="15"/>
                <w:szCs w:val="15"/>
                <w:i w:val="1"/>
                <w:iCs w:val="1"/>
                <w:color w:val="auto"/>
                <w:w w:val="71"/>
              </w:rPr>
              <w:t>8</w:t>
            </w:r>
          </w:p>
        </w:tc>
        <w:tc>
          <w:tcPr>
            <w:tcW w:w="144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6,696</w:t>
            </w:r>
          </w:p>
        </w:tc>
        <w:tc>
          <w:tcPr>
            <w:tcW w:w="1060" w:type="dxa"/>
            <w:vAlign w:val="bottom"/>
            <w:vMerge w:val="restart"/>
          </w:tcPr>
          <w:p>
            <w:pPr>
              <w:jc w:val="right"/>
              <w:ind w:right="48"/>
              <w:spacing w:after="0"/>
              <w:rPr>
                <w:sz w:val="20"/>
                <w:szCs w:val="20"/>
                <w:color w:val="auto"/>
              </w:rPr>
            </w:pPr>
            <w:r>
              <w:rPr>
                <w:rFonts w:ascii="Arial" w:cs="Arial" w:eastAsia="Arial" w:hAnsi="Arial"/>
                <w:sz w:val="15"/>
                <w:szCs w:val="15"/>
                <w:color w:val="auto"/>
              </w:rPr>
              <w:t>5,141</w:t>
            </w:r>
          </w:p>
        </w:tc>
        <w:tc>
          <w:tcPr>
            <w:tcW w:w="1380" w:type="dxa"/>
            <w:vAlign w:val="bottom"/>
            <w:vMerge w:val="restart"/>
          </w:tcPr>
          <w:p>
            <w:pPr>
              <w:jc w:val="right"/>
              <w:ind w:right="187"/>
              <w:spacing w:after="0"/>
              <w:rPr>
                <w:sz w:val="20"/>
                <w:szCs w:val="20"/>
                <w:color w:val="auto"/>
              </w:rPr>
            </w:pPr>
            <w:r>
              <w:rPr>
                <w:rFonts w:ascii="Arial" w:cs="Arial" w:eastAsia="Arial" w:hAnsi="Arial"/>
                <w:sz w:val="15"/>
                <w:szCs w:val="15"/>
                <w:b w:val="1"/>
                <w:bCs w:val="1"/>
                <w:color w:val="auto"/>
              </w:rPr>
              <w:t>13,080</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11,189</w:t>
            </w:r>
          </w:p>
        </w:tc>
        <w:tc>
          <w:tcPr>
            <w:tcW w:w="0" w:type="dxa"/>
            <w:vAlign w:val="bottom"/>
          </w:tcPr>
          <w:p>
            <w:pPr>
              <w:spacing w:after="0"/>
              <w:rPr>
                <w:sz w:val="1"/>
                <w:szCs w:val="1"/>
                <w:color w:val="auto"/>
              </w:rPr>
            </w:pPr>
          </w:p>
        </w:tc>
      </w:tr>
      <w:tr>
        <w:trPr>
          <w:trHeight w:val="99"/>
        </w:trPr>
        <w:tc>
          <w:tcPr>
            <w:tcW w:w="54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ind w:left="200"/>
              <w:spacing w:after="0"/>
              <w:rPr>
                <w:sz w:val="20"/>
                <w:szCs w:val="20"/>
                <w:color w:val="auto"/>
              </w:rPr>
            </w:pPr>
            <w:r>
              <w:rPr>
                <w:rFonts w:ascii="Arial" w:cs="Arial" w:eastAsia="Arial" w:hAnsi="Arial"/>
                <w:sz w:val="15"/>
                <w:szCs w:val="15"/>
                <w:color w:val="auto"/>
              </w:rPr>
              <w:t>General and administratve costs</w:t>
            </w:r>
          </w:p>
        </w:tc>
        <w:tc>
          <w:tcPr>
            <w:tcW w:w="940" w:type="dxa"/>
            <w:vAlign w:val="bottom"/>
          </w:tcPr>
          <w:p>
            <w:pPr>
              <w:jc w:val="center"/>
              <w:spacing w:after="0"/>
              <w:rPr>
                <w:sz w:val="20"/>
                <w:szCs w:val="20"/>
                <w:color w:val="auto"/>
              </w:rPr>
            </w:pPr>
            <w:r>
              <w:rPr>
                <w:rFonts w:ascii="Arial" w:cs="Arial" w:eastAsia="Arial" w:hAnsi="Arial"/>
                <w:sz w:val="15"/>
                <w:szCs w:val="15"/>
                <w:i w:val="1"/>
                <w:iCs w:val="1"/>
                <w:color w:val="auto"/>
                <w:w w:val="71"/>
              </w:rPr>
              <w:t>9</w:t>
            </w:r>
          </w:p>
        </w:tc>
        <w:tc>
          <w:tcPr>
            <w:tcW w:w="144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5,800</w:t>
            </w:r>
          </w:p>
        </w:tc>
        <w:tc>
          <w:tcPr>
            <w:tcW w:w="1060" w:type="dxa"/>
            <w:vAlign w:val="bottom"/>
            <w:vMerge w:val="restart"/>
          </w:tcPr>
          <w:p>
            <w:pPr>
              <w:jc w:val="right"/>
              <w:ind w:right="48"/>
              <w:spacing w:after="0"/>
              <w:rPr>
                <w:sz w:val="20"/>
                <w:szCs w:val="20"/>
                <w:color w:val="auto"/>
              </w:rPr>
            </w:pPr>
            <w:r>
              <w:rPr>
                <w:rFonts w:ascii="Arial" w:cs="Arial" w:eastAsia="Arial" w:hAnsi="Arial"/>
                <w:sz w:val="15"/>
                <w:szCs w:val="15"/>
                <w:color w:val="auto"/>
              </w:rPr>
              <w:t>6,114</w:t>
            </w:r>
          </w:p>
        </w:tc>
        <w:tc>
          <w:tcPr>
            <w:tcW w:w="1380" w:type="dxa"/>
            <w:vAlign w:val="bottom"/>
            <w:vMerge w:val="restart"/>
          </w:tcPr>
          <w:p>
            <w:pPr>
              <w:jc w:val="right"/>
              <w:ind w:right="187"/>
              <w:spacing w:after="0"/>
              <w:rPr>
                <w:sz w:val="20"/>
                <w:szCs w:val="20"/>
                <w:color w:val="auto"/>
              </w:rPr>
            </w:pPr>
            <w:r>
              <w:rPr>
                <w:rFonts w:ascii="Arial" w:cs="Arial" w:eastAsia="Arial" w:hAnsi="Arial"/>
                <w:sz w:val="15"/>
                <w:szCs w:val="15"/>
                <w:b w:val="1"/>
                <w:bCs w:val="1"/>
                <w:color w:val="auto"/>
              </w:rPr>
              <w:t>10,848</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11,306</w:t>
            </w:r>
          </w:p>
        </w:tc>
        <w:tc>
          <w:tcPr>
            <w:tcW w:w="0" w:type="dxa"/>
            <w:vAlign w:val="bottom"/>
          </w:tcPr>
          <w:p>
            <w:pPr>
              <w:spacing w:after="0"/>
              <w:rPr>
                <w:sz w:val="1"/>
                <w:szCs w:val="1"/>
                <w:color w:val="auto"/>
              </w:rPr>
            </w:pPr>
          </w:p>
        </w:tc>
      </w:tr>
      <w:tr>
        <w:trPr>
          <w:trHeight w:val="99"/>
        </w:trPr>
        <w:tc>
          <w:tcPr>
            <w:tcW w:w="54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ind w:left="200"/>
              <w:spacing w:after="0"/>
              <w:rPr>
                <w:sz w:val="20"/>
                <w:szCs w:val="20"/>
                <w:color w:val="auto"/>
              </w:rPr>
            </w:pPr>
            <w:r>
              <w:rPr>
                <w:rFonts w:ascii="Arial" w:cs="Arial" w:eastAsia="Arial" w:hAnsi="Arial"/>
                <w:sz w:val="15"/>
                <w:szCs w:val="15"/>
                <w:color w:val="auto"/>
              </w:rPr>
              <w:t>Share-based compensaton</w:t>
            </w:r>
          </w:p>
        </w:tc>
        <w:tc>
          <w:tcPr>
            <w:tcW w:w="940" w:type="dxa"/>
            <w:vAlign w:val="bottom"/>
          </w:tcPr>
          <w:p>
            <w:pPr>
              <w:jc w:val="center"/>
              <w:spacing w:after="0"/>
              <w:rPr>
                <w:sz w:val="20"/>
                <w:szCs w:val="20"/>
                <w:color w:val="auto"/>
              </w:rPr>
            </w:pPr>
            <w:r>
              <w:rPr>
                <w:rFonts w:ascii="Arial" w:cs="Arial" w:eastAsia="Arial" w:hAnsi="Arial"/>
                <w:sz w:val="15"/>
                <w:szCs w:val="15"/>
                <w:i w:val="1"/>
                <w:iCs w:val="1"/>
                <w:color w:val="auto"/>
                <w:w w:val="87"/>
              </w:rPr>
              <w:t>6, 7</w:t>
            </w:r>
          </w:p>
        </w:tc>
        <w:tc>
          <w:tcPr>
            <w:tcW w:w="144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1,414</w:t>
            </w:r>
          </w:p>
        </w:tc>
        <w:tc>
          <w:tcPr>
            <w:tcW w:w="1060" w:type="dxa"/>
            <w:vAlign w:val="bottom"/>
            <w:vMerge w:val="restart"/>
          </w:tcPr>
          <w:p>
            <w:pPr>
              <w:jc w:val="right"/>
              <w:ind w:right="48"/>
              <w:spacing w:after="0"/>
              <w:rPr>
                <w:sz w:val="20"/>
                <w:szCs w:val="20"/>
                <w:color w:val="auto"/>
              </w:rPr>
            </w:pPr>
            <w:r>
              <w:rPr>
                <w:rFonts w:ascii="Arial" w:cs="Arial" w:eastAsia="Arial" w:hAnsi="Arial"/>
                <w:sz w:val="15"/>
                <w:szCs w:val="15"/>
                <w:color w:val="auto"/>
              </w:rPr>
              <w:t>1,072</w:t>
            </w:r>
          </w:p>
        </w:tc>
        <w:tc>
          <w:tcPr>
            <w:tcW w:w="1380" w:type="dxa"/>
            <w:vAlign w:val="bottom"/>
            <w:vMerge w:val="restart"/>
          </w:tcPr>
          <w:p>
            <w:pPr>
              <w:jc w:val="right"/>
              <w:ind w:right="187"/>
              <w:spacing w:after="0"/>
              <w:rPr>
                <w:sz w:val="20"/>
                <w:szCs w:val="20"/>
                <w:color w:val="auto"/>
              </w:rPr>
            </w:pPr>
            <w:r>
              <w:rPr>
                <w:rFonts w:ascii="Arial" w:cs="Arial" w:eastAsia="Arial" w:hAnsi="Arial"/>
                <w:sz w:val="15"/>
                <w:szCs w:val="15"/>
                <w:b w:val="1"/>
                <w:bCs w:val="1"/>
                <w:color w:val="auto"/>
              </w:rPr>
              <w:t>2,689</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3,227</w:t>
            </w:r>
          </w:p>
        </w:tc>
        <w:tc>
          <w:tcPr>
            <w:tcW w:w="0" w:type="dxa"/>
            <w:vAlign w:val="bottom"/>
          </w:tcPr>
          <w:p>
            <w:pPr>
              <w:spacing w:after="0"/>
              <w:rPr>
                <w:sz w:val="1"/>
                <w:szCs w:val="1"/>
                <w:color w:val="auto"/>
              </w:rPr>
            </w:pPr>
          </w:p>
        </w:tc>
      </w:tr>
      <w:tr>
        <w:trPr>
          <w:trHeight w:val="99"/>
        </w:trPr>
        <w:tc>
          <w:tcPr>
            <w:tcW w:w="54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TOTAL EXPENSES</w:t>
            </w:r>
          </w:p>
        </w:tc>
        <w:tc>
          <w:tcPr>
            <w:tcW w:w="940" w:type="dxa"/>
            <w:vAlign w:val="bottom"/>
          </w:tcPr>
          <w:p>
            <w:pPr>
              <w:spacing w:after="0"/>
              <w:rPr>
                <w:sz w:val="18"/>
                <w:szCs w:val="18"/>
                <w:color w:val="auto"/>
              </w:rPr>
            </w:pPr>
          </w:p>
        </w:tc>
        <w:tc>
          <w:tcPr>
            <w:tcW w:w="1440" w:type="dxa"/>
            <w:vAlign w:val="bottom"/>
          </w:tcPr>
          <w:p>
            <w:pPr>
              <w:jc w:val="right"/>
              <w:ind w:right="171"/>
              <w:spacing w:after="0"/>
              <w:rPr>
                <w:sz w:val="20"/>
                <w:szCs w:val="20"/>
                <w:color w:val="auto"/>
              </w:rPr>
            </w:pPr>
            <w:r>
              <w:rPr>
                <w:rFonts w:ascii="Arial" w:cs="Arial" w:eastAsia="Arial" w:hAnsi="Arial"/>
                <w:sz w:val="13"/>
                <w:szCs w:val="13"/>
                <w:b w:val="1"/>
                <w:bCs w:val="1"/>
                <w:color w:val="auto"/>
              </w:rPr>
              <w:t>13,910</w:t>
            </w:r>
          </w:p>
        </w:tc>
        <w:tc>
          <w:tcPr>
            <w:tcW w:w="1060" w:type="dxa"/>
            <w:vAlign w:val="bottom"/>
          </w:tcPr>
          <w:p>
            <w:pPr>
              <w:jc w:val="right"/>
              <w:spacing w:after="0"/>
              <w:rPr>
                <w:sz w:val="20"/>
                <w:szCs w:val="20"/>
                <w:color w:val="auto"/>
              </w:rPr>
            </w:pPr>
            <w:r>
              <w:rPr>
                <w:rFonts w:ascii="Arial" w:cs="Arial" w:eastAsia="Arial" w:hAnsi="Arial"/>
                <w:sz w:val="13"/>
                <w:szCs w:val="13"/>
                <w:color w:val="auto"/>
              </w:rPr>
              <w:t>12,327</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26,617</w:t>
            </w:r>
          </w:p>
        </w:tc>
        <w:tc>
          <w:tcPr>
            <w:tcW w:w="1020" w:type="dxa"/>
            <w:vAlign w:val="bottom"/>
          </w:tcPr>
          <w:p>
            <w:pPr>
              <w:jc w:val="right"/>
              <w:spacing w:after="0"/>
              <w:rPr>
                <w:sz w:val="20"/>
                <w:szCs w:val="20"/>
                <w:color w:val="auto"/>
              </w:rPr>
            </w:pPr>
            <w:r>
              <w:rPr>
                <w:rFonts w:ascii="Arial" w:cs="Arial" w:eastAsia="Arial" w:hAnsi="Arial"/>
                <w:sz w:val="15"/>
                <w:szCs w:val="15"/>
                <w:color w:val="auto"/>
              </w:rPr>
              <w:t>25,722</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40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940" w:type="dxa"/>
            <w:vAlign w:val="bottom"/>
          </w:tcPr>
          <w:p>
            <w:pPr>
              <w:spacing w:after="0"/>
              <w:rPr>
                <w:sz w:val="24"/>
                <w:szCs w:val="24"/>
                <w:color w:val="auto"/>
              </w:rPr>
            </w:pPr>
          </w:p>
        </w:tc>
        <w:tc>
          <w:tcPr>
            <w:tcW w:w="1440" w:type="dxa"/>
            <w:vAlign w:val="bottom"/>
          </w:tcPr>
          <w:p>
            <w:pPr>
              <w:jc w:val="right"/>
              <w:ind w:right="171"/>
              <w:spacing w:after="0"/>
              <w:rPr>
                <w:sz w:val="20"/>
                <w:szCs w:val="20"/>
                <w:color w:val="auto"/>
              </w:rPr>
            </w:pPr>
            <w:r>
              <w:rPr>
                <w:rFonts w:ascii="Arial" w:cs="Arial" w:eastAsia="Arial" w:hAnsi="Arial"/>
                <w:sz w:val="13"/>
                <w:szCs w:val="13"/>
                <w:b w:val="1"/>
                <w:bCs w:val="1"/>
                <w:color w:val="auto"/>
              </w:rPr>
              <w:t>52</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174</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136</w:t>
            </w:r>
          </w:p>
        </w:tc>
        <w:tc>
          <w:tcPr>
            <w:tcW w:w="1020" w:type="dxa"/>
            <w:vAlign w:val="bottom"/>
          </w:tcPr>
          <w:p>
            <w:pPr>
              <w:jc w:val="right"/>
              <w:spacing w:after="0"/>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315"/>
        </w:trPr>
        <w:tc>
          <w:tcPr>
            <w:tcW w:w="5400" w:type="dxa"/>
            <w:vAlign w:val="bottom"/>
          </w:tcPr>
          <w:p>
            <w:pPr>
              <w:ind w:left="200"/>
              <w:spacing w:after="0"/>
              <w:rPr>
                <w:sz w:val="20"/>
                <w:szCs w:val="20"/>
                <w:color w:val="auto"/>
              </w:rPr>
            </w:pPr>
            <w:r>
              <w:rPr>
                <w:rFonts w:ascii="Arial" w:cs="Arial" w:eastAsia="Arial" w:hAnsi="Arial"/>
                <w:sz w:val="15"/>
                <w:szCs w:val="15"/>
                <w:color w:val="auto"/>
              </w:rPr>
              <w:t>Foreign currency translaton gain (loss)</w:t>
            </w:r>
          </w:p>
        </w:tc>
        <w:tc>
          <w:tcPr>
            <w:tcW w:w="940" w:type="dxa"/>
            <w:vAlign w:val="bottom"/>
          </w:tcPr>
          <w:p>
            <w:pPr>
              <w:spacing w:after="0"/>
              <w:rPr>
                <w:sz w:val="24"/>
                <w:szCs w:val="24"/>
                <w:color w:val="auto"/>
              </w:rPr>
            </w:pPr>
          </w:p>
        </w:tc>
        <w:tc>
          <w:tcPr>
            <w:tcW w:w="1440" w:type="dxa"/>
            <w:vAlign w:val="bottom"/>
          </w:tcPr>
          <w:p>
            <w:pPr>
              <w:jc w:val="right"/>
              <w:ind w:right="171"/>
              <w:spacing w:after="0"/>
              <w:rPr>
                <w:sz w:val="20"/>
                <w:szCs w:val="20"/>
                <w:color w:val="auto"/>
              </w:rPr>
            </w:pPr>
            <w:r>
              <w:rPr>
                <w:rFonts w:ascii="Arial" w:cs="Arial" w:eastAsia="Arial" w:hAnsi="Arial"/>
                <w:sz w:val="13"/>
                <w:szCs w:val="13"/>
                <w:b w:val="1"/>
                <w:bCs w:val="1"/>
                <w:color w:val="auto"/>
              </w:rPr>
              <w:t>1,968</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2,189</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77</w:t>
            </w:r>
          </w:p>
        </w:tc>
        <w:tc>
          <w:tcPr>
            <w:tcW w:w="1020" w:type="dxa"/>
            <w:vAlign w:val="bottom"/>
          </w:tcPr>
          <w:p>
            <w:pPr>
              <w:jc w:val="right"/>
              <w:spacing w:after="0"/>
              <w:rPr>
                <w:sz w:val="20"/>
                <w:szCs w:val="20"/>
                <w:color w:val="auto"/>
              </w:rPr>
            </w:pPr>
            <w:r>
              <w:rPr>
                <w:rFonts w:ascii="Arial" w:cs="Arial" w:eastAsia="Arial" w:hAnsi="Arial"/>
                <w:sz w:val="15"/>
                <w:szCs w:val="15"/>
                <w:color w:val="auto"/>
              </w:rPr>
              <w:t>2,714</w:t>
            </w:r>
          </w:p>
        </w:tc>
        <w:tc>
          <w:tcPr>
            <w:tcW w:w="0" w:type="dxa"/>
            <w:vAlign w:val="bottom"/>
          </w:tcPr>
          <w:p>
            <w:pPr>
              <w:spacing w:after="0"/>
              <w:rPr>
                <w:sz w:val="1"/>
                <w:szCs w:val="1"/>
                <w:color w:val="auto"/>
              </w:rPr>
            </w:pPr>
          </w:p>
        </w:tc>
      </w:tr>
      <w:tr>
        <w:trPr>
          <w:trHeight w:val="289"/>
        </w:trPr>
        <w:tc>
          <w:tcPr>
            <w:tcW w:w="5400" w:type="dxa"/>
            <w:vAlign w:val="bottom"/>
          </w:tcPr>
          <w:p>
            <w:pPr>
              <w:ind w:left="200"/>
              <w:spacing w:after="0"/>
              <w:rPr>
                <w:sz w:val="20"/>
                <w:szCs w:val="20"/>
                <w:color w:val="auto"/>
              </w:rPr>
            </w:pPr>
            <w:r>
              <w:rPr>
                <w:rFonts w:ascii="Arial" w:cs="Arial" w:eastAsia="Arial" w:hAnsi="Arial"/>
                <w:sz w:val="15"/>
                <w:szCs w:val="15"/>
                <w:color w:val="auto"/>
                <w:w w:val="98"/>
              </w:rPr>
              <w:t>Change in fair value of investments measured at fair value through proft or loss</w:t>
            </w:r>
          </w:p>
        </w:tc>
        <w:tc>
          <w:tcPr>
            <w:tcW w:w="940" w:type="dxa"/>
            <w:vAlign w:val="bottom"/>
          </w:tcPr>
          <w:p>
            <w:pPr>
              <w:spacing w:after="0"/>
              <w:rPr>
                <w:sz w:val="24"/>
                <w:szCs w:val="24"/>
                <w:color w:val="auto"/>
              </w:rPr>
            </w:pPr>
          </w:p>
        </w:tc>
        <w:tc>
          <w:tcPr>
            <w:tcW w:w="1440" w:type="dxa"/>
            <w:vAlign w:val="bottom"/>
          </w:tcPr>
          <w:p>
            <w:pPr>
              <w:jc w:val="right"/>
              <w:ind w:right="171"/>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12</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93"/>
        </w:trPr>
        <w:tc>
          <w:tcPr>
            <w:tcW w:w="5400" w:type="dxa"/>
            <w:vAlign w:val="bottom"/>
          </w:tcPr>
          <w:p>
            <w:pPr>
              <w:ind w:left="220"/>
              <w:spacing w:after="0"/>
              <w:rPr>
                <w:sz w:val="20"/>
                <w:szCs w:val="20"/>
                <w:color w:val="auto"/>
              </w:rPr>
            </w:pPr>
            <w:r>
              <w:rPr>
                <w:rFonts w:ascii="Arial" w:cs="Arial" w:eastAsia="Arial" w:hAnsi="Arial"/>
                <w:sz w:val="15"/>
                <w:szCs w:val="15"/>
                <w:color w:val="auto"/>
              </w:rPr>
              <w:t>Contngent consideraton accreton</w:t>
            </w:r>
          </w:p>
        </w:tc>
        <w:tc>
          <w:tcPr>
            <w:tcW w:w="940" w:type="dxa"/>
            <w:vAlign w:val="bottom"/>
          </w:tcPr>
          <w:p>
            <w:pPr>
              <w:spacing w:after="0"/>
              <w:rPr>
                <w:sz w:val="24"/>
                <w:szCs w:val="24"/>
                <w:color w:val="auto"/>
              </w:rPr>
            </w:pPr>
          </w:p>
        </w:tc>
        <w:tc>
          <w:tcPr>
            <w:tcW w:w="1440" w:type="dxa"/>
            <w:vAlign w:val="bottom"/>
          </w:tcPr>
          <w:p>
            <w:pPr>
              <w:jc w:val="right"/>
              <w:ind w:right="171"/>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89"/>
        </w:trPr>
        <w:tc>
          <w:tcPr>
            <w:tcW w:w="5400" w:type="dxa"/>
            <w:vAlign w:val="bottom"/>
          </w:tcPr>
          <w:p>
            <w:pPr>
              <w:ind w:left="200"/>
              <w:spacing w:after="0"/>
              <w:rPr>
                <w:sz w:val="20"/>
                <w:szCs w:val="20"/>
                <w:color w:val="auto"/>
              </w:rPr>
            </w:pPr>
            <w:r>
              <w:rPr>
                <w:rFonts w:ascii="Arial" w:cs="Arial" w:eastAsia="Arial" w:hAnsi="Arial"/>
                <w:sz w:val="15"/>
                <w:szCs w:val="15"/>
                <w:color w:val="auto"/>
              </w:rPr>
              <w:t>Change in fair value of contngent consideraton</w:t>
            </w:r>
          </w:p>
        </w:tc>
        <w:tc>
          <w:tcPr>
            <w:tcW w:w="940" w:type="dxa"/>
            <w:vAlign w:val="bottom"/>
          </w:tcPr>
          <w:p>
            <w:pPr>
              <w:spacing w:after="0"/>
              <w:rPr>
                <w:sz w:val="24"/>
                <w:szCs w:val="24"/>
                <w:color w:val="auto"/>
              </w:rPr>
            </w:pPr>
          </w:p>
        </w:tc>
        <w:tc>
          <w:tcPr>
            <w:tcW w:w="1440" w:type="dxa"/>
            <w:vAlign w:val="bottom"/>
          </w:tcPr>
          <w:p>
            <w:pPr>
              <w:jc w:val="right"/>
              <w:ind w:right="171"/>
              <w:spacing w:after="0"/>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(21)</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304"/>
        </w:trPr>
        <w:tc>
          <w:tcPr>
            <w:tcW w:w="5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940" w:type="dxa"/>
            <w:vAlign w:val="bottom"/>
          </w:tcPr>
          <w:p>
            <w:pPr>
              <w:spacing w:after="0"/>
              <w:rPr>
                <w:sz w:val="18"/>
                <w:szCs w:val="18"/>
                <w:color w:val="auto"/>
              </w:rPr>
            </w:pPr>
          </w:p>
        </w:tc>
        <w:tc>
          <w:tcPr>
            <w:tcW w:w="1440" w:type="dxa"/>
            <w:vAlign w:val="bottom"/>
          </w:tcPr>
          <w:p>
            <w:pPr>
              <w:jc w:val="right"/>
              <w:ind w:right="171"/>
              <w:spacing w:after="0"/>
              <w:rPr>
                <w:sz w:val="20"/>
                <w:szCs w:val="20"/>
                <w:color w:val="auto"/>
              </w:rPr>
            </w:pPr>
            <w:r>
              <w:rPr>
                <w:rFonts w:ascii="Arial" w:cs="Arial" w:eastAsia="Arial" w:hAnsi="Arial"/>
                <w:sz w:val="13"/>
                <w:szCs w:val="13"/>
                <w:b w:val="1"/>
                <w:bCs w:val="1"/>
                <w:color w:val="auto"/>
              </w:rPr>
              <w:t>2,020</w:t>
            </w:r>
          </w:p>
        </w:tc>
        <w:tc>
          <w:tcPr>
            <w:tcW w:w="1060" w:type="dxa"/>
            <w:vAlign w:val="bottom"/>
          </w:tcPr>
          <w:p>
            <w:pPr>
              <w:jc w:val="right"/>
              <w:spacing w:after="0"/>
              <w:rPr>
                <w:sz w:val="20"/>
                <w:szCs w:val="20"/>
                <w:color w:val="auto"/>
              </w:rPr>
            </w:pPr>
            <w:r>
              <w:rPr>
                <w:rFonts w:ascii="Arial" w:cs="Arial" w:eastAsia="Arial" w:hAnsi="Arial"/>
                <w:sz w:val="13"/>
                <w:szCs w:val="13"/>
                <w:color w:val="auto"/>
              </w:rPr>
              <w:t>2,354</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213</w:t>
            </w:r>
          </w:p>
        </w:tc>
        <w:tc>
          <w:tcPr>
            <w:tcW w:w="1020" w:type="dxa"/>
            <w:vAlign w:val="bottom"/>
          </w:tcPr>
          <w:p>
            <w:pPr>
              <w:jc w:val="right"/>
              <w:spacing w:after="0"/>
              <w:rPr>
                <w:sz w:val="20"/>
                <w:szCs w:val="20"/>
                <w:color w:val="auto"/>
              </w:rPr>
            </w:pPr>
            <w:r>
              <w:rPr>
                <w:rFonts w:ascii="Arial" w:cs="Arial" w:eastAsia="Arial" w:hAnsi="Arial"/>
                <w:sz w:val="15"/>
                <w:szCs w:val="15"/>
                <w:color w:val="auto"/>
              </w:rPr>
              <w:t>2,694</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4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940" w:type="dxa"/>
            <w:vAlign w:val="bottom"/>
            <w:tcBorders>
              <w:bottom w:val="single" w:sz="8" w:color="DBDBDB"/>
            </w:tcBorders>
            <w:shd w:val="clear" w:color="auto" w:fill="DBDBDB"/>
          </w:tcPr>
          <w:p>
            <w:pPr>
              <w:spacing w:after="0"/>
              <w:rPr>
                <w:sz w:val="20"/>
                <w:szCs w:val="20"/>
                <w:color w:val="auto"/>
              </w:rPr>
            </w:pPr>
          </w:p>
        </w:tc>
        <w:tc>
          <w:tcPr>
            <w:tcW w:w="144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5"/>
                <w:szCs w:val="15"/>
                <w:b w:val="1"/>
                <w:bCs w:val="1"/>
                <w:color w:val="auto"/>
              </w:rPr>
              <w:t>(11,890)</w:t>
            </w:r>
          </w:p>
        </w:tc>
        <w:tc>
          <w:tcPr>
            <w:tcW w:w="10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5"/>
                <w:szCs w:val="15"/>
                <w:color w:val="auto"/>
              </w:rPr>
              <w:t>(9,973)</w:t>
            </w:r>
          </w:p>
        </w:tc>
        <w:tc>
          <w:tcPr>
            <w:tcW w:w="1380" w:type="dxa"/>
            <w:vAlign w:val="bottom"/>
            <w:tcBorders>
              <w:bottom w:val="single" w:sz="8" w:color="DBDBDB"/>
            </w:tcBorders>
            <w:shd w:val="clear" w:color="auto" w:fill="DBDBDB"/>
          </w:tcPr>
          <w:p>
            <w:pPr>
              <w:jc w:val="right"/>
              <w:ind w:right="187"/>
              <w:spacing w:after="0"/>
              <w:rPr>
                <w:sz w:val="20"/>
                <w:szCs w:val="20"/>
                <w:color w:val="auto"/>
              </w:rPr>
            </w:pPr>
            <w:r>
              <w:rPr>
                <w:rFonts w:ascii="Arial" w:cs="Arial" w:eastAsia="Arial" w:hAnsi="Arial"/>
                <w:sz w:val="15"/>
                <w:szCs w:val="15"/>
                <w:b w:val="1"/>
                <w:bCs w:val="1"/>
                <w:color w:val="auto"/>
              </w:rPr>
              <w:t>(26,404)</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(23,028)</w:t>
            </w:r>
          </w:p>
        </w:tc>
        <w:tc>
          <w:tcPr>
            <w:tcW w:w="0" w:type="dxa"/>
            <w:vAlign w:val="bottom"/>
          </w:tcPr>
          <w:p>
            <w:pPr>
              <w:spacing w:after="0"/>
              <w:rPr>
                <w:sz w:val="1"/>
                <w:szCs w:val="1"/>
                <w:color w:val="auto"/>
              </w:rPr>
            </w:pPr>
          </w:p>
        </w:tc>
      </w:tr>
      <w:tr>
        <w:trPr>
          <w:trHeight w:val="382"/>
        </w:trPr>
        <w:tc>
          <w:tcPr>
            <w:tcW w:w="540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OTHER COMPREHENSIVE LOSS</w:t>
            </w:r>
          </w:p>
        </w:tc>
        <w:tc>
          <w:tcPr>
            <w:tcW w:w="9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60"/>
              <w:spacing w:after="0"/>
              <w:rPr>
                <w:sz w:val="20"/>
                <w:szCs w:val="20"/>
                <w:color w:val="auto"/>
              </w:rPr>
            </w:pPr>
            <w:r>
              <w:rPr>
                <w:rFonts w:ascii="Arial" w:cs="Arial" w:eastAsia="Arial" w:hAnsi="Arial"/>
                <w:sz w:val="15"/>
                <w:szCs w:val="15"/>
                <w:color w:val="auto"/>
              </w:rPr>
              <w:t>Foreign currency translaton diferences for foreign operatons</w:t>
            </w:r>
          </w:p>
        </w:tc>
        <w:tc>
          <w:tcPr>
            <w:tcW w:w="940" w:type="dxa"/>
            <w:vAlign w:val="bottom"/>
          </w:tcPr>
          <w:p>
            <w:pPr>
              <w:spacing w:after="0"/>
              <w:rPr>
                <w:sz w:val="21"/>
                <w:szCs w:val="21"/>
                <w:color w:val="auto"/>
              </w:rPr>
            </w:pPr>
          </w:p>
        </w:tc>
        <w:tc>
          <w:tcPr>
            <w:tcW w:w="1440" w:type="dxa"/>
            <w:vAlign w:val="bottom"/>
          </w:tcPr>
          <w:p>
            <w:pPr>
              <w:jc w:val="right"/>
              <w:ind w:right="211"/>
              <w:spacing w:after="0"/>
              <w:rPr>
                <w:sz w:val="20"/>
                <w:szCs w:val="20"/>
                <w:color w:val="auto"/>
              </w:rPr>
            </w:pPr>
            <w:r>
              <w:rPr>
                <w:rFonts w:ascii="Arial" w:cs="Arial" w:eastAsia="Arial" w:hAnsi="Arial"/>
                <w:sz w:val="15"/>
                <w:szCs w:val="15"/>
                <w:b w:val="1"/>
                <w:bCs w:val="1"/>
                <w:color w:val="auto"/>
              </w:rPr>
              <w:t>(1,216)</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(187)</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(39)</w:t>
            </w:r>
          </w:p>
        </w:tc>
        <w:tc>
          <w:tcPr>
            <w:tcW w:w="102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47"/>
        </w:trPr>
        <w:tc>
          <w:tcPr>
            <w:tcW w:w="5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5400" w:type="dxa"/>
            <w:vAlign w:val="bottom"/>
            <w:tcBorders>
              <w:bottom w:val="single" w:sz="8" w:color="D9D9D9"/>
            </w:tcBorders>
            <w:shd w:val="clear" w:color="auto" w:fill="D9D9D9"/>
          </w:tcPr>
          <w:p>
            <w:pPr>
              <w:ind w:left="60"/>
              <w:spacing w:after="0"/>
              <w:rPr>
                <w:sz w:val="20"/>
                <w:szCs w:val="20"/>
                <w:color w:val="auto"/>
              </w:rPr>
            </w:pPr>
            <w:r>
              <w:rPr>
                <w:rFonts w:ascii="Arial" w:cs="Arial" w:eastAsia="Arial" w:hAnsi="Arial"/>
                <w:sz w:val="15"/>
                <w:szCs w:val="15"/>
                <w:b w:val="1"/>
                <w:bCs w:val="1"/>
                <w:color w:val="auto"/>
              </w:rPr>
              <w:t>COMPREHENSIVE LOSS FOR THE PERIOD</w:t>
            </w:r>
          </w:p>
        </w:tc>
        <w:tc>
          <w:tcPr>
            <w:tcW w:w="940" w:type="dxa"/>
            <w:vAlign w:val="bottom"/>
            <w:tcBorders>
              <w:bottom w:val="single" w:sz="8" w:color="D9D9D9"/>
            </w:tcBorders>
            <w:shd w:val="clear" w:color="auto" w:fill="D9D9D9"/>
          </w:tcPr>
          <w:p>
            <w:pPr>
              <w:spacing w:after="0"/>
              <w:rPr>
                <w:sz w:val="20"/>
                <w:szCs w:val="20"/>
                <w:color w:val="auto"/>
              </w:rPr>
            </w:pPr>
          </w:p>
        </w:tc>
        <w:tc>
          <w:tcPr>
            <w:tcW w:w="144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5"/>
                <w:szCs w:val="15"/>
                <w:b w:val="1"/>
                <w:bCs w:val="1"/>
                <w:color w:val="auto"/>
              </w:rPr>
              <w:t>(13,106)</w:t>
            </w:r>
          </w:p>
        </w:tc>
        <w:tc>
          <w:tcPr>
            <w:tcW w:w="106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5"/>
                <w:szCs w:val="15"/>
                <w:color w:val="auto"/>
              </w:rPr>
              <w:t>(10,160)</w:t>
            </w:r>
          </w:p>
        </w:tc>
        <w:tc>
          <w:tcPr>
            <w:tcW w:w="1380" w:type="dxa"/>
            <w:vAlign w:val="bottom"/>
            <w:tcBorders>
              <w:bottom w:val="single" w:sz="8" w:color="DBDBDB"/>
            </w:tcBorders>
            <w:shd w:val="clear" w:color="auto" w:fill="DBDBDB"/>
          </w:tcPr>
          <w:p>
            <w:pPr>
              <w:jc w:val="right"/>
              <w:ind w:right="187"/>
              <w:spacing w:after="0"/>
              <w:rPr>
                <w:sz w:val="20"/>
                <w:szCs w:val="20"/>
                <w:color w:val="auto"/>
              </w:rPr>
            </w:pPr>
            <w:r>
              <w:rPr>
                <w:rFonts w:ascii="Arial" w:cs="Arial" w:eastAsia="Arial" w:hAnsi="Arial"/>
                <w:sz w:val="15"/>
                <w:szCs w:val="15"/>
                <w:b w:val="1"/>
                <w:bCs w:val="1"/>
                <w:color w:val="auto"/>
              </w:rPr>
              <w:t>(26,443)</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(23,099)</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Basic loss per share for the period atributable to common shareholders</w:t>
            </w:r>
          </w:p>
        </w:tc>
        <w:tc>
          <w:tcPr>
            <w:tcW w:w="940" w:type="dxa"/>
            <w:vAlign w:val="bottom"/>
          </w:tcPr>
          <w:p>
            <w:pPr>
              <w:spacing w:after="0"/>
              <w:rPr>
                <w:sz w:val="18"/>
                <w:szCs w:val="18"/>
                <w:color w:val="auto"/>
              </w:rPr>
            </w:pPr>
          </w:p>
        </w:tc>
        <w:tc>
          <w:tcPr>
            <w:tcW w:w="1440" w:type="dxa"/>
            <w:vAlign w:val="bottom"/>
          </w:tcPr>
          <w:p>
            <w:pPr>
              <w:jc w:val="right"/>
              <w:ind w:right="211"/>
              <w:spacing w:after="0"/>
              <w:rPr>
                <w:sz w:val="20"/>
                <w:szCs w:val="20"/>
                <w:color w:val="auto"/>
              </w:rPr>
            </w:pPr>
            <w:r>
              <w:rPr>
                <w:rFonts w:ascii="Arial" w:cs="Arial" w:eastAsia="Arial" w:hAnsi="Arial"/>
                <w:sz w:val="15"/>
                <w:szCs w:val="15"/>
                <w:b w:val="1"/>
                <w:bCs w:val="1"/>
                <w:color w:val="auto"/>
              </w:rPr>
              <w:t>(0.05)</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(0.06)</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(0.12)</w:t>
            </w:r>
          </w:p>
        </w:tc>
        <w:tc>
          <w:tcPr>
            <w:tcW w:w="1020" w:type="dxa"/>
            <w:vAlign w:val="bottom"/>
          </w:tcPr>
          <w:p>
            <w:pPr>
              <w:jc w:val="right"/>
              <w:spacing w:after="0"/>
              <w:rPr>
                <w:sz w:val="20"/>
                <w:szCs w:val="20"/>
                <w:color w:val="auto"/>
              </w:rPr>
            </w:pPr>
            <w:r>
              <w:rPr>
                <w:rFonts w:ascii="Arial" w:cs="Arial" w:eastAsia="Arial" w:hAnsi="Arial"/>
                <w:sz w:val="15"/>
                <w:szCs w:val="15"/>
                <w:color w:val="auto"/>
              </w:rPr>
              <w:t>(0.13)</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 basic</w:t>
            </w:r>
          </w:p>
        </w:tc>
        <w:tc>
          <w:tcPr>
            <w:tcW w:w="940" w:type="dxa"/>
            <w:vAlign w:val="bottom"/>
          </w:tcPr>
          <w:p>
            <w:pPr>
              <w:spacing w:after="0"/>
              <w:rPr>
                <w:sz w:val="18"/>
                <w:szCs w:val="18"/>
                <w:color w:val="auto"/>
              </w:rPr>
            </w:pPr>
          </w:p>
        </w:tc>
        <w:tc>
          <w:tcPr>
            <w:tcW w:w="1440" w:type="dxa"/>
            <w:vAlign w:val="bottom"/>
          </w:tcPr>
          <w:p>
            <w:pPr>
              <w:jc w:val="right"/>
              <w:ind w:right="211"/>
              <w:spacing w:after="0"/>
              <w:rPr>
                <w:sz w:val="20"/>
                <w:szCs w:val="20"/>
                <w:color w:val="auto"/>
              </w:rPr>
            </w:pPr>
            <w:r>
              <w:rPr>
                <w:rFonts w:ascii="Arial" w:cs="Arial" w:eastAsia="Arial" w:hAnsi="Arial"/>
                <w:sz w:val="15"/>
                <w:szCs w:val="15"/>
                <w:b w:val="1"/>
                <w:bCs w:val="1"/>
                <w:color w:val="auto"/>
              </w:rPr>
              <w:t>234,584,277</w:t>
            </w:r>
          </w:p>
        </w:tc>
        <w:tc>
          <w:tcPr>
            <w:tcW w:w="1060" w:type="dxa"/>
            <w:vAlign w:val="bottom"/>
          </w:tcPr>
          <w:p>
            <w:pPr>
              <w:jc w:val="right"/>
              <w:ind w:right="48"/>
              <w:spacing w:after="0"/>
              <w:rPr>
                <w:sz w:val="20"/>
                <w:szCs w:val="20"/>
                <w:color w:val="auto"/>
              </w:rPr>
            </w:pPr>
            <w:r>
              <w:rPr>
                <w:rFonts w:ascii="Arial" w:cs="Arial" w:eastAsia="Arial" w:hAnsi="Arial"/>
                <w:sz w:val="15"/>
                <w:szCs w:val="15"/>
                <w:color w:val="auto"/>
              </w:rPr>
              <w:t>180,837,176</w:t>
            </w:r>
          </w:p>
        </w:tc>
        <w:tc>
          <w:tcPr>
            <w:tcW w:w="1380" w:type="dxa"/>
            <w:vAlign w:val="bottom"/>
          </w:tcPr>
          <w:p>
            <w:pPr>
              <w:jc w:val="right"/>
              <w:ind w:right="187"/>
              <w:spacing w:after="0"/>
              <w:rPr>
                <w:sz w:val="20"/>
                <w:szCs w:val="20"/>
                <w:color w:val="auto"/>
              </w:rPr>
            </w:pPr>
            <w:r>
              <w:rPr>
                <w:rFonts w:ascii="Arial" w:cs="Arial" w:eastAsia="Arial" w:hAnsi="Arial"/>
                <w:sz w:val="15"/>
                <w:szCs w:val="15"/>
                <w:b w:val="1"/>
                <w:bCs w:val="1"/>
                <w:color w:val="auto"/>
              </w:rPr>
              <w:t>220,448,697</w:t>
            </w:r>
          </w:p>
        </w:tc>
        <w:tc>
          <w:tcPr>
            <w:tcW w:w="1020" w:type="dxa"/>
            <w:vAlign w:val="bottom"/>
          </w:tcPr>
          <w:p>
            <w:pPr>
              <w:jc w:val="right"/>
              <w:spacing w:after="0"/>
              <w:rPr>
                <w:sz w:val="20"/>
                <w:szCs w:val="20"/>
                <w:color w:val="auto"/>
              </w:rPr>
            </w:pPr>
            <w:r>
              <w:rPr>
                <w:rFonts w:ascii="Arial" w:cs="Arial" w:eastAsia="Arial" w:hAnsi="Arial"/>
                <w:sz w:val="15"/>
                <w:szCs w:val="15"/>
                <w:color w:val="auto"/>
              </w:rPr>
              <w:t>178,372,616</w:t>
            </w:r>
          </w:p>
        </w:tc>
        <w:tc>
          <w:tcPr>
            <w:tcW w:w="0" w:type="dxa"/>
            <w:vAlign w:val="bottom"/>
          </w:tcPr>
          <w:p>
            <w:pPr>
              <w:spacing w:after="0"/>
              <w:rPr>
                <w:sz w:val="1"/>
                <w:szCs w:val="1"/>
                <w:color w:val="auto"/>
              </w:rPr>
            </w:pPr>
          </w:p>
        </w:tc>
      </w:tr>
      <w:tr>
        <w:trPr>
          <w:trHeight w:val="23"/>
        </w:trPr>
        <w:tc>
          <w:tcPr>
            <w:tcW w:w="5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ectPr>
          <w:pgSz w:w="11900" w:h="16838" w:orient="portrait"/>
          <w:cols w:equalWidth="0" w:num="1">
            <w:col w:w="11240"/>
          </w:cols>
          <w:pgMar w:left="320" w:top="180"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9"/>
          <w:szCs w:val="19"/>
          <w:b w:val="1"/>
          <w:bCs w:val="1"/>
          <w:color w:val="auto"/>
        </w:rPr>
        <w:t>CYBIN INC.</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CONDENSED INTERIM CONSOLIDATED STATEMENTS OF CHANGES IN SHAREHOLDERS’ EQUITY</w:t>
      </w:r>
    </w:p>
    <w:p>
      <w:pPr>
        <w:ind w:left="60"/>
        <w:spacing w:after="0" w:line="213" w:lineRule="auto"/>
        <w:rPr>
          <w:sz w:val="20"/>
          <w:szCs w:val="20"/>
          <w:color w:val="auto"/>
        </w:rPr>
      </w:pPr>
      <w:r>
        <w:rPr>
          <w:rFonts w:ascii="Arial" w:cs="Arial" w:eastAsia="Arial" w:hAnsi="Arial"/>
          <w:sz w:val="19"/>
          <w:szCs w:val="19"/>
          <w:b w:val="1"/>
          <w:bCs w:val="1"/>
          <w:color w:val="auto"/>
        </w:rPr>
        <w:t>For the six-month periods ended September 30, 2023 and 2022</w:t>
      </w:r>
    </w:p>
    <w:p>
      <w:pPr>
        <w:ind w:left="60"/>
        <w:spacing w:after="0" w:line="205" w:lineRule="auto"/>
        <w:rPr>
          <w:sz w:val="20"/>
          <w:szCs w:val="20"/>
          <w:color w:val="auto"/>
        </w:rPr>
      </w:pPr>
      <w:r>
        <w:rPr>
          <w:rFonts w:ascii="Arial" w:cs="Arial" w:eastAsia="Arial" w:hAnsi="Arial"/>
          <w:sz w:val="16"/>
          <w:szCs w:val="16"/>
          <w:b w:val="1"/>
          <w:bCs w:val="1"/>
          <w:color w:val="auto"/>
        </w:rPr>
        <w:t>(All amounts expressed in thousands of Canadian dollars, except share amounts)</w:t>
      </w:r>
    </w:p>
    <w:p>
      <w:pPr>
        <w:ind w:left="60"/>
        <w:spacing w:after="0" w:line="213" w:lineRule="auto"/>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146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2"/>
          </w:tcPr>
          <w:p>
            <w:pPr>
              <w:jc w:val="right"/>
              <w:ind w:right="455"/>
              <w:spacing w:after="0"/>
              <w:rPr>
                <w:sz w:val="20"/>
                <w:szCs w:val="20"/>
                <w:color w:val="auto"/>
              </w:rPr>
            </w:pPr>
            <w:r>
              <w:rPr>
                <w:rFonts w:ascii="Arial" w:cs="Arial" w:eastAsia="Arial" w:hAnsi="Arial"/>
                <w:sz w:val="13"/>
                <w:szCs w:val="13"/>
                <w:b w:val="1"/>
                <w:bCs w:val="1"/>
                <w:color w:val="auto"/>
              </w:rPr>
              <w:t>Share capital</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3"/>
                <w:szCs w:val="13"/>
                <w:b w:val="1"/>
                <w:bCs w:val="1"/>
                <w:color w:val="auto"/>
                <w:w w:val="96"/>
              </w:rPr>
              <w:t>Reserves</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3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175"/>
              <w:spacing w:after="0" w:line="134" w:lineRule="exact"/>
              <w:rPr>
                <w:sz w:val="20"/>
                <w:szCs w:val="20"/>
                <w:color w:val="auto"/>
              </w:rPr>
            </w:pPr>
            <w:r>
              <w:rPr>
                <w:rFonts w:ascii="Arial" w:cs="Arial" w:eastAsia="Arial" w:hAnsi="Arial"/>
                <w:sz w:val="13"/>
                <w:szCs w:val="13"/>
                <w:b w:val="1"/>
                <w:bCs w:val="1"/>
                <w:color w:val="auto"/>
              </w:rPr>
              <w:t>Number of</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right"/>
              <w:ind w:right="35"/>
              <w:spacing w:after="0" w:line="134" w:lineRule="exact"/>
              <w:rPr>
                <w:sz w:val="20"/>
                <w:szCs w:val="20"/>
                <w:color w:val="auto"/>
              </w:rPr>
            </w:pPr>
            <w:r>
              <w:rPr>
                <w:rFonts w:ascii="Arial" w:cs="Arial" w:eastAsia="Arial" w:hAnsi="Arial"/>
                <w:sz w:val="13"/>
                <w:szCs w:val="13"/>
                <w:b w:val="1"/>
                <w:bCs w:val="1"/>
                <w:color w:val="auto"/>
                <w:w w:val="94"/>
              </w:rPr>
              <w:t>Contributed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comprehensive</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b w:val="1"/>
                <w:bCs w:val="1"/>
                <w:color w:val="auto"/>
              </w:rPr>
              <w:t>Note</w:t>
            </w:r>
          </w:p>
        </w:tc>
        <w:tc>
          <w:tcPr>
            <w:tcW w:w="60" w:type="dxa"/>
            <w:vAlign w:val="bottom"/>
          </w:tcPr>
          <w:p>
            <w:pPr>
              <w:spacing w:after="0"/>
              <w:rPr>
                <w:sz w:val="14"/>
                <w:szCs w:val="14"/>
                <w:color w:val="auto"/>
              </w:rPr>
            </w:pPr>
          </w:p>
        </w:tc>
        <w:tc>
          <w:tcPr>
            <w:tcW w:w="960" w:type="dxa"/>
            <w:vAlign w:val="bottom"/>
          </w:tcPr>
          <w:p>
            <w:pPr>
              <w:jc w:val="right"/>
              <w:ind w:right="295"/>
              <w:spacing w:after="0"/>
              <w:rPr>
                <w:sz w:val="20"/>
                <w:szCs w:val="20"/>
                <w:color w:val="auto"/>
              </w:rPr>
            </w:pPr>
            <w:r>
              <w:rPr>
                <w:rFonts w:ascii="Arial" w:cs="Arial" w:eastAsia="Arial" w:hAnsi="Arial"/>
                <w:sz w:val="13"/>
                <w:szCs w:val="13"/>
                <w:b w:val="1"/>
                <w:bCs w:val="1"/>
                <w:color w:val="auto"/>
              </w:rPr>
              <w:t>shares</w:t>
            </w:r>
          </w:p>
        </w:tc>
        <w:tc>
          <w:tcPr>
            <w:tcW w:w="760" w:type="dxa"/>
            <w:vAlign w:val="bottom"/>
          </w:tcPr>
          <w:p>
            <w:pPr>
              <w:jc w:val="right"/>
              <w:ind w:right="155"/>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940" w:type="dxa"/>
            <w:vAlign w:val="bottom"/>
          </w:tcPr>
          <w:p>
            <w:pPr>
              <w:jc w:val="right"/>
              <w:ind w:right="195"/>
              <w:spacing w:after="0"/>
              <w:rPr>
                <w:sz w:val="20"/>
                <w:szCs w:val="20"/>
                <w:color w:val="auto"/>
              </w:rPr>
            </w:pPr>
            <w:r>
              <w:rPr>
                <w:rFonts w:ascii="Arial" w:cs="Arial" w:eastAsia="Arial" w:hAnsi="Arial"/>
                <w:sz w:val="13"/>
                <w:szCs w:val="13"/>
                <w:b w:val="1"/>
                <w:bCs w:val="1"/>
                <w:color w:val="auto"/>
              </w:rPr>
              <w:t>Warrants</w:t>
            </w:r>
          </w:p>
        </w:tc>
        <w:tc>
          <w:tcPr>
            <w:tcW w:w="800" w:type="dxa"/>
            <w:vAlign w:val="bottom"/>
          </w:tcPr>
          <w:p>
            <w:pPr>
              <w:jc w:val="right"/>
              <w:ind w:right="175"/>
              <w:spacing w:after="0"/>
              <w:rPr>
                <w:sz w:val="20"/>
                <w:szCs w:val="20"/>
                <w:color w:val="auto"/>
              </w:rPr>
            </w:pPr>
            <w:r>
              <w:rPr>
                <w:rFonts w:ascii="Arial" w:cs="Arial" w:eastAsia="Arial" w:hAnsi="Arial"/>
                <w:sz w:val="13"/>
                <w:szCs w:val="13"/>
                <w:b w:val="1"/>
                <w:bCs w:val="1"/>
                <w:color w:val="auto"/>
              </w:rPr>
              <w:t>Optons</w:t>
            </w:r>
          </w:p>
        </w:tc>
        <w:tc>
          <w:tcPr>
            <w:tcW w:w="820" w:type="dxa"/>
            <w:vAlign w:val="bottom"/>
          </w:tcPr>
          <w:p>
            <w:pPr>
              <w:jc w:val="right"/>
              <w:ind w:right="175"/>
              <w:spacing w:after="0"/>
              <w:rPr>
                <w:sz w:val="20"/>
                <w:szCs w:val="20"/>
                <w:color w:val="auto"/>
              </w:rPr>
            </w:pPr>
            <w:r>
              <w:rPr>
                <w:rFonts w:ascii="Arial" w:cs="Arial" w:eastAsia="Arial" w:hAnsi="Arial"/>
                <w:sz w:val="13"/>
                <w:szCs w:val="13"/>
                <w:b w:val="1"/>
                <w:bCs w:val="1"/>
                <w:color w:val="auto"/>
              </w:rPr>
              <w:t>surplus</w:t>
            </w:r>
          </w:p>
        </w:tc>
        <w:tc>
          <w:tcPr>
            <w:tcW w:w="60" w:type="dxa"/>
            <w:vAlign w:val="bottom"/>
          </w:tcPr>
          <w:p>
            <w:pPr>
              <w:spacing w:after="0"/>
              <w:rPr>
                <w:sz w:val="14"/>
                <w:szCs w:val="14"/>
                <w:color w:val="auto"/>
              </w:rPr>
            </w:pPr>
          </w:p>
        </w:tc>
        <w:tc>
          <w:tcPr>
            <w:tcW w:w="860" w:type="dxa"/>
            <w:vAlign w:val="bottom"/>
          </w:tcPr>
          <w:p>
            <w:pPr>
              <w:jc w:val="right"/>
              <w:ind w:right="195"/>
              <w:spacing w:after="0"/>
              <w:rPr>
                <w:sz w:val="20"/>
                <w:szCs w:val="20"/>
                <w:color w:val="auto"/>
              </w:rPr>
            </w:pPr>
            <w:r>
              <w:rPr>
                <w:rFonts w:ascii="Arial" w:cs="Arial" w:eastAsia="Arial" w:hAnsi="Arial"/>
                <w:sz w:val="13"/>
                <w:szCs w:val="13"/>
                <w:b w:val="1"/>
                <w:bCs w:val="1"/>
                <w:color w:val="auto"/>
              </w:rPr>
              <w:t>Defcit</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3"/>
              </w:rPr>
              <w:t>income (loss)</w:t>
            </w:r>
          </w:p>
        </w:tc>
        <w:tc>
          <w:tcPr>
            <w:tcW w:w="6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vMerge w:val="continue"/>
          </w:tcPr>
          <w:p>
            <w:pPr>
              <w:spacing w:after="0"/>
              <w:rPr>
                <w:sz w:val="14"/>
                <w:szCs w:val="14"/>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gridSpan w:val="2"/>
          </w:tcPr>
          <w:p>
            <w:pPr>
              <w:jc w:val="right"/>
              <w:ind w:right="395"/>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gridSpan w:val="2"/>
          </w:tcPr>
          <w:p>
            <w:pPr>
              <w:jc w:val="right"/>
              <w:ind w:right="355"/>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2"/>
        </w:trPr>
        <w:tc>
          <w:tcPr>
            <w:tcW w:w="32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2022</w:t>
            </w:r>
          </w:p>
        </w:tc>
        <w:tc>
          <w:tcPr>
            <w:tcW w:w="620" w:type="dxa"/>
            <w:vAlign w:val="bottom"/>
            <w:shd w:val="clear" w:color="auto" w:fill="D9D9D9"/>
          </w:tcPr>
          <w:p>
            <w:pPr>
              <w:spacing w:after="0"/>
              <w:rPr>
                <w:sz w:val="15"/>
                <w:szCs w:val="15"/>
                <w:color w:val="auto"/>
              </w:rPr>
            </w:pPr>
          </w:p>
        </w:tc>
        <w:tc>
          <w:tcPr>
            <w:tcW w:w="60" w:type="dxa"/>
            <w:vAlign w:val="bottom"/>
            <w:tcBorders>
              <w:bottom w:val="single" w:sz="8" w:color="929292"/>
            </w:tcBorders>
          </w:tcPr>
          <w:p>
            <w:pPr>
              <w:spacing w:after="0"/>
              <w:rPr>
                <w:sz w:val="15"/>
                <w:szCs w:val="15"/>
                <w:color w:val="auto"/>
              </w:rPr>
            </w:pPr>
          </w:p>
        </w:tc>
        <w:tc>
          <w:tcPr>
            <w:tcW w:w="960" w:type="dxa"/>
            <w:vAlign w:val="bottom"/>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175,111,654</w:t>
            </w:r>
          </w:p>
        </w:tc>
        <w:tc>
          <w:tcPr>
            <w:tcW w:w="76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141,451</w:t>
            </w:r>
          </w:p>
        </w:tc>
        <w:tc>
          <w:tcPr>
            <w:tcW w:w="60" w:type="dxa"/>
            <w:vAlign w:val="bottom"/>
            <w:tcBorders>
              <w:bottom w:val="single" w:sz="8" w:color="929292"/>
            </w:tcBorders>
          </w:tcPr>
          <w:p>
            <w:pPr>
              <w:spacing w:after="0"/>
              <w:rPr>
                <w:sz w:val="15"/>
                <w:szCs w:val="15"/>
                <w:color w:val="auto"/>
              </w:rPr>
            </w:pPr>
          </w:p>
        </w:tc>
        <w:tc>
          <w:tcPr>
            <w:tcW w:w="940" w:type="dxa"/>
            <w:vAlign w:val="bottom"/>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11,423</w:t>
            </w:r>
          </w:p>
        </w:tc>
        <w:tc>
          <w:tcPr>
            <w:tcW w:w="800" w:type="dxa"/>
            <w:vAlign w:val="bottom"/>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23,783</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525</w:t>
            </w:r>
          </w:p>
        </w:tc>
        <w:tc>
          <w:tcPr>
            <w:tcW w:w="60" w:type="dxa"/>
            <w:vAlign w:val="bottom"/>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(100,661)</w:t>
            </w:r>
          </w:p>
        </w:tc>
        <w:tc>
          <w:tcPr>
            <w:tcW w:w="80" w:type="dxa"/>
            <w:vAlign w:val="bottom"/>
          </w:tcPr>
          <w:p>
            <w:pPr>
              <w:spacing w:after="0"/>
              <w:rPr>
                <w:sz w:val="15"/>
                <w:szCs w:val="15"/>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(366)</w:t>
            </w:r>
          </w:p>
        </w:tc>
        <w:tc>
          <w:tcPr>
            <w:tcW w:w="60" w:type="dxa"/>
            <w:vAlign w:val="bottom"/>
            <w:tcBorders>
              <w:bottom w:val="single" w:sz="8" w:color="929292"/>
            </w:tcBorders>
          </w:tcPr>
          <w:p>
            <w:pPr>
              <w:spacing w:after="0"/>
              <w:rPr>
                <w:sz w:val="15"/>
                <w:szCs w:val="15"/>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76,155</w:t>
            </w:r>
          </w:p>
        </w:tc>
        <w:tc>
          <w:tcPr>
            <w:tcW w:w="0" w:type="dxa"/>
            <w:vAlign w:val="bottom"/>
          </w:tcPr>
          <w:p>
            <w:pPr>
              <w:spacing w:after="0"/>
              <w:rPr>
                <w:sz w:val="1"/>
                <w:szCs w:val="1"/>
                <w:color w:val="auto"/>
              </w:rPr>
            </w:pPr>
          </w:p>
        </w:tc>
      </w:tr>
      <w:tr>
        <w:trPr>
          <w:trHeight w:val="140"/>
        </w:trPr>
        <w:tc>
          <w:tcPr>
            <w:tcW w:w="3240" w:type="dxa"/>
            <w:vAlign w:val="bottom"/>
          </w:tcPr>
          <w:p>
            <w:pPr>
              <w:ind w:left="60"/>
              <w:spacing w:after="0" w:line="140" w:lineRule="exact"/>
              <w:rPr>
                <w:sz w:val="20"/>
                <w:szCs w:val="20"/>
                <w:color w:val="auto"/>
              </w:rPr>
            </w:pPr>
            <w:r>
              <w:rPr>
                <w:rFonts w:ascii="Arial" w:cs="Arial" w:eastAsia="Arial" w:hAnsi="Arial"/>
                <w:sz w:val="13"/>
                <w:szCs w:val="13"/>
                <w:color w:val="auto"/>
              </w:rPr>
              <w:t>At-the-market ofering - net of share issuance costs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ind w:right="95"/>
              <w:spacing w:after="0" w:line="140" w:lineRule="exact"/>
              <w:rPr>
                <w:sz w:val="20"/>
                <w:szCs w:val="20"/>
                <w:color w:val="auto"/>
              </w:rPr>
            </w:pPr>
            <w:r>
              <w:rPr>
                <w:rFonts w:ascii="Arial" w:cs="Arial" w:eastAsia="Arial" w:hAnsi="Arial"/>
                <w:sz w:val="13"/>
                <w:szCs w:val="13"/>
                <w:color w:val="auto"/>
              </w:rPr>
              <w:t>5,331,630</w:t>
            </w:r>
          </w:p>
        </w:tc>
        <w:tc>
          <w:tcPr>
            <w:tcW w:w="760" w:type="dxa"/>
            <w:vAlign w:val="bottom"/>
          </w:tcPr>
          <w:p>
            <w:pPr>
              <w:jc w:val="right"/>
              <w:spacing w:after="0" w:line="140" w:lineRule="exact"/>
              <w:rPr>
                <w:sz w:val="20"/>
                <w:szCs w:val="20"/>
                <w:color w:val="auto"/>
              </w:rPr>
            </w:pPr>
            <w:r>
              <w:rPr>
                <w:rFonts w:ascii="Arial" w:cs="Arial" w:eastAsia="Arial" w:hAnsi="Arial"/>
                <w:sz w:val="13"/>
                <w:szCs w:val="13"/>
                <w:color w:val="auto"/>
              </w:rPr>
              <w:t>4,598</w:t>
            </w: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0" w:lineRule="exact"/>
              <w:rPr>
                <w:sz w:val="20"/>
                <w:szCs w:val="20"/>
                <w:color w:val="auto"/>
              </w:rPr>
            </w:pPr>
            <w:r>
              <w:rPr>
                <w:rFonts w:ascii="Arial" w:cs="Arial" w:eastAsia="Arial" w:hAnsi="Arial"/>
                <w:sz w:val="13"/>
                <w:szCs w:val="13"/>
                <w:color w:val="auto"/>
              </w:rPr>
              <w:t>4,598</w:t>
            </w:r>
          </w:p>
        </w:tc>
        <w:tc>
          <w:tcPr>
            <w:tcW w:w="0" w:type="dxa"/>
            <w:vAlign w:val="bottom"/>
          </w:tcPr>
          <w:p>
            <w:pPr>
              <w:spacing w:after="0"/>
              <w:rPr>
                <w:sz w:val="1"/>
                <w:szCs w:val="1"/>
                <w:color w:val="auto"/>
              </w:rPr>
            </w:pPr>
          </w:p>
        </w:tc>
      </w:tr>
      <w:tr>
        <w:trPr>
          <w:trHeight w:val="163"/>
        </w:trPr>
        <w:tc>
          <w:tcPr>
            <w:tcW w:w="3240" w:type="dxa"/>
            <w:vAlign w:val="bottom"/>
          </w:tcPr>
          <w:p>
            <w:pPr>
              <w:ind w:left="60"/>
              <w:spacing w:after="0"/>
              <w:rPr>
                <w:sz w:val="20"/>
                <w:szCs w:val="20"/>
                <w:color w:val="auto"/>
              </w:rPr>
            </w:pPr>
            <w:r>
              <w:rPr>
                <w:rFonts w:ascii="Arial" w:cs="Arial" w:eastAsia="Arial" w:hAnsi="Arial"/>
                <w:sz w:val="13"/>
                <w:szCs w:val="13"/>
                <w:color w:val="auto"/>
              </w:rPr>
              <w:t>Shares issued on Adelia milestones</w:t>
            </w:r>
          </w:p>
        </w:tc>
        <w:tc>
          <w:tcPr>
            <w:tcW w:w="620" w:type="dxa"/>
            <w:vAlign w:val="bottom"/>
          </w:tcPr>
          <w:p>
            <w:pPr>
              <w:spacing w:after="0"/>
              <w:rPr>
                <w:sz w:val="14"/>
                <w:szCs w:val="14"/>
                <w:color w:val="auto"/>
              </w:rPr>
            </w:pPr>
          </w:p>
        </w:tc>
        <w:tc>
          <w:tcPr>
            <w:tcW w:w="1020" w:type="dxa"/>
            <w:vAlign w:val="bottom"/>
            <w:gridSpan w:val="2"/>
          </w:tcPr>
          <w:p>
            <w:pPr>
              <w:jc w:val="right"/>
              <w:ind w:right="95"/>
              <w:spacing w:after="0"/>
              <w:rPr>
                <w:sz w:val="20"/>
                <w:szCs w:val="20"/>
                <w:color w:val="auto"/>
              </w:rPr>
            </w:pPr>
            <w:r>
              <w:rPr>
                <w:rFonts w:ascii="Arial" w:cs="Arial" w:eastAsia="Arial" w:hAnsi="Arial"/>
                <w:sz w:val="13"/>
                <w:szCs w:val="13"/>
                <w:color w:val="auto"/>
              </w:rPr>
              <w:t>3,603,742</w:t>
            </w:r>
          </w:p>
        </w:tc>
        <w:tc>
          <w:tcPr>
            <w:tcW w:w="760" w:type="dxa"/>
            <w:vAlign w:val="bottom"/>
          </w:tcPr>
          <w:p>
            <w:pPr>
              <w:jc w:val="right"/>
              <w:spacing w:after="0"/>
              <w:rPr>
                <w:sz w:val="20"/>
                <w:szCs w:val="20"/>
                <w:color w:val="auto"/>
              </w:rPr>
            </w:pPr>
            <w:r>
              <w:rPr>
                <w:rFonts w:ascii="Arial" w:cs="Arial" w:eastAsia="Arial" w:hAnsi="Arial"/>
                <w:sz w:val="13"/>
                <w:szCs w:val="13"/>
                <w:color w:val="auto"/>
              </w:rPr>
              <w:t>2,988</w:t>
            </w:r>
          </w:p>
        </w:tc>
        <w:tc>
          <w:tcPr>
            <w:tcW w:w="6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2,988</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Warrants exercised</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020" w:type="dxa"/>
            <w:vAlign w:val="bottom"/>
            <w:gridSpan w:val="2"/>
          </w:tcPr>
          <w:p>
            <w:pPr>
              <w:jc w:val="right"/>
              <w:ind w:right="95"/>
              <w:spacing w:after="0"/>
              <w:rPr>
                <w:sz w:val="20"/>
                <w:szCs w:val="20"/>
                <w:color w:val="auto"/>
              </w:rPr>
            </w:pPr>
            <w:r>
              <w:rPr>
                <w:rFonts w:ascii="Arial" w:cs="Arial" w:eastAsia="Arial" w:hAnsi="Arial"/>
                <w:sz w:val="13"/>
                <w:szCs w:val="13"/>
                <w:color w:val="auto"/>
              </w:rPr>
              <w:t>1,164,638</w:t>
            </w:r>
          </w:p>
        </w:tc>
        <w:tc>
          <w:tcPr>
            <w:tcW w:w="760" w:type="dxa"/>
            <w:vAlign w:val="bottom"/>
          </w:tcPr>
          <w:p>
            <w:pPr>
              <w:jc w:val="right"/>
              <w:spacing w:after="0"/>
              <w:rPr>
                <w:sz w:val="20"/>
                <w:szCs w:val="20"/>
                <w:color w:val="auto"/>
              </w:rPr>
            </w:pPr>
            <w:r>
              <w:rPr>
                <w:rFonts w:ascii="Arial" w:cs="Arial" w:eastAsia="Arial" w:hAnsi="Arial"/>
                <w:sz w:val="13"/>
                <w:szCs w:val="13"/>
                <w:color w:val="auto"/>
              </w:rPr>
              <w:t>527</w:t>
            </w:r>
          </w:p>
        </w:tc>
        <w:tc>
          <w:tcPr>
            <w:tcW w:w="1000" w:type="dxa"/>
            <w:vAlign w:val="bottom"/>
            <w:gridSpan w:val="2"/>
          </w:tcPr>
          <w:p>
            <w:pPr>
              <w:jc w:val="right"/>
              <w:ind w:right="75"/>
              <w:spacing w:after="0"/>
              <w:rPr>
                <w:sz w:val="20"/>
                <w:szCs w:val="20"/>
                <w:color w:val="auto"/>
              </w:rPr>
            </w:pPr>
            <w:r>
              <w:rPr>
                <w:rFonts w:ascii="Arial" w:cs="Arial" w:eastAsia="Arial" w:hAnsi="Arial"/>
                <w:sz w:val="13"/>
                <w:szCs w:val="13"/>
                <w:color w:val="auto"/>
              </w:rPr>
              <w:t>(165)</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Optons forfeited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(169)</w:t>
            </w:r>
          </w:p>
        </w:tc>
        <w:tc>
          <w:tcPr>
            <w:tcW w:w="820" w:type="dxa"/>
            <w:vAlign w:val="bottom"/>
          </w:tcPr>
          <w:p>
            <w:pPr>
              <w:jc w:val="right"/>
              <w:spacing w:after="0"/>
              <w:rPr>
                <w:sz w:val="20"/>
                <w:szCs w:val="20"/>
                <w:color w:val="auto"/>
              </w:rPr>
            </w:pPr>
            <w:r>
              <w:rPr>
                <w:rFonts w:ascii="Arial" w:cs="Arial" w:eastAsia="Arial" w:hAnsi="Arial"/>
                <w:sz w:val="13"/>
                <w:szCs w:val="13"/>
                <w:color w:val="auto"/>
              </w:rPr>
              <w:t>169</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Finders' warrants</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60" w:type="dxa"/>
            <w:vAlign w:val="bottom"/>
          </w:tcPr>
          <w:p>
            <w:pPr>
              <w:spacing w:after="0"/>
              <w:rPr>
                <w:sz w:val="15"/>
                <w:szCs w:val="15"/>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w:t>
            </w:r>
          </w:p>
        </w:tc>
        <w:tc>
          <w:tcPr>
            <w:tcW w:w="1000" w:type="dxa"/>
            <w:vAlign w:val="bottom"/>
            <w:gridSpan w:val="2"/>
          </w:tcPr>
          <w:p>
            <w:pPr>
              <w:jc w:val="right"/>
              <w:ind w:right="75"/>
              <w:spacing w:after="0"/>
              <w:rPr>
                <w:sz w:val="20"/>
                <w:szCs w:val="20"/>
                <w:color w:val="auto"/>
              </w:rPr>
            </w:pPr>
            <w:r>
              <w:rPr>
                <w:rFonts w:ascii="Arial" w:cs="Arial" w:eastAsia="Arial" w:hAnsi="Arial"/>
                <w:sz w:val="13"/>
                <w:szCs w:val="13"/>
                <w:color w:val="auto"/>
              </w:rPr>
              <w:t>6</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Share-based compensaton</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6, 7</w:t>
            </w:r>
          </w:p>
        </w:tc>
        <w:tc>
          <w:tcPr>
            <w:tcW w:w="60" w:type="dxa"/>
            <w:vAlign w:val="bottom"/>
          </w:tcPr>
          <w:p>
            <w:pPr>
              <w:spacing w:after="0"/>
              <w:rPr>
                <w:sz w:val="15"/>
                <w:szCs w:val="15"/>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75"/>
              <w:spacing w:after="0"/>
              <w:rPr>
                <w:sz w:val="20"/>
                <w:szCs w:val="20"/>
                <w:color w:val="auto"/>
              </w:rPr>
            </w:pPr>
            <w:r>
              <w:rPr>
                <w:rFonts w:ascii="Arial" w:cs="Arial" w:eastAsia="Arial" w:hAnsi="Arial"/>
                <w:sz w:val="13"/>
                <w:szCs w:val="13"/>
                <w:color w:val="auto"/>
              </w:rPr>
              <w:t>6</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3,221</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3,227</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Unrealized gain on translaton of foreign operatons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(71)</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Arial" w:cs="Arial" w:eastAsia="Arial" w:hAnsi="Arial"/>
                <w:sz w:val="13"/>
                <w:szCs w:val="13"/>
                <w:color w:val="auto"/>
              </w:rPr>
              <w:t>Net loss for the period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(23,028)</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(23,028)</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September 30, 2022</w:t>
            </w:r>
          </w:p>
        </w:tc>
        <w:tc>
          <w:tcPr>
            <w:tcW w:w="620" w:type="dxa"/>
            <w:vAlign w:val="bottom"/>
            <w:tcBorders>
              <w:bottom w:val="single" w:sz="8" w:color="auto"/>
            </w:tcBorders>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185,211,664</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149,558</w:t>
            </w:r>
          </w:p>
        </w:tc>
        <w:tc>
          <w:tcPr>
            <w:tcW w:w="60" w:type="dxa"/>
            <w:vAlign w:val="bottom"/>
          </w:tcPr>
          <w:p>
            <w:pPr>
              <w:spacing w:after="0"/>
              <w:rPr>
                <w:sz w:val="14"/>
                <w:szCs w:val="14"/>
                <w:color w:val="auto"/>
              </w:rPr>
            </w:pPr>
          </w:p>
        </w:tc>
        <w:tc>
          <w:tcPr>
            <w:tcW w:w="94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11,270</w:t>
            </w:r>
          </w:p>
        </w:tc>
        <w:tc>
          <w:tcPr>
            <w:tcW w:w="80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26,835</w:t>
            </w:r>
          </w:p>
        </w:tc>
        <w:tc>
          <w:tcPr>
            <w:tcW w:w="8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694</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(123,689)</w:t>
            </w:r>
          </w:p>
        </w:tc>
        <w:tc>
          <w:tcPr>
            <w:tcW w:w="112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3"/>
                <w:szCs w:val="13"/>
                <w:b w:val="1"/>
                <w:bCs w:val="1"/>
                <w:color w:val="auto"/>
              </w:rPr>
              <w:t>(437)</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64,231</w:t>
            </w:r>
          </w:p>
        </w:tc>
        <w:tc>
          <w:tcPr>
            <w:tcW w:w="0" w:type="dxa"/>
            <w:vAlign w:val="bottom"/>
          </w:tcPr>
          <w:p>
            <w:pPr>
              <w:spacing w:after="0"/>
              <w:rPr>
                <w:sz w:val="1"/>
                <w:szCs w:val="1"/>
                <w:color w:val="auto"/>
              </w:rPr>
            </w:pPr>
          </w:p>
        </w:tc>
      </w:tr>
      <w:tr>
        <w:trPr>
          <w:trHeight w:val="182"/>
        </w:trPr>
        <w:tc>
          <w:tcPr>
            <w:tcW w:w="3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40" w:type="dxa"/>
            <w:vAlign w:val="bottom"/>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March 31, 2023</w:t>
            </w:r>
          </w:p>
        </w:tc>
        <w:tc>
          <w:tcPr>
            <w:tcW w:w="620" w:type="dxa"/>
            <w:vAlign w:val="bottom"/>
            <w:shd w:val="clear" w:color="auto" w:fill="D9D9D9"/>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200,634,154</w:t>
            </w:r>
          </w:p>
        </w:tc>
        <w:tc>
          <w:tcPr>
            <w:tcW w:w="76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158,162</w:t>
            </w:r>
          </w:p>
        </w:tc>
        <w:tc>
          <w:tcPr>
            <w:tcW w:w="60" w:type="dxa"/>
            <w:vAlign w:val="bottom"/>
          </w:tcPr>
          <w:p>
            <w:pPr>
              <w:spacing w:after="0"/>
              <w:rPr>
                <w:sz w:val="15"/>
                <w:szCs w:val="15"/>
                <w:color w:val="auto"/>
              </w:rPr>
            </w:pPr>
          </w:p>
        </w:tc>
        <w:tc>
          <w:tcPr>
            <w:tcW w:w="940" w:type="dxa"/>
            <w:vAlign w:val="bottom"/>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10,873</w:t>
            </w:r>
          </w:p>
        </w:tc>
        <w:tc>
          <w:tcPr>
            <w:tcW w:w="800" w:type="dxa"/>
            <w:vAlign w:val="bottom"/>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27,283</w:t>
            </w:r>
          </w:p>
        </w:tc>
        <w:tc>
          <w:tcPr>
            <w:tcW w:w="82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2,102</w:t>
            </w:r>
          </w:p>
        </w:tc>
        <w:tc>
          <w:tcPr>
            <w:tcW w:w="60" w:type="dxa"/>
            <w:vAlign w:val="bottom"/>
          </w:tcPr>
          <w:p>
            <w:pPr>
              <w:spacing w:after="0"/>
              <w:rPr>
                <w:sz w:val="15"/>
                <w:szCs w:val="15"/>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(148,151)</w:t>
            </w:r>
          </w:p>
        </w:tc>
        <w:tc>
          <w:tcPr>
            <w:tcW w:w="80" w:type="dxa"/>
            <w:vAlign w:val="bottom"/>
          </w:tcPr>
          <w:p>
            <w:pPr>
              <w:spacing w:after="0"/>
              <w:rPr>
                <w:sz w:val="15"/>
                <w:szCs w:val="15"/>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(2,035)</w:t>
            </w:r>
          </w:p>
        </w:tc>
        <w:tc>
          <w:tcPr>
            <w:tcW w:w="60" w:type="dxa"/>
            <w:vAlign w:val="bottom"/>
          </w:tcPr>
          <w:p>
            <w:pPr>
              <w:spacing w:after="0"/>
              <w:rPr>
                <w:sz w:val="15"/>
                <w:szCs w:val="15"/>
                <w:color w:val="auto"/>
              </w:rPr>
            </w:pPr>
          </w:p>
        </w:tc>
        <w:tc>
          <w:tcPr>
            <w:tcW w:w="900" w:type="dxa"/>
            <w:vAlign w:val="bottom"/>
            <w:shd w:val="clear" w:color="auto" w:fill="D9D9D9"/>
          </w:tcPr>
          <w:p>
            <w:pPr>
              <w:jc w:val="right"/>
              <w:spacing w:after="0"/>
              <w:rPr>
                <w:sz w:val="20"/>
                <w:szCs w:val="20"/>
                <w:color w:val="auto"/>
              </w:rPr>
            </w:pPr>
            <w:r>
              <w:rPr>
                <w:rFonts w:ascii="Arial" w:cs="Arial" w:eastAsia="Arial" w:hAnsi="Arial"/>
                <w:sz w:val="13"/>
                <w:szCs w:val="13"/>
                <w:b w:val="1"/>
                <w:bCs w:val="1"/>
                <w:color w:val="auto"/>
              </w:rPr>
              <w:t>48,234</w:t>
            </w:r>
          </w:p>
        </w:tc>
        <w:tc>
          <w:tcPr>
            <w:tcW w:w="0" w:type="dxa"/>
            <w:vAlign w:val="bottom"/>
          </w:tcPr>
          <w:p>
            <w:pPr>
              <w:spacing w:after="0"/>
              <w:rPr>
                <w:sz w:val="1"/>
                <w:szCs w:val="1"/>
                <w:color w:val="auto"/>
              </w:rPr>
            </w:pPr>
          </w:p>
        </w:tc>
      </w:tr>
      <w:tr>
        <w:trPr>
          <w:trHeight w:val="190"/>
        </w:trPr>
        <w:tc>
          <w:tcPr>
            <w:tcW w:w="3240" w:type="dxa"/>
            <w:vAlign w:val="bottom"/>
          </w:tcPr>
          <w:p>
            <w:pPr>
              <w:ind w:left="60"/>
              <w:spacing w:after="0"/>
              <w:rPr>
                <w:sz w:val="20"/>
                <w:szCs w:val="20"/>
                <w:color w:val="auto"/>
              </w:rPr>
            </w:pPr>
            <w:r>
              <w:rPr>
                <w:rFonts w:ascii="Arial" w:cs="Arial" w:eastAsia="Arial" w:hAnsi="Arial"/>
                <w:sz w:val="13"/>
                <w:szCs w:val="13"/>
                <w:color w:val="auto"/>
              </w:rPr>
              <w:t>Share issuance net of share issuance costs</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020" w:type="dxa"/>
            <w:vAlign w:val="bottom"/>
            <w:gridSpan w:val="2"/>
          </w:tcPr>
          <w:p>
            <w:pPr>
              <w:jc w:val="right"/>
              <w:ind w:right="95"/>
              <w:spacing w:after="0"/>
              <w:rPr>
                <w:sz w:val="20"/>
                <w:szCs w:val="20"/>
                <w:color w:val="auto"/>
              </w:rPr>
            </w:pPr>
            <w:r>
              <w:rPr>
                <w:rFonts w:ascii="Arial" w:cs="Arial" w:eastAsia="Arial" w:hAnsi="Arial"/>
                <w:sz w:val="13"/>
                <w:szCs w:val="13"/>
                <w:color w:val="auto"/>
              </w:rPr>
              <w:t>24,264,706</w:t>
            </w:r>
          </w:p>
        </w:tc>
        <w:tc>
          <w:tcPr>
            <w:tcW w:w="760" w:type="dxa"/>
            <w:vAlign w:val="bottom"/>
          </w:tcPr>
          <w:p>
            <w:pPr>
              <w:jc w:val="right"/>
              <w:spacing w:after="0"/>
              <w:rPr>
                <w:sz w:val="20"/>
                <w:szCs w:val="20"/>
                <w:color w:val="auto"/>
              </w:rPr>
            </w:pPr>
            <w:r>
              <w:rPr>
                <w:rFonts w:ascii="Arial" w:cs="Arial" w:eastAsia="Arial" w:hAnsi="Arial"/>
                <w:sz w:val="13"/>
                <w:szCs w:val="13"/>
                <w:color w:val="auto"/>
              </w:rPr>
              <w:t>5,349</w:t>
            </w:r>
          </w:p>
        </w:tc>
        <w:tc>
          <w:tcPr>
            <w:tcW w:w="1000" w:type="dxa"/>
            <w:vAlign w:val="bottom"/>
            <w:gridSpan w:val="2"/>
          </w:tcPr>
          <w:p>
            <w:pPr>
              <w:jc w:val="right"/>
              <w:ind w:right="75"/>
              <w:spacing w:after="0"/>
              <w:rPr>
                <w:sz w:val="20"/>
                <w:szCs w:val="20"/>
                <w:color w:val="auto"/>
              </w:rPr>
            </w:pPr>
            <w:r>
              <w:rPr>
                <w:rFonts w:ascii="Arial" w:cs="Arial" w:eastAsia="Arial" w:hAnsi="Arial"/>
                <w:sz w:val="13"/>
                <w:szCs w:val="13"/>
                <w:color w:val="auto"/>
              </w:rPr>
              <w:t>4,599</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9,948</w:t>
            </w:r>
          </w:p>
        </w:tc>
        <w:tc>
          <w:tcPr>
            <w:tcW w:w="0" w:type="dxa"/>
            <w:vAlign w:val="bottom"/>
          </w:tcPr>
          <w:p>
            <w:pPr>
              <w:spacing w:after="0"/>
              <w:rPr>
                <w:sz w:val="1"/>
                <w:szCs w:val="1"/>
                <w:color w:val="auto"/>
              </w:rPr>
            </w:pPr>
          </w:p>
        </w:tc>
      </w:tr>
      <w:tr>
        <w:trPr>
          <w:trHeight w:val="243"/>
        </w:trPr>
        <w:tc>
          <w:tcPr>
            <w:tcW w:w="3240" w:type="dxa"/>
            <w:vAlign w:val="bottom"/>
          </w:tcPr>
          <w:p>
            <w:pPr>
              <w:ind w:left="60"/>
              <w:spacing w:after="0"/>
              <w:rPr>
                <w:sz w:val="20"/>
                <w:szCs w:val="20"/>
                <w:color w:val="auto"/>
              </w:rPr>
            </w:pPr>
            <w:r>
              <w:rPr>
                <w:rFonts w:ascii="Arial" w:cs="Arial" w:eastAsia="Arial" w:hAnsi="Arial"/>
                <w:sz w:val="13"/>
                <w:szCs w:val="13"/>
                <w:color w:val="auto"/>
              </w:rPr>
              <w:t>At-the-market ofering - net of share issuance costs</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020" w:type="dxa"/>
            <w:vAlign w:val="bottom"/>
            <w:gridSpan w:val="2"/>
          </w:tcPr>
          <w:p>
            <w:pPr>
              <w:jc w:val="right"/>
              <w:ind w:right="95"/>
              <w:spacing w:after="0"/>
              <w:rPr>
                <w:sz w:val="20"/>
                <w:szCs w:val="20"/>
                <w:color w:val="auto"/>
              </w:rPr>
            </w:pPr>
            <w:r>
              <w:rPr>
                <w:rFonts w:ascii="Arial" w:cs="Arial" w:eastAsia="Arial" w:hAnsi="Arial"/>
                <w:sz w:val="13"/>
                <w:szCs w:val="13"/>
                <w:color w:val="auto"/>
              </w:rPr>
              <w:t>32,516,245</w:t>
            </w:r>
          </w:p>
        </w:tc>
        <w:tc>
          <w:tcPr>
            <w:tcW w:w="760" w:type="dxa"/>
            <w:vAlign w:val="bottom"/>
          </w:tcPr>
          <w:p>
            <w:pPr>
              <w:jc w:val="right"/>
              <w:spacing w:after="0"/>
              <w:rPr>
                <w:sz w:val="20"/>
                <w:szCs w:val="20"/>
                <w:color w:val="auto"/>
              </w:rPr>
            </w:pPr>
            <w:r>
              <w:rPr>
                <w:rFonts w:ascii="Arial" w:cs="Arial" w:eastAsia="Arial" w:hAnsi="Arial"/>
                <w:sz w:val="13"/>
                <w:szCs w:val="13"/>
                <w:color w:val="auto"/>
              </w:rPr>
              <w:t>13,722</w:t>
            </w:r>
          </w:p>
        </w:tc>
        <w:tc>
          <w:tcPr>
            <w:tcW w:w="6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13,722</w:t>
            </w:r>
          </w:p>
        </w:tc>
        <w:tc>
          <w:tcPr>
            <w:tcW w:w="0" w:type="dxa"/>
            <w:vAlign w:val="bottom"/>
          </w:tcPr>
          <w:p>
            <w:pPr>
              <w:spacing w:after="0"/>
              <w:rPr>
                <w:sz w:val="1"/>
                <w:szCs w:val="1"/>
                <w:color w:val="auto"/>
              </w:rPr>
            </w:pPr>
          </w:p>
        </w:tc>
      </w:tr>
      <w:tr>
        <w:trPr>
          <w:trHeight w:val="164"/>
        </w:trPr>
        <w:tc>
          <w:tcPr>
            <w:tcW w:w="3240" w:type="dxa"/>
            <w:vAlign w:val="bottom"/>
          </w:tcPr>
          <w:p>
            <w:pPr>
              <w:ind w:left="60"/>
              <w:spacing w:after="0"/>
              <w:rPr>
                <w:sz w:val="20"/>
                <w:szCs w:val="20"/>
                <w:color w:val="auto"/>
              </w:rPr>
            </w:pPr>
            <w:r>
              <w:rPr>
                <w:rFonts w:ascii="Arial" w:cs="Arial" w:eastAsia="Arial" w:hAnsi="Arial"/>
                <w:sz w:val="13"/>
                <w:szCs w:val="13"/>
                <w:color w:val="auto"/>
                <w:w w:val="96"/>
              </w:rPr>
              <w:t>Shares issued through LPC purchase agreement - net of</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6</w:t>
            </w:r>
          </w:p>
        </w:tc>
        <w:tc>
          <w:tcPr>
            <w:tcW w:w="1020" w:type="dxa"/>
            <w:vAlign w:val="bottom"/>
            <w:gridSpan w:val="2"/>
            <w:vMerge w:val="restart"/>
          </w:tcPr>
          <w:p>
            <w:pPr>
              <w:jc w:val="right"/>
              <w:ind w:right="95"/>
              <w:spacing w:after="0"/>
              <w:rPr>
                <w:sz w:val="20"/>
                <w:szCs w:val="20"/>
                <w:color w:val="auto"/>
              </w:rPr>
            </w:pPr>
            <w:r>
              <w:rPr>
                <w:rFonts w:ascii="Arial" w:cs="Arial" w:eastAsia="Arial" w:hAnsi="Arial"/>
                <w:sz w:val="13"/>
                <w:szCs w:val="13"/>
                <w:color w:val="auto"/>
              </w:rPr>
              <w:t>1,925,000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234</w:t>
            </w:r>
          </w:p>
        </w:tc>
        <w:tc>
          <w:tcPr>
            <w:tcW w:w="60" w:type="dxa"/>
            <w:vAlign w:val="bottom"/>
          </w:tcPr>
          <w:p>
            <w:pPr>
              <w:spacing w:after="0"/>
              <w:rPr>
                <w:sz w:val="14"/>
                <w:szCs w:val="14"/>
                <w:color w:val="auto"/>
              </w:rPr>
            </w:pPr>
          </w:p>
        </w:tc>
        <w:tc>
          <w:tcPr>
            <w:tcW w:w="940" w:type="dxa"/>
            <w:vAlign w:val="bottom"/>
            <w:vMerge w:val="restart"/>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90"/>
        </w:trPr>
        <w:tc>
          <w:tcPr>
            <w:tcW w:w="3240" w:type="dxa"/>
            <w:vAlign w:val="bottom"/>
            <w:vMerge w:val="restart"/>
          </w:tcPr>
          <w:p>
            <w:pPr>
              <w:ind w:left="60"/>
              <w:spacing w:after="0"/>
              <w:rPr>
                <w:sz w:val="20"/>
                <w:szCs w:val="20"/>
                <w:color w:val="auto"/>
              </w:rPr>
            </w:pPr>
            <w:r>
              <w:rPr>
                <w:rFonts w:ascii="Arial" w:cs="Arial" w:eastAsia="Arial" w:hAnsi="Arial"/>
                <w:sz w:val="13"/>
                <w:szCs w:val="13"/>
                <w:color w:val="auto"/>
              </w:rPr>
              <w:t>share issuance costs</w:t>
            </w:r>
          </w:p>
        </w:tc>
        <w:tc>
          <w:tcPr>
            <w:tcW w:w="6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3240" w:type="dxa"/>
            <w:vAlign w:val="bottom"/>
          </w:tcPr>
          <w:p>
            <w:pPr>
              <w:ind w:left="60"/>
              <w:spacing w:after="0" w:line="141" w:lineRule="exact"/>
              <w:rPr>
                <w:sz w:val="20"/>
                <w:szCs w:val="20"/>
                <w:color w:val="auto"/>
              </w:rPr>
            </w:pPr>
            <w:r>
              <w:rPr>
                <w:rFonts w:ascii="Arial" w:cs="Arial" w:eastAsia="Arial" w:hAnsi="Arial"/>
                <w:sz w:val="13"/>
                <w:szCs w:val="13"/>
                <w:color w:val="auto"/>
              </w:rPr>
              <w:t>Issuance of common shares as commitment fee for</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6</w:t>
            </w:r>
          </w:p>
        </w:tc>
        <w:tc>
          <w:tcPr>
            <w:tcW w:w="1020" w:type="dxa"/>
            <w:vAlign w:val="bottom"/>
            <w:gridSpan w:val="2"/>
            <w:vMerge w:val="restart"/>
          </w:tcPr>
          <w:p>
            <w:pPr>
              <w:jc w:val="right"/>
              <w:ind w:right="95"/>
              <w:spacing w:after="0"/>
              <w:rPr>
                <w:sz w:val="20"/>
                <w:szCs w:val="20"/>
                <w:color w:val="auto"/>
              </w:rPr>
            </w:pPr>
            <w:r>
              <w:rPr>
                <w:rFonts w:ascii="Arial" w:cs="Arial" w:eastAsia="Arial" w:hAnsi="Arial"/>
                <w:sz w:val="13"/>
                <w:szCs w:val="13"/>
                <w:color w:val="auto"/>
              </w:rPr>
              <w:t>2,538,844</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40" w:type="dxa"/>
            <w:vAlign w:val="bottom"/>
            <w:vMerge w:val="restart"/>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0"/>
        </w:trPr>
        <w:tc>
          <w:tcPr>
            <w:tcW w:w="3240" w:type="dxa"/>
            <w:vAlign w:val="bottom"/>
            <w:vMerge w:val="restart"/>
          </w:tcPr>
          <w:p>
            <w:pPr>
              <w:ind w:left="60"/>
              <w:spacing w:after="0"/>
              <w:rPr>
                <w:sz w:val="20"/>
                <w:szCs w:val="20"/>
                <w:color w:val="auto"/>
              </w:rPr>
            </w:pPr>
            <w:r>
              <w:rPr>
                <w:rFonts w:ascii="Arial" w:cs="Arial" w:eastAsia="Arial" w:hAnsi="Arial"/>
                <w:sz w:val="13"/>
                <w:szCs w:val="13"/>
                <w:color w:val="auto"/>
              </w:rPr>
              <w:t>fnancing</w:t>
            </w:r>
          </w:p>
        </w:tc>
        <w:tc>
          <w:tcPr>
            <w:tcW w:w="62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32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60"/>
              <w:spacing w:after="0"/>
              <w:rPr>
                <w:sz w:val="20"/>
                <w:szCs w:val="20"/>
                <w:color w:val="auto"/>
              </w:rPr>
            </w:pPr>
            <w:r>
              <w:rPr>
                <w:rFonts w:ascii="Arial" w:cs="Arial" w:eastAsia="Arial" w:hAnsi="Arial"/>
                <w:sz w:val="13"/>
                <w:szCs w:val="13"/>
                <w:color w:val="auto"/>
              </w:rPr>
              <w:t>Optons expired</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(467)</w:t>
            </w:r>
          </w:p>
        </w:tc>
        <w:tc>
          <w:tcPr>
            <w:tcW w:w="820" w:type="dxa"/>
            <w:vAlign w:val="bottom"/>
          </w:tcPr>
          <w:p>
            <w:pPr>
              <w:jc w:val="right"/>
              <w:spacing w:after="0"/>
              <w:rPr>
                <w:sz w:val="20"/>
                <w:szCs w:val="20"/>
                <w:color w:val="auto"/>
              </w:rPr>
            </w:pPr>
            <w:r>
              <w:rPr>
                <w:rFonts w:ascii="Arial" w:cs="Arial" w:eastAsia="Arial" w:hAnsi="Arial"/>
                <w:sz w:val="13"/>
                <w:szCs w:val="13"/>
                <w:color w:val="auto"/>
              </w:rPr>
              <w:t>467</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60"/>
              <w:spacing w:after="0"/>
              <w:rPr>
                <w:sz w:val="20"/>
                <w:szCs w:val="20"/>
                <w:color w:val="auto"/>
              </w:rPr>
            </w:pPr>
            <w:r>
              <w:rPr>
                <w:rFonts w:ascii="Arial" w:cs="Arial" w:eastAsia="Arial" w:hAnsi="Arial"/>
                <w:sz w:val="13"/>
                <w:szCs w:val="13"/>
                <w:color w:val="auto"/>
              </w:rPr>
              <w:t>Warrants expired</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60" w:type="dxa"/>
            <w:vAlign w:val="bottom"/>
          </w:tcPr>
          <w:p>
            <w:pPr>
              <w:spacing w:after="0"/>
              <w:rPr>
                <w:sz w:val="21"/>
                <w:szCs w:val="21"/>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75"/>
              <w:spacing w:after="0"/>
              <w:rPr>
                <w:sz w:val="20"/>
                <w:szCs w:val="20"/>
                <w:color w:val="auto"/>
              </w:rPr>
            </w:pPr>
            <w:r>
              <w:rPr>
                <w:rFonts w:ascii="Arial" w:cs="Arial" w:eastAsia="Arial" w:hAnsi="Arial"/>
                <w:sz w:val="13"/>
                <w:szCs w:val="13"/>
                <w:color w:val="auto"/>
              </w:rPr>
              <w:t>(1,156)</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1,156</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3240" w:type="dxa"/>
            <w:vAlign w:val="bottom"/>
          </w:tcPr>
          <w:p>
            <w:pPr>
              <w:ind w:left="60"/>
              <w:spacing w:after="0"/>
              <w:rPr>
                <w:sz w:val="20"/>
                <w:szCs w:val="20"/>
                <w:color w:val="auto"/>
              </w:rPr>
            </w:pPr>
            <w:r>
              <w:rPr>
                <w:rFonts w:ascii="Arial" w:cs="Arial" w:eastAsia="Arial" w:hAnsi="Arial"/>
                <w:sz w:val="13"/>
                <w:szCs w:val="13"/>
                <w:color w:val="auto"/>
              </w:rPr>
              <w:t>Share-based compensaton</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6, 7</w:t>
            </w:r>
          </w:p>
        </w:tc>
        <w:tc>
          <w:tcPr>
            <w:tcW w:w="60" w:type="dxa"/>
            <w:vAlign w:val="bottom"/>
          </w:tcPr>
          <w:p>
            <w:pPr>
              <w:spacing w:after="0"/>
              <w:rPr>
                <w:sz w:val="21"/>
                <w:szCs w:val="21"/>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2,689</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2,689</w:t>
            </w:r>
          </w:p>
        </w:tc>
        <w:tc>
          <w:tcPr>
            <w:tcW w:w="0" w:type="dxa"/>
            <w:vAlign w:val="bottom"/>
          </w:tcPr>
          <w:p>
            <w:pPr>
              <w:spacing w:after="0"/>
              <w:rPr>
                <w:sz w:val="1"/>
                <w:szCs w:val="1"/>
                <w:color w:val="auto"/>
              </w:rPr>
            </w:pPr>
          </w:p>
        </w:tc>
      </w:tr>
      <w:tr>
        <w:trPr>
          <w:trHeight w:val="243"/>
        </w:trPr>
        <w:tc>
          <w:tcPr>
            <w:tcW w:w="3240" w:type="dxa"/>
            <w:vAlign w:val="bottom"/>
          </w:tcPr>
          <w:p>
            <w:pPr>
              <w:ind w:left="60"/>
              <w:spacing w:after="0"/>
              <w:rPr>
                <w:sz w:val="20"/>
                <w:szCs w:val="20"/>
                <w:color w:val="auto"/>
              </w:rPr>
            </w:pPr>
            <w:r>
              <w:rPr>
                <w:rFonts w:ascii="Arial" w:cs="Arial" w:eastAsia="Arial" w:hAnsi="Arial"/>
                <w:sz w:val="13"/>
                <w:szCs w:val="13"/>
                <w:color w:val="auto"/>
              </w:rPr>
              <w:t>Unrealized gain on translaton of foreign operatons</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94"/>
        </w:trPr>
        <w:tc>
          <w:tcPr>
            <w:tcW w:w="3240" w:type="dxa"/>
            <w:vAlign w:val="bottom"/>
          </w:tcPr>
          <w:p>
            <w:pPr>
              <w:ind w:left="60"/>
              <w:spacing w:after="0"/>
              <w:rPr>
                <w:sz w:val="20"/>
                <w:szCs w:val="20"/>
                <w:color w:val="auto"/>
              </w:rPr>
            </w:pPr>
            <w:r>
              <w:rPr>
                <w:rFonts w:ascii="Arial" w:cs="Arial" w:eastAsia="Arial" w:hAnsi="Arial"/>
                <w:sz w:val="13"/>
                <w:szCs w:val="13"/>
                <w:color w:val="auto"/>
              </w:rPr>
              <w:t>Net loss for the period</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6"/>
                <w:szCs w:val="16"/>
                <w:color w:val="auto"/>
              </w:rPr>
            </w:pPr>
          </w:p>
        </w:tc>
        <w:tc>
          <w:tcPr>
            <w:tcW w:w="9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(26,404)</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(26,404)</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240" w:type="dxa"/>
            <w:vAlign w:val="bottom"/>
            <w:tcBorders>
              <w:bottom w:val="single" w:sz="8" w:color="auto"/>
            </w:tcBorders>
            <w:shd w:val="clear" w:color="auto" w:fill="D9D9D9"/>
          </w:tcPr>
          <w:p>
            <w:pPr>
              <w:ind w:left="60"/>
              <w:spacing w:after="0"/>
              <w:rPr>
                <w:sz w:val="20"/>
                <w:szCs w:val="20"/>
                <w:color w:val="auto"/>
              </w:rPr>
            </w:pPr>
            <w:r>
              <w:rPr>
                <w:rFonts w:ascii="Arial" w:cs="Arial" w:eastAsia="Arial" w:hAnsi="Arial"/>
                <w:sz w:val="13"/>
                <w:szCs w:val="13"/>
                <w:b w:val="1"/>
                <w:bCs w:val="1"/>
                <w:color w:val="auto"/>
              </w:rPr>
              <w:t>Balance at September 30, 2023</w:t>
            </w:r>
          </w:p>
        </w:tc>
        <w:tc>
          <w:tcPr>
            <w:tcW w:w="620" w:type="dxa"/>
            <w:vAlign w:val="bottom"/>
            <w:tcBorders>
              <w:bottom w:val="single" w:sz="8" w:color="auto"/>
            </w:tcBorders>
            <w:shd w:val="clear" w:color="auto" w:fill="D9D9D9"/>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shd w:val="clear" w:color="auto" w:fill="D9D9D9"/>
          </w:tcPr>
          <w:p>
            <w:pPr>
              <w:jc w:val="right"/>
              <w:ind w:right="95"/>
              <w:spacing w:after="0"/>
              <w:rPr>
                <w:sz w:val="20"/>
                <w:szCs w:val="20"/>
                <w:color w:val="auto"/>
              </w:rPr>
            </w:pPr>
            <w:r>
              <w:rPr>
                <w:rFonts w:ascii="Arial" w:cs="Arial" w:eastAsia="Arial" w:hAnsi="Arial"/>
                <w:sz w:val="13"/>
                <w:szCs w:val="13"/>
                <w:b w:val="1"/>
                <w:bCs w:val="1"/>
                <w:color w:val="auto"/>
              </w:rPr>
              <w:t>261,878,949</w:t>
            </w: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177,467</w:t>
            </w:r>
          </w:p>
        </w:tc>
        <w:tc>
          <w:tcPr>
            <w:tcW w:w="60" w:type="dxa"/>
            <w:vAlign w:val="bottom"/>
          </w:tcPr>
          <w:p>
            <w:pPr>
              <w:spacing w:after="0"/>
              <w:rPr>
                <w:sz w:val="14"/>
                <w:szCs w:val="14"/>
                <w:color w:val="auto"/>
              </w:rPr>
            </w:pPr>
          </w:p>
        </w:tc>
        <w:tc>
          <w:tcPr>
            <w:tcW w:w="940" w:type="dxa"/>
            <w:vAlign w:val="bottom"/>
            <w:tcBorders>
              <w:bottom w:val="single" w:sz="8" w:color="auto"/>
            </w:tcBorders>
            <w:shd w:val="clear" w:color="auto" w:fill="D9D9D9"/>
          </w:tcPr>
          <w:p>
            <w:pPr>
              <w:jc w:val="right"/>
              <w:ind w:right="75"/>
              <w:spacing w:after="0"/>
              <w:rPr>
                <w:sz w:val="20"/>
                <w:szCs w:val="20"/>
                <w:color w:val="auto"/>
              </w:rPr>
            </w:pPr>
            <w:r>
              <w:rPr>
                <w:rFonts w:ascii="Arial" w:cs="Arial" w:eastAsia="Arial" w:hAnsi="Arial"/>
                <w:sz w:val="13"/>
                <w:szCs w:val="13"/>
                <w:b w:val="1"/>
                <w:bCs w:val="1"/>
                <w:color w:val="auto"/>
              </w:rPr>
              <w:t>14,316</w:t>
            </w:r>
          </w:p>
        </w:tc>
        <w:tc>
          <w:tcPr>
            <w:tcW w:w="800" w:type="dxa"/>
            <w:vAlign w:val="bottom"/>
            <w:tcBorders>
              <w:bottom w:val="single" w:sz="8" w:color="auto"/>
            </w:tcBorders>
            <w:shd w:val="clear" w:color="auto" w:fill="D9D9D9"/>
          </w:tcPr>
          <w:p>
            <w:pPr>
              <w:jc w:val="right"/>
              <w:ind w:right="35"/>
              <w:spacing w:after="0"/>
              <w:rPr>
                <w:sz w:val="20"/>
                <w:szCs w:val="20"/>
                <w:color w:val="auto"/>
              </w:rPr>
            </w:pPr>
            <w:r>
              <w:rPr>
                <w:rFonts w:ascii="Arial" w:cs="Arial" w:eastAsia="Arial" w:hAnsi="Arial"/>
                <w:sz w:val="13"/>
                <w:szCs w:val="13"/>
                <w:b w:val="1"/>
                <w:bCs w:val="1"/>
                <w:color w:val="auto"/>
              </w:rPr>
              <w:t>29,505</w:t>
            </w:r>
          </w:p>
        </w:tc>
        <w:tc>
          <w:tcPr>
            <w:tcW w:w="8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3,725</w:t>
            </w: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(174,555)</w:t>
            </w: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(2,074)</w:t>
            </w: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48,384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85" w:right="319" w:bottom="1440" w:gutter="0" w:footer="0" w:header="0"/>
        </w:sectPr>
      </w:pPr>
    </w:p>
    <w:bookmarkStart w:id="8" w:name="page9"/>
    <w:bookmarkEnd w:id="8"/>
    <w:p>
      <w:pPr>
        <w:ind w:left="60"/>
        <w:spacing w:after="0"/>
        <w:rPr>
          <w:sz w:val="20"/>
          <w:szCs w:val="20"/>
          <w:color w:val="auto"/>
        </w:rPr>
      </w:pPr>
      <w:r>
        <w:rPr>
          <w:rFonts w:ascii="Arial" w:cs="Arial" w:eastAsia="Arial" w:hAnsi="Arial"/>
          <w:sz w:val="19"/>
          <w:szCs w:val="19"/>
          <w:b w:val="1"/>
          <w:bCs w:val="1"/>
          <w:color w:val="auto"/>
        </w:rPr>
        <w:t>CYBIN INC.</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CONDENSED INTERIM CONSOLIDATED STATEMENT OF CASH FLOWS</w:t>
      </w:r>
    </w:p>
    <w:p>
      <w:pPr>
        <w:ind w:left="60"/>
        <w:spacing w:after="0" w:line="205" w:lineRule="auto"/>
        <w:rPr>
          <w:sz w:val="20"/>
          <w:szCs w:val="20"/>
          <w:color w:val="auto"/>
        </w:rPr>
      </w:pPr>
      <w:r>
        <w:rPr>
          <w:rFonts w:ascii="Arial" w:cs="Arial" w:eastAsia="Arial" w:hAnsi="Arial"/>
          <w:sz w:val="16"/>
          <w:szCs w:val="16"/>
          <w:b w:val="1"/>
          <w:bCs w:val="1"/>
          <w:color w:val="auto"/>
        </w:rPr>
        <w:t>(All amounts expressed in thousands of Canadian dollars)</w:t>
      </w:r>
    </w:p>
    <w:p>
      <w:pPr>
        <w:ind w:left="60"/>
        <w:spacing w:after="0" w:line="213" w:lineRule="auto"/>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146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400"/>
        <w:spacing w:after="0"/>
        <w:rPr>
          <w:sz w:val="20"/>
          <w:szCs w:val="20"/>
          <w:color w:val="auto"/>
        </w:rPr>
      </w:pPr>
      <w:r>
        <w:rPr>
          <w:rFonts w:ascii="Arial" w:cs="Arial" w:eastAsia="Arial" w:hAnsi="Arial"/>
          <w:sz w:val="15"/>
          <w:szCs w:val="15"/>
          <w:b w:val="1"/>
          <w:bCs w:val="1"/>
          <w:color w:val="auto"/>
        </w:rPr>
        <w:t>Six months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19"/>
                <w:szCs w:val="19"/>
                <w:color w:val="auto"/>
              </w:rPr>
            </w:pPr>
          </w:p>
        </w:tc>
        <w:tc>
          <w:tcPr>
            <w:tcW w:w="1580" w:type="dxa"/>
            <w:vAlign w:val="bottom"/>
          </w:tcPr>
          <w:p>
            <w:pPr>
              <w:ind w:left="380"/>
              <w:spacing w:after="0"/>
              <w:rPr>
                <w:sz w:val="20"/>
                <w:szCs w:val="20"/>
                <w:color w:val="auto"/>
              </w:rPr>
            </w:pPr>
            <w:r>
              <w:rPr>
                <w:rFonts w:ascii="Arial" w:cs="Arial" w:eastAsia="Arial" w:hAnsi="Arial"/>
                <w:sz w:val="15"/>
                <w:szCs w:val="15"/>
                <w:b w:val="1"/>
                <w:bCs w:val="1"/>
                <w:color w:val="auto"/>
              </w:rPr>
              <w:t>Notes</w:t>
            </w:r>
          </w:p>
        </w:tc>
        <w:tc>
          <w:tcPr>
            <w:tcW w:w="2080" w:type="dxa"/>
            <w:vAlign w:val="bottom"/>
          </w:tcPr>
          <w:p>
            <w:pPr>
              <w:jc w:val="right"/>
              <w:ind w:right="667"/>
              <w:spacing w:after="0"/>
              <w:rPr>
                <w:sz w:val="20"/>
                <w:szCs w:val="20"/>
                <w:color w:val="auto"/>
              </w:rPr>
            </w:pPr>
            <w:r>
              <w:rPr>
                <w:rFonts w:ascii="Arial" w:cs="Arial" w:eastAsia="Arial" w:hAnsi="Arial"/>
                <w:sz w:val="15"/>
                <w:szCs w:val="15"/>
                <w:b w:val="1"/>
                <w:bCs w:val="1"/>
                <w:color w:val="auto"/>
              </w:rPr>
              <w:t>2023</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47"/>
        </w:trPr>
        <w:tc>
          <w:tcPr>
            <w:tcW w:w="54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7"/>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OPERATING ACTIVITIES</w:t>
            </w:r>
          </w:p>
        </w:tc>
        <w:tc>
          <w:tcPr>
            <w:tcW w:w="1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(26,404)</w:t>
            </w:r>
          </w:p>
        </w:tc>
        <w:tc>
          <w:tcPr>
            <w:tcW w:w="1240" w:type="dxa"/>
            <w:vAlign w:val="bottom"/>
          </w:tcPr>
          <w:p>
            <w:pPr>
              <w:jc w:val="right"/>
              <w:spacing w:after="0"/>
              <w:rPr>
                <w:sz w:val="20"/>
                <w:szCs w:val="20"/>
                <w:color w:val="auto"/>
              </w:rPr>
            </w:pPr>
            <w:r>
              <w:rPr>
                <w:rFonts w:ascii="Arial" w:cs="Arial" w:eastAsia="Arial" w:hAnsi="Arial"/>
                <w:sz w:val="15"/>
                <w:szCs w:val="15"/>
                <w:color w:val="auto"/>
              </w:rPr>
              <w:t>(23,028)</w:t>
            </w:r>
          </w:p>
        </w:tc>
        <w:tc>
          <w:tcPr>
            <w:tcW w:w="0" w:type="dxa"/>
            <w:vAlign w:val="bottom"/>
          </w:tcPr>
          <w:p>
            <w:pPr>
              <w:spacing w:after="0"/>
              <w:rPr>
                <w:sz w:val="1"/>
                <w:szCs w:val="1"/>
                <w:color w:val="auto"/>
              </w:rPr>
            </w:pPr>
          </w:p>
        </w:tc>
      </w:tr>
      <w:tr>
        <w:trPr>
          <w:trHeight w:val="194"/>
        </w:trPr>
        <w:tc>
          <w:tcPr>
            <w:tcW w:w="5420" w:type="dxa"/>
            <w:vAlign w:val="bottom"/>
          </w:tcPr>
          <w:p>
            <w:pPr>
              <w:ind w:left="20"/>
              <w:spacing w:after="0"/>
              <w:rPr>
                <w:sz w:val="20"/>
                <w:szCs w:val="20"/>
                <w:color w:val="auto"/>
              </w:rPr>
            </w:pPr>
            <w:r>
              <w:rPr>
                <w:rFonts w:ascii="Arial" w:cs="Arial" w:eastAsia="Arial" w:hAnsi="Arial"/>
                <w:sz w:val="15"/>
                <w:szCs w:val="15"/>
                <w:b w:val="1"/>
                <w:bCs w:val="1"/>
                <w:color w:val="auto"/>
              </w:rPr>
              <w:t>Adjustments for items not afectng cash:</w:t>
            </w:r>
          </w:p>
        </w:tc>
        <w:tc>
          <w:tcPr>
            <w:tcW w:w="1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Arial" w:cs="Arial" w:eastAsia="Arial" w:hAnsi="Arial"/>
                <w:sz w:val="15"/>
                <w:szCs w:val="15"/>
                <w:color w:val="auto"/>
              </w:rPr>
              <w:t>Interest income</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2"/>
        </w:trPr>
        <w:tc>
          <w:tcPr>
            <w:tcW w:w="5420" w:type="dxa"/>
            <w:vAlign w:val="bottom"/>
            <w:vMerge w:val="restart"/>
          </w:tcPr>
          <w:p>
            <w:pPr>
              <w:ind w:left="340"/>
              <w:spacing w:after="0"/>
              <w:rPr>
                <w:sz w:val="20"/>
                <w:szCs w:val="20"/>
                <w:color w:val="auto"/>
              </w:rPr>
            </w:pPr>
            <w:r>
              <w:rPr>
                <w:rFonts w:ascii="Arial" w:cs="Arial" w:eastAsia="Arial" w:hAnsi="Arial"/>
                <w:sz w:val="15"/>
                <w:szCs w:val="15"/>
                <w:color w:val="auto"/>
              </w:rPr>
              <w:t>Depreciaton and amortzaton</w:t>
            </w:r>
          </w:p>
        </w:tc>
        <w:tc>
          <w:tcPr>
            <w:tcW w:w="1580" w:type="dxa"/>
            <w:vAlign w:val="bottom"/>
          </w:tcPr>
          <w:p>
            <w:pPr>
              <w:jc w:val="center"/>
              <w:ind w:right="407"/>
              <w:spacing w:after="0"/>
              <w:rPr>
                <w:sz w:val="20"/>
                <w:szCs w:val="20"/>
                <w:color w:val="auto"/>
              </w:rPr>
            </w:pPr>
            <w:r>
              <w:rPr>
                <w:rFonts w:ascii="Arial" w:cs="Arial" w:eastAsia="Arial" w:hAnsi="Arial"/>
                <w:sz w:val="15"/>
                <w:szCs w:val="15"/>
                <w:i w:val="1"/>
                <w:iCs w:val="1"/>
                <w:color w:val="auto"/>
                <w:w w:val="87"/>
              </w:rPr>
              <w:t>3, 4</w:t>
            </w: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140</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73"/>
        </w:trPr>
        <w:tc>
          <w:tcPr>
            <w:tcW w:w="542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420" w:type="dxa"/>
            <w:vAlign w:val="bottom"/>
          </w:tcPr>
          <w:p>
            <w:pPr>
              <w:ind w:left="340"/>
              <w:spacing w:after="0"/>
              <w:rPr>
                <w:sz w:val="20"/>
                <w:szCs w:val="20"/>
                <w:color w:val="auto"/>
              </w:rPr>
            </w:pPr>
            <w:r>
              <w:rPr>
                <w:rFonts w:ascii="Arial" w:cs="Arial" w:eastAsia="Arial" w:hAnsi="Arial"/>
                <w:sz w:val="15"/>
                <w:szCs w:val="15"/>
                <w:color w:val="auto"/>
              </w:rPr>
              <w:t>Share-based compensaton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2,689</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3,227</w:t>
            </w: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Arial" w:cs="Arial" w:eastAsia="Arial" w:hAnsi="Arial"/>
                <w:sz w:val="15"/>
                <w:szCs w:val="15"/>
                <w:color w:val="auto"/>
                <w:w w:val="96"/>
              </w:rPr>
              <w:t>Change in fair value of investments measured at fair value through proft or loss</w:t>
            </w:r>
          </w:p>
        </w:tc>
        <w:tc>
          <w:tcPr>
            <w:tcW w:w="1580" w:type="dxa"/>
            <w:vAlign w:val="bottom"/>
          </w:tcPr>
          <w:p>
            <w:pPr>
              <w:spacing w:after="0"/>
              <w:rPr>
                <w:sz w:val="23"/>
                <w:szCs w:val="23"/>
                <w:color w:val="auto"/>
              </w:rPr>
            </w:pP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65"/>
        </w:trPr>
        <w:tc>
          <w:tcPr>
            <w:tcW w:w="5420" w:type="dxa"/>
            <w:vAlign w:val="bottom"/>
          </w:tcPr>
          <w:p>
            <w:pPr>
              <w:ind w:left="340"/>
              <w:spacing w:after="0"/>
              <w:rPr>
                <w:sz w:val="20"/>
                <w:szCs w:val="20"/>
                <w:color w:val="auto"/>
              </w:rPr>
            </w:pPr>
            <w:r>
              <w:rPr>
                <w:rFonts w:ascii="Arial" w:cs="Arial" w:eastAsia="Arial" w:hAnsi="Arial"/>
                <w:sz w:val="15"/>
                <w:szCs w:val="15"/>
                <w:color w:val="auto"/>
              </w:rPr>
              <w:t>Contngent consideraton accreton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420" w:type="dxa"/>
            <w:vAlign w:val="bottom"/>
          </w:tcPr>
          <w:p>
            <w:pPr>
              <w:ind w:left="340"/>
              <w:spacing w:after="0"/>
              <w:rPr>
                <w:sz w:val="20"/>
                <w:szCs w:val="20"/>
                <w:color w:val="auto"/>
              </w:rPr>
            </w:pPr>
            <w:r>
              <w:rPr>
                <w:rFonts w:ascii="Arial" w:cs="Arial" w:eastAsia="Arial" w:hAnsi="Arial"/>
                <w:sz w:val="15"/>
                <w:szCs w:val="15"/>
                <w:color w:val="auto"/>
              </w:rPr>
              <w:t>Change in fair value of contngent consideraton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420" w:type="dxa"/>
            <w:vAlign w:val="bottom"/>
          </w:tcPr>
          <w:p>
            <w:pPr>
              <w:ind w:left="380"/>
              <w:spacing w:after="0"/>
              <w:rPr>
                <w:sz w:val="20"/>
                <w:szCs w:val="20"/>
                <w:color w:val="auto"/>
              </w:rPr>
            </w:pPr>
            <w:r>
              <w:rPr>
                <w:rFonts w:ascii="Arial" w:cs="Arial" w:eastAsia="Arial" w:hAnsi="Arial"/>
                <w:sz w:val="15"/>
                <w:szCs w:val="15"/>
                <w:color w:val="auto"/>
              </w:rPr>
              <w:t>Unrealized foreign currency translaton loss (gain)</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(95)</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(2,692)</w:t>
            </w: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80" w:type="dxa"/>
            <w:vAlign w:val="bottom"/>
          </w:tcPr>
          <w:p>
            <w:pPr>
              <w:jc w:val="right"/>
              <w:ind w:right="667"/>
              <w:spacing w:after="0"/>
              <w:rPr>
                <w:sz w:val="20"/>
                <w:szCs w:val="20"/>
                <w:color w:val="auto"/>
              </w:rPr>
            </w:pPr>
            <w:r>
              <w:rPr>
                <w:rFonts w:ascii="Arial" w:cs="Arial" w:eastAsia="Arial" w:hAnsi="Arial"/>
                <w:sz w:val="15"/>
                <w:szCs w:val="15"/>
                <w:b w:val="1"/>
                <w:bCs w:val="1"/>
                <w:color w:val="auto"/>
              </w:rPr>
              <w:t>(23,670)</w:t>
            </w:r>
          </w:p>
        </w:tc>
        <w:tc>
          <w:tcPr>
            <w:tcW w:w="1240" w:type="dxa"/>
            <w:vAlign w:val="bottom"/>
          </w:tcPr>
          <w:p>
            <w:pPr>
              <w:jc w:val="right"/>
              <w:spacing w:after="0"/>
              <w:rPr>
                <w:sz w:val="20"/>
                <w:szCs w:val="20"/>
                <w:color w:val="auto"/>
              </w:rPr>
            </w:pPr>
            <w:r>
              <w:rPr>
                <w:rFonts w:ascii="Arial" w:cs="Arial" w:eastAsia="Arial" w:hAnsi="Arial"/>
                <w:sz w:val="15"/>
                <w:szCs w:val="15"/>
                <w:color w:val="auto"/>
              </w:rPr>
              <w:t>(22,075)</w:t>
            </w:r>
          </w:p>
        </w:tc>
        <w:tc>
          <w:tcPr>
            <w:tcW w:w="0" w:type="dxa"/>
            <w:vAlign w:val="bottom"/>
          </w:tcPr>
          <w:p>
            <w:pPr>
              <w:spacing w:after="0"/>
              <w:rPr>
                <w:sz w:val="1"/>
                <w:szCs w:val="1"/>
                <w:color w:val="auto"/>
              </w:rPr>
            </w:pPr>
          </w:p>
        </w:tc>
      </w:tr>
      <w:tr>
        <w:trPr>
          <w:trHeight w:val="218"/>
        </w:trPr>
        <w:tc>
          <w:tcPr>
            <w:tcW w:w="5420" w:type="dxa"/>
            <w:vAlign w:val="bottom"/>
          </w:tcPr>
          <w:p>
            <w:pPr>
              <w:ind w:left="160"/>
              <w:spacing w:after="0"/>
              <w:rPr>
                <w:sz w:val="20"/>
                <w:szCs w:val="20"/>
                <w:color w:val="auto"/>
              </w:rPr>
            </w:pPr>
            <w:r>
              <w:rPr>
                <w:rFonts w:ascii="Arial" w:cs="Arial" w:eastAsia="Arial" w:hAnsi="Arial"/>
                <w:sz w:val="15"/>
                <w:szCs w:val="15"/>
                <w:b w:val="1"/>
                <w:bCs w:val="1"/>
                <w:color w:val="auto"/>
              </w:rPr>
              <w:t>Net changes in non-cash working capital items:</w:t>
            </w:r>
          </w:p>
        </w:tc>
        <w:tc>
          <w:tcPr>
            <w:tcW w:w="1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420" w:type="dxa"/>
            <w:vAlign w:val="bottom"/>
          </w:tcPr>
          <w:p>
            <w:pPr>
              <w:ind w:left="340"/>
              <w:spacing w:after="0"/>
              <w:rPr>
                <w:sz w:val="20"/>
                <w:szCs w:val="20"/>
                <w:color w:val="auto"/>
              </w:rPr>
            </w:pPr>
            <w:r>
              <w:rPr>
                <w:rFonts w:ascii="Arial" w:cs="Arial" w:eastAsia="Arial" w:hAnsi="Arial"/>
                <w:sz w:val="15"/>
                <w:szCs w:val="15"/>
                <w:color w:val="auto"/>
              </w:rPr>
              <w:t>Accounts receivable</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(632)</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(737)</w:t>
            </w: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5420" w:type="dxa"/>
            <w:vAlign w:val="bottom"/>
          </w:tcPr>
          <w:p>
            <w:pPr>
              <w:ind w:left="340"/>
              <w:spacing w:after="0"/>
              <w:rPr>
                <w:sz w:val="20"/>
                <w:szCs w:val="20"/>
                <w:color w:val="auto"/>
              </w:rPr>
            </w:pPr>
            <w:r>
              <w:rPr>
                <w:rFonts w:ascii="Arial" w:cs="Arial" w:eastAsia="Arial" w:hAnsi="Arial"/>
                <w:sz w:val="15"/>
                <w:szCs w:val="15"/>
                <w:color w:val="auto"/>
              </w:rPr>
              <w:t>Prepaid expenses</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(1,332)</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(1,898)</w:t>
            </w: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5420" w:type="dxa"/>
            <w:vAlign w:val="bottom"/>
          </w:tcPr>
          <w:p>
            <w:pPr>
              <w:ind w:left="340"/>
              <w:spacing w:after="0"/>
              <w:rPr>
                <w:sz w:val="20"/>
                <w:szCs w:val="20"/>
                <w:color w:val="auto"/>
              </w:rPr>
            </w:pPr>
            <w:r>
              <w:rPr>
                <w:rFonts w:ascii="Arial" w:cs="Arial" w:eastAsia="Arial" w:hAnsi="Arial"/>
                <w:sz w:val="15"/>
                <w:szCs w:val="15"/>
                <w:color w:val="auto"/>
              </w:rPr>
              <w:t>Other current assets</w:t>
            </w:r>
          </w:p>
        </w:tc>
        <w:tc>
          <w:tcPr>
            <w:tcW w:w="1580" w:type="dxa"/>
            <w:vAlign w:val="bottom"/>
          </w:tcPr>
          <w:p>
            <w:pPr>
              <w:spacing w:after="0"/>
              <w:rPr>
                <w:sz w:val="23"/>
                <w:szCs w:val="23"/>
                <w:color w:val="auto"/>
              </w:rPr>
            </w:pP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(105)</w:t>
            </w:r>
          </w:p>
        </w:tc>
        <w:tc>
          <w:tcPr>
            <w:tcW w:w="1240" w:type="dxa"/>
            <w:vAlign w:val="bottom"/>
          </w:tcPr>
          <w:p>
            <w:pPr>
              <w:jc w:val="right"/>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265"/>
        </w:trPr>
        <w:tc>
          <w:tcPr>
            <w:tcW w:w="5420" w:type="dxa"/>
            <w:vAlign w:val="bottom"/>
          </w:tcPr>
          <w:p>
            <w:pPr>
              <w:ind w:left="340"/>
              <w:spacing w:after="0"/>
              <w:rPr>
                <w:sz w:val="20"/>
                <w:szCs w:val="20"/>
                <w:color w:val="auto"/>
              </w:rPr>
            </w:pPr>
            <w:r>
              <w:rPr>
                <w:rFonts w:ascii="Arial" w:cs="Arial" w:eastAsia="Arial" w:hAnsi="Arial"/>
                <w:sz w:val="15"/>
                <w:szCs w:val="15"/>
                <w:color w:val="auto"/>
              </w:rPr>
              <w:t>Accounts payable and accrued liabilites</w:t>
            </w:r>
          </w:p>
        </w:tc>
        <w:tc>
          <w:tcPr>
            <w:tcW w:w="1580" w:type="dxa"/>
            <w:vAlign w:val="bottom"/>
          </w:tcPr>
          <w:p>
            <w:pPr>
              <w:spacing w:after="0"/>
              <w:rPr>
                <w:sz w:val="23"/>
                <w:szCs w:val="23"/>
                <w:color w:val="auto"/>
              </w:rPr>
            </w:pP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3,580</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(380)</w:t>
            </w: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Net cash fows used in operatng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Arial" w:cs="Arial" w:eastAsia="Arial" w:hAnsi="Arial"/>
                <w:sz w:val="15"/>
                <w:szCs w:val="15"/>
                <w:b w:val="1"/>
                <w:bCs w:val="1"/>
                <w:color w:val="auto"/>
              </w:rPr>
              <w:t>(22,159)</w:t>
            </w:r>
          </w:p>
        </w:tc>
        <w:tc>
          <w:tcPr>
            <w:tcW w:w="1240" w:type="dxa"/>
            <w:vAlign w:val="bottom"/>
          </w:tcPr>
          <w:p>
            <w:pPr>
              <w:jc w:val="right"/>
              <w:spacing w:after="0"/>
              <w:rPr>
                <w:sz w:val="20"/>
                <w:szCs w:val="20"/>
                <w:color w:val="auto"/>
              </w:rPr>
            </w:pPr>
            <w:r>
              <w:rPr>
                <w:rFonts w:ascii="Arial" w:cs="Arial" w:eastAsia="Arial" w:hAnsi="Arial"/>
                <w:sz w:val="15"/>
                <w:szCs w:val="15"/>
                <w:color w:val="auto"/>
              </w:rPr>
              <w:t>(25,822)</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INVESTING ACTIVITIES</w:t>
            </w:r>
          </w:p>
        </w:tc>
        <w:tc>
          <w:tcPr>
            <w:tcW w:w="1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Arial" w:cs="Arial" w:eastAsia="Arial" w:hAnsi="Arial"/>
                <w:sz w:val="15"/>
                <w:szCs w:val="15"/>
                <w:color w:val="auto"/>
              </w:rPr>
              <w:t>Purchase of intangible assets</w:t>
            </w:r>
          </w:p>
        </w:tc>
        <w:tc>
          <w:tcPr>
            <w:tcW w:w="1580" w:type="dxa"/>
            <w:vAlign w:val="bottom"/>
          </w:tcPr>
          <w:p>
            <w:pPr>
              <w:jc w:val="center"/>
              <w:ind w:right="407"/>
              <w:spacing w:after="0"/>
              <w:rPr>
                <w:sz w:val="20"/>
                <w:szCs w:val="20"/>
                <w:color w:val="auto"/>
              </w:rPr>
            </w:pPr>
            <w:r>
              <w:rPr>
                <w:rFonts w:ascii="Arial" w:cs="Arial" w:eastAsia="Arial" w:hAnsi="Arial"/>
                <w:sz w:val="15"/>
                <w:szCs w:val="15"/>
                <w:i w:val="1"/>
                <w:iCs w:val="1"/>
                <w:color w:val="auto"/>
                <w:w w:val="71"/>
              </w:rPr>
              <w:t>4</w:t>
            </w: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(323)</w:t>
            </w:r>
          </w:p>
        </w:tc>
        <w:tc>
          <w:tcPr>
            <w:tcW w:w="1240" w:type="dxa"/>
            <w:vAlign w:val="bottom"/>
          </w:tcPr>
          <w:p>
            <w:pPr>
              <w:jc w:val="right"/>
              <w:spacing w:after="0"/>
              <w:rPr>
                <w:sz w:val="20"/>
                <w:szCs w:val="20"/>
                <w:color w:val="auto"/>
              </w:rPr>
            </w:pPr>
            <w:r>
              <w:rPr>
                <w:rFonts w:ascii="Arial" w:cs="Arial" w:eastAsia="Arial" w:hAnsi="Arial"/>
                <w:sz w:val="15"/>
                <w:szCs w:val="15"/>
                <w:color w:val="auto"/>
              </w:rPr>
              <w:t>(2,742)</w:t>
            </w:r>
          </w:p>
        </w:tc>
        <w:tc>
          <w:tcPr>
            <w:tcW w:w="0" w:type="dxa"/>
            <w:vAlign w:val="bottom"/>
          </w:tcPr>
          <w:p>
            <w:pPr>
              <w:spacing w:after="0"/>
              <w:rPr>
                <w:sz w:val="1"/>
                <w:szCs w:val="1"/>
                <w:color w:val="auto"/>
              </w:rPr>
            </w:pPr>
          </w:p>
        </w:tc>
      </w:tr>
      <w:tr>
        <w:trPr>
          <w:trHeight w:val="192"/>
        </w:trPr>
        <w:tc>
          <w:tcPr>
            <w:tcW w:w="5420" w:type="dxa"/>
            <w:vAlign w:val="bottom"/>
            <w:vMerge w:val="restart"/>
          </w:tcPr>
          <w:p>
            <w:pPr>
              <w:ind w:left="340"/>
              <w:spacing w:after="0"/>
              <w:rPr>
                <w:sz w:val="20"/>
                <w:szCs w:val="20"/>
                <w:color w:val="auto"/>
              </w:rPr>
            </w:pPr>
            <w:r>
              <w:rPr>
                <w:rFonts w:ascii="Arial" w:cs="Arial" w:eastAsia="Arial" w:hAnsi="Arial"/>
                <w:sz w:val="15"/>
                <w:szCs w:val="15"/>
                <w:color w:val="auto"/>
              </w:rPr>
              <w:t>Purchase of equipment</w:t>
            </w:r>
          </w:p>
        </w:tc>
        <w:tc>
          <w:tcPr>
            <w:tcW w:w="1580" w:type="dxa"/>
            <w:vAlign w:val="bottom"/>
          </w:tcPr>
          <w:p>
            <w:pPr>
              <w:jc w:val="center"/>
              <w:ind w:right="407"/>
              <w:spacing w:after="0"/>
              <w:rPr>
                <w:sz w:val="20"/>
                <w:szCs w:val="20"/>
                <w:color w:val="auto"/>
              </w:rPr>
            </w:pPr>
            <w:r>
              <w:rPr>
                <w:rFonts w:ascii="Arial" w:cs="Arial" w:eastAsia="Arial" w:hAnsi="Arial"/>
                <w:sz w:val="15"/>
                <w:szCs w:val="15"/>
                <w:i w:val="1"/>
                <w:iCs w:val="1"/>
                <w:color w:val="auto"/>
                <w:w w:val="71"/>
              </w:rPr>
              <w:t>3</w:t>
            </w: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73"/>
        </w:trPr>
        <w:tc>
          <w:tcPr>
            <w:tcW w:w="542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Net cash fows used in investng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Arial" w:cs="Arial" w:eastAsia="Arial" w:hAnsi="Arial"/>
                <w:sz w:val="15"/>
                <w:szCs w:val="15"/>
                <w:b w:val="1"/>
                <w:bCs w:val="1"/>
                <w:color w:val="auto"/>
              </w:rPr>
              <w:t>(323)</w:t>
            </w:r>
          </w:p>
        </w:tc>
        <w:tc>
          <w:tcPr>
            <w:tcW w:w="1240" w:type="dxa"/>
            <w:vAlign w:val="bottom"/>
          </w:tcPr>
          <w:p>
            <w:pPr>
              <w:jc w:val="right"/>
              <w:spacing w:after="0"/>
              <w:rPr>
                <w:sz w:val="20"/>
                <w:szCs w:val="20"/>
                <w:color w:val="auto"/>
              </w:rPr>
            </w:pPr>
            <w:r>
              <w:rPr>
                <w:rFonts w:ascii="Arial" w:cs="Arial" w:eastAsia="Arial" w:hAnsi="Arial"/>
                <w:sz w:val="15"/>
                <w:szCs w:val="15"/>
                <w:color w:val="auto"/>
              </w:rPr>
              <w:t>(2,884)</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FINANCING ACTIVITIES</w:t>
            </w:r>
          </w:p>
        </w:tc>
        <w:tc>
          <w:tcPr>
            <w:tcW w:w="1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20" w:type="dxa"/>
            <w:vAlign w:val="bottom"/>
          </w:tcPr>
          <w:p>
            <w:pPr>
              <w:ind w:left="340"/>
              <w:spacing w:after="0"/>
              <w:rPr>
                <w:sz w:val="20"/>
                <w:szCs w:val="20"/>
                <w:color w:val="auto"/>
              </w:rPr>
            </w:pPr>
            <w:r>
              <w:rPr>
                <w:rFonts w:ascii="Arial" w:cs="Arial" w:eastAsia="Arial" w:hAnsi="Arial"/>
                <w:sz w:val="15"/>
                <w:szCs w:val="15"/>
                <w:color w:val="auto"/>
              </w:rPr>
              <w:t>Proceeds on issuance of common shares, net</w:t>
            </w:r>
          </w:p>
        </w:tc>
        <w:tc>
          <w:tcPr>
            <w:tcW w:w="1580" w:type="dxa"/>
            <w:vAlign w:val="bottom"/>
          </w:tcPr>
          <w:p>
            <w:pPr>
              <w:jc w:val="center"/>
              <w:ind w:right="407"/>
              <w:spacing w:after="0"/>
              <w:rPr>
                <w:sz w:val="20"/>
                <w:szCs w:val="20"/>
                <w:color w:val="auto"/>
              </w:rPr>
            </w:pPr>
            <w:r>
              <w:rPr>
                <w:rFonts w:ascii="Arial" w:cs="Arial" w:eastAsia="Arial" w:hAnsi="Arial"/>
                <w:sz w:val="15"/>
                <w:szCs w:val="15"/>
                <w:i w:val="1"/>
                <w:iCs w:val="1"/>
                <w:color w:val="auto"/>
                <w:w w:val="71"/>
              </w:rPr>
              <w:t>7</w:t>
            </w: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23,904</w:t>
            </w:r>
          </w:p>
        </w:tc>
        <w:tc>
          <w:tcPr>
            <w:tcW w:w="1240" w:type="dxa"/>
            <w:vAlign w:val="bottom"/>
          </w:tcPr>
          <w:p>
            <w:pPr>
              <w:jc w:val="right"/>
              <w:spacing w:after="0"/>
              <w:rPr>
                <w:sz w:val="20"/>
                <w:szCs w:val="20"/>
                <w:color w:val="auto"/>
              </w:rPr>
            </w:pPr>
            <w:r>
              <w:rPr>
                <w:rFonts w:ascii="Arial" w:cs="Arial" w:eastAsia="Arial" w:hAnsi="Arial"/>
                <w:sz w:val="15"/>
                <w:szCs w:val="15"/>
                <w:color w:val="auto"/>
              </w:rPr>
              <w:t>4,598</w:t>
            </w:r>
          </w:p>
        </w:tc>
        <w:tc>
          <w:tcPr>
            <w:tcW w:w="0" w:type="dxa"/>
            <w:vAlign w:val="bottom"/>
          </w:tcPr>
          <w:p>
            <w:pPr>
              <w:spacing w:after="0"/>
              <w:rPr>
                <w:sz w:val="1"/>
                <w:szCs w:val="1"/>
                <w:color w:val="auto"/>
              </w:rPr>
            </w:pPr>
          </w:p>
        </w:tc>
      </w:tr>
      <w:tr>
        <w:trPr>
          <w:trHeight w:val="192"/>
        </w:trPr>
        <w:tc>
          <w:tcPr>
            <w:tcW w:w="5420" w:type="dxa"/>
            <w:vAlign w:val="bottom"/>
            <w:vMerge w:val="restart"/>
          </w:tcPr>
          <w:p>
            <w:pPr>
              <w:ind w:left="340"/>
              <w:spacing w:after="0"/>
              <w:rPr>
                <w:sz w:val="20"/>
                <w:szCs w:val="20"/>
                <w:color w:val="auto"/>
              </w:rPr>
            </w:pPr>
            <w:r>
              <w:rPr>
                <w:rFonts w:ascii="Arial" w:cs="Arial" w:eastAsia="Arial" w:hAnsi="Arial"/>
                <w:sz w:val="15"/>
                <w:szCs w:val="15"/>
                <w:color w:val="auto"/>
              </w:rPr>
              <w:t>Shares issued for cash - warrant exercise</w:t>
            </w:r>
          </w:p>
        </w:tc>
        <w:tc>
          <w:tcPr>
            <w:tcW w:w="1580" w:type="dxa"/>
            <w:vAlign w:val="bottom"/>
          </w:tcPr>
          <w:p>
            <w:pPr>
              <w:jc w:val="center"/>
              <w:ind w:right="407"/>
              <w:spacing w:after="0"/>
              <w:rPr>
                <w:sz w:val="20"/>
                <w:szCs w:val="20"/>
                <w:color w:val="auto"/>
              </w:rPr>
            </w:pPr>
            <w:r>
              <w:rPr>
                <w:rFonts w:ascii="Arial" w:cs="Arial" w:eastAsia="Arial" w:hAnsi="Arial"/>
                <w:sz w:val="15"/>
                <w:szCs w:val="15"/>
                <w:i w:val="1"/>
                <w:iCs w:val="1"/>
                <w:color w:val="auto"/>
                <w:w w:val="71"/>
              </w:rPr>
              <w:t>7</w:t>
            </w:r>
          </w:p>
        </w:tc>
        <w:tc>
          <w:tcPr>
            <w:tcW w:w="2080" w:type="dxa"/>
            <w:vAlign w:val="bottom"/>
            <w:vMerge w:val="restart"/>
          </w:tcPr>
          <w:p>
            <w:pPr>
              <w:jc w:val="right"/>
              <w:ind w:right="627"/>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73"/>
        </w:trPr>
        <w:tc>
          <w:tcPr>
            <w:tcW w:w="542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20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54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Net cash fows from fnancing actvites</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Arial" w:cs="Arial" w:eastAsia="Arial" w:hAnsi="Arial"/>
                <w:sz w:val="15"/>
                <w:szCs w:val="15"/>
                <w:b w:val="1"/>
                <w:bCs w:val="1"/>
                <w:color w:val="auto"/>
              </w:rPr>
              <w:t>23,904</w:t>
            </w:r>
          </w:p>
        </w:tc>
        <w:tc>
          <w:tcPr>
            <w:tcW w:w="1240" w:type="dxa"/>
            <w:vAlign w:val="bottom"/>
          </w:tcPr>
          <w:p>
            <w:pPr>
              <w:jc w:val="right"/>
              <w:spacing w:after="0"/>
              <w:rPr>
                <w:sz w:val="20"/>
                <w:szCs w:val="20"/>
                <w:color w:val="auto"/>
              </w:rPr>
            </w:pPr>
            <w:r>
              <w:rPr>
                <w:rFonts w:ascii="Arial" w:cs="Arial" w:eastAsia="Arial" w:hAnsi="Arial"/>
                <w:sz w:val="15"/>
                <w:szCs w:val="15"/>
                <w:color w:val="auto"/>
              </w:rPr>
              <w:t>4,960</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7"/>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Efects of exchange rate changes on cash</w:t>
            </w:r>
          </w:p>
        </w:tc>
        <w:tc>
          <w:tcPr>
            <w:tcW w:w="1580" w:type="dxa"/>
            <w:vAlign w:val="bottom"/>
          </w:tcPr>
          <w:p>
            <w:pPr>
              <w:spacing w:after="0"/>
              <w:rPr>
                <w:sz w:val="24"/>
                <w:szCs w:val="24"/>
                <w:color w:val="auto"/>
              </w:rPr>
            </w:pP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63</w:t>
            </w:r>
          </w:p>
        </w:tc>
        <w:tc>
          <w:tcPr>
            <w:tcW w:w="124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9"/>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Net change in cash</w:t>
            </w:r>
          </w:p>
        </w:tc>
        <w:tc>
          <w:tcPr>
            <w:tcW w:w="1580" w:type="dxa"/>
            <w:vAlign w:val="bottom"/>
          </w:tcPr>
          <w:p>
            <w:pPr>
              <w:spacing w:after="0"/>
              <w:rPr>
                <w:sz w:val="24"/>
                <w:szCs w:val="24"/>
                <w:color w:val="auto"/>
              </w:rPr>
            </w:pPr>
          </w:p>
        </w:tc>
        <w:tc>
          <w:tcPr>
            <w:tcW w:w="2080" w:type="dxa"/>
            <w:vAlign w:val="bottom"/>
          </w:tcPr>
          <w:p>
            <w:pPr>
              <w:jc w:val="right"/>
              <w:ind w:right="667"/>
              <w:spacing w:after="0"/>
              <w:rPr>
                <w:sz w:val="20"/>
                <w:szCs w:val="20"/>
                <w:color w:val="auto"/>
              </w:rPr>
            </w:pPr>
            <w:r>
              <w:rPr>
                <w:rFonts w:ascii="Arial" w:cs="Arial" w:eastAsia="Arial" w:hAnsi="Arial"/>
                <w:sz w:val="15"/>
                <w:szCs w:val="15"/>
                <w:b w:val="1"/>
                <w:bCs w:val="1"/>
                <w:color w:val="auto"/>
              </w:rPr>
              <w:t>1,485</w:t>
            </w:r>
          </w:p>
        </w:tc>
        <w:tc>
          <w:tcPr>
            <w:tcW w:w="1240" w:type="dxa"/>
            <w:vAlign w:val="bottom"/>
          </w:tcPr>
          <w:p>
            <w:pPr>
              <w:jc w:val="right"/>
              <w:spacing w:after="0"/>
              <w:rPr>
                <w:sz w:val="20"/>
                <w:szCs w:val="20"/>
                <w:color w:val="auto"/>
              </w:rPr>
            </w:pPr>
            <w:r>
              <w:rPr>
                <w:rFonts w:ascii="Arial" w:cs="Arial" w:eastAsia="Arial" w:hAnsi="Arial"/>
                <w:sz w:val="15"/>
                <w:szCs w:val="15"/>
                <w:color w:val="auto"/>
              </w:rPr>
              <w:t>(23,704)</w:t>
            </w:r>
          </w:p>
        </w:tc>
        <w:tc>
          <w:tcPr>
            <w:tcW w:w="0" w:type="dxa"/>
            <w:vAlign w:val="bottom"/>
          </w:tcPr>
          <w:p>
            <w:pPr>
              <w:spacing w:after="0"/>
              <w:rPr>
                <w:sz w:val="1"/>
                <w:szCs w:val="1"/>
                <w:color w:val="auto"/>
              </w:rPr>
            </w:pPr>
          </w:p>
        </w:tc>
      </w:tr>
      <w:tr>
        <w:trPr>
          <w:trHeight w:val="194"/>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Cash, beginning of period</w:t>
            </w:r>
          </w:p>
        </w:tc>
        <w:tc>
          <w:tcPr>
            <w:tcW w:w="1580" w:type="dxa"/>
            <w:vAlign w:val="bottom"/>
          </w:tcPr>
          <w:p>
            <w:pPr>
              <w:spacing w:after="0"/>
              <w:rPr>
                <w:sz w:val="16"/>
                <w:szCs w:val="16"/>
                <w:color w:val="auto"/>
              </w:rPr>
            </w:pPr>
          </w:p>
        </w:tc>
        <w:tc>
          <w:tcPr>
            <w:tcW w:w="2080" w:type="dxa"/>
            <w:vAlign w:val="bottom"/>
          </w:tcPr>
          <w:p>
            <w:pPr>
              <w:jc w:val="right"/>
              <w:ind w:right="627"/>
              <w:spacing w:after="0"/>
              <w:rPr>
                <w:sz w:val="20"/>
                <w:szCs w:val="20"/>
                <w:color w:val="auto"/>
              </w:rPr>
            </w:pPr>
            <w:r>
              <w:rPr>
                <w:rFonts w:ascii="Arial" w:cs="Arial" w:eastAsia="Arial" w:hAnsi="Arial"/>
                <w:sz w:val="15"/>
                <w:szCs w:val="15"/>
                <w:b w:val="1"/>
                <w:bCs w:val="1"/>
                <w:color w:val="auto"/>
              </w:rPr>
              <w:t>16,633</w:t>
            </w:r>
          </w:p>
        </w:tc>
        <w:tc>
          <w:tcPr>
            <w:tcW w:w="1240" w:type="dxa"/>
            <w:vAlign w:val="bottom"/>
          </w:tcPr>
          <w:p>
            <w:pPr>
              <w:jc w:val="right"/>
              <w:spacing w:after="0"/>
              <w:rPr>
                <w:sz w:val="20"/>
                <w:szCs w:val="20"/>
                <w:color w:val="auto"/>
              </w:rPr>
            </w:pPr>
            <w:r>
              <w:rPr>
                <w:rFonts w:ascii="Arial" w:cs="Arial" w:eastAsia="Arial" w:hAnsi="Arial"/>
                <w:sz w:val="15"/>
                <w:szCs w:val="15"/>
                <w:color w:val="auto"/>
              </w:rPr>
              <w:t>53,641</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5420" w:type="dxa"/>
            <w:vAlign w:val="bottom"/>
          </w:tcPr>
          <w:p>
            <w:pPr>
              <w:ind w:left="60"/>
              <w:spacing w:after="0"/>
              <w:rPr>
                <w:sz w:val="20"/>
                <w:szCs w:val="20"/>
                <w:color w:val="auto"/>
              </w:rPr>
            </w:pPr>
            <w:r>
              <w:rPr>
                <w:rFonts w:ascii="Arial" w:cs="Arial" w:eastAsia="Arial" w:hAnsi="Arial"/>
                <w:sz w:val="15"/>
                <w:szCs w:val="15"/>
                <w:b w:val="1"/>
                <w:bCs w:val="1"/>
                <w:color w:val="auto"/>
              </w:rPr>
              <w:t>Cash, end of period</w:t>
            </w:r>
          </w:p>
        </w:tc>
        <w:tc>
          <w:tcPr>
            <w:tcW w:w="1580" w:type="dxa"/>
            <w:vAlign w:val="bottom"/>
          </w:tcPr>
          <w:p>
            <w:pPr>
              <w:spacing w:after="0"/>
              <w:rPr>
                <w:sz w:val="18"/>
                <w:szCs w:val="18"/>
                <w:color w:val="auto"/>
              </w:rPr>
            </w:pPr>
          </w:p>
        </w:tc>
        <w:tc>
          <w:tcPr>
            <w:tcW w:w="2080" w:type="dxa"/>
            <w:vAlign w:val="bottom"/>
          </w:tcPr>
          <w:p>
            <w:pPr>
              <w:jc w:val="right"/>
              <w:ind w:right="667"/>
              <w:spacing w:after="0"/>
              <w:rPr>
                <w:sz w:val="20"/>
                <w:szCs w:val="20"/>
                <w:color w:val="auto"/>
              </w:rPr>
            </w:pPr>
            <w:r>
              <w:rPr>
                <w:rFonts w:ascii="Arial" w:cs="Arial" w:eastAsia="Arial" w:hAnsi="Arial"/>
                <w:sz w:val="15"/>
                <w:szCs w:val="15"/>
                <w:b w:val="1"/>
                <w:bCs w:val="1"/>
                <w:color w:val="auto"/>
              </w:rPr>
              <w:t>18,118</w:t>
            </w:r>
          </w:p>
        </w:tc>
        <w:tc>
          <w:tcPr>
            <w:tcW w:w="1240" w:type="dxa"/>
            <w:vAlign w:val="bottom"/>
          </w:tcPr>
          <w:p>
            <w:pPr>
              <w:jc w:val="right"/>
              <w:spacing w:after="0"/>
              <w:rPr>
                <w:sz w:val="20"/>
                <w:szCs w:val="20"/>
                <w:color w:val="auto"/>
              </w:rPr>
            </w:pPr>
            <w:r>
              <w:rPr>
                <w:rFonts w:ascii="Arial" w:cs="Arial" w:eastAsia="Arial" w:hAnsi="Arial"/>
                <w:sz w:val="15"/>
                <w:szCs w:val="15"/>
                <w:color w:val="auto"/>
              </w:rPr>
              <w:t>29,937</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-5497830</wp:posOffset>
            </wp:positionV>
            <wp:extent cx="65608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820" cy="76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condensed interim consolidated fnancial statements.</w:t>
      </w:r>
    </w:p>
    <w:p>
      <w:pPr>
        <w:sectPr>
          <w:pgSz w:w="11900" w:h="16838" w:orient="portrait"/>
          <w:cols w:equalWidth="0" w:num="1">
            <w:col w:w="10320"/>
          </w:cols>
          <w:pgMar w:left="320" w:top="185" w:right="1259" w:bottom="1440" w:gutter="0" w:footer="0" w:header="0"/>
        </w:sectPr>
      </w:pPr>
    </w:p>
    <w:bookmarkStart w:id="9" w:name="page10"/>
    <w:bookmarkEnd w:id="9"/>
    <w:p>
      <w:pPr>
        <w:ind w:left="63"/>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3" w:right="40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62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3" w:hanging="263"/>
        <w:spacing w:after="0"/>
        <w:tabs>
          <w:tab w:leader="none" w:pos="263" w:val="left"/>
        </w:tabs>
        <w:numPr>
          <w:ilvl w:val="0"/>
          <w:numId w:val="1"/>
        </w:numPr>
        <w:rPr>
          <w:rFonts w:ascii="Arial" w:cs="Arial" w:eastAsia="Arial" w:hAnsi="Arial"/>
          <w:sz w:val="16"/>
          <w:szCs w:val="16"/>
          <w:b w:val="1"/>
          <w:bCs w:val="1"/>
          <w:color w:val="2D5F91"/>
        </w:rPr>
      </w:pPr>
      <w:r>
        <w:rPr>
          <w:rFonts w:ascii="Arial" w:cs="Arial" w:eastAsia="Arial" w:hAnsi="Arial"/>
          <w:sz w:val="16"/>
          <w:szCs w:val="16"/>
          <w:b w:val="1"/>
          <w:bCs w:val="1"/>
          <w:color w:val="2D5F91"/>
        </w:rPr>
        <w:t>CORPORATE INFORMATION</w:t>
      </w:r>
    </w:p>
    <w:p>
      <w:pPr>
        <w:spacing w:after="0" w:line="58"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5"/>
          <w:szCs w:val="15"/>
          <w:color w:val="auto"/>
        </w:rPr>
        <w:t>Cybin Inc. (“Cybin”), was incorporated under the Business Corporatons Act (Britsh Columbia) on October 13, 2016. These consolidated fnancial statements include</w:t>
      </w:r>
    </w:p>
    <w:p>
      <w:pPr>
        <w:spacing w:after="0" w:line="57" w:lineRule="exact"/>
        <w:rPr>
          <w:rFonts w:ascii="Arial" w:cs="Arial" w:eastAsia="Arial" w:hAnsi="Arial"/>
          <w:sz w:val="16"/>
          <w:szCs w:val="16"/>
          <w:b w:val="1"/>
          <w:bCs w:val="1"/>
          <w:color w:val="2D5F91"/>
        </w:rPr>
      </w:pPr>
    </w:p>
    <w:p>
      <w:pPr>
        <w:jc w:val="both"/>
        <w:ind w:left="283"/>
        <w:spacing w:after="0" w:line="305" w:lineRule="auto"/>
        <w:rPr>
          <w:rFonts w:ascii="Arial" w:cs="Arial" w:eastAsia="Arial" w:hAnsi="Arial"/>
          <w:sz w:val="16"/>
          <w:szCs w:val="16"/>
          <w:b w:val="1"/>
          <w:bCs w:val="1"/>
          <w:color w:val="2D5F91"/>
        </w:rPr>
      </w:pPr>
      <w:r>
        <w:rPr>
          <w:rFonts w:ascii="Arial" w:cs="Arial" w:eastAsia="Arial" w:hAnsi="Arial"/>
          <w:sz w:val="16"/>
          <w:szCs w:val="16"/>
          <w:color w:val="auto"/>
        </w:rPr>
        <w:t>the accounts of Cybin’s six subsidiaries (together with Cybin, the “Company”): Cybin Corp., Natures Journey Inc. (“Journey”), Serenity Life Sciences Inc. (“Serenity”), Cybin US Holdings Inc. (“Cybin US”), Adelia Therapeutcs Inc. (“Adelia”) and Cybin IRL Limited (“Cybin IRL”). Cybin’s head ofce, principal address and registered address and records ofce is 100 King Street West, Suite 5600, Toronto, Ontario M5X 1C9.</w:t>
      </w:r>
    </w:p>
    <w:p>
      <w:pPr>
        <w:spacing w:after="0" w:line="135" w:lineRule="exact"/>
        <w:rPr>
          <w:rFonts w:ascii="Arial" w:cs="Arial" w:eastAsia="Arial" w:hAnsi="Arial"/>
          <w:sz w:val="16"/>
          <w:szCs w:val="16"/>
          <w:b w:val="1"/>
          <w:bCs w:val="1"/>
          <w:color w:val="2D5F91"/>
        </w:rPr>
      </w:pPr>
    </w:p>
    <w:p>
      <w:pPr>
        <w:jc w:val="both"/>
        <w:ind w:left="283" w:right="20"/>
        <w:spacing w:after="0" w:line="334" w:lineRule="auto"/>
        <w:rPr>
          <w:rFonts w:ascii="Arial" w:cs="Arial" w:eastAsia="Arial" w:hAnsi="Arial"/>
          <w:sz w:val="16"/>
          <w:szCs w:val="16"/>
          <w:b w:val="1"/>
          <w:bCs w:val="1"/>
          <w:color w:val="2D5F91"/>
        </w:rPr>
      </w:pPr>
      <w:r>
        <w:rPr>
          <w:rFonts w:ascii="Arial" w:cs="Arial" w:eastAsia="Arial" w:hAnsi="Arial"/>
          <w:sz w:val="14"/>
          <w:szCs w:val="14"/>
          <w:color w:val="auto"/>
        </w:rPr>
        <w:t>The Company is a biopharmaceutcal company focused on advancing psychedelic-based therapies, delivery mechanisms, novel compounds and protocols as potental treatments for various psychiatric and neurological conditons. The Company is developing technologies and delivery systems aimed at improving the pharmacokinetcs</w:t>
      </w:r>
    </w:p>
    <w:p>
      <w:pPr>
        <w:ind w:left="283"/>
        <w:spacing w:after="0" w:line="309" w:lineRule="auto"/>
        <w:rPr>
          <w:rFonts w:ascii="Arial" w:cs="Arial" w:eastAsia="Arial" w:hAnsi="Arial"/>
          <w:sz w:val="16"/>
          <w:szCs w:val="16"/>
          <w:b w:val="1"/>
          <w:bCs w:val="1"/>
          <w:color w:val="2D5F91"/>
        </w:rPr>
      </w:pPr>
      <w:r>
        <w:rPr>
          <w:rFonts w:ascii="Arial" w:cs="Arial" w:eastAsia="Arial" w:hAnsi="Arial"/>
          <w:sz w:val="16"/>
          <w:szCs w:val="16"/>
          <w:color w:val="auto"/>
        </w:rPr>
        <w:t>of its psychedelic-based molecules while retaining the therapeutc beneft. These new molecules and delivery systems are expected to be studied through clinical trials to confrm safety and efcacy.</w:t>
      </w:r>
    </w:p>
    <w:p>
      <w:pPr>
        <w:spacing w:after="0" w:line="132" w:lineRule="exact"/>
        <w:rPr>
          <w:rFonts w:ascii="Arial" w:cs="Arial" w:eastAsia="Arial" w:hAnsi="Arial"/>
          <w:sz w:val="16"/>
          <w:szCs w:val="16"/>
          <w:b w:val="1"/>
          <w:bCs w:val="1"/>
          <w:color w:val="2D5F91"/>
        </w:rPr>
      </w:pPr>
    </w:p>
    <w:p>
      <w:pPr>
        <w:ind w:left="283" w:right="20"/>
        <w:spacing w:after="0" w:line="325"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as at, and for the three and six months ended, September 30, 2023 were approved and authorized for issue by the board of directors on November 14, 2023.</w:t>
      </w:r>
    </w:p>
    <w:p>
      <w:pPr>
        <w:spacing w:after="0" w:line="108"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b w:val="1"/>
          <w:bCs w:val="1"/>
          <w:i w:val="1"/>
          <w:iCs w:val="1"/>
          <w:u w:val="single" w:color="auto"/>
          <w:color w:val="auto"/>
        </w:rPr>
        <w:t>Stock exchange listng</w:t>
      </w:r>
    </w:p>
    <w:p>
      <w:pPr>
        <w:spacing w:after="0" w:line="204" w:lineRule="exact"/>
        <w:rPr>
          <w:rFonts w:ascii="Arial" w:cs="Arial" w:eastAsia="Arial" w:hAnsi="Arial"/>
          <w:sz w:val="16"/>
          <w:szCs w:val="16"/>
          <w:b w:val="1"/>
          <w:bCs w:val="1"/>
          <w:color w:val="2D5F91"/>
        </w:rPr>
      </w:pPr>
    </w:p>
    <w:p>
      <w:pPr>
        <w:ind w:left="283" w:right="20"/>
        <w:spacing w:after="0" w:line="325" w:lineRule="auto"/>
        <w:rPr>
          <w:rFonts w:ascii="Arial" w:cs="Arial" w:eastAsia="Arial" w:hAnsi="Arial"/>
          <w:sz w:val="16"/>
          <w:szCs w:val="16"/>
          <w:b w:val="1"/>
          <w:bCs w:val="1"/>
          <w:color w:val="2D5F91"/>
        </w:rPr>
      </w:pPr>
      <w:r>
        <w:rPr>
          <w:rFonts w:ascii="Arial" w:cs="Arial" w:eastAsia="Arial" w:hAnsi="Arial"/>
          <w:sz w:val="16"/>
          <w:szCs w:val="16"/>
          <w:color w:val="auto"/>
        </w:rPr>
        <w:t>Cybin’s common shares (“Common Shares”) are listed for trading on Cboe Canada, and NYSE American LLC under the symbol “CYBN” and are quoted on the Frankfurt Stock Exchange under the symbol “R7E1”.</w:t>
      </w:r>
    </w:p>
    <w:p>
      <w:pPr>
        <w:spacing w:after="0" w:line="120"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b w:val="1"/>
          <w:bCs w:val="1"/>
          <w:i w:val="1"/>
          <w:iCs w:val="1"/>
          <w:u w:val="single" w:color="auto"/>
          <w:color w:val="auto"/>
        </w:rPr>
        <w:t>Going Concern</w:t>
      </w:r>
    </w:p>
    <w:p>
      <w:pPr>
        <w:spacing w:after="0" w:line="204" w:lineRule="exact"/>
        <w:rPr>
          <w:rFonts w:ascii="Arial" w:cs="Arial" w:eastAsia="Arial" w:hAnsi="Arial"/>
          <w:sz w:val="16"/>
          <w:szCs w:val="16"/>
          <w:b w:val="1"/>
          <w:bCs w:val="1"/>
          <w:color w:val="2D5F91"/>
        </w:rPr>
      </w:pPr>
    </w:p>
    <w:p>
      <w:pPr>
        <w:jc w:val="both"/>
        <w:ind w:left="283" w:right="20"/>
        <w:spacing w:after="0" w:line="334" w:lineRule="auto"/>
        <w:rPr>
          <w:rFonts w:ascii="Arial" w:cs="Arial" w:eastAsia="Arial" w:hAnsi="Arial"/>
          <w:sz w:val="16"/>
          <w:szCs w:val="16"/>
          <w:b w:val="1"/>
          <w:bCs w:val="1"/>
          <w:color w:val="2D5F91"/>
        </w:rPr>
      </w:pPr>
      <w:r>
        <w:rPr>
          <w:rFonts w:ascii="Arial" w:cs="Arial" w:eastAsia="Arial" w:hAnsi="Arial"/>
          <w:sz w:val="14"/>
          <w:szCs w:val="14"/>
          <w:color w:val="auto"/>
        </w:rPr>
        <w:t>These condensed interim consolidated fnancial statements are prepared on a going concern basis, which contemplates that the Company will contnue in operaton for the foreseeable future and will be able to realize its assets and discharge its liabilites in the normal course of business. At present, the Company’s operatons do not</w:t>
      </w:r>
    </w:p>
    <w:p>
      <w:pPr>
        <w:jc w:val="both"/>
        <w:ind w:left="283" w:right="20"/>
        <w:spacing w:after="0" w:line="312" w:lineRule="auto"/>
        <w:rPr>
          <w:rFonts w:ascii="Arial" w:cs="Arial" w:eastAsia="Arial" w:hAnsi="Arial"/>
          <w:sz w:val="16"/>
          <w:szCs w:val="16"/>
          <w:b w:val="1"/>
          <w:bCs w:val="1"/>
          <w:color w:val="2D5F91"/>
        </w:rPr>
      </w:pPr>
      <w:r>
        <w:rPr>
          <w:rFonts w:ascii="Arial" w:cs="Arial" w:eastAsia="Arial" w:hAnsi="Arial"/>
          <w:sz w:val="15"/>
          <w:szCs w:val="15"/>
          <w:color w:val="auto"/>
        </w:rPr>
        <w:t>generate cash fows and, as at September 30, 2023, the Company had an accumulated defcit of $174,555 (March 31, 2023 - $148,151 ), cash of $18,118 (March 31, 2023 - $16,633) and working capital of $17,496 (March 31, 2023 - $17,522), and a net loss of $26,404 (2022 - $23,028) and negatve cash fows from operatons of</w:t>
      </w:r>
    </w:p>
    <w:p>
      <w:pPr>
        <w:jc w:val="both"/>
        <w:ind w:left="283"/>
        <w:spacing w:after="0" w:line="305" w:lineRule="auto"/>
        <w:rPr>
          <w:rFonts w:ascii="Arial" w:cs="Arial" w:eastAsia="Arial" w:hAnsi="Arial"/>
          <w:sz w:val="16"/>
          <w:szCs w:val="16"/>
          <w:b w:val="1"/>
          <w:bCs w:val="1"/>
          <w:color w:val="2D5F91"/>
        </w:rPr>
      </w:pPr>
      <w:r>
        <w:rPr>
          <w:rFonts w:ascii="Arial" w:cs="Arial" w:eastAsia="Arial" w:hAnsi="Arial"/>
          <w:sz w:val="16"/>
          <w:szCs w:val="16"/>
          <w:color w:val="auto"/>
        </w:rPr>
        <w:t>$22,159 (2022 - $25,822) for the six month periods ended September 30. In order to contnue as a going concern and meet its corporate objectves, the Company is dependent on its ability to obtain additonal fnancing. There is no assurance that the Company will be able to obtain adequate fnancing in the future or that such fnancing will be on terms advantageous to the Company.</w:t>
      </w:r>
    </w:p>
    <w:p>
      <w:pPr>
        <w:spacing w:after="0" w:line="135" w:lineRule="exact"/>
        <w:rPr>
          <w:rFonts w:ascii="Arial" w:cs="Arial" w:eastAsia="Arial" w:hAnsi="Arial"/>
          <w:sz w:val="16"/>
          <w:szCs w:val="16"/>
          <w:b w:val="1"/>
          <w:bCs w:val="1"/>
          <w:color w:val="2D5F91"/>
        </w:rPr>
      </w:pPr>
    </w:p>
    <w:p>
      <w:pPr>
        <w:jc w:val="both"/>
        <w:ind w:left="283" w:right="20"/>
        <w:spacing w:after="0" w:line="308" w:lineRule="auto"/>
        <w:rPr>
          <w:rFonts w:ascii="Arial" w:cs="Arial" w:eastAsia="Arial" w:hAnsi="Arial"/>
          <w:sz w:val="16"/>
          <w:szCs w:val="16"/>
          <w:b w:val="1"/>
          <w:bCs w:val="1"/>
          <w:color w:val="2D5F91"/>
        </w:rPr>
      </w:pPr>
      <w:r>
        <w:rPr>
          <w:rFonts w:ascii="Arial" w:cs="Arial" w:eastAsia="Arial" w:hAnsi="Arial"/>
          <w:sz w:val="15"/>
          <w:szCs w:val="15"/>
          <w:color w:val="auto"/>
        </w:rPr>
        <w:t>These condensed interim consolidated fnancial statements do not refect the adjustments or reclassifcatons of assets and liabilites which would be necessary if the Company were unable to contnue as a going concern and therefore were required to realize its assets and liquidate its liabilites and commitments in the normal course of business operatons and at amounts diferent from those in the accompanying condensed interim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7 of 25</w:t>
      </w:r>
    </w:p>
    <w:p>
      <w:pPr>
        <w:sectPr>
          <w:pgSz w:w="11900" w:h="16838" w:orient="portrait"/>
          <w:cols w:equalWidth="0" w:num="1">
            <w:col w:w="11263"/>
          </w:cols>
          <w:pgMar w:left="317" w:top="221" w:right="319" w:bottom="1440" w:gutter="0" w:footer="0" w:header="0"/>
        </w:sectPr>
      </w:pPr>
    </w:p>
    <w:bookmarkStart w:id="10" w:name="page11"/>
    <w:bookmarkEnd w:id="10"/>
    <w:p>
      <w:pPr>
        <w:ind w:left="63"/>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3" w:right="40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1462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63" w:hanging="263"/>
        <w:spacing w:after="0"/>
        <w:tabs>
          <w:tab w:leader="none" w:pos="263" w:val="left"/>
        </w:tabs>
        <w:numPr>
          <w:ilvl w:val="0"/>
          <w:numId w:val="2"/>
        </w:numPr>
        <w:rPr>
          <w:rFonts w:ascii="Arial" w:cs="Arial" w:eastAsia="Arial" w:hAnsi="Arial"/>
          <w:sz w:val="16"/>
          <w:szCs w:val="16"/>
          <w:b w:val="1"/>
          <w:bCs w:val="1"/>
          <w:color w:val="2D5F91"/>
        </w:rPr>
      </w:pPr>
      <w:r>
        <w:rPr>
          <w:rFonts w:ascii="Arial" w:cs="Arial" w:eastAsia="Arial" w:hAnsi="Arial"/>
          <w:sz w:val="16"/>
          <w:szCs w:val="16"/>
          <w:b w:val="1"/>
          <w:bCs w:val="1"/>
          <w:color w:val="2D5F91"/>
        </w:rPr>
        <w:t>MATERIAL ACCOUNTING POLICY INFORMATION AND BASIS OF PREPARATION</w:t>
      </w:r>
    </w:p>
    <w:p>
      <w:pPr>
        <w:spacing w:after="0" w:line="264"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b w:val="1"/>
          <w:bCs w:val="1"/>
          <w:i w:val="1"/>
          <w:iCs w:val="1"/>
          <w:u w:val="single" w:color="auto"/>
          <w:color w:val="auto"/>
        </w:rPr>
        <w:t>Statement of compliance</w:t>
      </w:r>
    </w:p>
    <w:p>
      <w:pPr>
        <w:spacing w:after="0" w:line="179" w:lineRule="exact"/>
        <w:rPr>
          <w:rFonts w:ascii="Arial" w:cs="Arial" w:eastAsia="Arial" w:hAnsi="Arial"/>
          <w:sz w:val="16"/>
          <w:szCs w:val="16"/>
          <w:b w:val="1"/>
          <w:bCs w:val="1"/>
          <w:color w:val="2D5F91"/>
        </w:rPr>
      </w:pPr>
    </w:p>
    <w:p>
      <w:pPr>
        <w:jc w:val="both"/>
        <w:ind w:left="283" w:right="20"/>
        <w:spacing w:after="0" w:line="273"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for the three and six months ended September 30, 2023 have been prepared in accordance with Internatonal Accountng Standard 34 “Interim Financial Reportng”. Accordingly, certain informaton and footnote disclosure normally included in annual fnancial statements prepared in accordance with Internatonal Financial Reportng Standards (“IFRS”) have been omited or condensed.</w:t>
      </w:r>
    </w:p>
    <w:p>
      <w:pPr>
        <w:spacing w:after="0" w:line="136" w:lineRule="exact"/>
        <w:rPr>
          <w:rFonts w:ascii="Arial" w:cs="Arial" w:eastAsia="Arial" w:hAnsi="Arial"/>
          <w:sz w:val="16"/>
          <w:szCs w:val="16"/>
          <w:b w:val="1"/>
          <w:bCs w:val="1"/>
          <w:color w:val="2D5F91"/>
        </w:rPr>
      </w:pPr>
    </w:p>
    <w:p>
      <w:pPr>
        <w:ind w:left="283"/>
        <w:spacing w:after="0" w:line="325" w:lineRule="auto"/>
        <w:rPr>
          <w:rFonts w:ascii="Arial" w:cs="Arial" w:eastAsia="Arial" w:hAnsi="Arial"/>
          <w:sz w:val="16"/>
          <w:szCs w:val="16"/>
          <w:b w:val="1"/>
          <w:bCs w:val="1"/>
          <w:color w:val="2D5F91"/>
        </w:rPr>
      </w:pPr>
      <w:r>
        <w:rPr>
          <w:rFonts w:ascii="Arial" w:cs="Arial" w:eastAsia="Arial" w:hAnsi="Arial"/>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2023.</w:t>
      </w:r>
    </w:p>
    <w:p>
      <w:pPr>
        <w:spacing w:after="0" w:line="120" w:lineRule="exact"/>
        <w:rPr>
          <w:rFonts w:ascii="Arial" w:cs="Arial" w:eastAsia="Arial" w:hAnsi="Arial"/>
          <w:sz w:val="16"/>
          <w:szCs w:val="16"/>
          <w:b w:val="1"/>
          <w:bCs w:val="1"/>
          <w:color w:val="2D5F91"/>
        </w:rPr>
      </w:pPr>
    </w:p>
    <w:p>
      <w:pPr>
        <w:ind w:left="283" w:right="20"/>
        <w:spacing w:after="0" w:line="309"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should be read in conjuncton with the consolidated fnancial statements for the year ended March 31, 2023.</w:t>
      </w:r>
    </w:p>
    <w:p>
      <w:pPr>
        <w:spacing w:after="0" w:line="193"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b w:val="1"/>
          <w:bCs w:val="1"/>
          <w:i w:val="1"/>
          <w:iCs w:val="1"/>
          <w:u w:val="single" w:color="auto"/>
          <w:color w:val="auto"/>
        </w:rPr>
        <w:t>Basis of measurement</w:t>
      </w:r>
    </w:p>
    <w:p>
      <w:pPr>
        <w:spacing w:after="0" w:line="191" w:lineRule="exact"/>
        <w:rPr>
          <w:rFonts w:ascii="Arial" w:cs="Arial" w:eastAsia="Arial" w:hAnsi="Arial"/>
          <w:sz w:val="16"/>
          <w:szCs w:val="16"/>
          <w:b w:val="1"/>
          <w:bCs w:val="1"/>
          <w:color w:val="2D5F91"/>
        </w:rPr>
      </w:pPr>
    </w:p>
    <w:p>
      <w:pPr>
        <w:ind w:left="283" w:right="20"/>
        <w:spacing w:after="0" w:line="294"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179"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b w:val="1"/>
          <w:bCs w:val="1"/>
          <w:i w:val="1"/>
          <w:iCs w:val="1"/>
          <w:u w:val="single" w:color="auto"/>
          <w:color w:val="auto"/>
        </w:rPr>
        <w:t>Functonal and presentaton currency</w:t>
      </w:r>
    </w:p>
    <w:p>
      <w:pPr>
        <w:spacing w:after="0" w:line="204" w:lineRule="exact"/>
        <w:rPr>
          <w:rFonts w:ascii="Arial" w:cs="Arial" w:eastAsia="Arial" w:hAnsi="Arial"/>
          <w:sz w:val="16"/>
          <w:szCs w:val="16"/>
          <w:b w:val="1"/>
          <w:bCs w:val="1"/>
          <w:color w:val="2D5F91"/>
        </w:rPr>
      </w:pPr>
    </w:p>
    <w:p>
      <w:pPr>
        <w:ind w:left="283" w:right="20"/>
        <w:spacing w:after="0" w:line="294" w:lineRule="auto"/>
        <w:rPr>
          <w:rFonts w:ascii="Arial" w:cs="Arial" w:eastAsia="Arial" w:hAnsi="Arial"/>
          <w:sz w:val="16"/>
          <w:szCs w:val="16"/>
          <w:b w:val="1"/>
          <w:bCs w:val="1"/>
          <w:color w:val="2D5F91"/>
        </w:rPr>
      </w:pPr>
      <w:r>
        <w:rPr>
          <w:rFonts w:ascii="Arial" w:cs="Arial" w:eastAsia="Arial" w:hAnsi="Arial"/>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31" w:lineRule="exact"/>
        <w:rPr>
          <w:rFonts w:ascii="Arial" w:cs="Arial" w:eastAsia="Arial" w:hAnsi="Arial"/>
          <w:sz w:val="16"/>
          <w:szCs w:val="16"/>
          <w:b w:val="1"/>
          <w:bCs w:val="1"/>
          <w:color w:val="2D5F91"/>
        </w:rPr>
      </w:pPr>
    </w:p>
    <w:p>
      <w:pPr>
        <w:ind w:left="283" w:right="20"/>
        <w:spacing w:after="0" w:line="294" w:lineRule="auto"/>
        <w:rPr>
          <w:rFonts w:ascii="Arial" w:cs="Arial" w:eastAsia="Arial" w:hAnsi="Arial"/>
          <w:sz w:val="16"/>
          <w:szCs w:val="16"/>
          <w:b w:val="1"/>
          <w:bCs w:val="1"/>
          <w:color w:val="2D5F91"/>
        </w:rPr>
      </w:pPr>
      <w:r>
        <w:rPr>
          <w:rFonts w:ascii="Arial" w:cs="Arial" w:eastAsia="Arial" w:hAnsi="Arial"/>
          <w:sz w:val="16"/>
          <w:szCs w:val="16"/>
          <w:color w:val="auto"/>
        </w:rPr>
        <w:t>These condensed interim consolidated fnancial statements are presented in Canadian dollars, the Company’s presentaton currency. The Company’s and its subsidiaries functonal currencies are as follows:</w:t>
      </w:r>
    </w:p>
    <w:p>
      <w:pPr>
        <w:spacing w:after="0" w:line="143" w:lineRule="exact"/>
        <w:rPr>
          <w:sz w:val="20"/>
          <w:szCs w:val="20"/>
          <w:color w:val="auto"/>
        </w:rPr>
      </w:pPr>
    </w:p>
    <w:tbl>
      <w:tblPr>
        <w:tblLayout w:type="fixed"/>
        <w:tblInd w:w="283" w:type="dxa"/>
        <w:tblCellMar>
          <w:top w:w="0" w:type="dxa"/>
          <w:left w:w="0" w:type="dxa"/>
          <w:bottom w:w="0" w:type="dxa"/>
          <w:right w:w="0" w:type="dxa"/>
        </w:tblCellMar>
      </w:tblPr>
      <w:tr>
        <w:trPr>
          <w:trHeight w:val="21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Entty</w:t>
            </w:r>
          </w:p>
        </w:tc>
        <w:tc>
          <w:tcPr>
            <w:tcW w:w="368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Currency</w:t>
            </w:r>
          </w:p>
        </w:tc>
        <w:tc>
          <w:tcPr>
            <w:tcW w:w="470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auto"/>
              </w:rPr>
              <w:t>Ownership</w:t>
            </w:r>
          </w:p>
        </w:tc>
      </w:tr>
      <w:tr>
        <w:trPr>
          <w:trHeight w:val="188"/>
        </w:trPr>
        <w:tc>
          <w:tcPr>
            <w:tcW w:w="2160" w:type="dxa"/>
            <w:vAlign w:val="bottom"/>
          </w:tcPr>
          <w:p>
            <w:pPr>
              <w:ind w:left="20"/>
              <w:spacing w:after="0"/>
              <w:rPr>
                <w:sz w:val="20"/>
                <w:szCs w:val="20"/>
                <w:color w:val="auto"/>
              </w:rPr>
            </w:pPr>
            <w:r>
              <w:rPr>
                <w:rFonts w:ascii="Arial" w:cs="Arial" w:eastAsia="Arial" w:hAnsi="Arial"/>
                <w:sz w:val="16"/>
                <w:szCs w:val="16"/>
                <w:color w:val="auto"/>
              </w:rPr>
              <w:t>Cybin Corp.</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Journey</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Serenity</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82"/>
        </w:trPr>
        <w:tc>
          <w:tcPr>
            <w:tcW w:w="2160" w:type="dxa"/>
            <w:vAlign w:val="bottom"/>
          </w:tcPr>
          <w:p>
            <w:pPr>
              <w:ind w:left="20"/>
              <w:spacing w:after="0"/>
              <w:rPr>
                <w:sz w:val="20"/>
                <w:szCs w:val="20"/>
                <w:color w:val="auto"/>
              </w:rPr>
            </w:pPr>
            <w:r>
              <w:rPr>
                <w:rFonts w:ascii="Arial" w:cs="Arial" w:eastAsia="Arial" w:hAnsi="Arial"/>
                <w:sz w:val="16"/>
                <w:szCs w:val="16"/>
                <w:color w:val="auto"/>
              </w:rPr>
              <w:t>Cybin US</w:t>
            </w:r>
            <w:r>
              <w:rPr>
                <w:rFonts w:ascii="Arial" w:cs="Arial" w:eastAsia="Arial" w:hAnsi="Arial"/>
                <w:sz w:val="21"/>
                <w:szCs w:val="21"/>
                <w:color w:val="auto"/>
                <w:vertAlign w:val="superscript"/>
              </w:rPr>
              <w:t>1</w:t>
            </w:r>
          </w:p>
        </w:tc>
        <w:tc>
          <w:tcPr>
            <w:tcW w:w="3680" w:type="dxa"/>
            <w:vAlign w:val="bottom"/>
          </w:tcPr>
          <w:p>
            <w:pPr>
              <w:ind w:left="1360"/>
              <w:spacing w:after="0"/>
              <w:rPr>
                <w:sz w:val="20"/>
                <w:szCs w:val="20"/>
                <w:color w:val="auto"/>
              </w:rPr>
            </w:pPr>
            <w:r>
              <w:rPr>
                <w:rFonts w:ascii="Arial" w:cs="Arial" w:eastAsia="Arial" w:hAnsi="Arial"/>
                <w:sz w:val="16"/>
                <w:szCs w:val="16"/>
                <w:color w:val="auto"/>
              </w:rPr>
              <w:t>Canadian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Adelia</w:t>
            </w:r>
          </w:p>
        </w:tc>
        <w:tc>
          <w:tcPr>
            <w:tcW w:w="3680" w:type="dxa"/>
            <w:vAlign w:val="bottom"/>
          </w:tcPr>
          <w:p>
            <w:pPr>
              <w:ind w:left="1360"/>
              <w:spacing w:after="0"/>
              <w:rPr>
                <w:sz w:val="20"/>
                <w:szCs w:val="20"/>
                <w:color w:val="auto"/>
              </w:rPr>
            </w:pPr>
            <w:r>
              <w:rPr>
                <w:rFonts w:ascii="Arial" w:cs="Arial" w:eastAsia="Arial" w:hAnsi="Arial"/>
                <w:sz w:val="16"/>
                <w:szCs w:val="16"/>
                <w:color w:val="auto"/>
              </w:rPr>
              <w:t>U.S.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r>
        <w:trPr>
          <w:trHeight w:val="206"/>
        </w:trPr>
        <w:tc>
          <w:tcPr>
            <w:tcW w:w="2160" w:type="dxa"/>
            <w:vAlign w:val="bottom"/>
          </w:tcPr>
          <w:p>
            <w:pPr>
              <w:ind w:left="20"/>
              <w:spacing w:after="0"/>
              <w:rPr>
                <w:sz w:val="20"/>
                <w:szCs w:val="20"/>
                <w:color w:val="auto"/>
              </w:rPr>
            </w:pPr>
            <w:r>
              <w:rPr>
                <w:rFonts w:ascii="Arial" w:cs="Arial" w:eastAsia="Arial" w:hAnsi="Arial"/>
                <w:sz w:val="16"/>
                <w:szCs w:val="16"/>
                <w:color w:val="auto"/>
              </w:rPr>
              <w:t>Cybin IRL</w:t>
            </w:r>
          </w:p>
        </w:tc>
        <w:tc>
          <w:tcPr>
            <w:tcW w:w="3680" w:type="dxa"/>
            <w:vAlign w:val="bottom"/>
          </w:tcPr>
          <w:p>
            <w:pPr>
              <w:ind w:left="1360"/>
              <w:spacing w:after="0"/>
              <w:rPr>
                <w:sz w:val="20"/>
                <w:szCs w:val="20"/>
                <w:color w:val="auto"/>
              </w:rPr>
            </w:pPr>
            <w:r>
              <w:rPr>
                <w:rFonts w:ascii="Arial" w:cs="Arial" w:eastAsia="Arial" w:hAnsi="Arial"/>
                <w:sz w:val="16"/>
                <w:szCs w:val="16"/>
                <w:color w:val="auto"/>
              </w:rPr>
              <w:t>U.S. dollars</w:t>
            </w:r>
          </w:p>
        </w:tc>
        <w:tc>
          <w:tcPr>
            <w:tcW w:w="4700" w:type="dxa"/>
            <w:vAlign w:val="bottom"/>
          </w:tcPr>
          <w:p>
            <w:pPr>
              <w:ind w:left="1200"/>
              <w:spacing w:after="0"/>
              <w:rPr>
                <w:sz w:val="20"/>
                <w:szCs w:val="20"/>
                <w:color w:val="auto"/>
              </w:rPr>
            </w:pPr>
            <w:r>
              <w:rPr>
                <w:rFonts w:ascii="Arial" w:cs="Arial" w:eastAsia="Arial" w:hAnsi="Arial"/>
                <w:sz w:val="16"/>
                <w:szCs w:val="16"/>
                <w:color w:val="auto"/>
              </w:rPr>
              <w:t>100%</w:t>
            </w:r>
          </w:p>
        </w:tc>
      </w:tr>
    </w:tbl>
    <w:p>
      <w:pPr>
        <w:spacing w:after="0" w:line="51" w:lineRule="exact"/>
        <w:rPr>
          <w:sz w:val="20"/>
          <w:szCs w:val="20"/>
          <w:color w:val="auto"/>
        </w:rPr>
      </w:pPr>
    </w:p>
    <w:p>
      <w:pPr>
        <w:ind w:left="363" w:hanging="72"/>
        <w:spacing w:after="0"/>
        <w:tabs>
          <w:tab w:leader="none" w:pos="363"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For accountng purposes, Cybin US is a wholly-owned subsidiary of Cybin. Certain former shareholders of Adelia hold Class B Shares (defned below) in Cybin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8 of 25</w:t>
      </w:r>
    </w:p>
    <w:p>
      <w:pPr>
        <w:sectPr>
          <w:pgSz w:w="11900" w:h="16838" w:orient="portrait"/>
          <w:cols w:equalWidth="0" w:num="1">
            <w:col w:w="11263"/>
          </w:cols>
          <w:pgMar w:left="317" w:top="221" w:right="319" w:bottom="1440" w:gutter="0" w:footer="0" w:header="0"/>
        </w:sectPr>
      </w:pPr>
    </w:p>
    <w:bookmarkStart w:id="11" w:name="page12"/>
    <w:bookmarkEnd w:id="11"/>
    <w:p>
      <w:pPr>
        <w:ind w:left="60"/>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0" w:right="40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u w:val="single" w:color="auto"/>
          <w:color w:val="auto"/>
        </w:rPr>
        <w:t>Material accountng policy informaton</w:t>
      </w:r>
    </w:p>
    <w:p>
      <w:pPr>
        <w:spacing w:after="0" w:line="192" w:lineRule="exact"/>
        <w:rPr>
          <w:sz w:val="20"/>
          <w:szCs w:val="20"/>
          <w:color w:val="auto"/>
        </w:rPr>
      </w:pPr>
    </w:p>
    <w:p>
      <w:pPr>
        <w:jc w:val="both"/>
        <w:ind w:left="280"/>
        <w:spacing w:after="0" w:line="325" w:lineRule="auto"/>
        <w:rPr>
          <w:sz w:val="20"/>
          <w:szCs w:val="20"/>
          <w:color w:val="auto"/>
        </w:rPr>
      </w:pPr>
      <w:r>
        <w:rPr>
          <w:rFonts w:ascii="Arial" w:cs="Arial" w:eastAsia="Arial" w:hAnsi="Arial"/>
          <w:sz w:val="16"/>
          <w:szCs w:val="16"/>
          <w:color w:val="auto"/>
        </w:rPr>
        <w:t>These condensed interim consolidated fnancial statements have been prepared using the same accountng policies and methods as those used in the Company’s annual consolidated fnancial statements for the year ended March 31, 2023.</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u w:val="single" w:color="auto"/>
          <w:color w:val="auto"/>
        </w:rPr>
        <w:t>Use of signifcant estmates and assumptons</w:t>
      </w:r>
    </w:p>
    <w:p>
      <w:pPr>
        <w:spacing w:after="0" w:line="204" w:lineRule="exact"/>
        <w:rPr>
          <w:sz w:val="20"/>
          <w:szCs w:val="20"/>
          <w:color w:val="auto"/>
        </w:rPr>
      </w:pPr>
    </w:p>
    <w:p>
      <w:pPr>
        <w:jc w:val="both"/>
        <w:ind w:left="280"/>
        <w:spacing w:after="0" w:line="305" w:lineRule="auto"/>
        <w:rPr>
          <w:sz w:val="20"/>
          <w:szCs w:val="20"/>
          <w:color w:val="auto"/>
        </w:rPr>
      </w:pPr>
      <w:r>
        <w:rPr>
          <w:rFonts w:ascii="Arial" w:cs="Arial" w:eastAsia="Arial" w:hAnsi="Arial"/>
          <w:sz w:val="16"/>
          <w:szCs w:val="16"/>
          <w:color w:val="auto"/>
        </w:rPr>
        <w:t>The preparaton of fnancial statements in accordance with IAS 34 requires the use of certain signifcant estmates and assumptons. It also requires management to exercise judgment when applying the Company’s accountng policies. The critcal accountng estmates and judgments have been set out in note 3 of the Company’s annual consolidated fnancial statements for the year ended March 31, 2023.</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u w:val="single" w:color="auto"/>
          <w:color w:val="auto"/>
        </w:rPr>
        <w:t>New standards and interpretatons not yet adopted.</w:t>
      </w:r>
    </w:p>
    <w:p>
      <w:pPr>
        <w:spacing w:after="0" w:line="192" w:lineRule="exact"/>
        <w:rPr>
          <w:sz w:val="20"/>
          <w:szCs w:val="20"/>
          <w:color w:val="auto"/>
        </w:rPr>
      </w:pPr>
    </w:p>
    <w:p>
      <w:pPr>
        <w:jc w:val="both"/>
        <w:ind w:left="280" w:right="20"/>
        <w:spacing w:after="0" w:line="281" w:lineRule="auto"/>
        <w:rPr>
          <w:sz w:val="20"/>
          <w:szCs w:val="20"/>
          <w:color w:val="auto"/>
        </w:rPr>
      </w:pPr>
      <w:r>
        <w:rPr>
          <w:rFonts w:ascii="Arial" w:cs="Arial" w:eastAsia="Arial" w:hAnsi="Arial"/>
          <w:sz w:val="16"/>
          <w:szCs w:val="16"/>
          <w:color w:val="auto"/>
        </w:rPr>
        <w:t>A number of new standards, amendments to standards and interpretatons are not yet efectve as at September 30, 2023,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gridSpan w:val="2"/>
          </w:tcPr>
          <w:p>
            <w:pPr>
              <w:spacing w:after="0"/>
              <w:rPr>
                <w:sz w:val="20"/>
                <w:szCs w:val="20"/>
                <w:color w:val="auto"/>
              </w:rPr>
            </w:pPr>
            <w:r>
              <w:rPr>
                <w:rFonts w:ascii="Arial" w:cs="Arial" w:eastAsia="Arial" w:hAnsi="Arial"/>
                <w:sz w:val="16"/>
                <w:szCs w:val="16"/>
                <w:b w:val="1"/>
                <w:bCs w:val="1"/>
                <w:color w:val="2D5F91"/>
              </w:rPr>
              <w:t>3.  EQUIPMENT</w:t>
            </w:r>
          </w:p>
        </w:tc>
        <w:tc>
          <w:tcPr>
            <w:tcW w:w="2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86"/>
        </w:trPr>
        <w:tc>
          <w:tcPr>
            <w:tcW w:w="4360" w:type="dxa"/>
            <w:vAlign w:val="bottom"/>
            <w:gridSpan w:val="2"/>
          </w:tcPr>
          <w:p>
            <w:pPr>
              <w:ind w:left="280"/>
              <w:spacing w:after="0"/>
              <w:rPr>
                <w:sz w:val="20"/>
                <w:szCs w:val="20"/>
                <w:color w:val="auto"/>
              </w:rPr>
            </w:pPr>
            <w:r>
              <w:rPr>
                <w:rFonts w:ascii="Arial" w:cs="Arial" w:eastAsia="Arial" w:hAnsi="Arial"/>
                <w:sz w:val="16"/>
                <w:szCs w:val="16"/>
                <w:color w:val="auto"/>
              </w:rPr>
              <w:t>Equipment consists as follows:</w:t>
            </w: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7"/>
        </w:trPr>
        <w:tc>
          <w:tcPr>
            <w:tcW w:w="2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Cost</w:t>
            </w: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Lab Equipment</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Computer Equipment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43"/>
        </w:trPr>
        <w:tc>
          <w:tcPr>
            <w:tcW w:w="2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79"/>
        </w:trPr>
        <w:tc>
          <w:tcPr>
            <w:tcW w:w="2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664</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239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903</w:t>
            </w:r>
          </w:p>
        </w:tc>
      </w:tr>
      <w:tr>
        <w:trPr>
          <w:trHeight w:val="277"/>
        </w:trPr>
        <w:tc>
          <w:tcPr>
            <w:tcW w:w="2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6"/>
                <w:szCs w:val="16"/>
                <w:color w:val="auto"/>
              </w:rPr>
              <w:t>Efect of foreign exchange</w:t>
            </w:r>
          </w:p>
        </w:tc>
        <w:tc>
          <w:tcPr>
            <w:tcW w:w="278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26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57"/>
        </w:trPr>
        <w:tc>
          <w:tcPr>
            <w:tcW w:w="28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4"/>
        </w:trPr>
        <w:tc>
          <w:tcPr>
            <w:tcW w:w="28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Balance as at September 30, 2023</w:t>
            </w: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663</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239</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902</w:t>
            </w:r>
          </w:p>
        </w:tc>
      </w:tr>
      <w:tr>
        <w:trPr>
          <w:trHeight w:val="55"/>
        </w:trPr>
        <w:tc>
          <w:tcPr>
            <w:tcW w:w="28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398"/>
        </w:trPr>
        <w:tc>
          <w:tcPr>
            <w:tcW w:w="2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Accumulated Depreciaton</w:t>
            </w: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290</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163</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453</w:t>
            </w:r>
          </w:p>
        </w:tc>
      </w:tr>
      <w:tr>
        <w:trPr>
          <w:trHeight w:val="277"/>
        </w:trPr>
        <w:tc>
          <w:tcPr>
            <w:tcW w:w="2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Arial" w:cs="Arial" w:eastAsia="Arial" w:hAnsi="Arial"/>
                <w:sz w:val="16"/>
                <w:szCs w:val="16"/>
                <w:color w:val="auto"/>
              </w:rPr>
              <w:t>Depreciaton charge</w:t>
            </w:r>
          </w:p>
        </w:tc>
        <w:tc>
          <w:tcPr>
            <w:tcW w:w="2780" w:type="dxa"/>
            <w:vAlign w:val="bottom"/>
          </w:tcPr>
          <w:p>
            <w:pPr>
              <w:jc w:val="right"/>
              <w:ind w:right="379"/>
              <w:spacing w:after="0"/>
              <w:rPr>
                <w:sz w:val="20"/>
                <w:szCs w:val="20"/>
                <w:color w:val="auto"/>
              </w:rPr>
            </w:pPr>
            <w:r>
              <w:rPr>
                <w:rFonts w:ascii="Arial" w:cs="Arial" w:eastAsia="Arial" w:hAnsi="Arial"/>
                <w:sz w:val="16"/>
                <w:szCs w:val="16"/>
                <w:color w:val="auto"/>
              </w:rPr>
              <w:t>69</w:t>
            </w:r>
          </w:p>
        </w:tc>
        <w:tc>
          <w:tcPr>
            <w:tcW w:w="2640" w:type="dxa"/>
            <w:vAlign w:val="bottom"/>
          </w:tcPr>
          <w:p>
            <w:pPr>
              <w:jc w:val="right"/>
              <w:ind w:right="659"/>
              <w:spacing w:after="0"/>
              <w:rPr>
                <w:sz w:val="20"/>
                <w:szCs w:val="20"/>
                <w:color w:val="auto"/>
              </w:rPr>
            </w:pPr>
            <w:r>
              <w:rPr>
                <w:rFonts w:ascii="Arial" w:cs="Arial" w:eastAsia="Arial" w:hAnsi="Arial"/>
                <w:sz w:val="16"/>
                <w:szCs w:val="16"/>
                <w:color w:val="auto"/>
              </w:rPr>
              <w:t>40</w:t>
            </w: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57"/>
        </w:trPr>
        <w:tc>
          <w:tcPr>
            <w:tcW w:w="28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4"/>
        </w:trPr>
        <w:tc>
          <w:tcPr>
            <w:tcW w:w="28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Balance as at September 30, 2023</w:t>
            </w: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359</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203</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562</w:t>
            </w:r>
          </w:p>
        </w:tc>
      </w:tr>
      <w:tr>
        <w:trPr>
          <w:trHeight w:val="55"/>
        </w:trPr>
        <w:tc>
          <w:tcPr>
            <w:tcW w:w="28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10"/>
        </w:trPr>
        <w:tc>
          <w:tcPr>
            <w:tcW w:w="280" w:type="dxa"/>
            <w:vAlign w:val="bottom"/>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4"/>
        </w:trPr>
        <w:tc>
          <w:tcPr>
            <w:tcW w:w="28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Net book value as at March 31, 2023</w:t>
            </w: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374</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76</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450</w:t>
            </w:r>
          </w:p>
        </w:tc>
      </w:tr>
      <w:tr>
        <w:trPr>
          <w:trHeight w:val="55"/>
        </w:trPr>
        <w:tc>
          <w:tcPr>
            <w:tcW w:w="28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4"/>
        </w:trPr>
        <w:tc>
          <w:tcPr>
            <w:tcW w:w="280" w:type="dxa"/>
            <w:vAlign w:val="bottom"/>
          </w:tcPr>
          <w:p>
            <w:pPr>
              <w:spacing w:after="0"/>
              <w:rPr>
                <w:sz w:val="17"/>
                <w:szCs w:val="17"/>
                <w:color w:val="auto"/>
              </w:rPr>
            </w:pPr>
          </w:p>
        </w:tc>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Net book value as at September 30, 2023</w:t>
            </w:r>
          </w:p>
        </w:tc>
        <w:tc>
          <w:tcPr>
            <w:tcW w:w="2780" w:type="dxa"/>
            <w:vAlign w:val="bottom"/>
          </w:tcPr>
          <w:p>
            <w:pPr>
              <w:jc w:val="right"/>
              <w:ind w:right="379"/>
              <w:spacing w:after="0"/>
              <w:rPr>
                <w:sz w:val="20"/>
                <w:szCs w:val="20"/>
                <w:color w:val="auto"/>
              </w:rPr>
            </w:pPr>
            <w:r>
              <w:rPr>
                <w:rFonts w:ascii="Arial" w:cs="Arial" w:eastAsia="Arial" w:hAnsi="Arial"/>
                <w:sz w:val="16"/>
                <w:szCs w:val="16"/>
                <w:b w:val="1"/>
                <w:bCs w:val="1"/>
                <w:color w:val="auto"/>
              </w:rPr>
              <w:t>304</w:t>
            </w:r>
          </w:p>
        </w:tc>
        <w:tc>
          <w:tcPr>
            <w:tcW w:w="2640" w:type="dxa"/>
            <w:vAlign w:val="bottom"/>
          </w:tcPr>
          <w:p>
            <w:pPr>
              <w:jc w:val="right"/>
              <w:ind w:right="659"/>
              <w:spacing w:after="0"/>
              <w:rPr>
                <w:sz w:val="20"/>
                <w:szCs w:val="20"/>
                <w:color w:val="auto"/>
              </w:rPr>
            </w:pPr>
            <w:r>
              <w:rPr>
                <w:rFonts w:ascii="Arial" w:cs="Arial" w:eastAsia="Arial" w:hAnsi="Arial"/>
                <w:sz w:val="16"/>
                <w:szCs w:val="16"/>
                <w:b w:val="1"/>
                <w:bCs w:val="1"/>
                <w:color w:val="auto"/>
              </w:rPr>
              <w:t>36</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340</w:t>
            </w:r>
          </w:p>
        </w:tc>
      </w:tr>
      <w:tr>
        <w:trPr>
          <w:trHeight w:val="55"/>
        </w:trPr>
        <w:tc>
          <w:tcPr>
            <w:tcW w:w="28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Page 9 of 25</w:t>
      </w:r>
    </w:p>
    <w:p>
      <w:pPr>
        <w:sectPr>
          <w:pgSz w:w="11900" w:h="16838" w:orient="portrait"/>
          <w:cols w:equalWidth="0" w:num="1">
            <w:col w:w="11260"/>
          </w:cols>
          <w:pgMar w:left="320" w:top="221" w:right="319" w:bottom="1440" w:gutter="0" w:footer="0" w:header="0"/>
        </w:sectPr>
      </w:pPr>
    </w:p>
    <w:bookmarkStart w:id="12" w:name="page13"/>
    <w:bookmarkEnd w:id="12"/>
    <w:p>
      <w:pPr>
        <w:ind w:left="63"/>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3" w:right="96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6916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3" w:type="dxa"/>
        <w:tblCellMar>
          <w:top w:w="0" w:type="dxa"/>
          <w:left w:w="0" w:type="dxa"/>
          <w:bottom w:w="0" w:type="dxa"/>
          <w:right w:w="0" w:type="dxa"/>
        </w:tblCellMar>
      </w:tblPr>
      <w:tr>
        <w:trPr>
          <w:trHeight w:val="205"/>
        </w:trPr>
        <w:tc>
          <w:tcPr>
            <w:tcW w:w="140" w:type="dxa"/>
            <w:vAlign w:val="bottom"/>
          </w:tcPr>
          <w:p>
            <w:pPr>
              <w:jc w:val="right"/>
              <w:spacing w:after="0"/>
              <w:rPr>
                <w:sz w:val="20"/>
                <w:szCs w:val="20"/>
                <w:color w:val="auto"/>
              </w:rPr>
            </w:pPr>
            <w:r>
              <w:rPr>
                <w:rFonts w:ascii="Arial" w:cs="Arial" w:eastAsia="Arial" w:hAnsi="Arial"/>
                <w:sz w:val="16"/>
                <w:szCs w:val="16"/>
                <w:b w:val="1"/>
                <w:bCs w:val="1"/>
                <w:color w:val="2D5F91"/>
                <w:w w:val="74"/>
              </w:rPr>
              <w:t>4.</w:t>
            </w:r>
          </w:p>
        </w:tc>
        <w:tc>
          <w:tcPr>
            <w:tcW w:w="3700" w:type="dxa"/>
            <w:vAlign w:val="bottom"/>
            <w:gridSpan w:val="2"/>
          </w:tcPr>
          <w:p>
            <w:pPr>
              <w:ind w:left="120"/>
              <w:spacing w:after="0"/>
              <w:rPr>
                <w:sz w:val="20"/>
                <w:szCs w:val="20"/>
                <w:color w:val="auto"/>
              </w:rPr>
            </w:pPr>
            <w:r>
              <w:rPr>
                <w:rFonts w:ascii="Arial" w:cs="Arial" w:eastAsia="Arial" w:hAnsi="Arial"/>
                <w:sz w:val="16"/>
                <w:szCs w:val="16"/>
                <w:b w:val="1"/>
                <w:bCs w:val="1"/>
                <w:color w:val="2D5F91"/>
              </w:rPr>
              <w:t>INTANGIBLE ASSETS</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9"/>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IP Research &amp;</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Arial" w:cs="Arial" w:eastAsia="Arial" w:hAnsi="Arial"/>
                <w:sz w:val="16"/>
                <w:szCs w:val="16"/>
                <w:b w:val="1"/>
                <w:bCs w:val="1"/>
                <w:color w:val="auto"/>
              </w:rPr>
              <w:t>Cost</w:t>
            </w: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Development</w:t>
            </w: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Patents</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Licenses</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Sofware</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9"/>
                <w:szCs w:val="19"/>
                <w:color w:val="auto"/>
              </w:rPr>
            </w:pPr>
          </w:p>
        </w:tc>
      </w:tr>
      <w:tr>
        <w:trPr>
          <w:trHeight w:val="255"/>
        </w:trPr>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2"/>
                <w:szCs w:val="22"/>
                <w:color w:val="auto"/>
              </w:rPr>
            </w:pPr>
          </w:p>
        </w:tc>
      </w:tr>
      <w:tr>
        <w:trPr>
          <w:trHeight w:val="43"/>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3,076</w:t>
            </w: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978</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1,379</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74</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5,507</w:t>
            </w:r>
          </w:p>
        </w:tc>
        <w:tc>
          <w:tcPr>
            <w:tcW w:w="40" w:type="dxa"/>
            <w:vAlign w:val="bottom"/>
          </w:tcPr>
          <w:p>
            <w:pPr>
              <w:spacing w:after="0"/>
              <w:rPr>
                <w:sz w:val="18"/>
                <w:szCs w:val="18"/>
                <w:color w:val="auto"/>
              </w:rPr>
            </w:pPr>
          </w:p>
        </w:tc>
      </w:tr>
      <w:tr>
        <w:trPr>
          <w:trHeight w:val="277"/>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ind w:left="60"/>
              <w:spacing w:after="0"/>
              <w:rPr>
                <w:sz w:val="20"/>
                <w:szCs w:val="20"/>
                <w:color w:val="auto"/>
              </w:rPr>
            </w:pPr>
            <w:r>
              <w:rPr>
                <w:rFonts w:ascii="Arial" w:cs="Arial" w:eastAsia="Arial" w:hAnsi="Arial"/>
                <w:sz w:val="16"/>
                <w:szCs w:val="16"/>
                <w:color w:val="auto"/>
              </w:rPr>
              <w:t>Additons</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323</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323</w:t>
            </w:r>
          </w:p>
        </w:tc>
        <w:tc>
          <w:tcPr>
            <w:tcW w:w="40" w:type="dxa"/>
            <w:vAlign w:val="bottom"/>
          </w:tcPr>
          <w:p>
            <w:pPr>
              <w:spacing w:after="0"/>
              <w:rPr>
                <w:sz w:val="24"/>
                <w:szCs w:val="24"/>
                <w:color w:val="auto"/>
              </w:rPr>
            </w:pPr>
          </w:p>
        </w:tc>
      </w:tr>
      <w:tr>
        <w:trPr>
          <w:trHeight w:val="279"/>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ind w:left="60"/>
              <w:spacing w:after="0"/>
              <w:rPr>
                <w:sz w:val="20"/>
                <w:szCs w:val="20"/>
                <w:color w:val="auto"/>
              </w:rPr>
            </w:pPr>
            <w:r>
              <w:rPr>
                <w:rFonts w:ascii="Arial" w:cs="Arial" w:eastAsia="Arial" w:hAnsi="Arial"/>
                <w:sz w:val="16"/>
                <w:szCs w:val="16"/>
                <w:color w:val="auto"/>
              </w:rPr>
              <w:t>Efect of foreign exchange</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18</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4"/>
                <w:szCs w:val="24"/>
                <w:color w:val="auto"/>
              </w:rPr>
            </w:pPr>
          </w:p>
        </w:tc>
      </w:tr>
      <w:tr>
        <w:trPr>
          <w:trHeight w:val="45"/>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Balance as at September 30, 2023</w:t>
            </w: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3,094</w:t>
            </w: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1,301</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1,379</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74</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5,848</w:t>
            </w:r>
          </w:p>
        </w:tc>
        <w:tc>
          <w:tcPr>
            <w:tcW w:w="40" w:type="dxa"/>
            <w:vAlign w:val="bottom"/>
          </w:tcPr>
          <w:p>
            <w:pPr>
              <w:spacing w:after="0"/>
              <w:rPr>
                <w:sz w:val="18"/>
                <w:szCs w:val="18"/>
                <w:color w:val="auto"/>
              </w:rPr>
            </w:pPr>
          </w:p>
        </w:tc>
      </w:tr>
      <w:tr>
        <w:trPr>
          <w:trHeight w:val="43"/>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409"/>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Accumulated Amortzaton</w:t>
            </w:r>
          </w:p>
        </w:tc>
        <w:tc>
          <w:tcPr>
            <w:tcW w:w="2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19</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18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40" w:type="dxa"/>
            <w:vAlign w:val="bottom"/>
          </w:tcPr>
          <w:p>
            <w:pPr>
              <w:spacing w:after="0"/>
              <w:rPr>
                <w:sz w:val="19"/>
                <w:szCs w:val="19"/>
                <w:color w:val="auto"/>
              </w:rPr>
            </w:pPr>
          </w:p>
        </w:tc>
      </w:tr>
      <w:tr>
        <w:trPr>
          <w:trHeight w:val="277"/>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tcPr>
          <w:p>
            <w:pPr>
              <w:ind w:left="20"/>
              <w:spacing w:after="0"/>
              <w:rPr>
                <w:sz w:val="20"/>
                <w:szCs w:val="20"/>
                <w:color w:val="auto"/>
              </w:rPr>
            </w:pPr>
            <w:r>
              <w:rPr>
                <w:rFonts w:ascii="Arial" w:cs="Arial" w:eastAsia="Arial" w:hAnsi="Arial"/>
                <w:sz w:val="16"/>
                <w:szCs w:val="16"/>
                <w:color w:val="auto"/>
              </w:rPr>
              <w:t>Amortzaton charge</w:t>
            </w:r>
          </w:p>
        </w:tc>
        <w:tc>
          <w:tcPr>
            <w:tcW w:w="2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18</w:t>
            </w: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13</w:t>
            </w: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4"/>
                <w:szCs w:val="24"/>
                <w:color w:val="auto"/>
              </w:rPr>
            </w:pPr>
          </w:p>
        </w:tc>
      </w:tr>
      <w:tr>
        <w:trPr>
          <w:trHeight w:val="45"/>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Balance as at September 30, 2023</w:t>
            </w: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37</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30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40" w:type="dxa"/>
            <w:vAlign w:val="bottom"/>
          </w:tcPr>
          <w:p>
            <w:pPr>
              <w:spacing w:after="0"/>
              <w:rPr>
                <w:sz w:val="18"/>
                <w:szCs w:val="18"/>
                <w:color w:val="auto"/>
              </w:rPr>
            </w:pPr>
          </w:p>
        </w:tc>
      </w:tr>
      <w:tr>
        <w:trPr>
          <w:trHeight w:val="43"/>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0"/>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Net book value as at March 31, 2023</w:t>
            </w: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3,076</w:t>
            </w: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978</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1,360</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56</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5,470</w:t>
            </w:r>
          </w:p>
        </w:tc>
        <w:tc>
          <w:tcPr>
            <w:tcW w:w="40" w:type="dxa"/>
            <w:vAlign w:val="bottom"/>
          </w:tcPr>
          <w:p>
            <w:pPr>
              <w:spacing w:after="0"/>
              <w:rPr>
                <w:sz w:val="18"/>
                <w:szCs w:val="18"/>
                <w:color w:val="auto"/>
              </w:rPr>
            </w:pPr>
          </w:p>
        </w:tc>
      </w:tr>
      <w:tr>
        <w:trPr>
          <w:trHeight w:val="43"/>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6"/>
                <w:szCs w:val="16"/>
                <w:b w:val="1"/>
                <w:bCs w:val="1"/>
                <w:color w:val="auto"/>
              </w:rPr>
              <w:t>Net book value as at September 30, 2023</w:t>
            </w:r>
          </w:p>
        </w:tc>
        <w:tc>
          <w:tcPr>
            <w:tcW w:w="2020" w:type="dxa"/>
            <w:vAlign w:val="bottom"/>
          </w:tcPr>
          <w:p>
            <w:pPr>
              <w:jc w:val="right"/>
              <w:ind w:right="239"/>
              <w:spacing w:after="0"/>
              <w:rPr>
                <w:sz w:val="20"/>
                <w:szCs w:val="20"/>
                <w:color w:val="auto"/>
              </w:rPr>
            </w:pPr>
            <w:r>
              <w:rPr>
                <w:rFonts w:ascii="Arial" w:cs="Arial" w:eastAsia="Arial" w:hAnsi="Arial"/>
                <w:sz w:val="16"/>
                <w:szCs w:val="16"/>
                <w:b w:val="1"/>
                <w:bCs w:val="1"/>
                <w:color w:val="auto"/>
              </w:rPr>
              <w:t>3,094</w:t>
            </w: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1,301</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1,342</w:t>
            </w: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44</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5,780</w:t>
            </w:r>
          </w:p>
        </w:tc>
        <w:tc>
          <w:tcPr>
            <w:tcW w:w="40" w:type="dxa"/>
            <w:vAlign w:val="bottom"/>
          </w:tcPr>
          <w:p>
            <w:pPr>
              <w:spacing w:after="0"/>
              <w:rPr>
                <w:sz w:val="18"/>
                <w:szCs w:val="18"/>
                <w:color w:val="auto"/>
              </w:rPr>
            </w:pPr>
          </w:p>
        </w:tc>
      </w:tr>
      <w:tr>
        <w:trPr>
          <w:trHeight w:val="43"/>
        </w:trPr>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422"/>
        </w:trPr>
        <w:tc>
          <w:tcPr>
            <w:tcW w:w="140" w:type="dxa"/>
            <w:vAlign w:val="bottom"/>
          </w:tcPr>
          <w:p>
            <w:pPr>
              <w:jc w:val="right"/>
              <w:spacing w:after="0"/>
              <w:rPr>
                <w:sz w:val="20"/>
                <w:szCs w:val="20"/>
                <w:color w:val="auto"/>
              </w:rPr>
            </w:pPr>
            <w:r>
              <w:rPr>
                <w:rFonts w:ascii="Arial" w:cs="Arial" w:eastAsia="Arial" w:hAnsi="Arial"/>
                <w:sz w:val="16"/>
                <w:szCs w:val="16"/>
                <w:b w:val="1"/>
                <w:bCs w:val="1"/>
                <w:color w:val="2D5F91"/>
                <w:w w:val="74"/>
              </w:rPr>
              <w:t>5.</w:t>
            </w:r>
          </w:p>
        </w:tc>
        <w:tc>
          <w:tcPr>
            <w:tcW w:w="3700" w:type="dxa"/>
            <w:vAlign w:val="bottom"/>
            <w:gridSpan w:val="2"/>
          </w:tcPr>
          <w:p>
            <w:pPr>
              <w:ind w:left="120"/>
              <w:spacing w:after="0"/>
              <w:rPr>
                <w:sz w:val="20"/>
                <w:szCs w:val="20"/>
                <w:color w:val="auto"/>
              </w:rPr>
            </w:pPr>
            <w:r>
              <w:rPr>
                <w:rFonts w:ascii="Arial" w:cs="Arial" w:eastAsia="Arial" w:hAnsi="Arial"/>
                <w:sz w:val="16"/>
                <w:szCs w:val="16"/>
                <w:b w:val="1"/>
                <w:bCs w:val="1"/>
                <w:color w:val="2D5F91"/>
              </w:rPr>
              <w:t>GOODWILL</w:t>
            </w: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6"/>
        </w:trPr>
        <w:tc>
          <w:tcPr>
            <w:tcW w:w="140" w:type="dxa"/>
            <w:vAlign w:val="bottom"/>
          </w:tcPr>
          <w:p>
            <w:pPr>
              <w:spacing w:after="0"/>
              <w:rPr>
                <w:sz w:val="24"/>
                <w:szCs w:val="24"/>
                <w:color w:val="auto"/>
              </w:rPr>
            </w:pPr>
          </w:p>
        </w:tc>
        <w:tc>
          <w:tcPr>
            <w:tcW w:w="7980" w:type="dxa"/>
            <w:vAlign w:val="bottom"/>
            <w:gridSpan w:val="5"/>
          </w:tcPr>
          <w:p>
            <w:pPr>
              <w:ind w:left="140"/>
              <w:spacing w:after="0"/>
              <w:rPr>
                <w:sz w:val="20"/>
                <w:szCs w:val="20"/>
                <w:color w:val="auto"/>
              </w:rPr>
            </w:pPr>
            <w:r>
              <w:rPr>
                <w:rFonts w:ascii="Arial" w:cs="Arial" w:eastAsia="Arial" w:hAnsi="Arial"/>
                <w:sz w:val="16"/>
                <w:szCs w:val="16"/>
                <w:color w:val="auto"/>
                <w:w w:val="97"/>
              </w:rPr>
              <w:t>Goodwill is recognized at the acquisiton date when total consideraton exceeds the net identfable assets acquired.</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3"/>
        </w:trPr>
        <w:tc>
          <w:tcPr>
            <w:tcW w:w="140" w:type="dxa"/>
            <w:vAlign w:val="bottom"/>
          </w:tcPr>
          <w:p>
            <w:pPr>
              <w:spacing w:after="0"/>
              <w:rPr>
                <w:sz w:val="24"/>
                <w:szCs w:val="24"/>
                <w:color w:val="auto"/>
              </w:rPr>
            </w:pPr>
          </w:p>
        </w:tc>
        <w:tc>
          <w:tcPr>
            <w:tcW w:w="3700" w:type="dxa"/>
            <w:vAlign w:val="bottom"/>
            <w:gridSpan w:val="2"/>
          </w:tcPr>
          <w:p>
            <w:pPr>
              <w:ind w:left="60"/>
              <w:spacing w:after="0"/>
              <w:rPr>
                <w:sz w:val="20"/>
                <w:szCs w:val="20"/>
                <w:color w:val="auto"/>
              </w:rPr>
            </w:pPr>
            <w:r>
              <w:rPr>
                <w:rFonts w:ascii="Arial" w:cs="Arial" w:eastAsia="Arial" w:hAnsi="Arial"/>
                <w:sz w:val="16"/>
                <w:szCs w:val="16"/>
                <w:b w:val="1"/>
                <w:bCs w:val="1"/>
                <w:color w:val="auto"/>
              </w:rPr>
              <w:t>Cost</w:t>
            </w: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24"/>
                <w:szCs w:val="24"/>
                <w:color w:val="auto"/>
              </w:rPr>
            </w:pPr>
          </w:p>
        </w:tc>
      </w:tr>
      <w:tr>
        <w:trPr>
          <w:trHeight w:val="55"/>
        </w:trPr>
        <w:tc>
          <w:tcPr>
            <w:tcW w:w="140" w:type="dxa"/>
            <w:vAlign w:val="bottom"/>
          </w:tcPr>
          <w:p>
            <w:pPr>
              <w:spacing w:after="0"/>
              <w:rPr>
                <w:sz w:val="4"/>
                <w:szCs w:val="4"/>
                <w:color w:val="auto"/>
              </w:rPr>
            </w:pPr>
          </w:p>
        </w:tc>
        <w:tc>
          <w:tcPr>
            <w:tcW w:w="3700" w:type="dxa"/>
            <w:vAlign w:val="bottom"/>
            <w:tcBorders>
              <w:bottom w:val="single" w:sz="8" w:color="auto"/>
            </w:tcBorders>
            <w:gridSpan w:val="2"/>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at March 31, 2023</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24,792</w:t>
            </w:r>
          </w:p>
        </w:tc>
        <w:tc>
          <w:tcPr>
            <w:tcW w:w="40" w:type="dxa"/>
            <w:vAlign w:val="bottom"/>
          </w:tcPr>
          <w:p>
            <w:pPr>
              <w:spacing w:after="0"/>
              <w:rPr>
                <w:sz w:val="17"/>
                <w:szCs w:val="17"/>
                <w:color w:val="auto"/>
              </w:rPr>
            </w:pPr>
          </w:p>
        </w:tc>
      </w:tr>
      <w:tr>
        <w:trPr>
          <w:trHeight w:val="279"/>
        </w:trPr>
        <w:tc>
          <w:tcPr>
            <w:tcW w:w="140" w:type="dxa"/>
            <w:vAlign w:val="bottom"/>
          </w:tcPr>
          <w:p>
            <w:pPr>
              <w:spacing w:after="0"/>
              <w:rPr>
                <w:sz w:val="24"/>
                <w:szCs w:val="24"/>
                <w:color w:val="auto"/>
              </w:rPr>
            </w:pPr>
          </w:p>
        </w:tc>
        <w:tc>
          <w:tcPr>
            <w:tcW w:w="3700" w:type="dxa"/>
            <w:vAlign w:val="bottom"/>
            <w:gridSpan w:val="2"/>
          </w:tcPr>
          <w:p>
            <w:pPr>
              <w:ind w:left="100"/>
              <w:spacing w:after="0"/>
              <w:rPr>
                <w:sz w:val="20"/>
                <w:szCs w:val="20"/>
                <w:color w:val="auto"/>
              </w:rPr>
            </w:pPr>
            <w:r>
              <w:rPr>
                <w:rFonts w:ascii="Arial" w:cs="Arial" w:eastAsia="Arial" w:hAnsi="Arial"/>
                <w:sz w:val="16"/>
                <w:szCs w:val="16"/>
                <w:color w:val="auto"/>
              </w:rPr>
              <w:t>Efect of foreign exchange</w:t>
            </w: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c>
          <w:tcPr>
            <w:tcW w:w="40" w:type="dxa"/>
            <w:vAlign w:val="bottom"/>
          </w:tcPr>
          <w:p>
            <w:pPr>
              <w:spacing w:after="0"/>
              <w:rPr>
                <w:sz w:val="24"/>
                <w:szCs w:val="24"/>
                <w:color w:val="auto"/>
              </w:rPr>
            </w:pPr>
          </w:p>
        </w:tc>
      </w:tr>
      <w:tr>
        <w:trPr>
          <w:trHeight w:val="57"/>
        </w:trPr>
        <w:tc>
          <w:tcPr>
            <w:tcW w:w="140" w:type="dxa"/>
            <w:vAlign w:val="bottom"/>
          </w:tcPr>
          <w:p>
            <w:pPr>
              <w:spacing w:after="0"/>
              <w:rPr>
                <w:sz w:val="4"/>
                <w:szCs w:val="4"/>
                <w:color w:val="auto"/>
              </w:rPr>
            </w:pPr>
          </w:p>
        </w:tc>
        <w:tc>
          <w:tcPr>
            <w:tcW w:w="3700" w:type="dxa"/>
            <w:vAlign w:val="bottom"/>
            <w:tcBorders>
              <w:bottom w:val="single" w:sz="8" w:color="auto"/>
            </w:tcBorders>
            <w:gridSpan w:val="2"/>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04"/>
        </w:trPr>
        <w:tc>
          <w:tcPr>
            <w:tcW w:w="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at September 30, 2023</w:t>
            </w:r>
          </w:p>
        </w:tc>
        <w:tc>
          <w:tcPr>
            <w:tcW w:w="2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24,768</w:t>
            </w:r>
          </w:p>
        </w:tc>
        <w:tc>
          <w:tcPr>
            <w:tcW w:w="40" w:type="dxa"/>
            <w:vAlign w:val="bottom"/>
          </w:tcPr>
          <w:p>
            <w:pPr>
              <w:spacing w:after="0"/>
              <w:rPr>
                <w:sz w:val="17"/>
                <w:szCs w:val="17"/>
                <w:color w:val="auto"/>
              </w:rPr>
            </w:pPr>
          </w:p>
        </w:tc>
      </w:tr>
      <w:tr>
        <w:trPr>
          <w:trHeight w:val="55"/>
        </w:trPr>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bl>
    <w:p>
      <w:pPr>
        <w:spacing w:after="0" w:line="225" w:lineRule="exact"/>
        <w:rPr>
          <w:sz w:val="20"/>
          <w:szCs w:val="20"/>
          <w:color w:val="auto"/>
        </w:rPr>
      </w:pPr>
    </w:p>
    <w:p>
      <w:pPr>
        <w:ind w:left="263" w:hanging="263"/>
        <w:spacing w:after="0"/>
        <w:tabs>
          <w:tab w:leader="none" w:pos="263" w:val="left"/>
        </w:tabs>
        <w:numPr>
          <w:ilvl w:val="0"/>
          <w:numId w:val="4"/>
        </w:numPr>
        <w:rPr>
          <w:rFonts w:ascii="Arial" w:cs="Arial" w:eastAsia="Arial" w:hAnsi="Arial"/>
          <w:sz w:val="16"/>
          <w:szCs w:val="16"/>
          <w:b w:val="1"/>
          <w:bCs w:val="1"/>
          <w:color w:val="2D5F91"/>
        </w:rPr>
      </w:pPr>
      <w:r>
        <w:rPr>
          <w:rFonts w:ascii="Arial" w:cs="Arial" w:eastAsia="Arial" w:hAnsi="Arial"/>
          <w:sz w:val="16"/>
          <w:szCs w:val="16"/>
          <w:b w:val="1"/>
          <w:bCs w:val="1"/>
          <w:color w:val="2D5F91"/>
        </w:rPr>
        <w:t>SHARE CAPITAL</w:t>
      </w:r>
    </w:p>
    <w:p>
      <w:pPr>
        <w:spacing w:after="0" w:line="191" w:lineRule="exact"/>
        <w:rPr>
          <w:rFonts w:ascii="Arial" w:cs="Arial" w:eastAsia="Arial" w:hAnsi="Arial"/>
          <w:sz w:val="16"/>
          <w:szCs w:val="16"/>
          <w:b w:val="1"/>
          <w:bCs w:val="1"/>
          <w:color w:val="2D5F91"/>
        </w:rPr>
      </w:pPr>
    </w:p>
    <w:p>
      <w:pPr>
        <w:ind w:left="583" w:hanging="292"/>
        <w:spacing w:after="0"/>
        <w:tabs>
          <w:tab w:leader="none" w:pos="583"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Authorized share capital</w:t>
      </w:r>
    </w:p>
    <w:p>
      <w:pPr>
        <w:spacing w:after="0" w:line="204" w:lineRule="exact"/>
        <w:rPr>
          <w:sz w:val="20"/>
          <w:szCs w:val="20"/>
          <w:color w:val="auto"/>
        </w:rPr>
      </w:pPr>
    </w:p>
    <w:p>
      <w:pPr>
        <w:ind w:left="283"/>
        <w:spacing w:after="0" w:line="325" w:lineRule="auto"/>
        <w:rPr>
          <w:sz w:val="20"/>
          <w:szCs w:val="20"/>
          <w:color w:val="auto"/>
        </w:rPr>
      </w:pPr>
      <w:r>
        <w:rPr>
          <w:rFonts w:ascii="Arial" w:cs="Arial" w:eastAsia="Arial" w:hAnsi="Arial"/>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20" w:lineRule="exact"/>
        <w:rPr>
          <w:sz w:val="20"/>
          <w:szCs w:val="20"/>
          <w:color w:val="auto"/>
        </w:rPr>
      </w:pPr>
    </w:p>
    <w:p>
      <w:pPr>
        <w:ind w:left="583" w:hanging="292"/>
        <w:spacing w:after="0"/>
        <w:tabs>
          <w:tab w:leader="none" w:pos="58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Issued share capital</w:t>
      </w:r>
    </w:p>
    <w:p>
      <w:pPr>
        <w:spacing w:after="0" w:line="204"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Common Shares</w:t>
      </w:r>
    </w:p>
    <w:p>
      <w:pPr>
        <w:spacing w:after="0" w:line="192" w:lineRule="exact"/>
        <w:rPr>
          <w:sz w:val="20"/>
          <w:szCs w:val="20"/>
          <w:color w:val="auto"/>
        </w:rPr>
      </w:pPr>
    </w:p>
    <w:p>
      <w:pPr>
        <w:jc w:val="both"/>
        <w:ind w:left="283"/>
        <w:spacing w:after="0" w:line="302" w:lineRule="auto"/>
        <w:rPr>
          <w:sz w:val="20"/>
          <w:szCs w:val="20"/>
          <w:color w:val="auto"/>
        </w:rPr>
      </w:pPr>
      <w:r>
        <w:rPr>
          <w:rFonts w:ascii="Arial" w:cs="Arial" w:eastAsia="Arial" w:hAnsi="Arial"/>
          <w:sz w:val="16"/>
          <w:szCs w:val="16"/>
          <w:color w:val="auto"/>
        </w:rPr>
        <w:t>On August 8, 2022, the Company established an at-the-market equity program (the “</w:t>
      </w:r>
      <w:r>
        <w:rPr>
          <w:rFonts w:ascii="Arial" w:cs="Arial" w:eastAsia="Arial" w:hAnsi="Arial"/>
          <w:sz w:val="16"/>
          <w:szCs w:val="16"/>
          <w:b w:val="1"/>
          <w:bCs w:val="1"/>
          <w:color w:val="auto"/>
        </w:rPr>
        <w:t>2022 ATM Program</w:t>
      </w:r>
      <w:r>
        <w:rPr>
          <w:rFonts w:ascii="Arial" w:cs="Arial" w:eastAsia="Arial" w:hAnsi="Arial"/>
          <w:sz w:val="16"/>
          <w:szCs w:val="16"/>
          <w:color w:val="auto"/>
        </w:rPr>
        <w:t>”) that allowed the Company to issue and sell up to US$35,000 of Common Shares from treasury to the public, from tme to tme. Distributons of Common Shares under the 2022 ATM Program were made pursuant to the terms and conditons of an at-the-market equity distributon agreement (the “</w:t>
      </w:r>
      <w:r>
        <w:rPr>
          <w:rFonts w:ascii="Arial" w:cs="Arial" w:eastAsia="Arial" w:hAnsi="Arial"/>
          <w:sz w:val="16"/>
          <w:szCs w:val="16"/>
          <w:b w:val="1"/>
          <w:bCs w:val="1"/>
          <w:color w:val="auto"/>
        </w:rPr>
        <w:t>2022 Distributon Agreement</w:t>
      </w:r>
      <w:r>
        <w:rPr>
          <w:rFonts w:ascii="Arial" w:cs="Arial" w:eastAsia="Arial" w:hAnsi="Arial"/>
          <w:sz w:val="16"/>
          <w:szCs w:val="16"/>
          <w:color w:val="auto"/>
        </w:rPr>
        <w:t>”) dated August 8, 2022 among the Company, Cantor Fitzgerald Canada Corporaton and Cantor Fitzgerald &amp; Co. The 2022 ATM Program was efectve untl August 5, 2023 when it automatcally terminated in accordance with the terms of the Distributon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10 of 25</w:t>
      </w:r>
    </w:p>
    <w:p>
      <w:pPr>
        <w:sectPr>
          <w:pgSz w:w="11900" w:h="16838" w:orient="portrait"/>
          <w:cols w:equalWidth="0" w:num="1">
            <w:col w:w="11243"/>
          </w:cols>
          <w:pgMar w:left="317" w:top="221" w:right="339" w:bottom="1440" w:gutter="0" w:footer="0" w:header="0"/>
        </w:sectPr>
      </w:pPr>
    </w:p>
    <w:bookmarkStart w:id="13" w:name="page14"/>
    <w:bookmarkEnd w:id="13"/>
    <w:p>
      <w:pPr>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right="98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68580</wp:posOffset>
            </wp:positionV>
            <wp:extent cx="66916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220"/>
        <w:spacing w:after="0" w:line="299" w:lineRule="auto"/>
        <w:rPr>
          <w:sz w:val="20"/>
          <w:szCs w:val="20"/>
          <w:color w:val="auto"/>
        </w:rPr>
      </w:pPr>
      <w:r>
        <w:rPr>
          <w:rFonts w:ascii="Arial" w:cs="Arial" w:eastAsia="Arial" w:hAnsi="Arial"/>
          <w:sz w:val="16"/>
          <w:szCs w:val="16"/>
          <w:color w:val="auto"/>
        </w:rPr>
        <w:t>On August 23, 2023, the Company established a new at-the-market equity program (the “</w:t>
      </w:r>
      <w:r>
        <w:rPr>
          <w:rFonts w:ascii="Arial" w:cs="Arial" w:eastAsia="Arial" w:hAnsi="Arial"/>
          <w:sz w:val="16"/>
          <w:szCs w:val="16"/>
          <w:b w:val="1"/>
          <w:bCs w:val="1"/>
          <w:color w:val="auto"/>
        </w:rPr>
        <w:t>2023 ATM Program</w:t>
      </w:r>
      <w:r>
        <w:rPr>
          <w:rFonts w:ascii="Arial" w:cs="Arial" w:eastAsia="Arial" w:hAnsi="Arial"/>
          <w:sz w:val="16"/>
          <w:szCs w:val="16"/>
          <w:color w:val="auto"/>
        </w:rPr>
        <w:t>” and together with the 2022 ATM Program, the “ATM Programs”) that allows the Company to issue and sell up to US$35,000 of Common Shares from treasury to the public, from tme to tme. Distributons of Common Shares under the 2023 ATM Program are made pursuant to the terms and conditons of an at-the-market equity distributon agreement (the “</w:t>
      </w:r>
      <w:r>
        <w:rPr>
          <w:rFonts w:ascii="Arial" w:cs="Arial" w:eastAsia="Arial" w:hAnsi="Arial"/>
          <w:sz w:val="16"/>
          <w:szCs w:val="16"/>
          <w:b w:val="1"/>
          <w:bCs w:val="1"/>
          <w:color w:val="auto"/>
        </w:rPr>
        <w:t>2023 Distributon</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dated August 23, 2023, among the Company, Cantor Fitzgerald Canada Corporaton and Cantor Fitzgerald &amp; Co. The 2023 ATM Program is to be efectve</w:t>
      </w:r>
      <w:r>
        <w:rPr>
          <w:rFonts w:ascii="Arial" w:cs="Arial" w:eastAsia="Arial" w:hAnsi="Arial"/>
          <w:sz w:val="16"/>
          <w:szCs w:val="16"/>
          <w:b w:val="1"/>
          <w:bCs w:val="1"/>
          <w:color w:val="auto"/>
        </w:rPr>
        <w:t xml:space="preserve"> </w:t>
      </w:r>
      <w:r>
        <w:rPr>
          <w:rFonts w:ascii="Arial" w:cs="Arial" w:eastAsia="Arial" w:hAnsi="Arial"/>
          <w:sz w:val="16"/>
          <w:szCs w:val="16"/>
          <w:color w:val="auto"/>
        </w:rPr>
        <w:t>untl the earlier of the issuance and sale of all of the Common Shares issuable pursuant to the 2023 ATM Program and September 17, 2025, unless earlier terminated in accordance with the terms of the 2023 Distributon</w:t>
      </w:r>
    </w:p>
    <w:p>
      <w:pPr>
        <w:spacing w:after="0" w:line="141" w:lineRule="exact"/>
        <w:rPr>
          <w:sz w:val="20"/>
          <w:szCs w:val="20"/>
          <w:color w:val="auto"/>
        </w:rPr>
      </w:pPr>
    </w:p>
    <w:p>
      <w:pPr>
        <w:jc w:val="both"/>
        <w:ind w:left="220" w:right="20"/>
        <w:spacing w:after="0" w:line="305" w:lineRule="auto"/>
        <w:rPr>
          <w:sz w:val="20"/>
          <w:szCs w:val="20"/>
          <w:color w:val="auto"/>
        </w:rPr>
      </w:pPr>
      <w:r>
        <w:rPr>
          <w:rFonts w:ascii="Arial" w:cs="Arial" w:eastAsia="Arial" w:hAnsi="Arial"/>
          <w:sz w:val="16"/>
          <w:szCs w:val="16"/>
          <w:color w:val="auto"/>
        </w:rPr>
        <w:t>During the six month period ended September 30, 2023, the Company sold 32,516,245 Common Shares under the ATM Programs at an average price of $0.4403 (US$0.3267) per Common Share, for aggregate gross proceeds of $14,316 (US$ 10,625). Share issuance costs related to the ATM Programs for the six month period ended September 30, 2023 were $594.</w:t>
      </w:r>
    </w:p>
    <w:p>
      <w:pPr>
        <w:spacing w:after="0" w:line="135" w:lineRule="exact"/>
        <w:rPr>
          <w:sz w:val="20"/>
          <w:szCs w:val="20"/>
          <w:color w:val="auto"/>
        </w:rPr>
      </w:pPr>
    </w:p>
    <w:p>
      <w:pPr>
        <w:jc w:val="both"/>
        <w:ind w:left="220" w:right="20"/>
        <w:spacing w:after="0" w:line="309" w:lineRule="auto"/>
        <w:rPr>
          <w:sz w:val="20"/>
          <w:szCs w:val="20"/>
          <w:color w:val="auto"/>
        </w:rPr>
      </w:pPr>
      <w:r>
        <w:rPr>
          <w:rFonts w:ascii="Arial" w:cs="Arial" w:eastAsia="Arial" w:hAnsi="Arial"/>
          <w:sz w:val="16"/>
          <w:szCs w:val="16"/>
          <w:color w:val="auto"/>
        </w:rPr>
        <w:t>The Company sold a total of 53,270,565 Common Shares under the ATM Programs at an average price of $0.5344 (US$0.3973) per Common Share, for aggregate gross proceeds of $28,468 (US$21,166).</w:t>
      </w:r>
    </w:p>
    <w:p>
      <w:pPr>
        <w:spacing w:after="0" w:line="133" w:lineRule="exact"/>
        <w:rPr>
          <w:sz w:val="20"/>
          <w:szCs w:val="20"/>
          <w:color w:val="auto"/>
        </w:rPr>
      </w:pPr>
    </w:p>
    <w:p>
      <w:pPr>
        <w:jc w:val="both"/>
        <w:ind w:left="220" w:right="20"/>
        <w:spacing w:after="0" w:line="322" w:lineRule="auto"/>
        <w:rPr>
          <w:sz w:val="20"/>
          <w:szCs w:val="20"/>
          <w:color w:val="auto"/>
        </w:rPr>
      </w:pPr>
      <w:r>
        <w:rPr>
          <w:rFonts w:ascii="Arial" w:cs="Arial" w:eastAsia="Arial" w:hAnsi="Arial"/>
          <w:sz w:val="15"/>
          <w:szCs w:val="15"/>
          <w:color w:val="auto"/>
        </w:rPr>
        <w:t>On May 30, 2023, the Company entered into a Common Share purchase agreement (the “</w:t>
      </w:r>
      <w:r>
        <w:rPr>
          <w:rFonts w:ascii="Arial" w:cs="Arial" w:eastAsia="Arial" w:hAnsi="Arial"/>
          <w:sz w:val="15"/>
          <w:szCs w:val="15"/>
          <w:b w:val="1"/>
          <w:bCs w:val="1"/>
          <w:color w:val="auto"/>
        </w:rPr>
        <w:t>LPC Purchase Agreement</w:t>
      </w:r>
      <w:r>
        <w:rPr>
          <w:rFonts w:ascii="Arial" w:cs="Arial" w:eastAsia="Arial" w:hAnsi="Arial"/>
          <w:sz w:val="15"/>
          <w:szCs w:val="15"/>
          <w:color w:val="auto"/>
        </w:rPr>
        <w:t>”) with Lincoln Park Capital Fund, LLC (“</w:t>
      </w:r>
      <w:r>
        <w:rPr>
          <w:rFonts w:ascii="Arial" w:cs="Arial" w:eastAsia="Arial" w:hAnsi="Arial"/>
          <w:sz w:val="15"/>
          <w:szCs w:val="15"/>
          <w:b w:val="1"/>
          <w:bCs w:val="1"/>
          <w:color w:val="auto"/>
        </w:rPr>
        <w:t>LPC</w:t>
      </w:r>
      <w:r>
        <w:rPr>
          <w:rFonts w:ascii="Arial" w:cs="Arial" w:eastAsia="Arial" w:hAnsi="Arial"/>
          <w:sz w:val="15"/>
          <w:szCs w:val="15"/>
          <w:color w:val="auto"/>
        </w:rPr>
        <w:t>”). Subject to the terms and conditons of the LPC Purchase Agreement, the Company has the right to sell, and LPC is obligated to purchase, up to US$30,000 of Common Shares over a 36-month period at prices that are based on the market price at the tme of each sale to LPC. Cybin, in its sole discreton, controls the tming and amount of all sales of Common Shares under the LPC Purchase Agreement. During the six month period ended September 30, 2023, the Company sold 1,925,000 Common Shares, at an average price of $0.3236 (US$0.2417) per Common Shares, for aggregate gross proceeds of $623 (US$465) pursuant to the LPC Purchase Agreement. Share issuance costs related to the LPC Purchase Agreement for the six month period ended September 30, 2023 were $389 (US$288)</w:t>
      </w:r>
    </w:p>
    <w:p>
      <w:pPr>
        <w:spacing w:after="0" w:line="127" w:lineRule="exact"/>
        <w:rPr>
          <w:sz w:val="20"/>
          <w:szCs w:val="20"/>
          <w:color w:val="auto"/>
        </w:rPr>
      </w:pPr>
    </w:p>
    <w:p>
      <w:pPr>
        <w:jc w:val="both"/>
        <w:ind w:left="220" w:right="20"/>
        <w:spacing w:after="0" w:line="317" w:lineRule="auto"/>
        <w:rPr>
          <w:sz w:val="20"/>
          <w:szCs w:val="20"/>
          <w:color w:val="auto"/>
        </w:rPr>
      </w:pPr>
      <w:r>
        <w:rPr>
          <w:rFonts w:ascii="Arial" w:cs="Arial" w:eastAsia="Arial" w:hAnsi="Arial"/>
          <w:sz w:val="15"/>
          <w:szCs w:val="15"/>
          <w:color w:val="auto"/>
        </w:rPr>
        <w:t>Cybin has the right to terminate the LPC Purchase Agreement at any tme at no cost or penalty. LPC has agreed not to engage in any short selling or hedging actvity of any kind in the Common Shares. As consideraton for LPC’s obligaton to purchase Common Shares from the Company at its directon under the LPC Purchase Agreement, Cybin issued 2,538,844 Common Shares to LPC as a commitment fee on May 30, 2023. The Purchase Agreement provides that Cybin may not issue or sell any Common Shares to LPC under the Purchase Agreement which, when aggregated with all other Common Shares then benefcially owned by LPC and its afliates (as calculated pursuant to Secton 13(d) of the U.S. Securites Exchange Act of 1934, as amended, and Rule 13d-3 thereunder), would result in LPC benefcially owning more than 9.99% of the outstanding Common Shares. On July 31, 2023, Cybin announced that it had suspended all sales under the LPC Purchase Agreement. On August 23, 2023, the Company fled a prospectus supplement to the base shelf prospectus dated August 17, 2023 to re-qualify sales of up to US$30,000 of the Company’s Common Shares pursuant to the LPC Purchase Agreement.</w:t>
      </w:r>
    </w:p>
    <w:p>
      <w:pPr>
        <w:spacing w:after="0" w:line="130" w:lineRule="exact"/>
        <w:rPr>
          <w:sz w:val="20"/>
          <w:szCs w:val="20"/>
          <w:color w:val="auto"/>
        </w:rPr>
      </w:pPr>
    </w:p>
    <w:p>
      <w:pPr>
        <w:jc w:val="both"/>
        <w:ind w:left="220" w:right="20"/>
        <w:spacing w:after="0" w:line="303" w:lineRule="auto"/>
        <w:rPr>
          <w:sz w:val="20"/>
          <w:szCs w:val="20"/>
          <w:color w:val="auto"/>
        </w:rPr>
      </w:pPr>
      <w:r>
        <w:rPr>
          <w:rFonts w:ascii="Arial" w:cs="Arial" w:eastAsia="Arial" w:hAnsi="Arial"/>
          <w:sz w:val="16"/>
          <w:szCs w:val="16"/>
          <w:color w:val="auto"/>
        </w:rPr>
        <w:t>On August 4, 2023, the Company completed a public ofering (the “August 2023 Ofering”) of 24,264,706 units of the Company (the “August 2023 Units”) at a price of US$0.34 per August 2023 Unit for gross proceeds of $11,018(US$8,250) pursuant to a prospectus supplement to the Company’s short form base shelf prospectus dated July 5, 2021. Each August 2023 Unit is comprised of one Common Share and one Common Share purchase warrant (the “August 2023 Warrants”). Each August 2023 Warrant is exercisable to acquire one Common Share at a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11 of 25</w:t>
      </w:r>
    </w:p>
    <w:p>
      <w:pPr>
        <w:sectPr>
          <w:pgSz w:w="11900" w:h="16838" w:orient="portrait"/>
          <w:cols w:equalWidth="0" w:num="1">
            <w:col w:w="11200"/>
          </w:cols>
          <w:pgMar w:left="380" w:top="221" w:right="319"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right="96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68580</wp:posOffset>
            </wp:positionV>
            <wp:extent cx="66916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220"/>
        <w:spacing w:after="0" w:line="363" w:lineRule="auto"/>
        <w:rPr>
          <w:sz w:val="20"/>
          <w:szCs w:val="20"/>
          <w:color w:val="auto"/>
        </w:rPr>
      </w:pPr>
      <w:r>
        <w:rPr>
          <w:rFonts w:ascii="Arial" w:cs="Arial" w:eastAsia="Arial" w:hAnsi="Arial"/>
          <w:sz w:val="15"/>
          <w:szCs w:val="15"/>
          <w:color w:val="auto"/>
        </w:rPr>
        <w:t>US$0.40 per Common Share for a period of 60 months from issuance, subject to acceleraton in certain circumstances. In connecton with the Ofering, Cybin paid the underwriters a cash commission of $506(US$379) and incurred additonal share issuance costs related to professional fees of $569(US$412)</w:t>
      </w:r>
    </w:p>
    <w:p>
      <w:pPr>
        <w:spacing w:after="0" w:line="97" w:lineRule="exact"/>
        <w:rPr>
          <w:sz w:val="20"/>
          <w:szCs w:val="20"/>
          <w:color w:val="auto"/>
        </w:rPr>
      </w:pPr>
    </w:p>
    <w:p>
      <w:pPr>
        <w:jc w:val="both"/>
        <w:ind w:left="220"/>
        <w:spacing w:after="0" w:line="305" w:lineRule="auto"/>
        <w:rPr>
          <w:sz w:val="20"/>
          <w:szCs w:val="20"/>
          <w:color w:val="auto"/>
        </w:rPr>
      </w:pPr>
      <w:r>
        <w:rPr>
          <w:rFonts w:ascii="Arial" w:cs="Arial" w:eastAsia="Arial" w:hAnsi="Arial"/>
          <w:sz w:val="16"/>
          <w:szCs w:val="16"/>
          <w:color w:val="auto"/>
        </w:rPr>
        <w:t>From the launch of the 2023 ATM Program to September 30, 2023 the Company sold 21,890,294 Common Shares under the 2023 ATM Program, of which 100,000 were not yet setled, at an average price of $0.4451 (US$0.3296) per Common Share, for aggregate gross proceeds of $9,745 (US$7,216), of which $68 (US$50) was receivable as of September 30, 2023. Share issuance costs related to the 2023 ATM Program were $293 (US$217)</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Preferred Shares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at September 30, 2023, the Company has nil preferred shares outstanding (March 31, 2023 - nil).</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Cybin US Class B Shares</w:t>
      </w:r>
    </w:p>
    <w:p>
      <w:pPr>
        <w:spacing w:after="0" w:line="204" w:lineRule="exact"/>
        <w:rPr>
          <w:sz w:val="20"/>
          <w:szCs w:val="20"/>
          <w:color w:val="auto"/>
        </w:rPr>
      </w:pPr>
    </w:p>
    <w:p>
      <w:pPr>
        <w:jc w:val="both"/>
        <w:ind w:left="220"/>
        <w:spacing w:after="0" w:line="406" w:lineRule="auto"/>
        <w:rPr>
          <w:sz w:val="20"/>
          <w:szCs w:val="20"/>
          <w:color w:val="auto"/>
        </w:rPr>
      </w:pPr>
      <w:r>
        <w:rPr>
          <w:rFonts w:ascii="Arial" w:cs="Arial" w:eastAsia="Arial" w:hAnsi="Arial"/>
          <w:sz w:val="14"/>
          <w:szCs w:val="14"/>
          <w:color w:val="auto"/>
        </w:rPr>
        <w:t>As at September 30, 2023, 530,542.1 class B common shares of Cybin US (“</w:t>
      </w:r>
      <w:r>
        <w:rPr>
          <w:rFonts w:ascii="Arial" w:cs="Arial" w:eastAsia="Arial" w:hAnsi="Arial"/>
          <w:sz w:val="14"/>
          <w:szCs w:val="14"/>
          <w:b w:val="1"/>
          <w:bCs w:val="1"/>
          <w:color w:val="auto"/>
        </w:rPr>
        <w:t>Class B Shares</w:t>
      </w:r>
      <w:r>
        <w:rPr>
          <w:rFonts w:ascii="Arial" w:cs="Arial" w:eastAsia="Arial" w:hAnsi="Arial"/>
          <w:sz w:val="14"/>
          <w:szCs w:val="14"/>
          <w:color w:val="auto"/>
        </w:rPr>
        <w:t>”) were outstanding, and will be exchangeable for a total of 5,305,421, Common Shares as of December 14, 2023. These condensed interim consolidated fnancial statements refect all of the issued Class B Shares on an as-converted basis.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auto"/>
        </w:rPr>
        <w:t>Warrants</w:t>
      </w:r>
    </w:p>
    <w:p>
      <w:pPr>
        <w:spacing w:after="0" w:line="34" w:lineRule="exact"/>
        <w:rPr>
          <w:sz w:val="20"/>
          <w:szCs w:val="20"/>
          <w:color w:val="auto"/>
        </w:rPr>
      </w:pPr>
    </w:p>
    <w:p>
      <w:pPr>
        <w:jc w:val="both"/>
        <w:ind w:left="220"/>
        <w:spacing w:after="0" w:line="388" w:lineRule="auto"/>
        <w:rPr>
          <w:sz w:val="20"/>
          <w:szCs w:val="20"/>
          <w:color w:val="auto"/>
        </w:rPr>
      </w:pPr>
      <w:r>
        <w:rPr>
          <w:rFonts w:ascii="Arial" w:cs="Arial" w:eastAsia="Arial" w:hAnsi="Arial"/>
          <w:sz w:val="14"/>
          <w:szCs w:val="14"/>
          <w:color w:val="auto"/>
        </w:rPr>
        <w:t>On August 4, 2023, Cybin issued 24,264,706 “August 2023 Warrants”in connecton with the August 2023 Ofering. Each August 2023 Warrant is exercisable to acquire one Common Share at a price of $0.53 (US$0.40) per Common Share for a period of 60 months from issuance, subject to acceleraton in certain circumstances.</w:t>
      </w:r>
    </w:p>
    <w:p>
      <w:pPr>
        <w:spacing w:after="0" w:line="74" w:lineRule="exact"/>
        <w:rPr>
          <w:sz w:val="20"/>
          <w:szCs w:val="20"/>
          <w:color w:val="auto"/>
        </w:rPr>
      </w:pPr>
    </w:p>
    <w:p>
      <w:pPr>
        <w:jc w:val="both"/>
        <w:ind w:left="220"/>
        <w:spacing w:after="0" w:line="309" w:lineRule="auto"/>
        <w:rPr>
          <w:sz w:val="20"/>
          <w:szCs w:val="20"/>
          <w:color w:val="auto"/>
        </w:rPr>
      </w:pPr>
      <w:r>
        <w:rPr>
          <w:rFonts w:ascii="Arial" w:cs="Arial" w:eastAsia="Arial" w:hAnsi="Arial"/>
          <w:sz w:val="16"/>
          <w:szCs w:val="16"/>
          <w:color w:val="auto"/>
        </w:rPr>
        <w:t>The Company estmated the aggregate fair value of the August 2023 Warrants using the Black-Scholes opton pricing model to be $4,559 (US$3,442) with the following assumptons:</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62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330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06"/>
        </w:trPr>
        <w:tc>
          <w:tcPr>
            <w:tcW w:w="6620" w:type="dxa"/>
            <w:vAlign w:val="bottom"/>
          </w:tcPr>
          <w:p>
            <w:pPr>
              <w:ind w:left="60"/>
              <w:spacing w:after="0"/>
              <w:rPr>
                <w:sz w:val="20"/>
                <w:szCs w:val="20"/>
                <w:color w:val="auto"/>
              </w:rPr>
            </w:pPr>
            <w:r>
              <w:rPr>
                <w:rFonts w:ascii="Arial" w:cs="Arial" w:eastAsia="Arial" w:hAnsi="Arial"/>
                <w:sz w:val="16"/>
                <w:szCs w:val="16"/>
                <w:color w:val="auto"/>
              </w:rPr>
              <w:t>Expected annual volatlity, based on comparable companies</w:t>
            </w:r>
          </w:p>
        </w:tc>
        <w:tc>
          <w:tcPr>
            <w:tcW w:w="3300" w:type="dxa"/>
            <w:vAlign w:val="bottom"/>
          </w:tcPr>
          <w:p>
            <w:pPr>
              <w:jc w:val="right"/>
              <w:spacing w:after="0"/>
              <w:rPr>
                <w:sz w:val="20"/>
                <w:szCs w:val="20"/>
                <w:color w:val="auto"/>
              </w:rPr>
            </w:pPr>
            <w:r>
              <w:rPr>
                <w:rFonts w:ascii="Arial" w:cs="Arial" w:eastAsia="Arial" w:hAnsi="Arial"/>
                <w:sz w:val="16"/>
                <w:szCs w:val="16"/>
                <w:color w:val="auto"/>
              </w:rPr>
              <w:t>95.00%</w:t>
            </w:r>
          </w:p>
        </w:tc>
      </w:tr>
      <w:tr>
        <w:trPr>
          <w:trHeight w:val="206"/>
        </w:trPr>
        <w:tc>
          <w:tcPr>
            <w:tcW w:w="662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33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06"/>
        </w:trPr>
        <w:tc>
          <w:tcPr>
            <w:tcW w:w="662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3300" w:type="dxa"/>
            <w:vAlign w:val="bottom"/>
          </w:tcPr>
          <w:p>
            <w:pPr>
              <w:jc w:val="right"/>
              <w:spacing w:after="0"/>
              <w:rPr>
                <w:sz w:val="20"/>
                <w:szCs w:val="20"/>
                <w:color w:val="auto"/>
              </w:rPr>
            </w:pPr>
            <w:r>
              <w:rPr>
                <w:rFonts w:ascii="Arial" w:cs="Arial" w:eastAsia="Arial" w:hAnsi="Arial"/>
                <w:sz w:val="16"/>
                <w:szCs w:val="16"/>
                <w:color w:val="auto"/>
              </w:rPr>
              <w:t>0.00%</w:t>
            </w:r>
          </w:p>
        </w:tc>
      </w:tr>
      <w:tr>
        <w:trPr>
          <w:trHeight w:val="206"/>
        </w:trPr>
        <w:tc>
          <w:tcPr>
            <w:tcW w:w="662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3300" w:type="dxa"/>
            <w:vAlign w:val="bottom"/>
          </w:tcPr>
          <w:p>
            <w:pPr>
              <w:jc w:val="right"/>
              <w:spacing w:after="0"/>
              <w:rPr>
                <w:sz w:val="20"/>
                <w:szCs w:val="20"/>
                <w:color w:val="auto"/>
              </w:rPr>
            </w:pPr>
            <w:r>
              <w:rPr>
                <w:rFonts w:ascii="Arial" w:cs="Arial" w:eastAsia="Arial" w:hAnsi="Arial"/>
                <w:sz w:val="16"/>
                <w:szCs w:val="16"/>
                <w:color w:val="auto"/>
              </w:rPr>
              <w:t>US$ 0.34</w:t>
            </w:r>
          </w:p>
        </w:tc>
      </w:tr>
      <w:tr>
        <w:trPr>
          <w:trHeight w:val="206"/>
        </w:trPr>
        <w:tc>
          <w:tcPr>
            <w:tcW w:w="6620" w:type="dxa"/>
            <w:vAlign w:val="bottom"/>
          </w:tcPr>
          <w:p>
            <w:pPr>
              <w:ind w:left="60"/>
              <w:spacing w:after="0"/>
              <w:rPr>
                <w:sz w:val="20"/>
                <w:szCs w:val="20"/>
                <w:color w:val="auto"/>
              </w:rPr>
            </w:pPr>
            <w:r>
              <w:rPr>
                <w:rFonts w:ascii="Arial" w:cs="Arial" w:eastAsia="Arial" w:hAnsi="Arial"/>
                <w:sz w:val="16"/>
                <w:szCs w:val="16"/>
                <w:color w:val="auto"/>
              </w:rPr>
              <w:t>Exercise price</w:t>
            </w:r>
          </w:p>
        </w:tc>
        <w:tc>
          <w:tcPr>
            <w:tcW w:w="3300" w:type="dxa"/>
            <w:vAlign w:val="bottom"/>
          </w:tcPr>
          <w:p>
            <w:pPr>
              <w:jc w:val="right"/>
              <w:spacing w:after="0"/>
              <w:rPr>
                <w:sz w:val="20"/>
                <w:szCs w:val="20"/>
                <w:color w:val="auto"/>
              </w:rPr>
            </w:pPr>
            <w:r>
              <w:rPr>
                <w:rFonts w:ascii="Arial" w:cs="Arial" w:eastAsia="Arial" w:hAnsi="Arial"/>
                <w:sz w:val="16"/>
                <w:szCs w:val="16"/>
                <w:color w:val="auto"/>
              </w:rPr>
              <w:t>US$ 0.40</w:t>
            </w: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contnuity of the outstanding warrants for the six-month period ended September 30, 2023,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Page 12 of 25</w:t>
      </w:r>
    </w:p>
    <w:p>
      <w:pPr>
        <w:sectPr>
          <w:pgSz w:w="11900" w:h="16838" w:orient="portrait"/>
          <w:cols w:equalWidth="0" w:num="1">
            <w:col w:w="11180"/>
          </w:cols>
          <w:pgMar w:left="380" w:top="221" w:right="339" w:bottom="1440" w:gutter="0" w:footer="0" w:header="0"/>
        </w:sectPr>
      </w:pPr>
    </w:p>
    <w:bookmarkStart w:id="15" w:name="page16"/>
    <w:bookmarkEnd w:id="15"/>
    <w:p>
      <w:pPr>
        <w:ind w:left="63"/>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3" w:right="96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6916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83"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37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Number of Warrants</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5"/>
        </w:trPr>
        <w:tc>
          <w:tcPr>
            <w:tcW w:w="466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73"/>
        </w:trPr>
        <w:tc>
          <w:tcPr>
            <w:tcW w:w="466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1"/>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auto"/>
              </w:rPr>
              <w:t>Common Share Purchase Warrants</w:t>
            </w:r>
          </w:p>
        </w:tc>
        <w:tc>
          <w:tcPr>
            <w:tcW w:w="37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60" w:type="dxa"/>
            <w:vAlign w:val="bottom"/>
          </w:tcPr>
          <w:p>
            <w:pPr>
              <w:ind w:left="60"/>
              <w:spacing w:after="0"/>
              <w:rPr>
                <w:sz w:val="20"/>
                <w:szCs w:val="20"/>
                <w:color w:val="auto"/>
              </w:rPr>
            </w:pPr>
            <w:r>
              <w:rPr>
                <w:rFonts w:ascii="Arial" w:cs="Arial" w:eastAsia="Arial" w:hAnsi="Arial"/>
                <w:sz w:val="16"/>
                <w:szCs w:val="16"/>
                <w:color w:val="auto"/>
              </w:rPr>
              <w:t>As at March 31, 2023</w:t>
            </w:r>
          </w:p>
        </w:tc>
        <w:tc>
          <w:tcPr>
            <w:tcW w:w="3700" w:type="dxa"/>
            <w:vAlign w:val="bottom"/>
          </w:tcPr>
          <w:p>
            <w:pPr>
              <w:jc w:val="right"/>
              <w:ind w:right="199"/>
              <w:spacing w:after="0"/>
              <w:rPr>
                <w:sz w:val="20"/>
                <w:szCs w:val="20"/>
                <w:color w:val="auto"/>
              </w:rPr>
            </w:pPr>
            <w:r>
              <w:rPr>
                <w:rFonts w:ascii="Arial" w:cs="Arial" w:eastAsia="Arial" w:hAnsi="Arial"/>
                <w:sz w:val="16"/>
                <w:szCs w:val="16"/>
                <w:color w:val="auto"/>
              </w:rPr>
              <w:t>23,230,485</w:t>
            </w:r>
          </w:p>
        </w:tc>
        <w:tc>
          <w:tcPr>
            <w:tcW w:w="15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79"/>
        </w:trPr>
        <w:tc>
          <w:tcPr>
            <w:tcW w:w="4660" w:type="dxa"/>
            <w:vAlign w:val="bottom"/>
          </w:tcPr>
          <w:p>
            <w:pPr>
              <w:ind w:left="60"/>
              <w:spacing w:after="0"/>
              <w:rPr>
                <w:sz w:val="20"/>
                <w:szCs w:val="20"/>
                <w:color w:val="auto"/>
              </w:rPr>
            </w:pPr>
            <w:r>
              <w:rPr>
                <w:rFonts w:ascii="Arial" w:cs="Arial" w:eastAsia="Arial" w:hAnsi="Arial"/>
                <w:sz w:val="16"/>
                <w:szCs w:val="16"/>
                <w:color w:val="auto"/>
              </w:rPr>
              <w:t>Issued</w:t>
            </w:r>
          </w:p>
        </w:tc>
        <w:tc>
          <w:tcPr>
            <w:tcW w:w="3700" w:type="dxa"/>
            <w:vAlign w:val="bottom"/>
          </w:tcPr>
          <w:p>
            <w:pPr>
              <w:jc w:val="right"/>
              <w:ind w:right="199"/>
              <w:spacing w:after="0"/>
              <w:rPr>
                <w:sz w:val="20"/>
                <w:szCs w:val="20"/>
                <w:color w:val="auto"/>
              </w:rPr>
            </w:pPr>
            <w:r>
              <w:rPr>
                <w:rFonts w:ascii="Arial" w:cs="Arial" w:eastAsia="Arial" w:hAnsi="Arial"/>
                <w:sz w:val="16"/>
                <w:szCs w:val="16"/>
                <w:color w:val="auto"/>
              </w:rPr>
              <w:t>24,264,706</w:t>
            </w:r>
          </w:p>
        </w:tc>
        <w:tc>
          <w:tcPr>
            <w:tcW w:w="1540" w:type="dxa"/>
            <w:vAlign w:val="bottom"/>
          </w:tcPr>
          <w:p>
            <w:pPr>
              <w:jc w:val="right"/>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79"/>
        </w:trPr>
        <w:tc>
          <w:tcPr>
            <w:tcW w:w="4660" w:type="dxa"/>
            <w:vAlign w:val="bottom"/>
          </w:tcPr>
          <w:p>
            <w:pPr>
              <w:ind w:left="60"/>
              <w:spacing w:after="0"/>
              <w:rPr>
                <w:sz w:val="20"/>
                <w:szCs w:val="20"/>
                <w:color w:val="auto"/>
              </w:rPr>
            </w:pPr>
            <w:r>
              <w:rPr>
                <w:rFonts w:ascii="Arial" w:cs="Arial" w:eastAsia="Arial" w:hAnsi="Arial"/>
                <w:sz w:val="16"/>
                <w:szCs w:val="16"/>
                <w:color w:val="auto"/>
              </w:rPr>
              <w:t>Expired</w:t>
            </w:r>
          </w:p>
        </w:tc>
        <w:tc>
          <w:tcPr>
            <w:tcW w:w="3700" w:type="dxa"/>
            <w:vAlign w:val="bottom"/>
          </w:tcPr>
          <w:p>
            <w:pPr>
              <w:jc w:val="right"/>
              <w:ind w:right="199"/>
              <w:spacing w:after="0"/>
              <w:rPr>
                <w:sz w:val="20"/>
                <w:szCs w:val="20"/>
                <w:color w:val="auto"/>
              </w:rPr>
            </w:pPr>
            <w:r>
              <w:rPr>
                <w:rFonts w:ascii="Arial" w:cs="Arial" w:eastAsia="Arial" w:hAnsi="Arial"/>
                <w:sz w:val="16"/>
                <w:szCs w:val="16"/>
                <w:color w:val="auto"/>
              </w:rPr>
              <w:t>(658,860)</w:t>
            </w:r>
          </w:p>
        </w:tc>
        <w:tc>
          <w:tcPr>
            <w:tcW w:w="154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45"/>
        </w:trPr>
        <w:tc>
          <w:tcPr>
            <w:tcW w:w="4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Outstanding as at September 30, 2023</w:t>
            </w:r>
          </w:p>
        </w:tc>
        <w:tc>
          <w:tcPr>
            <w:tcW w:w="3700" w:type="dxa"/>
            <w:vAlign w:val="bottom"/>
          </w:tcPr>
          <w:p>
            <w:pPr>
              <w:jc w:val="right"/>
              <w:ind w:right="199"/>
              <w:spacing w:after="0"/>
              <w:rPr>
                <w:sz w:val="20"/>
                <w:szCs w:val="20"/>
                <w:color w:val="auto"/>
              </w:rPr>
            </w:pPr>
            <w:r>
              <w:rPr>
                <w:rFonts w:ascii="Arial" w:cs="Arial" w:eastAsia="Arial" w:hAnsi="Arial"/>
                <w:sz w:val="16"/>
                <w:szCs w:val="16"/>
                <w:b w:val="1"/>
                <w:bCs w:val="1"/>
                <w:color w:val="auto"/>
              </w:rPr>
              <w:t>46,836,331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0.90</w:t>
            </w:r>
          </w:p>
        </w:tc>
        <w:tc>
          <w:tcPr>
            <w:tcW w:w="0" w:type="dxa"/>
            <w:vAlign w:val="bottom"/>
          </w:tcPr>
          <w:p>
            <w:pPr>
              <w:spacing w:after="0"/>
              <w:rPr>
                <w:sz w:val="1"/>
                <w:szCs w:val="1"/>
                <w:color w:val="auto"/>
              </w:rPr>
            </w:pPr>
          </w:p>
        </w:tc>
      </w:tr>
      <w:tr>
        <w:trPr>
          <w:trHeight w:val="43"/>
        </w:trPr>
        <w:tc>
          <w:tcPr>
            <w:tcW w:w="4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Exercisable as at September 30, 2023</w:t>
            </w:r>
          </w:p>
        </w:tc>
        <w:tc>
          <w:tcPr>
            <w:tcW w:w="3700" w:type="dxa"/>
            <w:vAlign w:val="bottom"/>
          </w:tcPr>
          <w:p>
            <w:pPr>
              <w:jc w:val="right"/>
              <w:ind w:right="199"/>
              <w:spacing w:after="0"/>
              <w:rPr>
                <w:sz w:val="20"/>
                <w:szCs w:val="20"/>
                <w:color w:val="auto"/>
              </w:rPr>
            </w:pPr>
            <w:r>
              <w:rPr>
                <w:rFonts w:ascii="Arial" w:cs="Arial" w:eastAsia="Arial" w:hAnsi="Arial"/>
                <w:sz w:val="16"/>
                <w:szCs w:val="16"/>
                <w:b w:val="1"/>
                <w:bCs w:val="1"/>
                <w:color w:val="auto"/>
              </w:rPr>
              <w:t>46,836,331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0.90</w:t>
            </w:r>
          </w:p>
        </w:tc>
        <w:tc>
          <w:tcPr>
            <w:tcW w:w="0" w:type="dxa"/>
            <w:vAlign w:val="bottom"/>
          </w:tcPr>
          <w:p>
            <w:pPr>
              <w:spacing w:after="0"/>
              <w:rPr>
                <w:sz w:val="1"/>
                <w:szCs w:val="1"/>
                <w:color w:val="auto"/>
              </w:rPr>
            </w:pPr>
          </w:p>
        </w:tc>
      </w:tr>
      <w:tr>
        <w:trPr>
          <w:trHeight w:val="43"/>
        </w:trPr>
        <w:tc>
          <w:tcPr>
            <w:tcW w:w="4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r>
              <w:rPr>
                <w:rFonts w:ascii="Arial" w:cs="Arial" w:eastAsia="Arial" w:hAnsi="Arial"/>
                <w:sz w:val="21"/>
                <w:szCs w:val="21"/>
                <w:b w:val="1"/>
                <w:bCs w:val="1"/>
                <w:i w:val="1"/>
                <w:iCs w:val="1"/>
                <w:color w:val="auto"/>
                <w:vertAlign w:val="superscript"/>
              </w:rPr>
              <w:t>(1)</w:t>
            </w:r>
          </w:p>
        </w:tc>
        <w:tc>
          <w:tcPr>
            <w:tcW w:w="37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60" w:type="dxa"/>
            <w:vAlign w:val="bottom"/>
          </w:tcPr>
          <w:p>
            <w:pPr>
              <w:ind w:left="60"/>
              <w:spacing w:after="0"/>
              <w:rPr>
                <w:sz w:val="20"/>
                <w:szCs w:val="20"/>
                <w:color w:val="auto"/>
              </w:rPr>
            </w:pPr>
            <w:r>
              <w:rPr>
                <w:rFonts w:ascii="Arial" w:cs="Arial" w:eastAsia="Arial" w:hAnsi="Arial"/>
                <w:sz w:val="16"/>
                <w:szCs w:val="16"/>
                <w:color w:val="auto"/>
              </w:rPr>
              <w:t>As at March 31, 2023</w:t>
            </w:r>
          </w:p>
        </w:tc>
        <w:tc>
          <w:tcPr>
            <w:tcW w:w="3700" w:type="dxa"/>
            <w:vAlign w:val="bottom"/>
          </w:tcPr>
          <w:p>
            <w:pPr>
              <w:jc w:val="right"/>
              <w:ind w:right="199"/>
              <w:spacing w:after="0"/>
              <w:rPr>
                <w:sz w:val="20"/>
                <w:szCs w:val="20"/>
                <w:color w:val="auto"/>
              </w:rPr>
            </w:pPr>
            <w:r>
              <w:rPr>
                <w:rFonts w:ascii="Arial" w:cs="Arial" w:eastAsia="Arial" w:hAnsi="Arial"/>
                <w:sz w:val="16"/>
                <w:szCs w:val="16"/>
                <w:color w:val="auto"/>
              </w:rPr>
              <w:t>868,740</w:t>
            </w:r>
          </w:p>
        </w:tc>
        <w:tc>
          <w:tcPr>
            <w:tcW w:w="154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79"/>
        </w:trPr>
        <w:tc>
          <w:tcPr>
            <w:tcW w:w="4660" w:type="dxa"/>
            <w:vAlign w:val="bottom"/>
          </w:tcPr>
          <w:p>
            <w:pPr>
              <w:ind w:left="60"/>
              <w:spacing w:after="0"/>
              <w:rPr>
                <w:sz w:val="20"/>
                <w:szCs w:val="20"/>
                <w:color w:val="auto"/>
              </w:rPr>
            </w:pPr>
            <w:r>
              <w:rPr>
                <w:rFonts w:ascii="Arial" w:cs="Arial" w:eastAsia="Arial" w:hAnsi="Arial"/>
                <w:sz w:val="16"/>
                <w:szCs w:val="16"/>
                <w:color w:val="auto"/>
              </w:rPr>
              <w:t>Exercised</w:t>
            </w:r>
          </w:p>
        </w:tc>
        <w:tc>
          <w:tcPr>
            <w:tcW w:w="37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
        </w:trPr>
        <w:tc>
          <w:tcPr>
            <w:tcW w:w="4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Outstanding as at September 30, 2023</w:t>
            </w:r>
          </w:p>
        </w:tc>
        <w:tc>
          <w:tcPr>
            <w:tcW w:w="3700" w:type="dxa"/>
            <w:vAlign w:val="bottom"/>
          </w:tcPr>
          <w:p>
            <w:pPr>
              <w:jc w:val="right"/>
              <w:ind w:right="199"/>
              <w:spacing w:after="0"/>
              <w:rPr>
                <w:sz w:val="20"/>
                <w:szCs w:val="20"/>
                <w:color w:val="auto"/>
              </w:rPr>
            </w:pPr>
            <w:r>
              <w:rPr>
                <w:rFonts w:ascii="Arial" w:cs="Arial" w:eastAsia="Arial" w:hAnsi="Arial"/>
                <w:sz w:val="16"/>
                <w:szCs w:val="16"/>
                <w:b w:val="1"/>
                <w:bCs w:val="1"/>
                <w:color w:val="auto"/>
              </w:rPr>
              <w:t>868,740</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43"/>
        </w:trPr>
        <w:tc>
          <w:tcPr>
            <w:tcW w:w="4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Exercisable as at September 30, 2023</w:t>
            </w:r>
          </w:p>
        </w:tc>
        <w:tc>
          <w:tcPr>
            <w:tcW w:w="3700" w:type="dxa"/>
            <w:vAlign w:val="bottom"/>
          </w:tcPr>
          <w:p>
            <w:pPr>
              <w:jc w:val="right"/>
              <w:ind w:right="199"/>
              <w:spacing w:after="0"/>
              <w:rPr>
                <w:sz w:val="20"/>
                <w:szCs w:val="20"/>
                <w:color w:val="auto"/>
              </w:rPr>
            </w:pPr>
            <w:r>
              <w:rPr>
                <w:rFonts w:ascii="Arial" w:cs="Arial" w:eastAsia="Arial" w:hAnsi="Arial"/>
                <w:sz w:val="16"/>
                <w:szCs w:val="16"/>
                <w:b w:val="1"/>
                <w:bCs w:val="1"/>
                <w:color w:val="auto"/>
              </w:rPr>
              <w:t>868,740</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43"/>
        </w:trPr>
        <w:tc>
          <w:tcPr>
            <w:tcW w:w="466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83" w:firstLine="8"/>
        <w:spacing w:after="0" w:line="336" w:lineRule="auto"/>
        <w:tabs>
          <w:tab w:leader="none" w:pos="426" w:val="left"/>
        </w:tabs>
        <w:numPr>
          <w:ilvl w:val="0"/>
          <w:numId w:val="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10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summarizes informaton about warrants outstanding at September 30, 2023:</w:t>
      </w:r>
    </w:p>
    <w:p>
      <w:pPr>
        <w:spacing w:after="0" w:line="86" w:lineRule="exact"/>
        <w:rPr>
          <w:sz w:val="20"/>
          <w:szCs w:val="20"/>
          <w:color w:val="auto"/>
        </w:rPr>
      </w:pPr>
    </w:p>
    <w:tbl>
      <w:tblPr>
        <w:tblLayout w:type="fixed"/>
        <w:tblInd w:w="283"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w w:val="90"/>
              </w:rPr>
              <w:t>Weighted average</w:t>
            </w:r>
          </w:p>
        </w:tc>
      </w:tr>
      <w:tr>
        <w:trPr>
          <w:trHeight w:val="170"/>
        </w:trPr>
        <w:tc>
          <w:tcPr>
            <w:tcW w:w="3180" w:type="dxa"/>
            <w:vAlign w:val="bottom"/>
          </w:tcPr>
          <w:p>
            <w:pPr>
              <w:spacing w:after="0"/>
              <w:rPr>
                <w:sz w:val="14"/>
                <w:szCs w:val="14"/>
                <w:color w:val="auto"/>
              </w:rPr>
            </w:pPr>
          </w:p>
        </w:tc>
        <w:tc>
          <w:tcPr>
            <w:tcW w:w="1920" w:type="dxa"/>
            <w:vAlign w:val="bottom"/>
          </w:tcPr>
          <w:p>
            <w:pPr>
              <w:jc w:val="right"/>
              <w:ind w:right="239"/>
              <w:spacing w:after="0" w:line="170" w:lineRule="exact"/>
              <w:rPr>
                <w:sz w:val="20"/>
                <w:szCs w:val="20"/>
                <w:color w:val="auto"/>
              </w:rPr>
            </w:pPr>
            <w:r>
              <w:rPr>
                <w:rFonts w:ascii="Arial" w:cs="Arial" w:eastAsia="Arial" w:hAnsi="Arial"/>
                <w:sz w:val="16"/>
                <w:szCs w:val="16"/>
                <w:b w:val="1"/>
                <w:bCs w:val="1"/>
                <w:color w:val="auto"/>
              </w:rPr>
              <w:t>Warrants</w:t>
            </w:r>
          </w:p>
        </w:tc>
        <w:tc>
          <w:tcPr>
            <w:tcW w:w="1080" w:type="dxa"/>
            <w:vAlign w:val="bottom"/>
          </w:tcPr>
          <w:p>
            <w:pPr>
              <w:jc w:val="right"/>
              <w:spacing w:after="0" w:line="170" w:lineRule="exact"/>
              <w:rPr>
                <w:sz w:val="20"/>
                <w:szCs w:val="20"/>
                <w:color w:val="auto"/>
              </w:rPr>
            </w:pPr>
            <w:r>
              <w:rPr>
                <w:rFonts w:ascii="Arial" w:cs="Arial" w:eastAsia="Arial" w:hAnsi="Arial"/>
                <w:sz w:val="16"/>
                <w:szCs w:val="16"/>
                <w:b w:val="1"/>
                <w:bCs w:val="1"/>
                <w:color w:val="auto"/>
              </w:rPr>
              <w:t>Warrants</w:t>
            </w:r>
          </w:p>
        </w:tc>
        <w:tc>
          <w:tcPr>
            <w:tcW w:w="1480" w:type="dxa"/>
            <w:vAlign w:val="bottom"/>
          </w:tcPr>
          <w:p>
            <w:pPr>
              <w:jc w:val="right"/>
              <w:ind w:right="79"/>
              <w:spacing w:after="0" w:line="170" w:lineRule="exact"/>
              <w:rPr>
                <w:sz w:val="20"/>
                <w:szCs w:val="20"/>
                <w:color w:val="auto"/>
              </w:rPr>
            </w:pPr>
            <w:r>
              <w:rPr>
                <w:rFonts w:ascii="Arial" w:cs="Arial" w:eastAsia="Arial" w:hAnsi="Arial"/>
                <w:sz w:val="16"/>
                <w:szCs w:val="16"/>
                <w:b w:val="1"/>
                <w:bCs w:val="1"/>
                <w:color w:val="auto"/>
                <w:w w:val="94"/>
              </w:rPr>
              <w:t>Weighted average</w:t>
            </w:r>
          </w:p>
        </w:tc>
        <w:tc>
          <w:tcPr>
            <w:tcW w:w="1280" w:type="dxa"/>
            <w:vAlign w:val="bottom"/>
          </w:tcPr>
          <w:p>
            <w:pPr>
              <w:jc w:val="right"/>
              <w:ind w:right="39"/>
              <w:spacing w:after="0" w:line="170" w:lineRule="exact"/>
              <w:rPr>
                <w:sz w:val="20"/>
                <w:szCs w:val="20"/>
                <w:color w:val="auto"/>
              </w:rPr>
            </w:pPr>
            <w:r>
              <w:rPr>
                <w:rFonts w:ascii="Arial" w:cs="Arial" w:eastAsia="Arial" w:hAnsi="Arial"/>
                <w:sz w:val="16"/>
                <w:szCs w:val="16"/>
                <w:b w:val="1"/>
                <w:bCs w:val="1"/>
                <w:color w:val="auto"/>
                <w:w w:val="97"/>
              </w:rPr>
              <w:t>Estmated grant</w:t>
            </w:r>
          </w:p>
        </w:tc>
        <w:tc>
          <w:tcPr>
            <w:tcW w:w="1320" w:type="dxa"/>
            <w:vAlign w:val="bottom"/>
          </w:tcPr>
          <w:p>
            <w:pPr>
              <w:jc w:val="right"/>
              <w:spacing w:after="0" w:line="170" w:lineRule="exact"/>
              <w:rPr>
                <w:sz w:val="20"/>
                <w:szCs w:val="20"/>
                <w:color w:val="auto"/>
              </w:rPr>
            </w:pPr>
            <w:r>
              <w:rPr>
                <w:rFonts w:ascii="Arial" w:cs="Arial" w:eastAsia="Arial" w:hAnsi="Arial"/>
                <w:sz w:val="16"/>
                <w:szCs w:val="16"/>
                <w:b w:val="1"/>
                <w:bCs w:val="1"/>
                <w:color w:val="auto"/>
              </w:rPr>
              <w:t>remaining</w:t>
            </w:r>
          </w:p>
        </w:tc>
      </w:tr>
      <w:tr>
        <w:trPr>
          <w:trHeight w:val="224"/>
        </w:trPr>
        <w:tc>
          <w:tcPr>
            <w:tcW w:w="3180" w:type="dxa"/>
            <w:vAlign w:val="bottom"/>
          </w:tcPr>
          <w:p>
            <w:pPr>
              <w:ind w:left="60"/>
              <w:spacing w:after="0"/>
              <w:rPr>
                <w:sz w:val="20"/>
                <w:szCs w:val="20"/>
                <w:color w:val="auto"/>
              </w:rPr>
            </w:pPr>
            <w:r>
              <w:rPr>
                <w:rFonts w:ascii="Arial" w:cs="Arial" w:eastAsia="Arial" w:hAnsi="Arial"/>
                <w:sz w:val="16"/>
                <w:szCs w:val="16"/>
                <w:b w:val="1"/>
                <w:bCs w:val="1"/>
                <w:color w:val="auto"/>
              </w:rPr>
              <w:t>Date of Expiry</w:t>
            </w:r>
          </w:p>
        </w:tc>
        <w:tc>
          <w:tcPr>
            <w:tcW w:w="1920" w:type="dxa"/>
            <w:vAlign w:val="bottom"/>
          </w:tcPr>
          <w:p>
            <w:pPr>
              <w:jc w:val="right"/>
              <w:ind w:right="239"/>
              <w:spacing w:after="0"/>
              <w:rPr>
                <w:sz w:val="20"/>
                <w:szCs w:val="20"/>
                <w:color w:val="auto"/>
              </w:rPr>
            </w:pPr>
            <w:r>
              <w:rPr>
                <w:rFonts w:ascii="Arial" w:cs="Arial" w:eastAsia="Arial" w:hAnsi="Arial"/>
                <w:sz w:val="16"/>
                <w:szCs w:val="16"/>
                <w:b w:val="1"/>
                <w:bCs w:val="1"/>
                <w:color w:val="auto"/>
              </w:rPr>
              <w:t>outstanding</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exercisable</w:t>
            </w: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86"/>
              </w:rPr>
              <w:t>of exercisable price</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date fair value</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contractual life</w:t>
            </w:r>
          </w:p>
        </w:tc>
      </w:tr>
      <w:tr>
        <w:trPr>
          <w:trHeight w:val="255"/>
        </w:trPr>
        <w:tc>
          <w:tcPr>
            <w:tcW w:w="31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$000’s</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Years</w:t>
            </w:r>
          </w:p>
        </w:tc>
      </w:tr>
      <w:tr>
        <w:trPr>
          <w:trHeight w:val="43"/>
        </w:trPr>
        <w:tc>
          <w:tcPr>
            <w:tcW w:w="31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1"/>
        </w:trPr>
        <w:tc>
          <w:tcPr>
            <w:tcW w:w="3180" w:type="dxa"/>
            <w:vAlign w:val="bottom"/>
          </w:tcPr>
          <w:p>
            <w:pPr>
              <w:ind w:left="60"/>
              <w:spacing w:after="0" w:line="181" w:lineRule="exact"/>
              <w:rPr>
                <w:sz w:val="20"/>
                <w:szCs w:val="20"/>
                <w:color w:val="auto"/>
              </w:rPr>
            </w:pPr>
            <w:r>
              <w:rPr>
                <w:rFonts w:ascii="Arial" w:cs="Arial" w:eastAsia="Arial" w:hAnsi="Arial"/>
                <w:sz w:val="16"/>
                <w:szCs w:val="16"/>
                <w:b w:val="1"/>
                <w:bCs w:val="1"/>
                <w:i w:val="1"/>
                <w:iCs w:val="1"/>
                <w:color w:val="auto"/>
              </w:rPr>
              <w:t>Common Share Purchase Warrants</w:t>
            </w:r>
          </w:p>
        </w:tc>
        <w:tc>
          <w:tcPr>
            <w:tcW w:w="19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3"/>
        </w:trPr>
        <w:tc>
          <w:tcPr>
            <w:tcW w:w="3180" w:type="dxa"/>
            <w:vAlign w:val="bottom"/>
          </w:tcPr>
          <w:p>
            <w:pPr>
              <w:ind w:left="20"/>
              <w:spacing w:after="0"/>
              <w:rPr>
                <w:sz w:val="20"/>
                <w:szCs w:val="20"/>
                <w:color w:val="auto"/>
              </w:rPr>
            </w:pPr>
            <w:r>
              <w:rPr>
                <w:rFonts w:ascii="Arial" w:cs="Arial" w:eastAsia="Arial" w:hAnsi="Arial"/>
                <w:sz w:val="16"/>
                <w:szCs w:val="16"/>
                <w:color w:val="auto"/>
              </w:rPr>
              <w:t>February 4, 2024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7,146,500</w:t>
            </w:r>
          </w:p>
        </w:tc>
        <w:tc>
          <w:tcPr>
            <w:tcW w:w="1080" w:type="dxa"/>
            <w:vAlign w:val="bottom"/>
          </w:tcPr>
          <w:p>
            <w:pPr>
              <w:jc w:val="right"/>
              <w:spacing w:after="0"/>
              <w:rPr>
                <w:sz w:val="20"/>
                <w:szCs w:val="20"/>
                <w:color w:val="auto"/>
              </w:rPr>
            </w:pPr>
            <w:r>
              <w:rPr>
                <w:rFonts w:ascii="Arial" w:cs="Arial" w:eastAsia="Arial" w:hAnsi="Arial"/>
                <w:sz w:val="16"/>
                <w:szCs w:val="16"/>
                <w:color w:val="auto"/>
              </w:rPr>
              <w:t>7,146,500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280" w:type="dxa"/>
            <w:vAlign w:val="bottom"/>
          </w:tcPr>
          <w:p>
            <w:pPr>
              <w:jc w:val="right"/>
              <w:spacing w:after="0"/>
              <w:rPr>
                <w:sz w:val="20"/>
                <w:szCs w:val="20"/>
                <w:color w:val="auto"/>
              </w:rPr>
            </w:pPr>
            <w:r>
              <w:rPr>
                <w:rFonts w:ascii="Arial" w:cs="Arial" w:eastAsia="Arial" w:hAnsi="Arial"/>
                <w:sz w:val="16"/>
                <w:szCs w:val="16"/>
                <w:color w:val="auto"/>
              </w:rPr>
              <w:t>5,530</w:t>
            </w:r>
          </w:p>
        </w:tc>
        <w:tc>
          <w:tcPr>
            <w:tcW w:w="132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June 15, 2025</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12,800,000</w:t>
            </w:r>
          </w:p>
        </w:tc>
        <w:tc>
          <w:tcPr>
            <w:tcW w:w="1080" w:type="dxa"/>
            <w:vAlign w:val="bottom"/>
          </w:tcPr>
          <w:p>
            <w:pPr>
              <w:jc w:val="right"/>
              <w:spacing w:after="0"/>
              <w:rPr>
                <w:sz w:val="20"/>
                <w:szCs w:val="20"/>
                <w:color w:val="auto"/>
              </w:rPr>
            </w:pPr>
            <w:r>
              <w:rPr>
                <w:rFonts w:ascii="Arial" w:cs="Arial" w:eastAsia="Arial" w:hAnsi="Arial"/>
                <w:sz w:val="16"/>
                <w:szCs w:val="16"/>
                <w:color w:val="auto"/>
              </w:rPr>
              <w:t>12,800,000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280" w:type="dxa"/>
            <w:vAlign w:val="bottom"/>
          </w:tcPr>
          <w:p>
            <w:pPr>
              <w:jc w:val="right"/>
              <w:spacing w:after="0"/>
              <w:rPr>
                <w:sz w:val="20"/>
                <w:szCs w:val="20"/>
                <w:color w:val="auto"/>
              </w:rPr>
            </w:pPr>
            <w:r>
              <w:rPr>
                <w:rFonts w:ascii="Arial" w:cs="Arial" w:eastAsia="Arial" w:hAnsi="Arial"/>
                <w:sz w:val="16"/>
                <w:szCs w:val="16"/>
                <w:color w:val="auto"/>
              </w:rPr>
              <w:t>2,319</w:t>
            </w:r>
          </w:p>
        </w:tc>
        <w:tc>
          <w:tcPr>
            <w:tcW w:w="132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06"/>
        </w:trPr>
        <w:tc>
          <w:tcPr>
            <w:tcW w:w="3180" w:type="dxa"/>
            <w:vAlign w:val="bottom"/>
          </w:tcPr>
          <w:p>
            <w:pPr>
              <w:ind w:left="20"/>
              <w:spacing w:after="0"/>
              <w:rPr>
                <w:sz w:val="20"/>
                <w:szCs w:val="20"/>
                <w:color w:val="auto"/>
              </w:rPr>
            </w:pPr>
            <w:r>
              <w:rPr>
                <w:rFonts w:ascii="Arial" w:cs="Arial" w:eastAsia="Arial" w:hAnsi="Arial"/>
                <w:sz w:val="16"/>
                <w:szCs w:val="16"/>
                <w:color w:val="auto"/>
              </w:rPr>
              <w:t>August 20, 2025</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1,475,125</w:t>
            </w:r>
          </w:p>
        </w:tc>
        <w:tc>
          <w:tcPr>
            <w:tcW w:w="1080" w:type="dxa"/>
            <w:vAlign w:val="bottom"/>
          </w:tcPr>
          <w:p>
            <w:pPr>
              <w:jc w:val="right"/>
              <w:spacing w:after="0"/>
              <w:rPr>
                <w:sz w:val="20"/>
                <w:szCs w:val="20"/>
                <w:color w:val="auto"/>
              </w:rPr>
            </w:pPr>
            <w:r>
              <w:rPr>
                <w:rFonts w:ascii="Arial" w:cs="Arial" w:eastAsia="Arial" w:hAnsi="Arial"/>
                <w:sz w:val="16"/>
                <w:szCs w:val="16"/>
                <w:color w:val="auto"/>
              </w:rPr>
              <w:t>1,475,125</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0.64</w:t>
            </w:r>
          </w:p>
        </w:tc>
        <w:tc>
          <w:tcPr>
            <w:tcW w:w="1280" w:type="dxa"/>
            <w:vAlign w:val="bottom"/>
          </w:tcPr>
          <w:p>
            <w:pPr>
              <w:jc w:val="right"/>
              <w:spacing w:after="0"/>
              <w:rPr>
                <w:sz w:val="20"/>
                <w:szCs w:val="20"/>
                <w:color w:val="auto"/>
              </w:rPr>
            </w:pPr>
            <w:r>
              <w:rPr>
                <w:rFonts w:ascii="Arial" w:cs="Arial" w:eastAsia="Arial" w:hAnsi="Arial"/>
                <w:sz w:val="16"/>
                <w:szCs w:val="16"/>
                <w:color w:val="auto"/>
              </w:rPr>
              <w:t>680</w:t>
            </w:r>
          </w:p>
        </w:tc>
        <w:tc>
          <w:tcPr>
            <w:tcW w:w="132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05"/>
        </w:trPr>
        <w:tc>
          <w:tcPr>
            <w:tcW w:w="3180" w:type="dxa"/>
            <w:vAlign w:val="bottom"/>
          </w:tcPr>
          <w:p>
            <w:pPr>
              <w:ind w:left="20"/>
              <w:spacing w:after="0"/>
              <w:rPr>
                <w:sz w:val="20"/>
                <w:szCs w:val="20"/>
                <w:color w:val="auto"/>
              </w:rPr>
            </w:pPr>
            <w:r>
              <w:rPr>
                <w:rFonts w:ascii="Arial" w:cs="Arial" w:eastAsia="Arial" w:hAnsi="Arial"/>
                <w:sz w:val="16"/>
                <w:szCs w:val="16"/>
                <w:color w:val="auto"/>
              </w:rPr>
              <w:t>November 15, 2025</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1,150,000</w:t>
            </w:r>
          </w:p>
        </w:tc>
        <w:tc>
          <w:tcPr>
            <w:tcW w:w="1080" w:type="dxa"/>
            <w:vAlign w:val="bottom"/>
          </w:tcPr>
          <w:p>
            <w:pPr>
              <w:jc w:val="right"/>
              <w:spacing w:after="0"/>
              <w:rPr>
                <w:sz w:val="20"/>
                <w:szCs w:val="20"/>
                <w:color w:val="auto"/>
              </w:rPr>
            </w:pPr>
            <w:r>
              <w:rPr>
                <w:rFonts w:ascii="Arial" w:cs="Arial" w:eastAsia="Arial" w:hAnsi="Arial"/>
                <w:sz w:val="16"/>
                <w:szCs w:val="16"/>
                <w:color w:val="auto"/>
              </w:rPr>
              <w:t>1,150,000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0.25</w:t>
            </w:r>
          </w:p>
        </w:tc>
        <w:tc>
          <w:tcPr>
            <w:tcW w:w="1280" w:type="dxa"/>
            <w:vAlign w:val="bottom"/>
          </w:tcPr>
          <w:p>
            <w:pPr>
              <w:jc w:val="right"/>
              <w:spacing w:after="0"/>
              <w:rPr>
                <w:sz w:val="20"/>
                <w:szCs w:val="20"/>
                <w:color w:val="auto"/>
              </w:rPr>
            </w:pPr>
            <w:r>
              <w:rPr>
                <w:rFonts w:ascii="Arial" w:cs="Arial" w:eastAsia="Arial" w:hAnsi="Arial"/>
                <w:sz w:val="16"/>
                <w:szCs w:val="16"/>
                <w:color w:val="auto"/>
              </w:rPr>
              <w:t>220</w:t>
            </w:r>
          </w:p>
        </w:tc>
        <w:tc>
          <w:tcPr>
            <w:tcW w:w="13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53"/>
        </w:trPr>
        <w:tc>
          <w:tcPr>
            <w:tcW w:w="3180" w:type="dxa"/>
            <w:vAlign w:val="bottom"/>
          </w:tcPr>
          <w:p>
            <w:pPr>
              <w:ind w:left="20"/>
              <w:spacing w:after="0"/>
              <w:rPr>
                <w:sz w:val="20"/>
                <w:szCs w:val="20"/>
                <w:color w:val="auto"/>
              </w:rPr>
            </w:pPr>
            <w:r>
              <w:rPr>
                <w:rFonts w:ascii="Arial" w:cs="Arial" w:eastAsia="Arial" w:hAnsi="Arial"/>
                <w:sz w:val="16"/>
                <w:szCs w:val="16"/>
                <w:color w:val="auto"/>
              </w:rPr>
              <w:t>August 4, 2028</w:t>
            </w:r>
            <w:r>
              <w:rPr>
                <w:rFonts w:ascii="Arial" w:cs="Arial" w:eastAsia="Arial" w:hAnsi="Arial"/>
                <w:sz w:val="21"/>
                <w:szCs w:val="21"/>
                <w:b w:val="1"/>
                <w:bCs w:val="1"/>
                <w:color w:val="auto"/>
                <w:vertAlign w:val="superscript"/>
              </w:rPr>
              <w:t>(2)</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24,264,706</w:t>
            </w:r>
          </w:p>
        </w:tc>
        <w:tc>
          <w:tcPr>
            <w:tcW w:w="1080" w:type="dxa"/>
            <w:vAlign w:val="bottom"/>
          </w:tcPr>
          <w:p>
            <w:pPr>
              <w:jc w:val="right"/>
              <w:spacing w:after="0"/>
              <w:rPr>
                <w:sz w:val="20"/>
                <w:szCs w:val="20"/>
                <w:color w:val="auto"/>
              </w:rPr>
            </w:pPr>
            <w:r>
              <w:rPr>
                <w:rFonts w:ascii="Arial" w:cs="Arial" w:eastAsia="Arial" w:hAnsi="Arial"/>
                <w:sz w:val="16"/>
                <w:szCs w:val="16"/>
                <w:color w:val="auto"/>
              </w:rPr>
              <w:t>24,264,706</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0.53</w:t>
            </w:r>
          </w:p>
        </w:tc>
        <w:tc>
          <w:tcPr>
            <w:tcW w:w="1280" w:type="dxa"/>
            <w:vAlign w:val="bottom"/>
          </w:tcPr>
          <w:p>
            <w:pPr>
              <w:jc w:val="right"/>
              <w:spacing w:after="0"/>
              <w:rPr>
                <w:sz w:val="20"/>
                <w:szCs w:val="20"/>
                <w:color w:val="auto"/>
              </w:rPr>
            </w:pPr>
            <w:r>
              <w:rPr>
                <w:rFonts w:ascii="Arial" w:cs="Arial" w:eastAsia="Arial" w:hAnsi="Arial"/>
                <w:sz w:val="16"/>
                <w:szCs w:val="16"/>
                <w:color w:val="auto"/>
              </w:rPr>
              <w:t>4,597</w:t>
            </w:r>
          </w:p>
        </w:tc>
        <w:tc>
          <w:tcPr>
            <w:tcW w:w="132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8"/>
        </w:trPr>
        <w:tc>
          <w:tcPr>
            <w:tcW w:w="3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198"/>
        </w:trPr>
        <w:tc>
          <w:tcPr>
            <w:tcW w:w="31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46,836,331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46,836,331</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0.98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13,346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r>
      <w:tr>
        <w:trPr>
          <w:trHeight w:val="327"/>
        </w:trPr>
        <w:tc>
          <w:tcPr>
            <w:tcW w:w="31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Unit Purchase Warrants</w:t>
            </w:r>
            <w:r>
              <w:rPr>
                <w:rFonts w:ascii="Arial" w:cs="Arial" w:eastAsia="Arial" w:hAnsi="Arial"/>
                <w:sz w:val="21"/>
                <w:szCs w:val="21"/>
                <w:b w:val="1"/>
                <w:bCs w:val="1"/>
                <w:i w:val="1"/>
                <w:iCs w:val="1"/>
                <w:color w:val="auto"/>
                <w:vertAlign w:val="superscript"/>
              </w:rPr>
              <w:t>(1)</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180" w:type="dxa"/>
            <w:vAlign w:val="bottom"/>
          </w:tcPr>
          <w:p>
            <w:pPr>
              <w:ind w:left="20"/>
              <w:spacing w:after="0"/>
              <w:rPr>
                <w:sz w:val="20"/>
                <w:szCs w:val="20"/>
                <w:color w:val="auto"/>
              </w:rPr>
            </w:pPr>
            <w:r>
              <w:rPr>
                <w:rFonts w:ascii="Arial" w:cs="Arial" w:eastAsia="Arial" w:hAnsi="Arial"/>
                <w:sz w:val="16"/>
                <w:szCs w:val="16"/>
                <w:color w:val="auto"/>
              </w:rPr>
              <w:t>February 4, 2024</w:t>
            </w:r>
          </w:p>
        </w:tc>
        <w:tc>
          <w:tcPr>
            <w:tcW w:w="1920" w:type="dxa"/>
            <w:vAlign w:val="bottom"/>
          </w:tcPr>
          <w:p>
            <w:pPr>
              <w:jc w:val="right"/>
              <w:ind w:right="199"/>
              <w:spacing w:after="0"/>
              <w:rPr>
                <w:sz w:val="20"/>
                <w:szCs w:val="20"/>
                <w:color w:val="auto"/>
              </w:rPr>
            </w:pPr>
            <w:r>
              <w:rPr>
                <w:rFonts w:ascii="Arial" w:cs="Arial" w:eastAsia="Arial" w:hAnsi="Arial"/>
                <w:sz w:val="16"/>
                <w:szCs w:val="16"/>
                <w:color w:val="auto"/>
              </w:rPr>
              <w:t>868,740</w:t>
            </w:r>
          </w:p>
        </w:tc>
        <w:tc>
          <w:tcPr>
            <w:tcW w:w="1080" w:type="dxa"/>
            <w:vAlign w:val="bottom"/>
          </w:tcPr>
          <w:p>
            <w:pPr>
              <w:jc w:val="right"/>
              <w:spacing w:after="0"/>
              <w:rPr>
                <w:sz w:val="20"/>
                <w:szCs w:val="20"/>
                <w:color w:val="auto"/>
              </w:rPr>
            </w:pPr>
            <w:r>
              <w:rPr>
                <w:rFonts w:ascii="Arial" w:cs="Arial" w:eastAsia="Arial" w:hAnsi="Arial"/>
                <w:sz w:val="16"/>
                <w:szCs w:val="16"/>
                <w:color w:val="auto"/>
              </w:rPr>
              <w:t>868,740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80" w:type="dxa"/>
            <w:vAlign w:val="bottom"/>
          </w:tcPr>
          <w:p>
            <w:pPr>
              <w:jc w:val="right"/>
              <w:spacing w:after="0"/>
              <w:rPr>
                <w:sz w:val="20"/>
                <w:szCs w:val="20"/>
                <w:color w:val="auto"/>
              </w:rPr>
            </w:pPr>
            <w:r>
              <w:rPr>
                <w:rFonts w:ascii="Arial" w:cs="Arial" w:eastAsia="Arial" w:hAnsi="Arial"/>
                <w:sz w:val="16"/>
                <w:szCs w:val="16"/>
                <w:color w:val="auto"/>
              </w:rPr>
              <w:t>970</w:t>
            </w:r>
          </w:p>
        </w:tc>
        <w:tc>
          <w:tcPr>
            <w:tcW w:w="132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8"/>
        </w:trPr>
        <w:tc>
          <w:tcPr>
            <w:tcW w:w="3180" w:type="dxa"/>
            <w:vAlign w:val="bottom"/>
          </w:tcPr>
          <w:p>
            <w:pPr>
              <w:spacing w:after="0"/>
              <w:rPr>
                <w:sz w:val="20"/>
                <w:szCs w:val="20"/>
                <w:color w:val="auto"/>
              </w:rPr>
            </w:pPr>
          </w:p>
        </w:tc>
        <w:tc>
          <w:tcPr>
            <w:tcW w:w="1920" w:type="dxa"/>
            <w:vAlign w:val="bottom"/>
          </w:tcPr>
          <w:p>
            <w:pPr>
              <w:jc w:val="right"/>
              <w:ind w:right="239"/>
              <w:spacing w:after="0"/>
              <w:rPr>
                <w:sz w:val="20"/>
                <w:szCs w:val="20"/>
                <w:color w:val="auto"/>
              </w:rPr>
            </w:pPr>
            <w:r>
              <w:rPr>
                <w:rFonts w:ascii="Arial" w:cs="Arial" w:eastAsia="Arial" w:hAnsi="Arial"/>
                <w:sz w:val="16"/>
                <w:szCs w:val="16"/>
                <w:b w:val="1"/>
                <w:bCs w:val="1"/>
                <w:color w:val="auto"/>
              </w:rPr>
              <w:t>868,740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868,740</w:t>
            </w: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rPr>
              <w:t>2.25</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970</w:t>
            </w:r>
          </w:p>
        </w:tc>
        <w:tc>
          <w:tcPr>
            <w:tcW w:w="132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443" w:hanging="152"/>
        <w:spacing w:after="0"/>
        <w:tabs>
          <w:tab w:leader="none" w:pos="443" w:val="left"/>
        </w:tabs>
        <w:numPr>
          <w:ilvl w:val="0"/>
          <w:numId w:val="7"/>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Each unit consists of one Common Share and one half of one Common Share purchase warrant, with each Common Share purchase warrant being exercisable to acquire one Common</w:t>
      </w:r>
    </w:p>
    <w:p>
      <w:pPr>
        <w:spacing w:after="0" w:line="45" w:lineRule="exact"/>
        <w:rPr>
          <w:rFonts w:ascii="Arial" w:cs="Arial" w:eastAsia="Arial" w:hAnsi="Arial"/>
          <w:sz w:val="17"/>
          <w:szCs w:val="17"/>
          <w:i w:val="1"/>
          <w:iCs w:val="1"/>
          <w:color w:val="auto"/>
          <w:vertAlign w:val="superscript"/>
        </w:rPr>
      </w:pPr>
    </w:p>
    <w:p>
      <w:pPr>
        <w:ind w:left="283"/>
        <w:spacing w:after="0"/>
        <w:rPr>
          <w:rFonts w:ascii="Arial" w:cs="Arial" w:eastAsia="Arial" w:hAnsi="Arial"/>
          <w:sz w:val="17"/>
          <w:szCs w:val="17"/>
          <w:i w:val="1"/>
          <w:iCs w:val="1"/>
          <w:color w:val="auto"/>
          <w:vertAlign w:val="superscript"/>
        </w:rPr>
      </w:pPr>
      <w:r>
        <w:rPr>
          <w:rFonts w:ascii="Arial" w:cs="Arial" w:eastAsia="Arial" w:hAnsi="Arial"/>
          <w:sz w:val="15"/>
          <w:szCs w:val="15"/>
          <w:i w:val="1"/>
          <w:iCs w:val="1"/>
          <w:color w:val="auto"/>
        </w:rPr>
        <w:t>Share at an exercise price of $3.25 per Common Share.</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5"/>
          <w:szCs w:val="15"/>
          <w:i w:val="1"/>
          <w:iCs w:val="1"/>
          <w:color w:val="auto"/>
        </w:rPr>
        <w:t>On August 4, 2023 the warrants were issued at USD$0.40 which was equivalent to CAD $0.53.</w:t>
      </w:r>
    </w:p>
    <w:p>
      <w:pPr>
        <w:ind w:left="183" w:hanging="183"/>
        <w:spacing w:after="0" w:line="209" w:lineRule="auto"/>
        <w:tabs>
          <w:tab w:leader="none" w:pos="183"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i w:val="1"/>
          <w:iCs w:val="1"/>
          <w:color w:val="auto"/>
        </w:rPr>
        <w:t>On August 4, 2023 warrants were issued with an exercise price of US$ 0.40 which was equivalent to $0.53</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17" w:lineRule="exact"/>
        <w:rPr>
          <w:rFonts w:ascii="Arial" w:cs="Arial" w:eastAsia="Arial" w:hAnsi="Arial"/>
          <w:sz w:val="22"/>
          <w:szCs w:val="22"/>
          <w:color w:val="auto"/>
          <w:vertAlign w:val="superscript"/>
        </w:rPr>
      </w:pPr>
    </w:p>
    <w:p>
      <w:pPr>
        <w:ind w:left="5183"/>
        <w:spacing w:after="0"/>
        <w:rPr>
          <w:rFonts w:ascii="Arial" w:cs="Arial" w:eastAsia="Arial" w:hAnsi="Arial"/>
          <w:sz w:val="22"/>
          <w:szCs w:val="22"/>
          <w:color w:val="auto"/>
          <w:vertAlign w:val="superscript"/>
        </w:rPr>
      </w:pPr>
      <w:r>
        <w:rPr>
          <w:rFonts w:ascii="Arial" w:cs="Arial" w:eastAsia="Arial" w:hAnsi="Arial"/>
          <w:sz w:val="16"/>
          <w:szCs w:val="16"/>
          <w:b w:val="1"/>
          <w:bCs w:val="1"/>
          <w:color w:val="auto"/>
        </w:rPr>
        <w:t>Page 13 of 25</w:t>
      </w:r>
    </w:p>
    <w:p>
      <w:pPr>
        <w:sectPr>
          <w:pgSz w:w="11900" w:h="16838" w:orient="portrait"/>
          <w:cols w:equalWidth="0" w:num="1">
            <w:col w:w="11243"/>
          </w:cols>
          <w:pgMar w:left="317" w:top="221" w:right="339" w:bottom="1440" w:gutter="0" w:footer="0" w:header="0"/>
        </w:sectPr>
      </w:pPr>
    </w:p>
    <w:bookmarkStart w:id="16" w:name="page17"/>
    <w:bookmarkEnd w:id="16"/>
    <w:p>
      <w:pPr>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right="96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68580</wp:posOffset>
            </wp:positionV>
            <wp:extent cx="66916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500" w:hanging="272"/>
        <w:spacing w:after="0"/>
        <w:tabs>
          <w:tab w:leader="none" w:pos="500"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u w:val="single" w:color="auto"/>
          <w:color w:val="auto"/>
        </w:rPr>
        <w:t>Stock optons</w:t>
      </w:r>
    </w:p>
    <w:p>
      <w:pPr>
        <w:spacing w:after="0" w:line="204" w:lineRule="exact"/>
        <w:rPr>
          <w:sz w:val="20"/>
          <w:szCs w:val="20"/>
          <w:color w:val="auto"/>
        </w:rPr>
      </w:pPr>
    </w:p>
    <w:p>
      <w:pPr>
        <w:jc w:val="both"/>
        <w:ind w:left="220"/>
        <w:spacing w:after="0" w:line="298" w:lineRule="auto"/>
        <w:rPr>
          <w:sz w:val="20"/>
          <w:szCs w:val="20"/>
          <w:color w:val="auto"/>
        </w:rPr>
      </w:pPr>
      <w:r>
        <w:rPr>
          <w:rFonts w:ascii="Arial" w:cs="Arial" w:eastAsia="Arial" w:hAnsi="Arial"/>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 awards granted to residents of the United States, to increase the fxed number of Incentve Stock Optons (as defned in the plan) and certain other housekeeping amendments.</w:t>
      </w:r>
    </w:p>
    <w:p>
      <w:pPr>
        <w:spacing w:after="0" w:line="14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340" w:type="dxa"/>
            <w:vAlign w:val="bottom"/>
          </w:tcPr>
          <w:p>
            <w:pPr>
              <w:spacing w:after="0"/>
              <w:rPr>
                <w:sz w:val="20"/>
                <w:szCs w:val="20"/>
                <w:color w:val="auto"/>
              </w:rPr>
            </w:pPr>
            <w:r>
              <w:rPr>
                <w:rFonts w:ascii="Arial" w:cs="Arial" w:eastAsia="Arial" w:hAnsi="Arial"/>
                <w:sz w:val="16"/>
                <w:szCs w:val="16"/>
                <w:color w:val="auto"/>
                <w:w w:val="98"/>
              </w:rPr>
              <w:t>The changes in optons for the six month period ended September 30, 2023 are as follows:</w:t>
            </w:r>
          </w:p>
        </w:tc>
        <w:tc>
          <w:tcPr>
            <w:tcW w:w="1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1"/>
        </w:trPr>
        <w:tc>
          <w:tcPr>
            <w:tcW w:w="6340" w:type="dxa"/>
            <w:vAlign w:val="bottom"/>
          </w:tcPr>
          <w:p>
            <w:pPr>
              <w:spacing w:after="0"/>
              <w:rPr>
                <w:sz w:val="24"/>
                <w:szCs w:val="24"/>
                <w:color w:val="auto"/>
              </w:rPr>
            </w:pPr>
          </w:p>
        </w:tc>
        <w:tc>
          <w:tcPr>
            <w:tcW w:w="19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 Optons</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5"/>
        </w:trPr>
        <w:tc>
          <w:tcPr>
            <w:tcW w:w="6340" w:type="dxa"/>
            <w:vAlign w:val="bottom"/>
          </w:tcPr>
          <w:p>
            <w:pPr>
              <w:spacing w:after="0"/>
              <w:rPr>
                <w:sz w:val="17"/>
                <w:szCs w:val="17"/>
                <w:color w:val="auto"/>
              </w:rPr>
            </w:pPr>
          </w:p>
        </w:tc>
        <w:tc>
          <w:tcPr>
            <w:tcW w:w="1980" w:type="dxa"/>
            <w:vAlign w:val="bottom"/>
            <w:vMerge w:val="continue"/>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37"/>
        </w:trPr>
        <w:tc>
          <w:tcPr>
            <w:tcW w:w="6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3"/>
        </w:trPr>
        <w:tc>
          <w:tcPr>
            <w:tcW w:w="6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340" w:type="dxa"/>
            <w:vAlign w:val="bottom"/>
          </w:tcPr>
          <w:p>
            <w:pPr>
              <w:ind w:left="60"/>
              <w:spacing w:after="0"/>
              <w:rPr>
                <w:sz w:val="20"/>
                <w:szCs w:val="20"/>
                <w:color w:val="auto"/>
              </w:rPr>
            </w:pPr>
            <w:r>
              <w:rPr>
                <w:rFonts w:ascii="Arial" w:cs="Arial" w:eastAsia="Arial" w:hAnsi="Arial"/>
                <w:sz w:val="16"/>
                <w:szCs w:val="16"/>
                <w:color w:val="auto"/>
              </w:rPr>
              <w:t>As at March 31, 2023</w:t>
            </w:r>
          </w:p>
        </w:tc>
        <w:tc>
          <w:tcPr>
            <w:tcW w:w="1980" w:type="dxa"/>
            <w:vAlign w:val="bottom"/>
          </w:tcPr>
          <w:p>
            <w:pPr>
              <w:jc w:val="right"/>
              <w:ind w:right="219"/>
              <w:spacing w:after="0"/>
              <w:rPr>
                <w:sz w:val="20"/>
                <w:szCs w:val="20"/>
                <w:color w:val="auto"/>
              </w:rPr>
            </w:pPr>
            <w:r>
              <w:rPr>
                <w:rFonts w:ascii="Arial" w:cs="Arial" w:eastAsia="Arial" w:hAnsi="Arial"/>
                <w:sz w:val="16"/>
                <w:szCs w:val="16"/>
                <w:color w:val="auto"/>
              </w:rPr>
              <w:t>29,569,800</w:t>
            </w:r>
          </w:p>
        </w:tc>
        <w:tc>
          <w:tcPr>
            <w:tcW w:w="15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0"/>
        </w:trPr>
        <w:tc>
          <w:tcPr>
            <w:tcW w:w="6340" w:type="dxa"/>
            <w:vAlign w:val="bottom"/>
          </w:tcPr>
          <w:p>
            <w:pPr>
              <w:ind w:left="60"/>
              <w:spacing w:after="0"/>
              <w:rPr>
                <w:sz w:val="20"/>
                <w:szCs w:val="20"/>
                <w:color w:val="auto"/>
              </w:rPr>
            </w:pPr>
            <w:r>
              <w:rPr>
                <w:rFonts w:ascii="Arial" w:cs="Arial" w:eastAsia="Arial" w:hAnsi="Arial"/>
                <w:sz w:val="16"/>
                <w:szCs w:val="16"/>
                <w:color w:val="auto"/>
              </w:rPr>
              <w:t>Granted</w:t>
            </w:r>
          </w:p>
        </w:tc>
        <w:tc>
          <w:tcPr>
            <w:tcW w:w="1980" w:type="dxa"/>
            <w:vAlign w:val="bottom"/>
          </w:tcPr>
          <w:p>
            <w:pPr>
              <w:jc w:val="right"/>
              <w:ind w:right="179"/>
              <w:spacing w:after="0"/>
              <w:rPr>
                <w:sz w:val="20"/>
                <w:szCs w:val="20"/>
                <w:color w:val="auto"/>
              </w:rPr>
            </w:pPr>
            <w:r>
              <w:rPr>
                <w:rFonts w:ascii="Arial" w:cs="Arial" w:eastAsia="Arial" w:hAnsi="Arial"/>
                <w:sz w:val="16"/>
                <w:szCs w:val="16"/>
                <w:color w:val="auto"/>
              </w:rPr>
              <w:t>12,825,000</w:t>
            </w:r>
          </w:p>
        </w:tc>
        <w:tc>
          <w:tcPr>
            <w:tcW w:w="1540" w:type="dxa"/>
            <w:vAlign w:val="bottom"/>
          </w:tcPr>
          <w:p>
            <w:pPr>
              <w:jc w:val="right"/>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55"/>
        </w:trPr>
        <w:tc>
          <w:tcPr>
            <w:tcW w:w="6340" w:type="dxa"/>
            <w:vAlign w:val="bottom"/>
          </w:tcPr>
          <w:p>
            <w:pPr>
              <w:ind w:left="60"/>
              <w:spacing w:after="0"/>
              <w:rPr>
                <w:sz w:val="20"/>
                <w:szCs w:val="20"/>
                <w:color w:val="auto"/>
              </w:rPr>
            </w:pPr>
            <w:r>
              <w:rPr>
                <w:rFonts w:ascii="Arial" w:cs="Arial" w:eastAsia="Arial" w:hAnsi="Arial"/>
                <w:sz w:val="16"/>
                <w:szCs w:val="16"/>
                <w:color w:val="auto"/>
              </w:rPr>
              <w:t>Forfeited/Expired</w:t>
            </w:r>
          </w:p>
        </w:tc>
        <w:tc>
          <w:tcPr>
            <w:tcW w:w="1980" w:type="dxa"/>
            <w:vAlign w:val="bottom"/>
          </w:tcPr>
          <w:p>
            <w:pPr>
              <w:jc w:val="right"/>
              <w:ind w:right="219"/>
              <w:spacing w:after="0"/>
              <w:rPr>
                <w:sz w:val="20"/>
                <w:szCs w:val="20"/>
                <w:color w:val="auto"/>
              </w:rPr>
            </w:pPr>
            <w:r>
              <w:rPr>
                <w:rFonts w:ascii="Arial" w:cs="Arial" w:eastAsia="Arial" w:hAnsi="Arial"/>
                <w:sz w:val="16"/>
                <w:szCs w:val="16"/>
                <w:color w:val="auto"/>
              </w:rPr>
              <w:t>(508,125)</w:t>
            </w:r>
          </w:p>
        </w:tc>
        <w:tc>
          <w:tcPr>
            <w:tcW w:w="154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45"/>
        </w:trPr>
        <w:tc>
          <w:tcPr>
            <w:tcW w:w="6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60"/>
              <w:spacing w:after="0"/>
              <w:rPr>
                <w:sz w:val="20"/>
                <w:szCs w:val="20"/>
                <w:color w:val="auto"/>
              </w:rPr>
            </w:pPr>
            <w:r>
              <w:rPr>
                <w:rFonts w:ascii="Arial" w:cs="Arial" w:eastAsia="Arial" w:hAnsi="Arial"/>
                <w:sz w:val="16"/>
                <w:szCs w:val="16"/>
                <w:b w:val="1"/>
                <w:bCs w:val="1"/>
                <w:color w:val="auto"/>
              </w:rPr>
              <w:t>Outstanding as at September 30, 2023</w:t>
            </w:r>
          </w:p>
        </w:tc>
        <w:tc>
          <w:tcPr>
            <w:tcW w:w="1980" w:type="dxa"/>
            <w:vAlign w:val="bottom"/>
          </w:tcPr>
          <w:p>
            <w:pPr>
              <w:jc w:val="right"/>
              <w:ind w:right="219"/>
              <w:spacing w:after="0"/>
              <w:rPr>
                <w:sz w:val="20"/>
                <w:szCs w:val="20"/>
                <w:color w:val="auto"/>
              </w:rPr>
            </w:pPr>
            <w:r>
              <w:rPr>
                <w:rFonts w:ascii="Arial" w:cs="Arial" w:eastAsia="Arial" w:hAnsi="Arial"/>
                <w:sz w:val="16"/>
                <w:szCs w:val="16"/>
                <w:b w:val="1"/>
                <w:bCs w:val="1"/>
                <w:color w:val="auto"/>
              </w:rPr>
              <w:t>41,886,675</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1.08</w:t>
            </w:r>
          </w:p>
        </w:tc>
        <w:tc>
          <w:tcPr>
            <w:tcW w:w="0" w:type="dxa"/>
            <w:vAlign w:val="bottom"/>
          </w:tcPr>
          <w:p>
            <w:pPr>
              <w:spacing w:after="0"/>
              <w:rPr>
                <w:sz w:val="1"/>
                <w:szCs w:val="1"/>
                <w:color w:val="auto"/>
              </w:rPr>
            </w:pPr>
          </w:p>
        </w:tc>
      </w:tr>
      <w:tr>
        <w:trPr>
          <w:trHeight w:val="43"/>
        </w:trPr>
        <w:tc>
          <w:tcPr>
            <w:tcW w:w="6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60"/>
              <w:spacing w:after="0"/>
              <w:rPr>
                <w:sz w:val="20"/>
                <w:szCs w:val="20"/>
                <w:color w:val="auto"/>
              </w:rPr>
            </w:pPr>
            <w:r>
              <w:rPr>
                <w:rFonts w:ascii="Arial" w:cs="Arial" w:eastAsia="Arial" w:hAnsi="Arial"/>
                <w:sz w:val="16"/>
                <w:szCs w:val="16"/>
                <w:b w:val="1"/>
                <w:bCs w:val="1"/>
                <w:color w:val="auto"/>
              </w:rPr>
              <w:t>Exercisable as at September 30, 2023</w:t>
            </w:r>
          </w:p>
        </w:tc>
        <w:tc>
          <w:tcPr>
            <w:tcW w:w="1980" w:type="dxa"/>
            <w:vAlign w:val="bottom"/>
          </w:tcPr>
          <w:p>
            <w:pPr>
              <w:jc w:val="right"/>
              <w:ind w:right="219"/>
              <w:spacing w:after="0"/>
              <w:rPr>
                <w:sz w:val="20"/>
                <w:szCs w:val="20"/>
                <w:color w:val="auto"/>
              </w:rPr>
            </w:pPr>
            <w:r>
              <w:rPr>
                <w:rFonts w:ascii="Arial" w:cs="Arial" w:eastAsia="Arial" w:hAnsi="Arial"/>
                <w:sz w:val="16"/>
                <w:szCs w:val="16"/>
                <w:b w:val="1"/>
                <w:bCs w:val="1"/>
                <w:color w:val="auto"/>
              </w:rPr>
              <w:t>32,839,175</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1.22</w:t>
            </w:r>
          </w:p>
        </w:tc>
        <w:tc>
          <w:tcPr>
            <w:tcW w:w="0" w:type="dxa"/>
            <w:vAlign w:val="bottom"/>
          </w:tcPr>
          <w:p>
            <w:pPr>
              <w:spacing w:after="0"/>
              <w:rPr>
                <w:sz w:val="1"/>
                <w:szCs w:val="1"/>
                <w:color w:val="auto"/>
              </w:rPr>
            </w:pPr>
          </w:p>
        </w:tc>
      </w:tr>
      <w:tr>
        <w:trPr>
          <w:trHeight w:val="43"/>
        </w:trPr>
        <w:tc>
          <w:tcPr>
            <w:tcW w:w="63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During the six month period ended September 30, 2023, the Company completed the following opton issuances:</w:t>
      </w:r>
    </w:p>
    <w:p>
      <w:pPr>
        <w:spacing w:after="0" w:line="265" w:lineRule="exact"/>
        <w:rPr>
          <w:sz w:val="20"/>
          <w:szCs w:val="20"/>
          <w:color w:val="auto"/>
        </w:rPr>
      </w:pPr>
    </w:p>
    <w:p>
      <w:pPr>
        <w:jc w:val="both"/>
        <w:ind w:left="220"/>
        <w:spacing w:after="0" w:line="322" w:lineRule="auto"/>
        <w:rPr>
          <w:sz w:val="20"/>
          <w:szCs w:val="20"/>
          <w:color w:val="auto"/>
        </w:rPr>
      </w:pPr>
      <w:r>
        <w:rPr>
          <w:rFonts w:ascii="Arial" w:cs="Arial" w:eastAsia="Arial" w:hAnsi="Arial"/>
          <w:sz w:val="15"/>
          <w:szCs w:val="15"/>
          <w:color w:val="auto"/>
        </w:rPr>
        <w:t>On June 29, 2023, the Company granted optons to purchase up to 11,615,000 Common Shares, of which 3,991,000 were granted to employees, 3,763,000 were granted to ofcers of the Company, 3,076,000 were granted to consultants, and 785,000 were granted to directors of the Company. The granted optons have an exercise price of $0.44 per Common Share, and expire on June 30, 2028. The granted optons have diferent vestng schedules; 1,500,000 optons vested immediately, 700,000 optons vest over three months, 100,000 optons vest over one year, and 9,315,000 optons vest over two years. The aggregate estmated grant date fair value was determined to be $4,080, calculated using the Black-Scholes opton pricing model with the following assumptons:</w:t>
      </w:r>
    </w:p>
    <w:p>
      <w:pPr>
        <w:spacing w:after="0" w:line="15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60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3080" w:type="dxa"/>
            <w:vAlign w:val="bottom"/>
          </w:tcPr>
          <w:p>
            <w:pPr>
              <w:jc w:val="right"/>
              <w:spacing w:after="0"/>
              <w:rPr>
                <w:sz w:val="20"/>
                <w:szCs w:val="20"/>
                <w:color w:val="auto"/>
              </w:rPr>
            </w:pPr>
            <w:r>
              <w:rPr>
                <w:rFonts w:ascii="Arial" w:cs="Arial" w:eastAsia="Arial" w:hAnsi="Arial"/>
                <w:sz w:val="16"/>
                <w:szCs w:val="16"/>
                <w:color w:val="auto"/>
              </w:rPr>
              <w:t>3.78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600" w:type="dxa"/>
            <w:vAlign w:val="bottom"/>
          </w:tcPr>
          <w:p>
            <w:pPr>
              <w:ind w:left="60"/>
              <w:spacing w:after="0"/>
              <w:rPr>
                <w:sz w:val="20"/>
                <w:szCs w:val="20"/>
                <w:color w:val="auto"/>
              </w:rPr>
            </w:pPr>
            <w:r>
              <w:rPr>
                <w:rFonts w:ascii="Arial" w:cs="Arial" w:eastAsia="Arial" w:hAnsi="Arial"/>
                <w:sz w:val="16"/>
                <w:szCs w:val="16"/>
                <w:color w:val="auto"/>
              </w:rPr>
              <w:t>Expected annual volatlity, based on comparable companies</w:t>
            </w:r>
          </w:p>
        </w:tc>
        <w:tc>
          <w:tcPr>
            <w:tcW w:w="3080" w:type="dxa"/>
            <w:vAlign w:val="bottom"/>
          </w:tcPr>
          <w:p>
            <w:pPr>
              <w:jc w:val="right"/>
              <w:spacing w:after="0"/>
              <w:rPr>
                <w:sz w:val="20"/>
                <w:szCs w:val="20"/>
                <w:color w:val="auto"/>
              </w:rPr>
            </w:pPr>
            <w:r>
              <w:rPr>
                <w:rFonts w:ascii="Arial" w:cs="Arial" w:eastAsia="Arial" w:hAnsi="Arial"/>
                <w:sz w:val="16"/>
                <w:szCs w:val="16"/>
                <w:color w:val="auto"/>
              </w:rPr>
              <w:t>95.00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60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3320" w:type="dxa"/>
            <w:vAlign w:val="bottom"/>
            <w:gridSpan w:val="2"/>
          </w:tcPr>
          <w:p>
            <w:pPr>
              <w:jc w:val="right"/>
              <w:spacing w:after="0"/>
              <w:rPr>
                <w:sz w:val="20"/>
                <w:szCs w:val="20"/>
                <w:color w:val="auto"/>
              </w:rPr>
            </w:pPr>
            <w:r>
              <w:rPr>
                <w:rFonts w:ascii="Arial" w:cs="Arial" w:eastAsia="Arial" w:hAnsi="Arial"/>
                <w:sz w:val="16"/>
                <w:szCs w:val="16"/>
                <w:color w:val="auto"/>
              </w:rPr>
              <w:t>5.00</w:t>
            </w:r>
          </w:p>
        </w:tc>
      </w:tr>
      <w:tr>
        <w:trPr>
          <w:trHeight w:val="206"/>
        </w:trPr>
        <w:tc>
          <w:tcPr>
            <w:tcW w:w="660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3080" w:type="dxa"/>
            <w:vAlign w:val="bottom"/>
          </w:tcPr>
          <w:p>
            <w:pPr>
              <w:jc w:val="right"/>
              <w:spacing w:after="0"/>
              <w:rPr>
                <w:sz w:val="20"/>
                <w:szCs w:val="20"/>
                <w:color w:val="auto"/>
              </w:rPr>
            </w:pPr>
            <w:r>
              <w:rPr>
                <w:rFonts w:ascii="Arial" w:cs="Arial" w:eastAsia="Arial" w:hAnsi="Arial"/>
                <w:sz w:val="16"/>
                <w:szCs w:val="16"/>
                <w:color w:val="auto"/>
              </w:rPr>
              <w:t>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60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3320" w:type="dxa"/>
            <w:vAlign w:val="bottom"/>
            <w:gridSpan w:val="2"/>
          </w:tcPr>
          <w:p>
            <w:pPr>
              <w:jc w:val="right"/>
              <w:spacing w:after="0"/>
              <w:rPr>
                <w:sz w:val="20"/>
                <w:szCs w:val="20"/>
                <w:color w:val="auto"/>
              </w:rPr>
            </w:pPr>
            <w:r>
              <w:rPr>
                <w:rFonts w:ascii="Arial" w:cs="Arial" w:eastAsia="Arial" w:hAnsi="Arial"/>
                <w:sz w:val="16"/>
                <w:szCs w:val="16"/>
                <w:color w:val="auto"/>
              </w:rPr>
              <w:t>CAD$0.47</w:t>
            </w:r>
          </w:p>
        </w:tc>
      </w:tr>
      <w:tr>
        <w:trPr>
          <w:trHeight w:val="206"/>
        </w:trPr>
        <w:tc>
          <w:tcPr>
            <w:tcW w:w="6600" w:type="dxa"/>
            <w:vAlign w:val="bottom"/>
          </w:tcPr>
          <w:p>
            <w:pPr>
              <w:ind w:left="60"/>
              <w:spacing w:after="0"/>
              <w:rPr>
                <w:sz w:val="20"/>
                <w:szCs w:val="20"/>
                <w:color w:val="auto"/>
              </w:rPr>
            </w:pPr>
            <w:r>
              <w:rPr>
                <w:rFonts w:ascii="Arial" w:cs="Arial" w:eastAsia="Arial" w:hAnsi="Arial"/>
                <w:sz w:val="16"/>
                <w:szCs w:val="16"/>
                <w:color w:val="auto"/>
              </w:rPr>
              <w:t>Exercise price</w:t>
            </w:r>
          </w:p>
        </w:tc>
        <w:tc>
          <w:tcPr>
            <w:tcW w:w="3320" w:type="dxa"/>
            <w:vAlign w:val="bottom"/>
            <w:gridSpan w:val="2"/>
          </w:tcPr>
          <w:p>
            <w:pPr>
              <w:jc w:val="right"/>
              <w:spacing w:after="0"/>
              <w:rPr>
                <w:sz w:val="20"/>
                <w:szCs w:val="20"/>
                <w:color w:val="auto"/>
              </w:rPr>
            </w:pPr>
            <w:r>
              <w:rPr>
                <w:rFonts w:ascii="Arial" w:cs="Arial" w:eastAsia="Arial" w:hAnsi="Arial"/>
                <w:sz w:val="16"/>
                <w:szCs w:val="16"/>
                <w:color w:val="auto"/>
              </w:rPr>
              <w:t>CAD$0.44</w:t>
            </w: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220" w:right="240"/>
        <w:spacing w:after="0" w:line="316" w:lineRule="auto"/>
        <w:rPr>
          <w:sz w:val="20"/>
          <w:szCs w:val="20"/>
          <w:color w:val="auto"/>
        </w:rPr>
      </w:pPr>
      <w:r>
        <w:rPr>
          <w:rFonts w:ascii="Arial" w:cs="Arial" w:eastAsia="Arial" w:hAnsi="Arial"/>
          <w:sz w:val="15"/>
          <w:szCs w:val="15"/>
          <w:color w:val="auto"/>
        </w:rPr>
        <w:t>On September 26, 2023, the Company granted optons to purchase up to1,210,000 Common Shares, of which 135,000 were granted to an employee and, 1,075,000 were granted to consultants. The granted optons have an exercise price of $0.79 per Common Share, and 975,000 optons expire on September 26, 2026 and the remaining 235,000 optons expire on September 26, 2028. The granted optons have diferent vestng schedules. 375,000 optons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Page 14 of 25</w:t>
      </w:r>
    </w:p>
    <w:p>
      <w:pPr>
        <w:sectPr>
          <w:pgSz w:w="11900" w:h="16838" w:orient="portrait"/>
          <w:cols w:equalWidth="0" w:num="1">
            <w:col w:w="11180"/>
          </w:cols>
          <w:pgMar w:left="380" w:top="221"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0" w:right="96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66916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80" w:right="40"/>
        <w:spacing w:after="0" w:line="294" w:lineRule="auto"/>
        <w:rPr>
          <w:sz w:val="20"/>
          <w:szCs w:val="20"/>
          <w:color w:val="auto"/>
        </w:rPr>
      </w:pPr>
      <w:r>
        <w:rPr>
          <w:rFonts w:ascii="Arial" w:cs="Arial" w:eastAsia="Arial" w:hAnsi="Arial"/>
          <w:sz w:val="16"/>
          <w:szCs w:val="16"/>
          <w:color w:val="auto"/>
        </w:rPr>
        <w:t>vest over three months, 200,000 optons vest over six months, 400,000 optons vest over one year, 100,000 optons vest over ffeen months, and 135,000 optons vest over 18 months.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aggregate estmated grant date fair value was determined to be $577, calculated using the Black-Scholes opton pricing model with the following assumptons:</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Optons granted on September 26, 2023 and expiring on September 26,2026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Risk-free interest rate</w:t>
            </w:r>
          </w:p>
        </w:tc>
        <w:tc>
          <w:tcPr>
            <w:tcW w:w="258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Expected annual volatlity, based on comparable companies</w:t>
            </w:r>
          </w:p>
        </w:tc>
        <w:tc>
          <w:tcPr>
            <w:tcW w:w="2580" w:type="dxa"/>
            <w:vAlign w:val="bottom"/>
          </w:tcPr>
          <w:p>
            <w:pPr>
              <w:jc w:val="right"/>
              <w:ind w:right="19"/>
              <w:spacing w:after="0"/>
              <w:rPr>
                <w:sz w:val="20"/>
                <w:szCs w:val="20"/>
                <w:color w:val="auto"/>
              </w:rPr>
            </w:pPr>
            <w:r>
              <w:rPr>
                <w:rFonts w:ascii="Arial" w:cs="Arial" w:eastAsia="Arial" w:hAnsi="Arial"/>
                <w:sz w:val="16"/>
                <w:szCs w:val="16"/>
                <w:color w:val="auto"/>
              </w:rPr>
              <w:t>85.00</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Expected life (in years)</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6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Expected dividend yield</w:t>
            </w:r>
          </w:p>
        </w:tc>
        <w:tc>
          <w:tcPr>
            <w:tcW w:w="2580" w:type="dxa"/>
            <w:vAlign w:val="bottom"/>
          </w:tcPr>
          <w:p>
            <w:pPr>
              <w:jc w:val="right"/>
              <w:ind w:right="19"/>
              <w:spacing w:after="0"/>
              <w:rPr>
                <w:sz w:val="20"/>
                <w:szCs w:val="20"/>
                <w:color w:val="auto"/>
              </w:rPr>
            </w:pPr>
            <w:r>
              <w:rPr>
                <w:rFonts w:ascii="Arial" w:cs="Arial" w:eastAsia="Arial" w:hAnsi="Arial"/>
                <w:sz w:val="16"/>
                <w:szCs w:val="16"/>
                <w:color w:val="auto"/>
              </w:rPr>
              <w:t>0.00</w:t>
            </w:r>
          </w:p>
        </w:tc>
        <w:tc>
          <w:tcPr>
            <w:tcW w:w="22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6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Share price</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CAD$0.79</w:t>
            </w:r>
          </w:p>
        </w:tc>
        <w:tc>
          <w:tcPr>
            <w:tcW w:w="6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auto"/>
              </w:rPr>
              <w:t>Exercise price</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CAD$0.79</w:t>
            </w:r>
          </w:p>
        </w:tc>
        <w:tc>
          <w:tcPr>
            <w:tcW w:w="60" w:type="dxa"/>
            <w:vAlign w:val="bottom"/>
          </w:tcPr>
          <w:p>
            <w:pPr>
              <w:spacing w:after="0"/>
              <w:rPr>
                <w:sz w:val="17"/>
                <w:szCs w:val="17"/>
                <w:color w:val="auto"/>
              </w:rPr>
            </w:pPr>
          </w:p>
        </w:tc>
      </w:tr>
      <w:tr>
        <w:trPr>
          <w:trHeight w:val="21"/>
        </w:trPr>
        <w:tc>
          <w:tcPr>
            <w:tcW w:w="280" w:type="dxa"/>
            <w:vAlign w:val="bottom"/>
          </w:tcPr>
          <w:p>
            <w:pPr>
              <w:spacing w:after="0" w:line="20" w:lineRule="exact"/>
              <w:rPr>
                <w:sz w:val="1"/>
                <w:szCs w:val="1"/>
                <w:color w:val="auto"/>
              </w:rPr>
            </w:pPr>
          </w:p>
        </w:tc>
        <w:tc>
          <w:tcPr>
            <w:tcW w:w="71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8"/>
        </w:trPr>
        <w:tc>
          <w:tcPr>
            <w:tcW w:w="7400" w:type="dxa"/>
            <w:vAlign w:val="bottom"/>
            <w:gridSpan w:val="2"/>
          </w:tcPr>
          <w:p>
            <w:pPr>
              <w:ind w:left="280"/>
              <w:spacing w:after="0"/>
              <w:rPr>
                <w:sz w:val="20"/>
                <w:szCs w:val="20"/>
                <w:color w:val="auto"/>
              </w:rPr>
            </w:pPr>
            <w:r>
              <w:rPr>
                <w:rFonts w:ascii="Arial" w:cs="Arial" w:eastAsia="Arial" w:hAnsi="Arial"/>
                <w:sz w:val="16"/>
                <w:szCs w:val="16"/>
                <w:color w:val="auto"/>
              </w:rPr>
              <w:t>Optons granted on September 26, 2023 and expiring on September 26,2028</w:t>
            </w: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400" w:type="dxa"/>
            <w:vAlign w:val="bottom"/>
            <w:gridSpan w:val="2"/>
          </w:tcPr>
          <w:p>
            <w:pPr>
              <w:ind w:left="60"/>
              <w:spacing w:after="0"/>
              <w:rPr>
                <w:sz w:val="20"/>
                <w:szCs w:val="20"/>
                <w:color w:val="auto"/>
              </w:rPr>
            </w:pPr>
            <w:r>
              <w:rPr>
                <w:rFonts w:ascii="Arial" w:cs="Arial" w:eastAsia="Arial" w:hAnsi="Arial"/>
                <w:sz w:val="16"/>
                <w:szCs w:val="16"/>
                <w:color w:val="auto"/>
              </w:rPr>
              <w:t>Risk-free interest rate</w:t>
            </w:r>
          </w:p>
        </w:tc>
        <w:tc>
          <w:tcPr>
            <w:tcW w:w="2580" w:type="dxa"/>
            <w:vAlign w:val="bottom"/>
          </w:tcPr>
          <w:p>
            <w:pPr>
              <w:jc w:val="right"/>
              <w:spacing w:after="0"/>
              <w:rPr>
                <w:sz w:val="20"/>
                <w:szCs w:val="20"/>
                <w:color w:val="auto"/>
              </w:rPr>
            </w:pPr>
            <w:r>
              <w:rPr>
                <w:rFonts w:ascii="Arial" w:cs="Arial" w:eastAsia="Arial" w:hAnsi="Arial"/>
                <w:sz w:val="16"/>
                <w:szCs w:val="16"/>
                <w:color w:val="auto"/>
              </w:rPr>
              <w:t>4.28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r>
      <w:tr>
        <w:trPr>
          <w:trHeight w:val="206"/>
        </w:trPr>
        <w:tc>
          <w:tcPr>
            <w:tcW w:w="7400" w:type="dxa"/>
            <w:vAlign w:val="bottom"/>
            <w:gridSpan w:val="2"/>
          </w:tcPr>
          <w:p>
            <w:pPr>
              <w:ind w:left="60"/>
              <w:spacing w:after="0"/>
              <w:rPr>
                <w:sz w:val="20"/>
                <w:szCs w:val="20"/>
                <w:color w:val="auto"/>
              </w:rPr>
            </w:pPr>
            <w:r>
              <w:rPr>
                <w:rFonts w:ascii="Arial" w:cs="Arial" w:eastAsia="Arial" w:hAnsi="Arial"/>
                <w:sz w:val="16"/>
                <w:szCs w:val="16"/>
                <w:color w:val="auto"/>
              </w:rPr>
              <w:t>Expected annual volatlity, based on comparable companies</w:t>
            </w:r>
          </w:p>
        </w:tc>
        <w:tc>
          <w:tcPr>
            <w:tcW w:w="2580" w:type="dxa"/>
            <w:vAlign w:val="bottom"/>
          </w:tcPr>
          <w:p>
            <w:pPr>
              <w:jc w:val="right"/>
              <w:spacing w:after="0"/>
              <w:rPr>
                <w:sz w:val="20"/>
                <w:szCs w:val="20"/>
                <w:color w:val="auto"/>
              </w:rPr>
            </w:pPr>
            <w:r>
              <w:rPr>
                <w:rFonts w:ascii="Arial" w:cs="Arial" w:eastAsia="Arial" w:hAnsi="Arial"/>
                <w:sz w:val="16"/>
                <w:szCs w:val="16"/>
                <w:color w:val="auto"/>
              </w:rPr>
              <w:t>95.00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6"/>
        </w:trPr>
        <w:tc>
          <w:tcPr>
            <w:tcW w:w="7400" w:type="dxa"/>
            <w:vAlign w:val="bottom"/>
            <w:gridSpan w:val="2"/>
          </w:tcPr>
          <w:p>
            <w:pPr>
              <w:ind w:left="60"/>
              <w:spacing w:after="0"/>
              <w:rPr>
                <w:sz w:val="20"/>
                <w:szCs w:val="20"/>
                <w:color w:val="auto"/>
              </w:rPr>
            </w:pPr>
            <w:r>
              <w:rPr>
                <w:rFonts w:ascii="Arial" w:cs="Arial" w:eastAsia="Arial" w:hAnsi="Arial"/>
                <w:sz w:val="16"/>
                <w:szCs w:val="16"/>
                <w:color w:val="auto"/>
              </w:rPr>
              <w:t>Expected life (in years)</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7"/>
                <w:szCs w:val="17"/>
                <w:color w:val="auto"/>
              </w:rPr>
            </w:pPr>
          </w:p>
        </w:tc>
      </w:tr>
      <w:tr>
        <w:trPr>
          <w:trHeight w:val="206"/>
        </w:trPr>
        <w:tc>
          <w:tcPr>
            <w:tcW w:w="7400" w:type="dxa"/>
            <w:vAlign w:val="bottom"/>
            <w:gridSpan w:val="2"/>
          </w:tcPr>
          <w:p>
            <w:pPr>
              <w:ind w:left="60"/>
              <w:spacing w:after="0"/>
              <w:rPr>
                <w:sz w:val="20"/>
                <w:szCs w:val="20"/>
                <w:color w:val="auto"/>
              </w:rPr>
            </w:pPr>
            <w:r>
              <w:rPr>
                <w:rFonts w:ascii="Arial" w:cs="Arial" w:eastAsia="Arial" w:hAnsi="Arial"/>
                <w:sz w:val="16"/>
                <w:szCs w:val="16"/>
                <w:color w:val="auto"/>
              </w:rPr>
              <w:t>Expected dividend yield</w:t>
            </w:r>
          </w:p>
        </w:tc>
        <w:tc>
          <w:tcPr>
            <w:tcW w:w="258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6"/>
        </w:trPr>
        <w:tc>
          <w:tcPr>
            <w:tcW w:w="7400" w:type="dxa"/>
            <w:vAlign w:val="bottom"/>
            <w:gridSpan w:val="2"/>
          </w:tcPr>
          <w:p>
            <w:pPr>
              <w:ind w:left="60"/>
              <w:spacing w:after="0"/>
              <w:rPr>
                <w:sz w:val="20"/>
                <w:szCs w:val="20"/>
                <w:color w:val="auto"/>
              </w:rPr>
            </w:pPr>
            <w:r>
              <w:rPr>
                <w:rFonts w:ascii="Arial" w:cs="Arial" w:eastAsia="Arial" w:hAnsi="Arial"/>
                <w:sz w:val="16"/>
                <w:szCs w:val="16"/>
                <w:color w:val="auto"/>
              </w:rPr>
              <w:t>Share price</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CAD$0.79</w:t>
            </w:r>
          </w:p>
        </w:tc>
        <w:tc>
          <w:tcPr>
            <w:tcW w:w="60" w:type="dxa"/>
            <w:vAlign w:val="bottom"/>
          </w:tcPr>
          <w:p>
            <w:pPr>
              <w:spacing w:after="0"/>
              <w:rPr>
                <w:sz w:val="17"/>
                <w:szCs w:val="17"/>
                <w:color w:val="auto"/>
              </w:rPr>
            </w:pPr>
          </w:p>
        </w:tc>
      </w:tr>
      <w:tr>
        <w:trPr>
          <w:trHeight w:val="206"/>
        </w:trPr>
        <w:tc>
          <w:tcPr>
            <w:tcW w:w="7400" w:type="dxa"/>
            <w:vAlign w:val="bottom"/>
            <w:gridSpan w:val="2"/>
          </w:tcPr>
          <w:p>
            <w:pPr>
              <w:ind w:left="60"/>
              <w:spacing w:after="0"/>
              <w:rPr>
                <w:sz w:val="20"/>
                <w:szCs w:val="20"/>
                <w:color w:val="auto"/>
              </w:rPr>
            </w:pPr>
            <w:r>
              <w:rPr>
                <w:rFonts w:ascii="Arial" w:cs="Arial" w:eastAsia="Arial" w:hAnsi="Arial"/>
                <w:sz w:val="16"/>
                <w:szCs w:val="16"/>
                <w:color w:val="auto"/>
              </w:rPr>
              <w:t>Exercise price</w:t>
            </w: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CAD$0.79</w:t>
            </w:r>
          </w:p>
        </w:tc>
        <w:tc>
          <w:tcPr>
            <w:tcW w:w="60" w:type="dxa"/>
            <w:vAlign w:val="bottom"/>
          </w:tcPr>
          <w:p>
            <w:pPr>
              <w:spacing w:after="0"/>
              <w:rPr>
                <w:sz w:val="17"/>
                <w:szCs w:val="17"/>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71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280"/>
        <w:spacing w:after="0" w:line="325" w:lineRule="auto"/>
        <w:rPr>
          <w:sz w:val="20"/>
          <w:szCs w:val="20"/>
          <w:color w:val="auto"/>
        </w:rPr>
      </w:pPr>
      <w:r>
        <w:rPr>
          <w:rFonts w:ascii="Arial" w:cs="Arial" w:eastAsia="Arial" w:hAnsi="Arial"/>
          <w:sz w:val="16"/>
          <w:szCs w:val="16"/>
          <w:color w:val="auto"/>
        </w:rPr>
        <w:t>During the six month period ended September 30, 2023, the Company amended the expiry dates of certain optons with former employees and consultants of the Company.</w:t>
      </w:r>
    </w:p>
    <w:p>
      <w:pPr>
        <w:spacing w:after="0" w:line="1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summarizes informaton about stock optons outstanding on September 30, 2023:</w:t>
      </w: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Exercise Price</w:t>
            </w: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Number of optons</w:t>
            </w:r>
          </w:p>
        </w:tc>
        <w:tc>
          <w:tcPr>
            <w:tcW w:w="168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 optons</w:t>
            </w: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w w:val="91"/>
              </w:rPr>
              <w:t>Recognized estmated</w:t>
            </w: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b w:val="1"/>
                <w:bCs w:val="1"/>
                <w:color w:val="auto"/>
              </w:rPr>
              <w:t>outstanding</w:t>
            </w:r>
          </w:p>
        </w:tc>
        <w:tc>
          <w:tcPr>
            <w:tcW w:w="1680" w:type="dxa"/>
            <w:vAlign w:val="bottom"/>
          </w:tcPr>
          <w:p>
            <w:pPr>
              <w:jc w:val="right"/>
              <w:ind w:right="179"/>
              <w:spacing w:after="0"/>
              <w:rPr>
                <w:sz w:val="20"/>
                <w:szCs w:val="20"/>
                <w:color w:val="auto"/>
              </w:rPr>
            </w:pPr>
            <w:r>
              <w:rPr>
                <w:rFonts w:ascii="Arial" w:cs="Arial" w:eastAsia="Arial" w:hAnsi="Arial"/>
                <w:sz w:val="16"/>
                <w:szCs w:val="16"/>
                <w:b w:val="1"/>
                <w:bCs w:val="1"/>
                <w:color w:val="auto"/>
              </w:rPr>
              <w:t>exercisable</w:t>
            </w: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remaining life</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w w:val="98"/>
              </w:rPr>
              <w:t>grant date fair value</w:t>
            </w:r>
          </w:p>
        </w:tc>
        <w:tc>
          <w:tcPr>
            <w:tcW w:w="0" w:type="dxa"/>
            <w:vAlign w:val="bottom"/>
          </w:tcPr>
          <w:p>
            <w:pPr>
              <w:spacing w:after="0"/>
              <w:rPr>
                <w:sz w:val="1"/>
                <w:szCs w:val="1"/>
                <w:color w:val="auto"/>
              </w:rPr>
            </w:pPr>
          </w:p>
        </w:tc>
      </w:tr>
      <w:tr>
        <w:trPr>
          <w:trHeight w:val="49"/>
        </w:trPr>
        <w:tc>
          <w:tcPr>
            <w:tcW w:w="20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00" w:type="dxa"/>
            <w:vAlign w:val="bottom"/>
          </w:tcPr>
          <w:p>
            <w:pPr>
              <w:ind w:left="60"/>
              <w:spacing w:after="0"/>
              <w:rPr>
                <w:sz w:val="20"/>
                <w:szCs w:val="20"/>
                <w:color w:val="auto"/>
              </w:rPr>
            </w:pPr>
            <w:r>
              <w:rPr>
                <w:rFonts w:ascii="Arial" w:cs="Arial" w:eastAsia="Arial" w:hAnsi="Arial"/>
                <w:sz w:val="16"/>
                <w:szCs w:val="16"/>
                <w:b w:val="1"/>
                <w:bCs w:val="1"/>
                <w:color w:val="auto"/>
              </w:rPr>
              <w:t>Expiry date</w:t>
            </w:r>
          </w:p>
        </w:tc>
        <w:tc>
          <w:tcPr>
            <w:tcW w:w="18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Years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$000’s</w:t>
            </w:r>
          </w:p>
        </w:tc>
        <w:tc>
          <w:tcPr>
            <w:tcW w:w="0" w:type="dxa"/>
            <w:vAlign w:val="bottom"/>
          </w:tcPr>
          <w:p>
            <w:pPr>
              <w:spacing w:after="0"/>
              <w:rPr>
                <w:sz w:val="1"/>
                <w:szCs w:val="1"/>
                <w:color w:val="auto"/>
              </w:rPr>
            </w:pPr>
          </w:p>
        </w:tc>
      </w:tr>
      <w:tr>
        <w:trPr>
          <w:trHeight w:val="55"/>
        </w:trPr>
        <w:tc>
          <w:tcPr>
            <w:tcW w:w="20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00" w:type="dxa"/>
            <w:vAlign w:val="bottom"/>
          </w:tcPr>
          <w:p>
            <w:pPr>
              <w:ind w:left="20"/>
              <w:spacing w:after="0" w:line="181" w:lineRule="exact"/>
              <w:rPr>
                <w:sz w:val="20"/>
                <w:szCs w:val="20"/>
                <w:color w:val="auto"/>
              </w:rPr>
            </w:pPr>
            <w:r>
              <w:rPr>
                <w:rFonts w:ascii="Arial" w:cs="Arial" w:eastAsia="Arial" w:hAnsi="Arial"/>
                <w:sz w:val="16"/>
                <w:szCs w:val="16"/>
                <w:color w:val="auto"/>
              </w:rPr>
              <w:t>October 26, 2023</w:t>
            </w:r>
          </w:p>
        </w:tc>
        <w:tc>
          <w:tcPr>
            <w:tcW w:w="1820" w:type="dxa"/>
            <w:vAlign w:val="bottom"/>
          </w:tcPr>
          <w:p>
            <w:pPr>
              <w:jc w:val="right"/>
              <w:ind w:right="79"/>
              <w:spacing w:after="0" w:line="181" w:lineRule="exact"/>
              <w:rPr>
                <w:sz w:val="20"/>
                <w:szCs w:val="20"/>
                <w:color w:val="auto"/>
              </w:rPr>
            </w:pPr>
            <w:r>
              <w:rPr>
                <w:rFonts w:ascii="Arial" w:cs="Arial" w:eastAsia="Arial" w:hAnsi="Arial"/>
                <w:sz w:val="16"/>
                <w:szCs w:val="16"/>
                <w:color w:val="auto"/>
              </w:rPr>
              <w:t>0.44</w:t>
            </w:r>
          </w:p>
        </w:tc>
        <w:tc>
          <w:tcPr>
            <w:tcW w:w="1660" w:type="dxa"/>
            <w:vAlign w:val="bottom"/>
          </w:tcPr>
          <w:p>
            <w:pPr>
              <w:jc w:val="right"/>
              <w:ind w:right="99"/>
              <w:spacing w:after="0" w:line="181" w:lineRule="exact"/>
              <w:rPr>
                <w:sz w:val="20"/>
                <w:szCs w:val="20"/>
                <w:color w:val="auto"/>
              </w:rPr>
            </w:pPr>
            <w:r>
              <w:rPr>
                <w:rFonts w:ascii="Arial" w:cs="Arial" w:eastAsia="Arial" w:hAnsi="Arial"/>
                <w:sz w:val="16"/>
                <w:szCs w:val="16"/>
                <w:color w:val="auto"/>
              </w:rPr>
              <w:t>21,250</w:t>
            </w:r>
          </w:p>
        </w:tc>
        <w:tc>
          <w:tcPr>
            <w:tcW w:w="1680" w:type="dxa"/>
            <w:vAlign w:val="bottom"/>
          </w:tcPr>
          <w:p>
            <w:pPr>
              <w:jc w:val="right"/>
              <w:ind w:right="119"/>
              <w:spacing w:after="0" w:line="181" w:lineRule="exact"/>
              <w:rPr>
                <w:sz w:val="20"/>
                <w:szCs w:val="20"/>
                <w:color w:val="auto"/>
              </w:rPr>
            </w:pPr>
            <w:r>
              <w:rPr>
                <w:rFonts w:ascii="Arial" w:cs="Arial" w:eastAsia="Arial" w:hAnsi="Arial"/>
                <w:sz w:val="16"/>
                <w:szCs w:val="16"/>
                <w:color w:val="auto"/>
              </w:rPr>
              <w:t>21,250</w:t>
            </w:r>
          </w:p>
        </w:tc>
        <w:tc>
          <w:tcPr>
            <w:tcW w:w="1520" w:type="dxa"/>
            <w:vAlign w:val="bottom"/>
          </w:tcPr>
          <w:p>
            <w:pPr>
              <w:jc w:val="right"/>
              <w:spacing w:after="0" w:line="181" w:lineRule="exact"/>
              <w:rPr>
                <w:sz w:val="20"/>
                <w:szCs w:val="20"/>
                <w:color w:val="auto"/>
              </w:rPr>
            </w:pPr>
            <w:r>
              <w:rPr>
                <w:rFonts w:ascii="Arial" w:cs="Arial" w:eastAsia="Arial" w:hAnsi="Arial"/>
                <w:sz w:val="16"/>
                <w:szCs w:val="16"/>
                <w:color w:val="auto"/>
              </w:rPr>
              <w:t>0.07</w:t>
            </w:r>
          </w:p>
        </w:tc>
        <w:tc>
          <w:tcPr>
            <w:tcW w:w="1580" w:type="dxa"/>
            <w:vAlign w:val="bottom"/>
          </w:tcPr>
          <w:p>
            <w:pPr>
              <w:jc w:val="right"/>
              <w:spacing w:after="0" w:line="181"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October 26, 2023</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3.15</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15,000</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15,000</w:t>
            </w:r>
          </w:p>
        </w:tc>
        <w:tc>
          <w:tcPr>
            <w:tcW w:w="1520" w:type="dxa"/>
            <w:vAlign w:val="bottom"/>
          </w:tcPr>
          <w:p>
            <w:pPr>
              <w:jc w:val="right"/>
              <w:spacing w:after="0"/>
              <w:rPr>
                <w:sz w:val="20"/>
                <w:szCs w:val="20"/>
                <w:color w:val="auto"/>
              </w:rPr>
            </w:pPr>
            <w:r>
              <w:rPr>
                <w:rFonts w:ascii="Arial" w:cs="Arial" w:eastAsia="Arial" w:hAnsi="Arial"/>
                <w:sz w:val="16"/>
                <w:szCs w:val="16"/>
                <w:color w:val="auto"/>
              </w:rPr>
              <w:t>0.07</w:t>
            </w:r>
          </w:p>
        </w:tc>
        <w:tc>
          <w:tcPr>
            <w:tcW w:w="15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November 5, 2023</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156,250</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156,250</w:t>
            </w:r>
          </w:p>
        </w:tc>
        <w:tc>
          <w:tcPr>
            <w:tcW w:w="1520" w:type="dxa"/>
            <w:vAlign w:val="bottom"/>
          </w:tcPr>
          <w:p>
            <w:pPr>
              <w:jc w:val="right"/>
              <w:spacing w:after="0"/>
              <w:rPr>
                <w:sz w:val="20"/>
                <w:szCs w:val="20"/>
                <w:color w:val="auto"/>
              </w:rPr>
            </w:pPr>
            <w:r>
              <w:rPr>
                <w:rFonts w:ascii="Arial" w:cs="Arial" w:eastAsia="Arial" w:hAnsi="Arial"/>
                <w:sz w:val="16"/>
                <w:szCs w:val="16"/>
                <w:color w:val="auto"/>
              </w:rPr>
              <w:t>0.10</w:t>
            </w:r>
          </w:p>
        </w:tc>
        <w:tc>
          <w:tcPr>
            <w:tcW w:w="158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20,000</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20,000</w:t>
            </w:r>
          </w:p>
        </w:tc>
        <w:tc>
          <w:tcPr>
            <w:tcW w:w="1520" w:type="dxa"/>
            <w:vAlign w:val="bottom"/>
          </w:tcPr>
          <w:p>
            <w:pPr>
              <w:jc w:val="right"/>
              <w:spacing w:after="0"/>
              <w:rPr>
                <w:sz w:val="20"/>
                <w:szCs w:val="20"/>
                <w:color w:val="auto"/>
              </w:rPr>
            </w:pPr>
            <w:r>
              <w:rPr>
                <w:rFonts w:ascii="Arial" w:cs="Arial" w:eastAsia="Arial" w:hAnsi="Arial"/>
                <w:sz w:val="16"/>
                <w:szCs w:val="16"/>
                <w:color w:val="auto"/>
              </w:rPr>
              <w:t>0.25</w:t>
            </w:r>
          </w:p>
        </w:tc>
        <w:tc>
          <w:tcPr>
            <w:tcW w:w="15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65,625</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65,625</w:t>
            </w:r>
          </w:p>
        </w:tc>
        <w:tc>
          <w:tcPr>
            <w:tcW w:w="1520" w:type="dxa"/>
            <w:vAlign w:val="bottom"/>
          </w:tcPr>
          <w:p>
            <w:pPr>
              <w:jc w:val="right"/>
              <w:spacing w:after="0"/>
              <w:rPr>
                <w:sz w:val="20"/>
                <w:szCs w:val="20"/>
                <w:color w:val="auto"/>
              </w:rPr>
            </w:pPr>
            <w:r>
              <w:rPr>
                <w:rFonts w:ascii="Arial" w:cs="Arial" w:eastAsia="Arial" w:hAnsi="Arial"/>
                <w:sz w:val="16"/>
                <w:szCs w:val="16"/>
                <w:color w:val="auto"/>
              </w:rPr>
              <w:t>0.25</w:t>
            </w:r>
          </w:p>
        </w:tc>
        <w:tc>
          <w:tcPr>
            <w:tcW w:w="158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3.15</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12,500</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12,500</w:t>
            </w:r>
          </w:p>
        </w:tc>
        <w:tc>
          <w:tcPr>
            <w:tcW w:w="1520" w:type="dxa"/>
            <w:vAlign w:val="bottom"/>
          </w:tcPr>
          <w:p>
            <w:pPr>
              <w:jc w:val="right"/>
              <w:spacing w:after="0"/>
              <w:rPr>
                <w:sz w:val="20"/>
                <w:szCs w:val="20"/>
                <w:color w:val="auto"/>
              </w:rPr>
            </w:pPr>
            <w:r>
              <w:rPr>
                <w:rFonts w:ascii="Arial" w:cs="Arial" w:eastAsia="Arial" w:hAnsi="Arial"/>
                <w:sz w:val="16"/>
                <w:szCs w:val="16"/>
                <w:color w:val="auto"/>
              </w:rPr>
              <w:t>0.25</w:t>
            </w: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6"/>
        </w:trPr>
        <w:tc>
          <w:tcPr>
            <w:tcW w:w="2000" w:type="dxa"/>
            <w:vAlign w:val="bottom"/>
          </w:tcPr>
          <w:p>
            <w:pPr>
              <w:ind w:left="20"/>
              <w:spacing w:after="0"/>
              <w:rPr>
                <w:sz w:val="20"/>
                <w:szCs w:val="20"/>
                <w:color w:val="auto"/>
              </w:rPr>
            </w:pPr>
            <w:r>
              <w:rPr>
                <w:rFonts w:ascii="Arial" w:cs="Arial" w:eastAsia="Arial" w:hAnsi="Arial"/>
                <w:sz w:val="16"/>
                <w:szCs w:val="16"/>
                <w:color w:val="auto"/>
              </w:rPr>
              <w:t>March 31, 2024</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56,250</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56,250</w:t>
            </w:r>
          </w:p>
        </w:tc>
        <w:tc>
          <w:tcPr>
            <w:tcW w:w="1520" w:type="dxa"/>
            <w:vAlign w:val="bottom"/>
          </w:tcPr>
          <w:p>
            <w:pPr>
              <w:jc w:val="right"/>
              <w:spacing w:after="0"/>
              <w:rPr>
                <w:sz w:val="20"/>
                <w:szCs w:val="20"/>
                <w:color w:val="auto"/>
              </w:rPr>
            </w:pPr>
            <w:r>
              <w:rPr>
                <w:rFonts w:ascii="Arial" w:cs="Arial" w:eastAsia="Arial" w:hAnsi="Arial"/>
                <w:sz w:val="16"/>
                <w:szCs w:val="16"/>
                <w:color w:val="auto"/>
              </w:rPr>
              <w:t>0.50</w:t>
            </w:r>
          </w:p>
        </w:tc>
        <w:tc>
          <w:tcPr>
            <w:tcW w:w="15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15 of 25</w:t>
      </w:r>
    </w:p>
    <w:p>
      <w:pPr>
        <w:sectPr>
          <w:pgSz w:w="11900" w:h="16838" w:orient="portrait"/>
          <w:cols w:equalWidth="0" w:num="1">
            <w:col w:w="11240"/>
          </w:cols>
          <w:pgMar w:left="320" w:top="221" w:right="33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right="26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68580</wp:posOffset>
            </wp:positionV>
            <wp:extent cx="66916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2360" w:type="dxa"/>
            <w:vAlign w:val="bottom"/>
          </w:tcPr>
          <w:p>
            <w:pPr>
              <w:ind w:left="20"/>
              <w:spacing w:after="0"/>
              <w:rPr>
                <w:sz w:val="20"/>
                <w:szCs w:val="20"/>
                <w:color w:val="auto"/>
              </w:rPr>
            </w:pPr>
            <w:r>
              <w:rPr>
                <w:rFonts w:ascii="Arial" w:cs="Arial" w:eastAsia="Arial" w:hAnsi="Arial"/>
                <w:sz w:val="16"/>
                <w:szCs w:val="16"/>
                <w:color w:val="auto"/>
              </w:rPr>
              <w:t>March 31, 2024</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1.39</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0.50</w:t>
            </w: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31, 2024</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1.74</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0.50</w:t>
            </w:r>
          </w:p>
        </w:tc>
        <w:tc>
          <w:tcPr>
            <w:tcW w:w="10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June 15,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0.25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2,350,000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2,350,000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1.71</w:t>
            </w:r>
          </w:p>
        </w:tc>
        <w:tc>
          <w:tcPr>
            <w:tcW w:w="106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June 30,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0.90</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500,000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500,000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1.75</w:t>
            </w:r>
          </w:p>
        </w:tc>
        <w:tc>
          <w:tcPr>
            <w:tcW w:w="106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August 14,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1.00</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800,000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600,000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1.87</w:t>
            </w:r>
          </w:p>
        </w:tc>
        <w:tc>
          <w:tcPr>
            <w:tcW w:w="106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September 30,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0.75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270,000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241,875</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2.00</w:t>
            </w: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October 12,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0.75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3,000,000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3,000,000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2.03</w:t>
            </w:r>
          </w:p>
        </w:tc>
        <w:tc>
          <w:tcPr>
            <w:tcW w:w="1060" w:type="dxa"/>
            <w:vAlign w:val="bottom"/>
          </w:tcPr>
          <w:p>
            <w:pPr>
              <w:jc w:val="right"/>
              <w:spacing w:after="0"/>
              <w:rPr>
                <w:sz w:val="20"/>
                <w:szCs w:val="20"/>
                <w:color w:val="auto"/>
              </w:rPr>
            </w:pPr>
            <w:r>
              <w:rPr>
                <w:rFonts w:ascii="Arial" w:cs="Arial" w:eastAsia="Arial" w:hAnsi="Arial"/>
                <w:sz w:val="16"/>
                <w:szCs w:val="16"/>
                <w:color w:val="auto"/>
              </w:rPr>
              <w:t>1,607</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November 4,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0.75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5,700,000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5,700,000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2.10</w:t>
            </w:r>
          </w:p>
        </w:tc>
        <w:tc>
          <w:tcPr>
            <w:tcW w:w="1060" w:type="dxa"/>
            <w:vAlign w:val="bottom"/>
          </w:tcPr>
          <w:p>
            <w:pPr>
              <w:jc w:val="right"/>
              <w:spacing w:after="0"/>
              <w:rPr>
                <w:sz w:val="20"/>
                <w:szCs w:val="20"/>
                <w:color w:val="auto"/>
              </w:rPr>
            </w:pPr>
            <w:r>
              <w:rPr>
                <w:rFonts w:ascii="Arial" w:cs="Arial" w:eastAsia="Arial" w:hAnsi="Arial"/>
                <w:sz w:val="16"/>
                <w:szCs w:val="16"/>
                <w:color w:val="auto"/>
              </w:rPr>
              <w:t>3,057</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November 13,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0.88</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500,000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500,000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2.12</w:t>
            </w:r>
          </w:p>
        </w:tc>
        <w:tc>
          <w:tcPr>
            <w:tcW w:w="10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November 15,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0.75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375,000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375,000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2.13</w:t>
            </w:r>
          </w:p>
        </w:tc>
        <w:tc>
          <w:tcPr>
            <w:tcW w:w="10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November 15,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0.91</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2.13</w:t>
            </w: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December 11,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1.48</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700,000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700,000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2.20</w:t>
            </w:r>
          </w:p>
        </w:tc>
        <w:tc>
          <w:tcPr>
            <w:tcW w:w="106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December 14,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1.74</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2,159,100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2,159,100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2.21</w:t>
            </w:r>
          </w:p>
        </w:tc>
        <w:tc>
          <w:tcPr>
            <w:tcW w:w="1060" w:type="dxa"/>
            <w:vAlign w:val="bottom"/>
          </w:tcPr>
          <w:p>
            <w:pPr>
              <w:jc w:val="right"/>
              <w:spacing w:after="0"/>
              <w:rPr>
                <w:sz w:val="20"/>
                <w:szCs w:val="20"/>
                <w:color w:val="auto"/>
              </w:rPr>
            </w:pPr>
            <w:r>
              <w:rPr>
                <w:rFonts w:ascii="Arial" w:cs="Arial" w:eastAsia="Arial" w:hAnsi="Arial"/>
                <w:sz w:val="16"/>
                <w:szCs w:val="16"/>
                <w:color w:val="auto"/>
              </w:rPr>
              <w:t>2,680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December 28, 2025</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1.89</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760,000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760,000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2.25</w:t>
            </w:r>
          </w:p>
        </w:tc>
        <w:tc>
          <w:tcPr>
            <w:tcW w:w="106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January 2,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1.89</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225,000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225,000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2.26</w:t>
            </w:r>
          </w:p>
        </w:tc>
        <w:tc>
          <w:tcPr>
            <w:tcW w:w="106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February 15,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2.03</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150,000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150,000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2.38</w:t>
            </w: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February 16,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2.03</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150,000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150,000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2.38</w:t>
            </w: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10,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1.39</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1,232,600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1,232,600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2.44</w:t>
            </w:r>
          </w:p>
        </w:tc>
        <w:tc>
          <w:tcPr>
            <w:tcW w:w="106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15,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1.55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300,000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2.46</w:t>
            </w:r>
          </w:p>
        </w:tc>
        <w:tc>
          <w:tcPr>
            <w:tcW w:w="106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28,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1.36</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1,575,000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1,575,000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2.49</w:t>
            </w:r>
          </w:p>
        </w:tc>
        <w:tc>
          <w:tcPr>
            <w:tcW w:w="1060" w:type="dxa"/>
            <w:vAlign w:val="bottom"/>
          </w:tcPr>
          <w:p>
            <w:pPr>
              <w:jc w:val="right"/>
              <w:spacing w:after="0"/>
              <w:rPr>
                <w:sz w:val="20"/>
                <w:szCs w:val="20"/>
                <w:color w:val="auto"/>
              </w:rPr>
            </w:pPr>
            <w:r>
              <w:rPr>
                <w:rFonts w:ascii="Arial" w:cs="Arial" w:eastAsia="Arial" w:hAnsi="Arial"/>
                <w:sz w:val="16"/>
                <w:szCs w:val="16"/>
                <w:color w:val="auto"/>
              </w:rPr>
              <w:t>1,540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29,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1.32</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37,500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37,500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2.49</w:t>
            </w:r>
          </w:p>
        </w:tc>
        <w:tc>
          <w:tcPr>
            <w:tcW w:w="10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31,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1.35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250,000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250,000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2.50</w:t>
            </w:r>
          </w:p>
        </w:tc>
        <w:tc>
          <w:tcPr>
            <w:tcW w:w="10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June 28,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2.90</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3,180,000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3,180,000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2.74</w:t>
            </w:r>
          </w:p>
        </w:tc>
        <w:tc>
          <w:tcPr>
            <w:tcW w:w="1060" w:type="dxa"/>
            <w:vAlign w:val="bottom"/>
          </w:tcPr>
          <w:p>
            <w:pPr>
              <w:jc w:val="right"/>
              <w:spacing w:after="0"/>
              <w:rPr>
                <w:sz w:val="20"/>
                <w:szCs w:val="20"/>
                <w:color w:val="auto"/>
              </w:rPr>
            </w:pPr>
            <w:r>
              <w:rPr>
                <w:rFonts w:ascii="Arial" w:cs="Arial" w:eastAsia="Arial" w:hAnsi="Arial"/>
                <w:sz w:val="16"/>
                <w:szCs w:val="16"/>
                <w:color w:val="auto"/>
              </w:rPr>
              <w:t>6,630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August 16,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2.48</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215,000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215,000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2.88</w:t>
            </w:r>
          </w:p>
        </w:tc>
        <w:tc>
          <w:tcPr>
            <w:tcW w:w="10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August 18,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2.48</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300,000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300,000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2.88</w:t>
            </w:r>
          </w:p>
        </w:tc>
        <w:tc>
          <w:tcPr>
            <w:tcW w:w="106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September 26,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0.79</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975,000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2.99</w:t>
            </w: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September 27,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2.87</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195,000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195,000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2.99</w:t>
            </w:r>
          </w:p>
        </w:tc>
        <w:tc>
          <w:tcPr>
            <w:tcW w:w="106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September 27,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3.15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545,000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545,000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2.99</w:t>
            </w:r>
          </w:p>
        </w:tc>
        <w:tc>
          <w:tcPr>
            <w:tcW w:w="106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December 31,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1.50</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1,250,000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612,500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3.25</w:t>
            </w:r>
          </w:p>
        </w:tc>
        <w:tc>
          <w:tcPr>
            <w:tcW w:w="1060" w:type="dxa"/>
            <w:vAlign w:val="bottom"/>
          </w:tcPr>
          <w:p>
            <w:pPr>
              <w:jc w:val="right"/>
              <w:spacing w:after="0"/>
              <w:rPr>
                <w:sz w:val="20"/>
                <w:szCs w:val="20"/>
                <w:color w:val="auto"/>
              </w:rPr>
            </w:pPr>
            <w:r>
              <w:rPr>
                <w:rFonts w:ascii="Arial" w:cs="Arial" w:eastAsia="Arial" w:hAnsi="Arial"/>
                <w:sz w:val="16"/>
                <w:szCs w:val="16"/>
                <w:color w:val="auto"/>
              </w:rPr>
              <w:t>1,266</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December 31, 2026</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3.15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20,000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3.25</w:t>
            </w: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4, 2027</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1.13</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1,075,600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1,075,600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3.43</w:t>
            </w:r>
          </w:p>
        </w:tc>
        <w:tc>
          <w:tcPr>
            <w:tcW w:w="106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4, 2027</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3.15</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40,000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35,000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3.43</w:t>
            </w: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March 8, 2027</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1.02</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400,000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400,000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3.44</w:t>
            </w:r>
          </w:p>
        </w:tc>
        <w:tc>
          <w:tcPr>
            <w:tcW w:w="106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June 30, 2027</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1.00</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65,000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48,750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3.75</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August 14, 2027</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1.00</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15,000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3.87</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September 30, 2027</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1.00</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220,000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136,875</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4.00</w:t>
            </w:r>
          </w:p>
        </w:tc>
        <w:tc>
          <w:tcPr>
            <w:tcW w:w="10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June 30, 2028</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0.44</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11,445,000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4,536,250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4.75</w:t>
            </w:r>
          </w:p>
        </w:tc>
        <w:tc>
          <w:tcPr>
            <w:tcW w:w="1060" w:type="dxa"/>
            <w:vAlign w:val="bottom"/>
          </w:tcPr>
          <w:p>
            <w:pPr>
              <w:jc w:val="right"/>
              <w:spacing w:after="0"/>
              <w:rPr>
                <w:sz w:val="20"/>
                <w:szCs w:val="20"/>
                <w:color w:val="auto"/>
              </w:rPr>
            </w:pPr>
            <w:r>
              <w:rPr>
                <w:rFonts w:ascii="Arial" w:cs="Arial" w:eastAsia="Arial" w:hAnsi="Arial"/>
                <w:sz w:val="16"/>
                <w:szCs w:val="16"/>
                <w:color w:val="auto"/>
              </w:rPr>
              <w:t>2,254</w:t>
            </w:r>
          </w:p>
        </w:tc>
      </w:tr>
      <w:tr>
        <w:trPr>
          <w:trHeight w:val="206"/>
        </w:trPr>
        <w:tc>
          <w:tcPr>
            <w:tcW w:w="2360" w:type="dxa"/>
            <w:vAlign w:val="bottom"/>
          </w:tcPr>
          <w:p>
            <w:pPr>
              <w:ind w:left="20"/>
              <w:spacing w:after="0"/>
              <w:rPr>
                <w:sz w:val="20"/>
                <w:szCs w:val="20"/>
                <w:color w:val="auto"/>
              </w:rPr>
            </w:pPr>
            <w:r>
              <w:rPr>
                <w:rFonts w:ascii="Arial" w:cs="Arial" w:eastAsia="Arial" w:hAnsi="Arial"/>
                <w:sz w:val="16"/>
                <w:szCs w:val="16"/>
                <w:color w:val="auto"/>
              </w:rPr>
              <w:t>September 26, 2028</w:t>
            </w:r>
          </w:p>
        </w:tc>
        <w:tc>
          <w:tcPr>
            <w:tcW w:w="1720" w:type="dxa"/>
            <w:vAlign w:val="bottom"/>
          </w:tcPr>
          <w:p>
            <w:pPr>
              <w:jc w:val="right"/>
              <w:ind w:right="339"/>
              <w:spacing w:after="0"/>
              <w:rPr>
                <w:sz w:val="20"/>
                <w:szCs w:val="20"/>
                <w:color w:val="auto"/>
              </w:rPr>
            </w:pPr>
            <w:r>
              <w:rPr>
                <w:rFonts w:ascii="Arial" w:cs="Arial" w:eastAsia="Arial" w:hAnsi="Arial"/>
                <w:sz w:val="16"/>
                <w:szCs w:val="16"/>
                <w:color w:val="auto"/>
              </w:rPr>
              <w:t>0.79</w:t>
            </w:r>
          </w:p>
        </w:tc>
        <w:tc>
          <w:tcPr>
            <w:tcW w:w="1660" w:type="dxa"/>
            <w:vAlign w:val="bottom"/>
          </w:tcPr>
          <w:p>
            <w:pPr>
              <w:jc w:val="right"/>
              <w:ind w:right="359"/>
              <w:spacing w:after="0"/>
              <w:rPr>
                <w:sz w:val="20"/>
                <w:szCs w:val="20"/>
                <w:color w:val="auto"/>
              </w:rPr>
            </w:pPr>
            <w:r>
              <w:rPr>
                <w:rFonts w:ascii="Arial" w:cs="Arial" w:eastAsia="Arial" w:hAnsi="Arial"/>
                <w:sz w:val="16"/>
                <w:szCs w:val="16"/>
                <w:color w:val="auto"/>
              </w:rPr>
              <w:t>235,000</w:t>
            </w:r>
          </w:p>
        </w:tc>
        <w:tc>
          <w:tcPr>
            <w:tcW w:w="1900" w:type="dxa"/>
            <w:vAlign w:val="bottom"/>
          </w:tcPr>
          <w:p>
            <w:pPr>
              <w:jc w:val="right"/>
              <w:ind w:right="599"/>
              <w:spacing w:after="0"/>
              <w:rPr>
                <w:sz w:val="20"/>
                <w:szCs w:val="20"/>
                <w:color w:val="auto"/>
              </w:rPr>
            </w:pPr>
            <w:r>
              <w:rPr>
                <w:rFonts w:ascii="Arial" w:cs="Arial" w:eastAsia="Arial" w:hAnsi="Arial"/>
                <w:sz w:val="16"/>
                <w:szCs w:val="16"/>
                <w:color w:val="auto"/>
              </w:rPr>
              <w:t>46,250</w:t>
            </w:r>
          </w:p>
        </w:tc>
        <w:tc>
          <w:tcPr>
            <w:tcW w:w="1560" w:type="dxa"/>
            <w:vAlign w:val="bottom"/>
          </w:tcPr>
          <w:p>
            <w:pPr>
              <w:jc w:val="right"/>
              <w:ind w:right="519"/>
              <w:spacing w:after="0"/>
              <w:rPr>
                <w:sz w:val="20"/>
                <w:szCs w:val="20"/>
                <w:color w:val="auto"/>
              </w:rPr>
            </w:pPr>
            <w:r>
              <w:rPr>
                <w:rFonts w:ascii="Arial" w:cs="Arial" w:eastAsia="Arial" w:hAnsi="Arial"/>
                <w:sz w:val="16"/>
                <w:szCs w:val="16"/>
                <w:color w:val="auto"/>
              </w:rPr>
              <w:t>4.99</w:t>
            </w: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2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41,886,675</w:t>
            </w:r>
          </w:p>
        </w:tc>
        <w:tc>
          <w:tcPr>
            <w:tcW w:w="19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32,839,175</w:t>
            </w: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2.27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Page 16 of 25</w:t>
      </w:r>
    </w:p>
    <w:p>
      <w:pPr>
        <w:sectPr>
          <w:pgSz w:w="11900" w:h="16838" w:orient="portrait"/>
          <w:cols w:equalWidth="0" w:num="1">
            <w:col w:w="10480"/>
          </w:cols>
          <w:pgMar w:left="380" w:top="221" w:right="1039" w:bottom="1440" w:gutter="0" w:footer="0" w:header="0"/>
        </w:sectPr>
      </w:pPr>
    </w:p>
    <w:bookmarkStart w:id="19" w:name="page20"/>
    <w:bookmarkEnd w:id="19"/>
    <w:p>
      <w:pPr>
        <w:ind w:left="63"/>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3"/>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3" w:right="96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3"/>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6916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163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83"/>
        <w:spacing w:after="0" w:line="325" w:lineRule="auto"/>
        <w:rPr>
          <w:sz w:val="20"/>
          <w:szCs w:val="20"/>
          <w:color w:val="auto"/>
        </w:rPr>
      </w:pPr>
      <w:r>
        <w:rPr>
          <w:rFonts w:ascii="Arial" w:cs="Arial" w:eastAsia="Arial" w:hAnsi="Arial"/>
          <w:sz w:val="16"/>
          <w:szCs w:val="16"/>
          <w:color w:val="auto"/>
        </w:rPr>
        <w:t>The Company recognized share-based payments expense related to the issuance of stock optons for the three and six months ended September 30, 2023 of $1,414 and $2,689 (2022 - $1,072 and $3,227), respectvely.</w:t>
      </w:r>
    </w:p>
    <w:p>
      <w:pPr>
        <w:spacing w:after="0" w:line="120" w:lineRule="exact"/>
        <w:rPr>
          <w:sz w:val="20"/>
          <w:szCs w:val="20"/>
          <w:color w:val="auto"/>
        </w:rPr>
      </w:pPr>
    </w:p>
    <w:p>
      <w:pPr>
        <w:ind w:left="283"/>
        <w:spacing w:after="0" w:line="309" w:lineRule="auto"/>
        <w:rPr>
          <w:sz w:val="20"/>
          <w:szCs w:val="20"/>
          <w:color w:val="auto"/>
        </w:rPr>
      </w:pPr>
      <w:r>
        <w:rPr>
          <w:rFonts w:ascii="Arial" w:cs="Arial" w:eastAsia="Arial" w:hAnsi="Arial"/>
          <w:sz w:val="16"/>
          <w:szCs w:val="16"/>
          <w:color w:val="auto"/>
        </w:rPr>
        <w:t>The outstanding optons and warrants disclosed above were ant-dilutve for the three and six months ended September 30, 2023, and did not impact the calculaton of the loss per share.</w:t>
      </w:r>
    </w:p>
    <w:p>
      <w:pPr>
        <w:spacing w:after="0" w:line="351" w:lineRule="exact"/>
        <w:rPr>
          <w:sz w:val="20"/>
          <w:szCs w:val="20"/>
          <w:color w:val="auto"/>
        </w:rPr>
      </w:pPr>
    </w:p>
    <w:p>
      <w:pPr>
        <w:ind w:left="263" w:hanging="263"/>
        <w:spacing w:after="0"/>
        <w:tabs>
          <w:tab w:leader="none" w:pos="263" w:val="left"/>
        </w:tabs>
        <w:numPr>
          <w:ilvl w:val="0"/>
          <w:numId w:val="10"/>
        </w:numPr>
        <w:rPr>
          <w:rFonts w:ascii="Arial" w:cs="Arial" w:eastAsia="Arial" w:hAnsi="Arial"/>
          <w:sz w:val="16"/>
          <w:szCs w:val="16"/>
          <w:b w:val="1"/>
          <w:bCs w:val="1"/>
          <w:color w:val="2D5F91"/>
        </w:rPr>
      </w:pPr>
      <w:r>
        <w:rPr>
          <w:rFonts w:ascii="Arial" w:cs="Arial" w:eastAsia="Arial" w:hAnsi="Arial"/>
          <w:sz w:val="16"/>
          <w:szCs w:val="16"/>
          <w:b w:val="1"/>
          <w:bCs w:val="1"/>
          <w:color w:val="2D5F91"/>
        </w:rPr>
        <w:t>RELATED PARTY TRANSACTIONS AND BALANCES</w:t>
      </w:r>
    </w:p>
    <w:p>
      <w:pPr>
        <w:spacing w:after="0" w:line="204" w:lineRule="exact"/>
        <w:rPr>
          <w:rFonts w:ascii="Arial" w:cs="Arial" w:eastAsia="Arial" w:hAnsi="Arial"/>
          <w:sz w:val="16"/>
          <w:szCs w:val="16"/>
          <w:b w:val="1"/>
          <w:bCs w:val="1"/>
          <w:color w:val="2D5F91"/>
        </w:rPr>
      </w:pPr>
    </w:p>
    <w:p>
      <w:pPr>
        <w:ind w:left="283"/>
        <w:spacing w:after="0" w:line="325" w:lineRule="auto"/>
        <w:rPr>
          <w:rFonts w:ascii="Arial" w:cs="Arial" w:eastAsia="Arial" w:hAnsi="Arial"/>
          <w:sz w:val="16"/>
          <w:szCs w:val="16"/>
          <w:b w:val="1"/>
          <w:bCs w:val="1"/>
          <w:color w:val="2D5F91"/>
        </w:rPr>
      </w:pPr>
      <w:r>
        <w:rPr>
          <w:rFonts w:ascii="Arial" w:cs="Arial" w:eastAsia="Arial" w:hAnsi="Arial"/>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08" w:lineRule="exact"/>
        <w:rPr>
          <w:rFonts w:ascii="Arial" w:cs="Arial" w:eastAsia="Arial" w:hAnsi="Arial"/>
          <w:sz w:val="16"/>
          <w:szCs w:val="16"/>
          <w:b w:val="1"/>
          <w:bCs w:val="1"/>
          <w:color w:val="2D5F91"/>
        </w:rPr>
      </w:pPr>
    </w:p>
    <w:p>
      <w:pPr>
        <w:ind w:left="283"/>
        <w:spacing w:after="0"/>
        <w:rPr>
          <w:rFonts w:ascii="Arial" w:cs="Arial" w:eastAsia="Arial" w:hAnsi="Arial"/>
          <w:sz w:val="16"/>
          <w:szCs w:val="16"/>
          <w:b w:val="1"/>
          <w:bCs w:val="1"/>
          <w:color w:val="2D5F91"/>
        </w:rPr>
      </w:pPr>
      <w:r>
        <w:rPr>
          <w:rFonts w:ascii="Arial" w:cs="Arial" w:eastAsia="Arial" w:hAnsi="Arial"/>
          <w:sz w:val="16"/>
          <w:szCs w:val="16"/>
          <w:color w:val="auto"/>
        </w:rPr>
        <w:t>The remuneraton of key management personnel for the three and six-month periods ended September 30, 2023 and 2022 are as follows:</w:t>
      </w:r>
    </w:p>
    <w:p>
      <w:pPr>
        <w:spacing w:after="0" w:line="107" w:lineRule="exact"/>
        <w:rPr>
          <w:sz w:val="20"/>
          <w:szCs w:val="20"/>
          <w:color w:val="auto"/>
        </w:rPr>
      </w:pPr>
    </w:p>
    <w:tbl>
      <w:tblPr>
        <w:tblLayout w:type="fixed"/>
        <w:tblInd w:w="283"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36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Three-months ended</w:t>
            </w:r>
          </w:p>
        </w:tc>
        <w:tc>
          <w:tcPr>
            <w:tcW w:w="2300" w:type="dxa"/>
            <w:vAlign w:val="bottom"/>
          </w:tcPr>
          <w:p>
            <w:pPr>
              <w:ind w:left="880"/>
              <w:spacing w:after="0"/>
              <w:rPr>
                <w:sz w:val="20"/>
                <w:szCs w:val="20"/>
                <w:color w:val="auto"/>
              </w:rPr>
            </w:pPr>
            <w:r>
              <w:rPr>
                <w:rFonts w:ascii="Arial" w:cs="Arial" w:eastAsia="Arial" w:hAnsi="Arial"/>
                <w:sz w:val="16"/>
                <w:szCs w:val="16"/>
                <w:b w:val="1"/>
                <w:bCs w:val="1"/>
                <w:color w:val="auto"/>
              </w:rPr>
              <w:t>Six-months ended</w:t>
            </w:r>
          </w:p>
        </w:tc>
        <w:tc>
          <w:tcPr>
            <w:tcW w:w="600" w:type="dxa"/>
            <w:vAlign w:val="bottom"/>
          </w:tcPr>
          <w:p>
            <w:pPr>
              <w:spacing w:after="0"/>
              <w:rPr>
                <w:sz w:val="17"/>
                <w:szCs w:val="17"/>
                <w:color w:val="auto"/>
              </w:rPr>
            </w:pPr>
          </w:p>
        </w:tc>
      </w:tr>
      <w:tr>
        <w:trPr>
          <w:trHeight w:val="243"/>
        </w:trPr>
        <w:tc>
          <w:tcPr>
            <w:tcW w:w="35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360" w:type="dxa"/>
            <w:vAlign w:val="bottom"/>
          </w:tcPr>
          <w:p>
            <w:pPr>
              <w:jc w:val="right"/>
              <w:ind w:right="799"/>
              <w:spacing w:after="0"/>
              <w:rPr>
                <w:sz w:val="20"/>
                <w:szCs w:val="20"/>
                <w:color w:val="auto"/>
              </w:rPr>
            </w:pPr>
            <w:r>
              <w:rPr>
                <w:rFonts w:ascii="Arial" w:cs="Arial" w:eastAsia="Arial" w:hAnsi="Arial"/>
                <w:sz w:val="16"/>
                <w:szCs w:val="16"/>
                <w:b w:val="1"/>
                <w:bCs w:val="1"/>
                <w:color w:val="auto"/>
              </w:rPr>
              <w:t>September 30</w:t>
            </w:r>
          </w:p>
        </w:tc>
        <w:tc>
          <w:tcPr>
            <w:tcW w:w="2300" w:type="dxa"/>
            <w:vAlign w:val="bottom"/>
          </w:tcPr>
          <w:p>
            <w:pPr>
              <w:ind w:left="900"/>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21"/>
                <w:szCs w:val="21"/>
                <w:color w:val="auto"/>
              </w:rPr>
            </w:pPr>
          </w:p>
        </w:tc>
      </w:tr>
      <w:tr>
        <w:trPr>
          <w:trHeight w:val="279"/>
        </w:trPr>
        <w:tc>
          <w:tcPr>
            <w:tcW w:w="356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2360" w:type="dxa"/>
            <w:vAlign w:val="bottom"/>
          </w:tcPr>
          <w:p>
            <w:pPr>
              <w:jc w:val="right"/>
              <w:ind w:right="839"/>
              <w:spacing w:after="0"/>
              <w:rPr>
                <w:sz w:val="20"/>
                <w:szCs w:val="20"/>
                <w:color w:val="auto"/>
              </w:rPr>
            </w:pPr>
            <w:r>
              <w:rPr>
                <w:rFonts w:ascii="Arial" w:cs="Arial" w:eastAsia="Arial" w:hAnsi="Arial"/>
                <w:sz w:val="16"/>
                <w:szCs w:val="16"/>
                <w:b w:val="1"/>
                <w:bCs w:val="1"/>
                <w:color w:val="auto"/>
              </w:rPr>
              <w:t>2022</w:t>
            </w:r>
          </w:p>
        </w:tc>
        <w:tc>
          <w:tcPr>
            <w:tcW w:w="2300" w:type="dxa"/>
            <w:vAlign w:val="bottom"/>
          </w:tcPr>
          <w:p>
            <w:pPr>
              <w:jc w:val="right"/>
              <w:ind w:right="919"/>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r>
      <w:tr>
        <w:trPr>
          <w:trHeight w:val="243"/>
        </w:trPr>
        <w:tc>
          <w:tcPr>
            <w:tcW w:w="35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36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2300" w:type="dxa"/>
            <w:vAlign w:val="bottom"/>
          </w:tcPr>
          <w:p>
            <w:pPr>
              <w:jc w:val="right"/>
              <w:ind w:right="91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55"/>
        </w:trPr>
        <w:tc>
          <w:tcPr>
            <w:tcW w:w="35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1"/>
        </w:trPr>
        <w:tc>
          <w:tcPr>
            <w:tcW w:w="3560" w:type="dxa"/>
            <w:vAlign w:val="bottom"/>
          </w:tcPr>
          <w:p>
            <w:pPr>
              <w:ind w:left="60"/>
              <w:spacing w:after="0"/>
              <w:rPr>
                <w:sz w:val="20"/>
                <w:szCs w:val="20"/>
                <w:color w:val="auto"/>
              </w:rPr>
            </w:pPr>
            <w:r>
              <w:rPr>
                <w:rFonts w:ascii="Arial" w:cs="Arial" w:eastAsia="Arial" w:hAnsi="Arial"/>
                <w:sz w:val="16"/>
                <w:szCs w:val="16"/>
                <w:color w:val="auto"/>
              </w:rPr>
              <w:t>Payroll, consultng and benefts</w:t>
            </w:r>
            <w:r>
              <w:rPr>
                <w:rFonts w:ascii="Arial" w:cs="Arial" w:eastAsia="Arial" w:hAnsi="Arial"/>
                <w:sz w:val="21"/>
                <w:szCs w:val="21"/>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1,029</w:t>
            </w:r>
          </w:p>
        </w:tc>
        <w:tc>
          <w:tcPr>
            <w:tcW w:w="2360" w:type="dxa"/>
            <w:vAlign w:val="bottom"/>
          </w:tcPr>
          <w:p>
            <w:pPr>
              <w:jc w:val="right"/>
              <w:ind w:right="799"/>
              <w:spacing w:after="0"/>
              <w:rPr>
                <w:sz w:val="20"/>
                <w:szCs w:val="20"/>
                <w:color w:val="auto"/>
              </w:rPr>
            </w:pPr>
            <w:r>
              <w:rPr>
                <w:rFonts w:ascii="Arial" w:cs="Arial" w:eastAsia="Arial" w:hAnsi="Arial"/>
                <w:sz w:val="16"/>
                <w:szCs w:val="16"/>
                <w:color w:val="auto"/>
              </w:rPr>
              <w:t>1,400</w:t>
            </w:r>
          </w:p>
        </w:tc>
        <w:tc>
          <w:tcPr>
            <w:tcW w:w="2300" w:type="dxa"/>
            <w:vAlign w:val="bottom"/>
          </w:tcPr>
          <w:p>
            <w:pPr>
              <w:jc w:val="right"/>
              <w:ind w:right="879"/>
              <w:spacing w:after="0"/>
              <w:rPr>
                <w:sz w:val="20"/>
                <w:szCs w:val="20"/>
                <w:color w:val="auto"/>
              </w:rPr>
            </w:pPr>
            <w:r>
              <w:rPr>
                <w:rFonts w:ascii="Arial" w:cs="Arial" w:eastAsia="Arial" w:hAnsi="Arial"/>
                <w:sz w:val="16"/>
                <w:szCs w:val="16"/>
                <w:b w:val="1"/>
                <w:bCs w:val="1"/>
                <w:color w:val="auto"/>
              </w:rPr>
              <w:t>2,317</w:t>
            </w:r>
          </w:p>
        </w:tc>
        <w:tc>
          <w:tcPr>
            <w:tcW w:w="600" w:type="dxa"/>
            <w:vAlign w:val="bottom"/>
          </w:tcPr>
          <w:p>
            <w:pPr>
              <w:jc w:val="right"/>
              <w:spacing w:after="0"/>
              <w:rPr>
                <w:sz w:val="20"/>
                <w:szCs w:val="20"/>
                <w:color w:val="auto"/>
              </w:rPr>
            </w:pPr>
            <w:r>
              <w:rPr>
                <w:rFonts w:ascii="Arial" w:cs="Arial" w:eastAsia="Arial" w:hAnsi="Arial"/>
                <w:sz w:val="16"/>
                <w:szCs w:val="16"/>
                <w:color w:val="auto"/>
              </w:rPr>
              <w:t>2,780</w:t>
            </w:r>
          </w:p>
        </w:tc>
      </w:tr>
      <w:tr>
        <w:trPr>
          <w:trHeight w:val="203"/>
        </w:trPr>
        <w:tc>
          <w:tcPr>
            <w:tcW w:w="3560" w:type="dxa"/>
            <w:vAlign w:val="bottom"/>
          </w:tcPr>
          <w:p>
            <w:pPr>
              <w:ind w:left="60"/>
              <w:spacing w:after="0"/>
              <w:rPr>
                <w:sz w:val="20"/>
                <w:szCs w:val="20"/>
                <w:color w:val="auto"/>
              </w:rPr>
            </w:pPr>
            <w:r>
              <w:rPr>
                <w:rFonts w:ascii="Arial" w:cs="Arial" w:eastAsia="Arial" w:hAnsi="Arial"/>
                <w:sz w:val="16"/>
                <w:szCs w:val="16"/>
                <w:color w:val="auto"/>
              </w:rPr>
              <w:t>Share-based compensaton</w:t>
            </w:r>
          </w:p>
        </w:tc>
        <w:tc>
          <w:tcPr>
            <w:tcW w:w="17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8"/>
        </w:trPr>
        <w:tc>
          <w:tcPr>
            <w:tcW w:w="3560" w:type="dxa"/>
            <w:vAlign w:val="bottom"/>
          </w:tcPr>
          <w:p>
            <w:pPr>
              <w:ind w:left="260"/>
              <w:spacing w:after="0"/>
              <w:rPr>
                <w:sz w:val="20"/>
                <w:szCs w:val="20"/>
                <w:color w:val="auto"/>
              </w:rPr>
            </w:pPr>
            <w:r>
              <w:rPr>
                <w:rFonts w:ascii="Arial" w:cs="Arial" w:eastAsia="Arial" w:hAnsi="Arial"/>
                <w:sz w:val="16"/>
                <w:szCs w:val="16"/>
                <w:color w:val="auto"/>
              </w:rPr>
              <w:t>Optons</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360" w:type="dxa"/>
            <w:vAlign w:val="bottom"/>
          </w:tcPr>
          <w:p>
            <w:pPr>
              <w:jc w:val="right"/>
              <w:ind w:right="799"/>
              <w:spacing w:after="0"/>
              <w:rPr>
                <w:sz w:val="20"/>
                <w:szCs w:val="20"/>
                <w:color w:val="auto"/>
              </w:rPr>
            </w:pPr>
            <w:r>
              <w:rPr>
                <w:rFonts w:ascii="Arial" w:cs="Arial" w:eastAsia="Arial" w:hAnsi="Arial"/>
                <w:sz w:val="16"/>
                <w:szCs w:val="16"/>
                <w:color w:val="auto"/>
              </w:rPr>
              <w:t>678</w:t>
            </w:r>
          </w:p>
        </w:tc>
        <w:tc>
          <w:tcPr>
            <w:tcW w:w="2300" w:type="dxa"/>
            <w:vAlign w:val="bottom"/>
          </w:tcPr>
          <w:p>
            <w:pPr>
              <w:jc w:val="right"/>
              <w:ind w:right="879"/>
              <w:spacing w:after="0"/>
              <w:rPr>
                <w:sz w:val="20"/>
                <w:szCs w:val="20"/>
                <w:color w:val="auto"/>
              </w:rPr>
            </w:pPr>
            <w:r>
              <w:rPr>
                <w:rFonts w:ascii="Arial" w:cs="Arial" w:eastAsia="Arial" w:hAnsi="Arial"/>
                <w:sz w:val="16"/>
                <w:szCs w:val="16"/>
                <w:b w:val="1"/>
                <w:bCs w:val="1"/>
                <w:color w:val="auto"/>
              </w:rPr>
              <w:t>305</w:t>
            </w:r>
          </w:p>
        </w:tc>
        <w:tc>
          <w:tcPr>
            <w:tcW w:w="600" w:type="dxa"/>
            <w:vAlign w:val="bottom"/>
          </w:tcPr>
          <w:p>
            <w:pPr>
              <w:jc w:val="right"/>
              <w:spacing w:after="0"/>
              <w:rPr>
                <w:sz w:val="20"/>
                <w:szCs w:val="20"/>
                <w:color w:val="auto"/>
              </w:rPr>
            </w:pPr>
            <w:r>
              <w:rPr>
                <w:rFonts w:ascii="Arial" w:cs="Arial" w:eastAsia="Arial" w:hAnsi="Arial"/>
                <w:sz w:val="16"/>
                <w:szCs w:val="16"/>
                <w:color w:val="auto"/>
              </w:rPr>
              <w:t>1,763</w:t>
            </w:r>
          </w:p>
        </w:tc>
      </w:tr>
      <w:tr>
        <w:trPr>
          <w:trHeight w:val="217"/>
        </w:trPr>
        <w:tc>
          <w:tcPr>
            <w:tcW w:w="35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Warrants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3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1,029</w:t>
            </w:r>
          </w:p>
        </w:tc>
        <w:tc>
          <w:tcPr>
            <w:tcW w:w="23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2,078</w:t>
            </w:r>
          </w:p>
        </w:tc>
        <w:tc>
          <w:tcPr>
            <w:tcW w:w="230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2,622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4,546</w:t>
            </w:r>
          </w:p>
        </w:tc>
      </w:tr>
    </w:tbl>
    <w:p>
      <w:pPr>
        <w:spacing w:after="0" w:line="71" w:lineRule="exact"/>
        <w:rPr>
          <w:sz w:val="20"/>
          <w:szCs w:val="20"/>
          <w:color w:val="auto"/>
        </w:rPr>
      </w:pPr>
    </w:p>
    <w:p>
      <w:pPr>
        <w:jc w:val="both"/>
        <w:ind w:left="283" w:firstLine="8"/>
        <w:spacing w:after="0" w:line="301" w:lineRule="auto"/>
        <w:tabs>
          <w:tab w:leader="none" w:pos="432" w:val="left"/>
        </w:tabs>
        <w:numPr>
          <w:ilvl w:val="0"/>
          <w:numId w:val="11"/>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For the three months ended September 30, 2023 includes $835 presented in the statement of loss and comprehensive loss as a part of “General and administratve costs” and $194 presented in the statement of loss and comprehensive loss as a part of “Research”. For the six months ended September 30, 2023, includes $1,661 presented in the statement of loss and comprehensive loss as a part of “General and administratve costs” and $656 presented in the statement of loss and comprehensive loss as a part of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Page 17 of 25</w:t>
      </w:r>
    </w:p>
    <w:p>
      <w:pPr>
        <w:sectPr>
          <w:pgSz w:w="11900" w:h="16838" w:orient="portrait"/>
          <w:cols w:equalWidth="0" w:num="1">
            <w:col w:w="11243"/>
          </w:cols>
          <w:pgMar w:left="317" w:top="221" w:right="339" w:bottom="1440" w:gutter="0" w:footer="0" w:header="0"/>
        </w:sectPr>
      </w:pPr>
    </w:p>
    <w:bookmarkStart w:id="20" w:name="page21"/>
    <w:bookmarkEnd w:id="20"/>
    <w:p>
      <w:pPr>
        <w:ind w:left="60"/>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0" w:right="38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1462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gridSpan w:val="2"/>
          </w:tcPr>
          <w:p>
            <w:pPr>
              <w:spacing w:after="0"/>
              <w:rPr>
                <w:sz w:val="20"/>
                <w:szCs w:val="20"/>
                <w:color w:val="auto"/>
              </w:rPr>
            </w:pPr>
            <w:r>
              <w:rPr>
                <w:rFonts w:ascii="Arial" w:cs="Arial" w:eastAsia="Arial" w:hAnsi="Arial"/>
                <w:sz w:val="16"/>
                <w:szCs w:val="16"/>
                <w:b w:val="1"/>
                <w:bCs w:val="1"/>
                <w:color w:val="2D5F91"/>
              </w:rPr>
              <w:t>8.  RESEARCH EXPENSES</w:t>
            </w: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0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Three-months ended</w:t>
            </w:r>
          </w:p>
        </w:tc>
        <w:tc>
          <w:tcPr>
            <w:tcW w:w="2340" w:type="dxa"/>
            <w:vAlign w:val="bottom"/>
          </w:tcPr>
          <w:p>
            <w:pPr>
              <w:jc w:val="right"/>
              <w:ind w:right="779"/>
              <w:spacing w:after="0"/>
              <w:rPr>
                <w:sz w:val="20"/>
                <w:szCs w:val="20"/>
                <w:color w:val="auto"/>
              </w:rPr>
            </w:pPr>
            <w:r>
              <w:rPr>
                <w:rFonts w:ascii="Arial" w:cs="Arial" w:eastAsia="Arial" w:hAnsi="Arial"/>
                <w:sz w:val="16"/>
                <w:szCs w:val="16"/>
                <w:b w:val="1"/>
                <w:bCs w:val="1"/>
                <w:color w:val="auto"/>
              </w:rPr>
              <w:t>Six-months ended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2340" w:type="dxa"/>
            <w:vAlign w:val="bottom"/>
          </w:tcPr>
          <w:p>
            <w:pPr>
              <w:jc w:val="right"/>
              <w:ind w:right="21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1780" w:type="dxa"/>
            <w:vAlign w:val="bottom"/>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2340" w:type="dxa"/>
            <w:vAlign w:val="bottom"/>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2022</w:t>
            </w: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23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r>
      <w:tr>
        <w:trPr>
          <w:trHeight w:val="55"/>
        </w:trPr>
        <w:tc>
          <w:tcPr>
            <w:tcW w:w="2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181"/>
        </w:trPr>
        <w:tc>
          <w:tcPr>
            <w:tcW w:w="220" w:type="dxa"/>
            <w:vAlign w:val="bottom"/>
          </w:tcPr>
          <w:p>
            <w:pPr>
              <w:spacing w:after="0"/>
              <w:rPr>
                <w:sz w:val="15"/>
                <w:szCs w:val="15"/>
                <w:color w:val="auto"/>
              </w:rPr>
            </w:pPr>
          </w:p>
        </w:tc>
        <w:tc>
          <w:tcPr>
            <w:tcW w:w="4200" w:type="dxa"/>
            <w:vAlign w:val="bottom"/>
          </w:tcPr>
          <w:p>
            <w:pPr>
              <w:ind w:left="20"/>
              <w:spacing w:after="0" w:line="181" w:lineRule="exact"/>
              <w:rPr>
                <w:sz w:val="20"/>
                <w:szCs w:val="20"/>
                <w:color w:val="auto"/>
              </w:rPr>
            </w:pPr>
            <w:r>
              <w:rPr>
                <w:rFonts w:ascii="Arial" w:cs="Arial" w:eastAsia="Arial" w:hAnsi="Arial"/>
                <w:sz w:val="16"/>
                <w:szCs w:val="16"/>
                <w:color w:val="auto"/>
              </w:rPr>
              <w:t>Advancement of development programs</w:t>
            </w:r>
          </w:p>
        </w:tc>
        <w:tc>
          <w:tcPr>
            <w:tcW w:w="182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4,952</w:t>
            </w:r>
          </w:p>
        </w:tc>
        <w:tc>
          <w:tcPr>
            <w:tcW w:w="1780" w:type="dxa"/>
            <w:vAlign w:val="bottom"/>
          </w:tcPr>
          <w:p>
            <w:pPr>
              <w:jc w:val="right"/>
              <w:ind w:right="99"/>
              <w:spacing w:after="0" w:line="181" w:lineRule="exact"/>
              <w:rPr>
                <w:sz w:val="20"/>
                <w:szCs w:val="20"/>
                <w:color w:val="auto"/>
              </w:rPr>
            </w:pPr>
            <w:r>
              <w:rPr>
                <w:rFonts w:ascii="Arial" w:cs="Arial" w:eastAsia="Arial" w:hAnsi="Arial"/>
                <w:sz w:val="16"/>
                <w:szCs w:val="16"/>
                <w:color w:val="auto"/>
              </w:rPr>
              <w:t>2,400</w:t>
            </w:r>
          </w:p>
        </w:tc>
        <w:tc>
          <w:tcPr>
            <w:tcW w:w="2340" w:type="dxa"/>
            <w:vAlign w:val="bottom"/>
          </w:tcPr>
          <w:p>
            <w:pPr>
              <w:jc w:val="right"/>
              <w:ind w:right="699"/>
              <w:spacing w:after="0" w:line="181" w:lineRule="exact"/>
              <w:rPr>
                <w:sz w:val="20"/>
                <w:szCs w:val="20"/>
                <w:color w:val="auto"/>
              </w:rPr>
            </w:pPr>
            <w:r>
              <w:rPr>
                <w:rFonts w:ascii="Arial" w:cs="Arial" w:eastAsia="Arial" w:hAnsi="Arial"/>
                <w:sz w:val="16"/>
                <w:szCs w:val="16"/>
                <w:b w:val="1"/>
                <w:bCs w:val="1"/>
                <w:color w:val="auto"/>
              </w:rPr>
              <w:t>9,358</w:t>
            </w:r>
          </w:p>
        </w:tc>
        <w:tc>
          <w:tcPr>
            <w:tcW w:w="88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5,992</w:t>
            </w:r>
          </w:p>
        </w:tc>
      </w:tr>
      <w:tr>
        <w:trPr>
          <w:trHeight w:val="205"/>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Payroll and benefts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1,530</w:t>
            </w: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2,089</w:t>
            </w:r>
          </w:p>
        </w:tc>
        <w:tc>
          <w:tcPr>
            <w:tcW w:w="2340" w:type="dxa"/>
            <w:vAlign w:val="bottom"/>
          </w:tcPr>
          <w:p>
            <w:pPr>
              <w:jc w:val="right"/>
              <w:ind w:right="699"/>
              <w:spacing w:after="0"/>
              <w:rPr>
                <w:sz w:val="20"/>
                <w:szCs w:val="20"/>
                <w:color w:val="auto"/>
              </w:rPr>
            </w:pPr>
            <w:r>
              <w:rPr>
                <w:rFonts w:ascii="Arial" w:cs="Arial" w:eastAsia="Arial" w:hAnsi="Arial"/>
                <w:sz w:val="16"/>
                <w:szCs w:val="16"/>
                <w:b w:val="1"/>
                <w:bCs w:val="1"/>
                <w:color w:val="auto"/>
              </w:rPr>
              <w:t>3,209</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4,116</w:t>
            </w: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Lab and administraton</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197</w:t>
            </w:r>
          </w:p>
        </w:tc>
        <w:tc>
          <w:tcPr>
            <w:tcW w:w="1780" w:type="dxa"/>
            <w:vAlign w:val="bottom"/>
          </w:tcPr>
          <w:p>
            <w:pPr>
              <w:jc w:val="right"/>
              <w:ind w:right="99"/>
              <w:spacing w:after="0"/>
              <w:rPr>
                <w:sz w:val="20"/>
                <w:szCs w:val="20"/>
                <w:color w:val="auto"/>
              </w:rPr>
            </w:pPr>
            <w:r>
              <w:rPr>
                <w:rFonts w:ascii="Arial" w:cs="Arial" w:eastAsia="Arial" w:hAnsi="Arial"/>
                <w:sz w:val="16"/>
                <w:szCs w:val="16"/>
                <w:color w:val="auto"/>
              </w:rPr>
              <w:t>273</w:t>
            </w:r>
          </w:p>
        </w:tc>
        <w:tc>
          <w:tcPr>
            <w:tcW w:w="2340" w:type="dxa"/>
            <w:vAlign w:val="bottom"/>
          </w:tcPr>
          <w:p>
            <w:pPr>
              <w:jc w:val="right"/>
              <w:ind w:right="699"/>
              <w:spacing w:after="0"/>
              <w:rPr>
                <w:sz w:val="20"/>
                <w:szCs w:val="20"/>
                <w:color w:val="auto"/>
              </w:rPr>
            </w:pPr>
            <w:r>
              <w:rPr>
                <w:rFonts w:ascii="Arial" w:cs="Arial" w:eastAsia="Arial" w:hAnsi="Arial"/>
                <w:sz w:val="16"/>
                <w:szCs w:val="16"/>
                <w:b w:val="1"/>
                <w:bCs w:val="1"/>
                <w:color w:val="auto"/>
              </w:rPr>
              <w:t>405</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511</w:t>
            </w:r>
          </w:p>
        </w:tc>
      </w:tr>
      <w:tr>
        <w:trPr>
          <w:trHeight w:val="217"/>
        </w:trPr>
        <w:tc>
          <w:tcPr>
            <w:tcW w:w="220" w:type="dxa"/>
            <w:vAlign w:val="bottom"/>
          </w:tcPr>
          <w:p>
            <w:pPr>
              <w:spacing w:after="0"/>
              <w:rPr>
                <w:sz w:val="18"/>
                <w:szCs w:val="18"/>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Professional and consultng fees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379</w:t>
            </w:r>
          </w:p>
        </w:tc>
        <w:tc>
          <w:tcPr>
            <w:tcW w:w="23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108</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570</w:t>
            </w:r>
          </w:p>
        </w:tc>
      </w:tr>
      <w:tr>
        <w:trPr>
          <w:trHeight w:val="212"/>
        </w:trPr>
        <w:tc>
          <w:tcPr>
            <w:tcW w:w="22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rPr>
              <w:t>6,696</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5,141</w:t>
            </w:r>
          </w:p>
        </w:tc>
        <w:tc>
          <w:tcPr>
            <w:tcW w:w="2340" w:type="dxa"/>
            <w:vAlign w:val="bottom"/>
          </w:tcPr>
          <w:p>
            <w:pPr>
              <w:jc w:val="right"/>
              <w:ind w:right="739"/>
              <w:spacing w:after="0"/>
              <w:rPr>
                <w:sz w:val="20"/>
                <w:szCs w:val="20"/>
                <w:color w:val="auto"/>
              </w:rPr>
            </w:pPr>
            <w:r>
              <w:rPr>
                <w:rFonts w:ascii="Arial" w:cs="Arial" w:eastAsia="Arial" w:hAnsi="Arial"/>
                <w:sz w:val="16"/>
                <w:szCs w:val="16"/>
                <w:b w:val="1"/>
                <w:bCs w:val="1"/>
                <w:color w:val="auto"/>
              </w:rPr>
              <w:t>13,080</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11,189</w:t>
            </w:r>
          </w:p>
        </w:tc>
      </w:tr>
      <w:tr>
        <w:trPr>
          <w:trHeight w:val="55"/>
        </w:trPr>
        <w:tc>
          <w:tcPr>
            <w:tcW w:w="220" w:type="dxa"/>
            <w:vAlign w:val="bottom"/>
          </w:tcPr>
          <w:p>
            <w:pPr>
              <w:spacing w:after="0"/>
              <w:rPr>
                <w:sz w:val="4"/>
                <w:szCs w:val="4"/>
                <w:color w:val="auto"/>
              </w:rPr>
            </w:pPr>
          </w:p>
        </w:tc>
        <w:tc>
          <w:tcPr>
            <w:tcW w:w="42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640"/>
        </w:trPr>
        <w:tc>
          <w:tcPr>
            <w:tcW w:w="4420" w:type="dxa"/>
            <w:vAlign w:val="bottom"/>
            <w:gridSpan w:val="2"/>
          </w:tcPr>
          <w:p>
            <w:pPr>
              <w:spacing w:after="0"/>
              <w:rPr>
                <w:sz w:val="20"/>
                <w:szCs w:val="20"/>
                <w:color w:val="auto"/>
              </w:rPr>
            </w:pPr>
            <w:r>
              <w:rPr>
                <w:rFonts w:ascii="Arial" w:cs="Arial" w:eastAsia="Arial" w:hAnsi="Arial"/>
                <w:sz w:val="16"/>
                <w:szCs w:val="16"/>
                <w:b w:val="1"/>
                <w:bCs w:val="1"/>
                <w:color w:val="2D5F91"/>
              </w:rPr>
              <w:t>9.  GENERAL AND ADMINISTRATIVE EXPENSES</w:t>
            </w:r>
          </w:p>
        </w:tc>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w w:val="90"/>
              </w:rPr>
              <w:t>Three-months ended</w:t>
            </w:r>
          </w:p>
        </w:tc>
        <w:tc>
          <w:tcPr>
            <w:tcW w:w="2340" w:type="dxa"/>
            <w:vAlign w:val="bottom"/>
          </w:tcPr>
          <w:p>
            <w:pPr>
              <w:jc w:val="right"/>
              <w:ind w:right="879"/>
              <w:spacing w:after="0"/>
              <w:rPr>
                <w:sz w:val="20"/>
                <w:szCs w:val="20"/>
                <w:color w:val="auto"/>
              </w:rPr>
            </w:pPr>
            <w:r>
              <w:rPr>
                <w:rFonts w:ascii="Arial" w:cs="Arial" w:eastAsia="Arial" w:hAnsi="Arial"/>
                <w:sz w:val="16"/>
                <w:szCs w:val="16"/>
                <w:b w:val="1"/>
                <w:bCs w:val="1"/>
                <w:color w:val="auto"/>
                <w:w w:val="98"/>
              </w:rPr>
              <w:t>Six-months ended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2340" w:type="dxa"/>
            <w:vAlign w:val="bottom"/>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2340" w:type="dxa"/>
            <w:vAlign w:val="bottom"/>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4"/>
                <w:szCs w:val="24"/>
                <w:color w:val="auto"/>
              </w:rPr>
            </w:pPr>
          </w:p>
        </w:tc>
      </w:tr>
      <w:tr>
        <w:trPr>
          <w:trHeight w:val="279"/>
        </w:trPr>
        <w:tc>
          <w:tcPr>
            <w:tcW w:w="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234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r>
      <w:tr>
        <w:trPr>
          <w:trHeight w:val="43"/>
        </w:trPr>
        <w:tc>
          <w:tcPr>
            <w:tcW w:w="22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81"/>
        </w:trPr>
        <w:tc>
          <w:tcPr>
            <w:tcW w:w="220" w:type="dxa"/>
            <w:vAlign w:val="bottom"/>
          </w:tcPr>
          <w:p>
            <w:pPr>
              <w:spacing w:after="0"/>
              <w:rPr>
                <w:sz w:val="15"/>
                <w:szCs w:val="15"/>
                <w:color w:val="auto"/>
              </w:rPr>
            </w:pPr>
          </w:p>
        </w:tc>
        <w:tc>
          <w:tcPr>
            <w:tcW w:w="4200" w:type="dxa"/>
            <w:vAlign w:val="bottom"/>
          </w:tcPr>
          <w:p>
            <w:pPr>
              <w:ind w:left="20"/>
              <w:spacing w:after="0" w:line="181" w:lineRule="exact"/>
              <w:rPr>
                <w:sz w:val="20"/>
                <w:szCs w:val="20"/>
                <w:color w:val="auto"/>
              </w:rPr>
            </w:pPr>
            <w:r>
              <w:rPr>
                <w:rFonts w:ascii="Arial" w:cs="Arial" w:eastAsia="Arial" w:hAnsi="Arial"/>
                <w:sz w:val="16"/>
                <w:szCs w:val="16"/>
                <w:color w:val="auto"/>
              </w:rPr>
              <w:t>Capital market</w:t>
            </w:r>
          </w:p>
        </w:tc>
        <w:tc>
          <w:tcPr>
            <w:tcW w:w="1820" w:type="dxa"/>
            <w:vAlign w:val="bottom"/>
          </w:tcPr>
          <w:p>
            <w:pPr>
              <w:jc w:val="right"/>
              <w:ind w:right="59"/>
              <w:spacing w:after="0" w:line="181" w:lineRule="exact"/>
              <w:rPr>
                <w:sz w:val="20"/>
                <w:szCs w:val="20"/>
                <w:color w:val="auto"/>
              </w:rPr>
            </w:pPr>
            <w:r>
              <w:rPr>
                <w:rFonts w:ascii="Arial" w:cs="Arial" w:eastAsia="Arial" w:hAnsi="Arial"/>
                <w:sz w:val="16"/>
                <w:szCs w:val="16"/>
                <w:b w:val="1"/>
                <w:bCs w:val="1"/>
                <w:color w:val="auto"/>
              </w:rPr>
              <w:t>2,062</w:t>
            </w:r>
          </w:p>
        </w:tc>
        <w:tc>
          <w:tcPr>
            <w:tcW w:w="1780" w:type="dxa"/>
            <w:vAlign w:val="bottom"/>
          </w:tcPr>
          <w:p>
            <w:pPr>
              <w:jc w:val="right"/>
              <w:ind w:right="199"/>
              <w:spacing w:after="0" w:line="181" w:lineRule="exact"/>
              <w:rPr>
                <w:sz w:val="20"/>
                <w:szCs w:val="20"/>
                <w:color w:val="auto"/>
              </w:rPr>
            </w:pPr>
            <w:r>
              <w:rPr>
                <w:rFonts w:ascii="Arial" w:cs="Arial" w:eastAsia="Arial" w:hAnsi="Arial"/>
                <w:sz w:val="16"/>
                <w:szCs w:val="16"/>
                <w:color w:val="auto"/>
              </w:rPr>
              <w:t>1,918</w:t>
            </w:r>
          </w:p>
        </w:tc>
        <w:tc>
          <w:tcPr>
            <w:tcW w:w="2340" w:type="dxa"/>
            <w:vAlign w:val="bottom"/>
          </w:tcPr>
          <w:p>
            <w:pPr>
              <w:jc w:val="right"/>
              <w:ind w:right="779"/>
              <w:spacing w:after="0" w:line="181" w:lineRule="exact"/>
              <w:rPr>
                <w:sz w:val="20"/>
                <w:szCs w:val="20"/>
                <w:color w:val="auto"/>
              </w:rPr>
            </w:pPr>
            <w:r>
              <w:rPr>
                <w:rFonts w:ascii="Arial" w:cs="Arial" w:eastAsia="Arial" w:hAnsi="Arial"/>
                <w:sz w:val="16"/>
                <w:szCs w:val="16"/>
                <w:b w:val="1"/>
                <w:bCs w:val="1"/>
                <w:color w:val="auto"/>
              </w:rPr>
              <w:t>4,224</w:t>
            </w: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2,264</w:t>
            </w:r>
          </w:p>
        </w:tc>
        <w:tc>
          <w:tcPr>
            <w:tcW w:w="80" w:type="dxa"/>
            <w:vAlign w:val="bottom"/>
          </w:tcPr>
          <w:p>
            <w:pPr>
              <w:spacing w:after="0"/>
              <w:rPr>
                <w:sz w:val="15"/>
                <w:szCs w:val="15"/>
                <w:color w:val="auto"/>
              </w:rPr>
            </w:pPr>
          </w:p>
        </w:tc>
      </w:tr>
      <w:tr>
        <w:trPr>
          <w:trHeight w:val="205"/>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Payroll, consultng and benefts</w:t>
            </w:r>
          </w:p>
        </w:tc>
        <w:tc>
          <w:tcPr>
            <w:tcW w:w="1820" w:type="dxa"/>
            <w:vAlign w:val="bottom"/>
          </w:tcPr>
          <w:p>
            <w:pPr>
              <w:jc w:val="right"/>
              <w:ind w:right="59"/>
              <w:spacing w:after="0"/>
              <w:rPr>
                <w:sz w:val="20"/>
                <w:szCs w:val="20"/>
                <w:color w:val="auto"/>
              </w:rPr>
            </w:pPr>
            <w:r>
              <w:rPr>
                <w:rFonts w:ascii="Arial" w:cs="Arial" w:eastAsia="Arial" w:hAnsi="Arial"/>
                <w:sz w:val="16"/>
                <w:szCs w:val="16"/>
                <w:b w:val="1"/>
                <w:bCs w:val="1"/>
                <w:color w:val="auto"/>
              </w:rPr>
              <w:t>1,342</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1,559</w:t>
            </w:r>
          </w:p>
        </w:tc>
        <w:tc>
          <w:tcPr>
            <w:tcW w:w="2340" w:type="dxa"/>
            <w:vAlign w:val="bottom"/>
          </w:tcPr>
          <w:p>
            <w:pPr>
              <w:jc w:val="right"/>
              <w:ind w:right="779"/>
              <w:spacing w:after="0"/>
              <w:rPr>
                <w:sz w:val="20"/>
                <w:szCs w:val="20"/>
                <w:color w:val="auto"/>
              </w:rPr>
            </w:pPr>
            <w:r>
              <w:rPr>
                <w:rFonts w:ascii="Arial" w:cs="Arial" w:eastAsia="Arial" w:hAnsi="Arial"/>
                <w:sz w:val="16"/>
                <w:szCs w:val="16"/>
                <w:b w:val="1"/>
                <w:bCs w:val="1"/>
                <w:color w:val="auto"/>
              </w:rPr>
              <w:t>2,790</w:t>
            </w:r>
          </w:p>
        </w:tc>
        <w:tc>
          <w:tcPr>
            <w:tcW w:w="800" w:type="dxa"/>
            <w:vAlign w:val="bottom"/>
          </w:tcPr>
          <w:p>
            <w:pPr>
              <w:jc w:val="right"/>
              <w:spacing w:after="0"/>
              <w:rPr>
                <w:sz w:val="20"/>
                <w:szCs w:val="20"/>
                <w:color w:val="auto"/>
              </w:rPr>
            </w:pPr>
            <w:r>
              <w:rPr>
                <w:rFonts w:ascii="Arial" w:cs="Arial" w:eastAsia="Arial" w:hAnsi="Arial"/>
                <w:sz w:val="16"/>
                <w:szCs w:val="16"/>
                <w:color w:val="auto"/>
              </w:rPr>
              <w:t>3,245</w:t>
            </w:r>
          </w:p>
        </w:tc>
        <w:tc>
          <w:tcPr>
            <w:tcW w:w="8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Ofce and administraton</w:t>
            </w:r>
          </w:p>
        </w:tc>
        <w:tc>
          <w:tcPr>
            <w:tcW w:w="1820" w:type="dxa"/>
            <w:vAlign w:val="bottom"/>
          </w:tcPr>
          <w:p>
            <w:pPr>
              <w:jc w:val="right"/>
              <w:ind w:right="59"/>
              <w:spacing w:after="0"/>
              <w:rPr>
                <w:sz w:val="20"/>
                <w:szCs w:val="20"/>
                <w:color w:val="auto"/>
              </w:rPr>
            </w:pPr>
            <w:r>
              <w:rPr>
                <w:rFonts w:ascii="Arial" w:cs="Arial" w:eastAsia="Arial" w:hAnsi="Arial"/>
                <w:sz w:val="16"/>
                <w:szCs w:val="16"/>
                <w:b w:val="1"/>
                <w:bCs w:val="1"/>
                <w:color w:val="auto"/>
              </w:rPr>
              <w:t>611</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1,290</w:t>
            </w:r>
          </w:p>
        </w:tc>
        <w:tc>
          <w:tcPr>
            <w:tcW w:w="2340" w:type="dxa"/>
            <w:vAlign w:val="bottom"/>
          </w:tcPr>
          <w:p>
            <w:pPr>
              <w:jc w:val="right"/>
              <w:ind w:right="779"/>
              <w:spacing w:after="0"/>
              <w:rPr>
                <w:sz w:val="20"/>
                <w:szCs w:val="20"/>
                <w:color w:val="auto"/>
              </w:rPr>
            </w:pPr>
            <w:r>
              <w:rPr>
                <w:rFonts w:ascii="Arial" w:cs="Arial" w:eastAsia="Arial" w:hAnsi="Arial"/>
                <w:sz w:val="16"/>
                <w:szCs w:val="16"/>
                <w:b w:val="1"/>
                <w:bCs w:val="1"/>
                <w:color w:val="auto"/>
              </w:rPr>
              <w:t>1,219</w:t>
            </w:r>
          </w:p>
        </w:tc>
        <w:tc>
          <w:tcPr>
            <w:tcW w:w="800" w:type="dxa"/>
            <w:vAlign w:val="bottom"/>
          </w:tcPr>
          <w:p>
            <w:pPr>
              <w:jc w:val="right"/>
              <w:spacing w:after="0"/>
              <w:rPr>
                <w:sz w:val="20"/>
                <w:szCs w:val="20"/>
                <w:color w:val="auto"/>
              </w:rPr>
            </w:pPr>
            <w:r>
              <w:rPr>
                <w:rFonts w:ascii="Arial" w:cs="Arial" w:eastAsia="Arial" w:hAnsi="Arial"/>
                <w:sz w:val="16"/>
                <w:szCs w:val="16"/>
                <w:color w:val="auto"/>
              </w:rPr>
              <w:t>2,150</w:t>
            </w:r>
          </w:p>
        </w:tc>
        <w:tc>
          <w:tcPr>
            <w:tcW w:w="8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Professional and consultng fees</w:t>
            </w:r>
          </w:p>
        </w:tc>
        <w:tc>
          <w:tcPr>
            <w:tcW w:w="1820" w:type="dxa"/>
            <w:vAlign w:val="bottom"/>
          </w:tcPr>
          <w:p>
            <w:pPr>
              <w:jc w:val="right"/>
              <w:ind w:right="59"/>
              <w:spacing w:after="0"/>
              <w:rPr>
                <w:sz w:val="20"/>
                <w:szCs w:val="20"/>
                <w:color w:val="auto"/>
              </w:rPr>
            </w:pPr>
            <w:r>
              <w:rPr>
                <w:rFonts w:ascii="Arial" w:cs="Arial" w:eastAsia="Arial" w:hAnsi="Arial"/>
                <w:sz w:val="16"/>
                <w:szCs w:val="16"/>
                <w:b w:val="1"/>
                <w:bCs w:val="1"/>
                <w:color w:val="auto"/>
              </w:rPr>
              <w:t>1,088</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663</w:t>
            </w:r>
          </w:p>
        </w:tc>
        <w:tc>
          <w:tcPr>
            <w:tcW w:w="2340" w:type="dxa"/>
            <w:vAlign w:val="bottom"/>
          </w:tcPr>
          <w:p>
            <w:pPr>
              <w:jc w:val="right"/>
              <w:ind w:right="779"/>
              <w:spacing w:after="0"/>
              <w:rPr>
                <w:sz w:val="20"/>
                <w:szCs w:val="20"/>
                <w:color w:val="auto"/>
              </w:rPr>
            </w:pPr>
            <w:r>
              <w:rPr>
                <w:rFonts w:ascii="Arial" w:cs="Arial" w:eastAsia="Arial" w:hAnsi="Arial"/>
                <w:sz w:val="16"/>
                <w:szCs w:val="16"/>
                <w:b w:val="1"/>
                <w:bCs w:val="1"/>
                <w:color w:val="auto"/>
              </w:rPr>
              <w:t>1,506</w:t>
            </w:r>
          </w:p>
        </w:tc>
        <w:tc>
          <w:tcPr>
            <w:tcW w:w="800" w:type="dxa"/>
            <w:vAlign w:val="bottom"/>
          </w:tcPr>
          <w:p>
            <w:pPr>
              <w:jc w:val="right"/>
              <w:spacing w:after="0"/>
              <w:rPr>
                <w:sz w:val="20"/>
                <w:szCs w:val="20"/>
                <w:color w:val="auto"/>
              </w:rPr>
            </w:pPr>
            <w:r>
              <w:rPr>
                <w:rFonts w:ascii="Arial" w:cs="Arial" w:eastAsia="Arial" w:hAnsi="Arial"/>
                <w:sz w:val="16"/>
                <w:szCs w:val="16"/>
                <w:color w:val="auto"/>
              </w:rPr>
              <w:t>1,651</w:t>
            </w:r>
          </w:p>
        </w:tc>
        <w:tc>
          <w:tcPr>
            <w:tcW w:w="8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Business development</w:t>
            </w:r>
          </w:p>
        </w:tc>
        <w:tc>
          <w:tcPr>
            <w:tcW w:w="1820" w:type="dxa"/>
            <w:vAlign w:val="bottom"/>
          </w:tcPr>
          <w:p>
            <w:pPr>
              <w:jc w:val="right"/>
              <w:ind w:right="59"/>
              <w:spacing w:after="0"/>
              <w:rPr>
                <w:sz w:val="20"/>
                <w:szCs w:val="20"/>
                <w:color w:val="auto"/>
              </w:rPr>
            </w:pPr>
            <w:r>
              <w:rPr>
                <w:rFonts w:ascii="Arial" w:cs="Arial" w:eastAsia="Arial" w:hAnsi="Arial"/>
                <w:sz w:val="16"/>
                <w:szCs w:val="16"/>
                <w:b w:val="1"/>
                <w:bCs w:val="1"/>
                <w:color w:val="auto"/>
              </w:rPr>
              <w:t>286</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288</w:t>
            </w:r>
          </w:p>
        </w:tc>
        <w:tc>
          <w:tcPr>
            <w:tcW w:w="2340" w:type="dxa"/>
            <w:vAlign w:val="bottom"/>
          </w:tcPr>
          <w:p>
            <w:pPr>
              <w:jc w:val="right"/>
              <w:ind w:right="779"/>
              <w:spacing w:after="0"/>
              <w:rPr>
                <w:sz w:val="20"/>
                <w:szCs w:val="20"/>
                <w:color w:val="auto"/>
              </w:rPr>
            </w:pPr>
            <w:r>
              <w:rPr>
                <w:rFonts w:ascii="Arial" w:cs="Arial" w:eastAsia="Arial" w:hAnsi="Arial"/>
                <w:sz w:val="16"/>
                <w:szCs w:val="16"/>
                <w:b w:val="1"/>
                <w:bCs w:val="1"/>
                <w:color w:val="auto"/>
              </w:rPr>
              <w:t>489</w:t>
            </w:r>
          </w:p>
        </w:tc>
        <w:tc>
          <w:tcPr>
            <w:tcW w:w="800" w:type="dxa"/>
            <w:vAlign w:val="bottom"/>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Investor relatons</w:t>
            </w:r>
          </w:p>
        </w:tc>
        <w:tc>
          <w:tcPr>
            <w:tcW w:w="1820" w:type="dxa"/>
            <w:vAlign w:val="bottom"/>
          </w:tcPr>
          <w:p>
            <w:pPr>
              <w:jc w:val="right"/>
              <w:ind w:right="59"/>
              <w:spacing w:after="0"/>
              <w:rPr>
                <w:sz w:val="20"/>
                <w:szCs w:val="20"/>
                <w:color w:val="auto"/>
              </w:rPr>
            </w:pPr>
            <w:r>
              <w:rPr>
                <w:rFonts w:ascii="Arial" w:cs="Arial" w:eastAsia="Arial" w:hAnsi="Arial"/>
                <w:sz w:val="16"/>
                <w:szCs w:val="16"/>
                <w:b w:val="1"/>
                <w:bCs w:val="1"/>
                <w:color w:val="auto"/>
              </w:rPr>
              <w:t>315</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169</w:t>
            </w:r>
          </w:p>
        </w:tc>
        <w:tc>
          <w:tcPr>
            <w:tcW w:w="2340" w:type="dxa"/>
            <w:vAlign w:val="bottom"/>
          </w:tcPr>
          <w:p>
            <w:pPr>
              <w:jc w:val="right"/>
              <w:ind w:right="779"/>
              <w:spacing w:after="0"/>
              <w:rPr>
                <w:sz w:val="20"/>
                <w:szCs w:val="20"/>
                <w:color w:val="auto"/>
              </w:rPr>
            </w:pPr>
            <w:r>
              <w:rPr>
                <w:rFonts w:ascii="Arial" w:cs="Arial" w:eastAsia="Arial" w:hAnsi="Arial"/>
                <w:sz w:val="16"/>
                <w:szCs w:val="16"/>
                <w:b w:val="1"/>
                <w:bCs w:val="1"/>
                <w:color w:val="auto"/>
              </w:rPr>
              <w:t>442</w:t>
            </w:r>
          </w:p>
        </w:tc>
        <w:tc>
          <w:tcPr>
            <w:tcW w:w="80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17"/>
                <w:szCs w:val="17"/>
                <w:color w:val="auto"/>
              </w:rPr>
            </w:pPr>
          </w:p>
        </w:tc>
      </w:tr>
      <w:tr>
        <w:trPr>
          <w:trHeight w:val="206"/>
        </w:trPr>
        <w:tc>
          <w:tcPr>
            <w:tcW w:w="220" w:type="dxa"/>
            <w:vAlign w:val="bottom"/>
          </w:tcPr>
          <w:p>
            <w:pPr>
              <w:spacing w:after="0"/>
              <w:rPr>
                <w:sz w:val="17"/>
                <w:szCs w:val="17"/>
                <w:color w:val="auto"/>
              </w:rPr>
            </w:pPr>
          </w:p>
        </w:tc>
        <w:tc>
          <w:tcPr>
            <w:tcW w:w="4200" w:type="dxa"/>
            <w:vAlign w:val="bottom"/>
          </w:tcPr>
          <w:p>
            <w:pPr>
              <w:ind w:left="20"/>
              <w:spacing w:after="0"/>
              <w:rPr>
                <w:sz w:val="20"/>
                <w:szCs w:val="20"/>
                <w:color w:val="auto"/>
              </w:rPr>
            </w:pPr>
            <w:r>
              <w:rPr>
                <w:rFonts w:ascii="Arial" w:cs="Arial" w:eastAsia="Arial" w:hAnsi="Arial"/>
                <w:sz w:val="16"/>
                <w:szCs w:val="16"/>
                <w:color w:val="auto"/>
              </w:rPr>
              <w:t>Listng fees</w:t>
            </w:r>
          </w:p>
        </w:tc>
        <w:tc>
          <w:tcPr>
            <w:tcW w:w="1820" w:type="dxa"/>
            <w:vAlign w:val="bottom"/>
          </w:tcPr>
          <w:p>
            <w:pPr>
              <w:jc w:val="right"/>
              <w:ind w:right="59"/>
              <w:spacing w:after="0"/>
              <w:rPr>
                <w:sz w:val="20"/>
                <w:szCs w:val="20"/>
                <w:color w:val="auto"/>
              </w:rPr>
            </w:pPr>
            <w:r>
              <w:rPr>
                <w:rFonts w:ascii="Arial" w:cs="Arial" w:eastAsia="Arial" w:hAnsi="Arial"/>
                <w:sz w:val="16"/>
                <w:szCs w:val="16"/>
                <w:b w:val="1"/>
                <w:bCs w:val="1"/>
                <w:color w:val="auto"/>
              </w:rPr>
              <w:t>81</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137</w:t>
            </w:r>
          </w:p>
        </w:tc>
        <w:tc>
          <w:tcPr>
            <w:tcW w:w="2340" w:type="dxa"/>
            <w:vAlign w:val="bottom"/>
          </w:tcPr>
          <w:p>
            <w:pPr>
              <w:jc w:val="right"/>
              <w:ind w:right="779"/>
              <w:spacing w:after="0"/>
              <w:rPr>
                <w:sz w:val="20"/>
                <w:szCs w:val="20"/>
                <w:color w:val="auto"/>
              </w:rPr>
            </w:pPr>
            <w:r>
              <w:rPr>
                <w:rFonts w:ascii="Arial" w:cs="Arial" w:eastAsia="Arial" w:hAnsi="Arial"/>
                <w:sz w:val="16"/>
                <w:szCs w:val="16"/>
                <w:b w:val="1"/>
                <w:bCs w:val="1"/>
                <w:color w:val="auto"/>
              </w:rPr>
              <w:t>151</w:t>
            </w:r>
          </w:p>
        </w:tc>
        <w:tc>
          <w:tcPr>
            <w:tcW w:w="800" w:type="dxa"/>
            <w:vAlign w:val="bottom"/>
          </w:tcPr>
          <w:p>
            <w:pPr>
              <w:jc w:val="right"/>
              <w:spacing w:after="0"/>
              <w:rPr>
                <w:sz w:val="20"/>
                <w:szCs w:val="20"/>
                <w:color w:val="auto"/>
              </w:rPr>
            </w:pPr>
            <w:r>
              <w:rPr>
                <w:rFonts w:ascii="Arial" w:cs="Arial" w:eastAsia="Arial" w:hAnsi="Arial"/>
                <w:sz w:val="16"/>
                <w:szCs w:val="16"/>
                <w:color w:val="auto"/>
              </w:rPr>
              <w:t>232</w:t>
            </w:r>
          </w:p>
        </w:tc>
        <w:tc>
          <w:tcPr>
            <w:tcW w:w="80" w:type="dxa"/>
            <w:vAlign w:val="bottom"/>
          </w:tcPr>
          <w:p>
            <w:pPr>
              <w:spacing w:after="0"/>
              <w:rPr>
                <w:sz w:val="17"/>
                <w:szCs w:val="17"/>
                <w:color w:val="auto"/>
              </w:rPr>
            </w:pPr>
          </w:p>
        </w:tc>
      </w:tr>
      <w:tr>
        <w:trPr>
          <w:trHeight w:val="217"/>
        </w:trPr>
        <w:tc>
          <w:tcPr>
            <w:tcW w:w="220" w:type="dxa"/>
            <w:vAlign w:val="bottom"/>
          </w:tcPr>
          <w:p>
            <w:pPr>
              <w:spacing w:after="0"/>
              <w:rPr>
                <w:sz w:val="18"/>
                <w:szCs w:val="18"/>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Marketng media</w:t>
            </w:r>
          </w:p>
        </w:tc>
        <w:tc>
          <w:tcPr>
            <w:tcW w:w="1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w:t>
            </w: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90</w:t>
            </w:r>
          </w:p>
        </w:tc>
        <w:tc>
          <w:tcPr>
            <w:tcW w:w="23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80" w:type="dxa"/>
            <w:vAlign w:val="bottom"/>
          </w:tcPr>
          <w:p>
            <w:pPr>
              <w:spacing w:after="0"/>
              <w:rPr>
                <w:sz w:val="18"/>
                <w:szCs w:val="18"/>
                <w:color w:val="auto"/>
              </w:rPr>
            </w:pPr>
          </w:p>
        </w:tc>
      </w:tr>
      <w:tr>
        <w:trPr>
          <w:trHeight w:val="259"/>
        </w:trPr>
        <w:tc>
          <w:tcPr>
            <w:tcW w:w="220" w:type="dxa"/>
            <w:vAlign w:val="bottom"/>
          </w:tcPr>
          <w:p>
            <w:pPr>
              <w:spacing w:after="0"/>
              <w:rPr>
                <w:sz w:val="22"/>
                <w:szCs w:val="22"/>
                <w:color w:val="auto"/>
              </w:rPr>
            </w:pPr>
          </w:p>
        </w:tc>
        <w:tc>
          <w:tcPr>
            <w:tcW w:w="42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w:t>
            </w:r>
          </w:p>
        </w:tc>
        <w:tc>
          <w:tcPr>
            <w:tcW w:w="1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5,800</w:t>
            </w:r>
          </w:p>
        </w:tc>
        <w:tc>
          <w:tcPr>
            <w:tcW w:w="1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6,114</w:t>
            </w:r>
          </w:p>
        </w:tc>
        <w:tc>
          <w:tcPr>
            <w:tcW w:w="23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10,848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11,306</w:t>
            </w:r>
          </w:p>
        </w:tc>
        <w:tc>
          <w:tcPr>
            <w:tcW w:w="80" w:type="dxa"/>
            <w:vAlign w:val="bottom"/>
          </w:tcPr>
          <w:p>
            <w:pPr>
              <w:spacing w:after="0"/>
              <w:rPr>
                <w:sz w:val="22"/>
                <w:szCs w:val="22"/>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10.</w:t>
      </w:r>
      <w:r>
        <w:rPr>
          <w:sz w:val="20"/>
          <w:szCs w:val="20"/>
          <w:color w:val="auto"/>
        </w:rPr>
        <w:tab/>
      </w:r>
      <w:r>
        <w:rPr>
          <w:rFonts w:ascii="Arial" w:cs="Arial" w:eastAsia="Arial" w:hAnsi="Arial"/>
          <w:sz w:val="13"/>
          <w:szCs w:val="13"/>
          <w:b w:val="1"/>
          <w:bCs w:val="1"/>
          <w:color w:val="2D5F91"/>
        </w:rPr>
        <w:t>CONTRACTS, COMMITMENTS AND CONTINGENCIES</w:t>
      </w:r>
    </w:p>
    <w:p>
      <w:pPr>
        <w:spacing w:after="0" w:line="204" w:lineRule="exact"/>
        <w:rPr>
          <w:sz w:val="20"/>
          <w:szCs w:val="20"/>
          <w:color w:val="auto"/>
        </w:rPr>
      </w:pPr>
    </w:p>
    <w:p>
      <w:pPr>
        <w:jc w:val="both"/>
        <w:ind w:left="280"/>
        <w:spacing w:after="0" w:line="298" w:lineRule="auto"/>
        <w:rPr>
          <w:sz w:val="20"/>
          <w:szCs w:val="20"/>
          <w:color w:val="auto"/>
        </w:rPr>
      </w:pPr>
      <w:r>
        <w:rPr>
          <w:rFonts w:ascii="Arial" w:cs="Arial" w:eastAsia="Arial" w:hAnsi="Arial"/>
          <w:sz w:val="16"/>
          <w:szCs w:val="16"/>
          <w:color w:val="auto"/>
        </w:rPr>
        <w:t>As at September 30, 2023, the Company had entered into agreements for various studies which may require the Company to spend up to an additonal $7,347. The Company expects to pay this amount within the 12 months ending September 30, 2024,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41" w:lineRule="exact"/>
        <w:rPr>
          <w:sz w:val="20"/>
          <w:szCs w:val="20"/>
          <w:color w:val="auto"/>
        </w:rPr>
      </w:pPr>
    </w:p>
    <w:p>
      <w:pPr>
        <w:jc w:val="both"/>
        <w:ind w:left="280"/>
        <w:spacing w:after="0" w:line="303" w:lineRule="auto"/>
        <w:rPr>
          <w:sz w:val="20"/>
          <w:szCs w:val="20"/>
          <w:color w:val="auto"/>
        </w:rPr>
      </w:pPr>
      <w:r>
        <w:rPr>
          <w:rFonts w:ascii="Arial" w:cs="Arial" w:eastAsia="Arial" w:hAnsi="Arial"/>
          <w:sz w:val="16"/>
          <w:szCs w:val="16"/>
          <w:color w:val="auto"/>
        </w:rPr>
        <w:t>In additon to the above, during the year ended March 31, 2022, the Company entered into an exclusive license agreement with Mindset Pharma Inc. to acquire a class of tryptamine-based molecules. Upon the successful completon of certain milestones contemplated in the agreement, the Company may have to pay additonal consideraton of up to $12,844 (US$9,500). At the sole discreton of Cybin, the milestones may be paid in cash or in Common Shares, or a combinaton thereof, subject to the approval of the Cboe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18 of 25</w:t>
      </w:r>
    </w:p>
    <w:p>
      <w:pPr>
        <w:sectPr>
          <w:pgSz w:w="11900" w:h="16838" w:orient="portrait"/>
          <w:cols w:equalWidth="0" w:num="1">
            <w:col w:w="11240"/>
          </w:cols>
          <w:pgMar w:left="320" w:top="221" w:right="339" w:bottom="1440" w:gutter="0" w:footer="0" w:header="0"/>
        </w:sectPr>
      </w:pPr>
    </w:p>
    <w:bookmarkStart w:id="21" w:name="page22"/>
    <w:bookmarkEnd w:id="21"/>
    <w:p>
      <w:pPr>
        <w:ind w:left="60"/>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0" w:right="40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146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280" w:right="20"/>
        <w:spacing w:after="0" w:line="305" w:lineRule="auto"/>
        <w:rPr>
          <w:sz w:val="20"/>
          <w:szCs w:val="20"/>
          <w:color w:val="auto"/>
        </w:rPr>
      </w:pPr>
      <w:r>
        <w:rPr>
          <w:rFonts w:ascii="Arial" w:cs="Arial" w:eastAsia="Arial" w:hAnsi="Arial"/>
          <w:sz w:val="16"/>
          <w:szCs w:val="16"/>
          <w:color w:val="auto"/>
        </w:rPr>
        <w:t>Exchange Inc.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135" w:lineRule="exact"/>
        <w:rPr>
          <w:sz w:val="20"/>
          <w:szCs w:val="20"/>
          <w:color w:val="auto"/>
        </w:rPr>
      </w:pPr>
    </w:p>
    <w:p>
      <w:pPr>
        <w:jc w:val="both"/>
        <w:ind w:left="280" w:right="20"/>
        <w:spacing w:after="0" w:line="305" w:lineRule="auto"/>
        <w:rPr>
          <w:sz w:val="20"/>
          <w:szCs w:val="20"/>
          <w:color w:val="auto"/>
        </w:rPr>
      </w:pPr>
      <w:r>
        <w:rPr>
          <w:rFonts w:ascii="Arial" w:cs="Arial" w:eastAsia="Arial" w:hAnsi="Arial"/>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135" w:lineRule="exact"/>
        <w:rPr>
          <w:sz w:val="20"/>
          <w:szCs w:val="20"/>
          <w:color w:val="auto"/>
        </w:rPr>
      </w:pPr>
    </w:p>
    <w:p>
      <w:pPr>
        <w:jc w:val="both"/>
        <w:ind w:left="280" w:right="20"/>
        <w:spacing w:after="0" w:line="325" w:lineRule="auto"/>
        <w:rPr>
          <w:sz w:val="20"/>
          <w:szCs w:val="20"/>
          <w:color w:val="auto"/>
        </w:rPr>
      </w:pPr>
      <w:r>
        <w:rPr>
          <w:rFonts w:ascii="Arial" w:cs="Arial" w:eastAsia="Arial" w:hAnsi="Arial"/>
          <w:sz w:val="16"/>
          <w:szCs w:val="16"/>
          <w:color w:val="auto"/>
        </w:rPr>
        <w:t>In the normal course of business, the Company may be subject to legal proceedings and claims. As at September 30, 2023, there was no ongoing litgaton and therefore no contngent liabilites have been recorded.</w:t>
      </w:r>
    </w:p>
    <w:p>
      <w:pPr>
        <w:spacing w:after="0" w:line="120" w:lineRule="exact"/>
        <w:rPr>
          <w:sz w:val="20"/>
          <w:szCs w:val="20"/>
          <w:color w:val="auto"/>
        </w:rPr>
      </w:pPr>
    </w:p>
    <w:p>
      <w:pPr>
        <w:jc w:val="both"/>
        <w:ind w:left="280"/>
        <w:spacing w:after="0" w:line="298" w:lineRule="auto"/>
        <w:rPr>
          <w:sz w:val="20"/>
          <w:szCs w:val="20"/>
          <w:color w:val="auto"/>
        </w:rPr>
      </w:pPr>
      <w:r>
        <w:rPr>
          <w:rFonts w:ascii="Arial" w:cs="Arial" w:eastAsia="Arial" w:hAnsi="Arial"/>
          <w:sz w:val="16"/>
          <w:szCs w:val="16"/>
          <w:color w:val="auto"/>
        </w:rPr>
        <w:t>On August 28, 2023, Cybin and Small Pharma Inc. (“Small Pharma”), entered into an arrangement- agreement pursuant to which Cybin agreed to acquire all of Small Pharma’s issued and outstanding shares in an all-share transacton (the “Arrangement”). Cybin agreed to issue 0.2409 Common Shares for every one Small Pharma share. As part of the Arrangement if Cybin terminated the transacton Cybin would be responsible for a target terminaton Fee of $2,000 and a target terminaton event fee of $400. On October 23, 2023 Cybin completed the acquisiton of Small Pharma and 80,945,254 Common Shares were issued to Small Pharma shareholders (see Note 14). No terminaton fees were due or paid.</w:t>
      </w:r>
    </w:p>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11.</w:t>
      </w:r>
      <w:r>
        <w:rPr>
          <w:sz w:val="20"/>
          <w:szCs w:val="20"/>
          <w:color w:val="auto"/>
        </w:rPr>
        <w:tab/>
      </w:r>
      <w:r>
        <w:rPr>
          <w:rFonts w:ascii="Arial" w:cs="Arial" w:eastAsia="Arial" w:hAnsi="Arial"/>
          <w:sz w:val="13"/>
          <w:szCs w:val="13"/>
          <w:b w:val="1"/>
          <w:bCs w:val="1"/>
          <w:color w:val="2D5F91"/>
        </w:rPr>
        <w:t>CAPITAL MANAGEMENT</w:t>
      </w:r>
    </w:p>
    <w:p>
      <w:pPr>
        <w:spacing w:after="0" w:line="192" w:lineRule="exact"/>
        <w:rPr>
          <w:sz w:val="20"/>
          <w:szCs w:val="20"/>
          <w:color w:val="auto"/>
        </w:rPr>
      </w:pPr>
    </w:p>
    <w:p>
      <w:pPr>
        <w:jc w:val="both"/>
        <w:ind w:left="280"/>
        <w:spacing w:after="0" w:line="299" w:lineRule="auto"/>
        <w:rPr>
          <w:sz w:val="20"/>
          <w:szCs w:val="20"/>
          <w:color w:val="auto"/>
        </w:rPr>
      </w:pPr>
      <w:r>
        <w:rPr>
          <w:rFonts w:ascii="Arial" w:cs="Arial" w:eastAsia="Arial" w:hAnsi="Arial"/>
          <w:sz w:val="16"/>
          <w:szCs w:val="16"/>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41" w:lineRule="exact"/>
        <w:rPr>
          <w:sz w:val="20"/>
          <w:szCs w:val="20"/>
          <w:color w:val="auto"/>
        </w:rPr>
      </w:pPr>
    </w:p>
    <w:p>
      <w:pPr>
        <w:jc w:val="both"/>
        <w:ind w:left="280" w:right="20"/>
        <w:spacing w:after="0" w:line="303" w:lineRule="auto"/>
        <w:rPr>
          <w:sz w:val="20"/>
          <w:szCs w:val="20"/>
          <w:color w:val="auto"/>
        </w:rPr>
      </w:pPr>
      <w:r>
        <w:rPr>
          <w:rFonts w:ascii="Arial" w:cs="Arial" w:eastAsia="Arial" w:hAnsi="Arial"/>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Company’s capital management objectves, policies and processes generally remained unchanged during the six month period ended September 30, 2023.</w:t>
      </w:r>
    </w:p>
    <w:p>
      <w:pPr>
        <w:spacing w:after="0" w:line="216" w:lineRule="exact"/>
        <w:rPr>
          <w:sz w:val="20"/>
          <w:szCs w:val="20"/>
          <w:color w:val="auto"/>
        </w:rPr>
      </w:pPr>
    </w:p>
    <w:p>
      <w:pPr>
        <w:jc w:val="both"/>
        <w:ind w:left="280" w:right="20"/>
        <w:spacing w:after="0" w:line="325" w:lineRule="auto"/>
        <w:rPr>
          <w:sz w:val="20"/>
          <w:szCs w:val="20"/>
          <w:color w:val="auto"/>
        </w:rPr>
      </w:pPr>
      <w:r>
        <w:rPr>
          <w:rFonts w:ascii="Arial" w:cs="Arial" w:eastAsia="Arial" w:hAnsi="Arial"/>
          <w:sz w:val="16"/>
          <w:szCs w:val="16"/>
          <w:color w:val="auto"/>
        </w:rPr>
        <w:t>The Company requires capital to fund existng and future operatons and meet regulatory capital requirements. The Company’s policy is to maintain adequate levels of capital at all tmes.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19 of 25</w:t>
      </w:r>
    </w:p>
    <w:p>
      <w:pPr>
        <w:sectPr>
          <w:pgSz w:w="11900" w:h="16838" w:orient="portrait"/>
          <w:cols w:equalWidth="0" w:num="1">
            <w:col w:w="11260"/>
          </w:cols>
          <w:pgMar w:left="320" w:top="221" w:right="319" w:bottom="1440" w:gutter="0" w:footer="0" w:header="0"/>
        </w:sectPr>
      </w:pPr>
    </w:p>
    <w:bookmarkStart w:id="22" w:name="page23"/>
    <w:bookmarkEnd w:id="22"/>
    <w:p>
      <w:pPr>
        <w:ind w:left="60"/>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0" w:right="38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1462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5440" w:type="dxa"/>
            <w:vAlign w:val="bottom"/>
          </w:tcPr>
          <w:p>
            <w:pPr>
              <w:spacing w:after="0"/>
              <w:rPr>
                <w:sz w:val="20"/>
                <w:szCs w:val="20"/>
                <w:color w:val="auto"/>
              </w:rPr>
            </w:pPr>
            <w:r>
              <w:rPr>
                <w:rFonts w:ascii="Arial" w:cs="Arial" w:eastAsia="Arial" w:hAnsi="Arial"/>
                <w:sz w:val="16"/>
                <w:szCs w:val="16"/>
                <w:color w:val="auto"/>
              </w:rPr>
              <w:t>The Company’s capital structure includes the following:</w:t>
            </w:r>
          </w:p>
        </w:tc>
        <w:tc>
          <w:tcPr>
            <w:tcW w:w="35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87"/>
        </w:trPr>
        <w:tc>
          <w:tcPr>
            <w:tcW w:w="544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September 30, 2023</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55"/>
        </w:trPr>
        <w:tc>
          <w:tcPr>
            <w:tcW w:w="5440" w:type="dxa"/>
            <w:vAlign w:val="bottom"/>
          </w:tcPr>
          <w:p>
            <w:pPr>
              <w:spacing w:after="0"/>
              <w:rPr>
                <w:sz w:val="22"/>
                <w:szCs w:val="22"/>
                <w:color w:val="auto"/>
              </w:rPr>
            </w:pP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43"/>
        </w:trPr>
        <w:tc>
          <w:tcPr>
            <w:tcW w:w="54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195"/>
        </w:trPr>
        <w:tc>
          <w:tcPr>
            <w:tcW w:w="5440" w:type="dxa"/>
            <w:vAlign w:val="bottom"/>
          </w:tcPr>
          <w:p>
            <w:pPr>
              <w:ind w:left="60"/>
              <w:spacing w:after="0"/>
              <w:rPr>
                <w:sz w:val="20"/>
                <w:szCs w:val="20"/>
                <w:color w:val="auto"/>
              </w:rPr>
            </w:pPr>
            <w:r>
              <w:rPr>
                <w:rFonts w:ascii="Arial" w:cs="Arial" w:eastAsia="Arial" w:hAnsi="Arial"/>
                <w:sz w:val="16"/>
                <w:szCs w:val="16"/>
                <w:color w:val="auto"/>
              </w:rPr>
              <w:t>Shareholders’ equity comprised of:</w:t>
            </w:r>
          </w:p>
        </w:tc>
        <w:tc>
          <w:tcPr>
            <w:tcW w:w="35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9"/>
        </w:trPr>
        <w:tc>
          <w:tcPr>
            <w:tcW w:w="5440" w:type="dxa"/>
            <w:vAlign w:val="bottom"/>
          </w:tcPr>
          <w:p>
            <w:pPr>
              <w:ind w:left="160"/>
              <w:spacing w:after="0"/>
              <w:rPr>
                <w:sz w:val="20"/>
                <w:szCs w:val="20"/>
                <w:color w:val="auto"/>
              </w:rPr>
            </w:pPr>
            <w:r>
              <w:rPr>
                <w:rFonts w:ascii="Arial" w:cs="Arial" w:eastAsia="Arial" w:hAnsi="Arial"/>
                <w:sz w:val="16"/>
                <w:szCs w:val="16"/>
                <w:color w:val="auto"/>
              </w:rPr>
              <w:t>Share capital</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177,467</w:t>
            </w:r>
          </w:p>
        </w:tc>
        <w:tc>
          <w:tcPr>
            <w:tcW w:w="1500" w:type="dxa"/>
            <w:vAlign w:val="bottom"/>
          </w:tcPr>
          <w:p>
            <w:pPr>
              <w:jc w:val="right"/>
              <w:spacing w:after="0"/>
              <w:rPr>
                <w:sz w:val="20"/>
                <w:szCs w:val="20"/>
                <w:color w:val="auto"/>
              </w:rPr>
            </w:pPr>
            <w:r>
              <w:rPr>
                <w:rFonts w:ascii="Arial" w:cs="Arial" w:eastAsia="Arial" w:hAnsi="Arial"/>
                <w:sz w:val="16"/>
                <w:szCs w:val="16"/>
                <w:color w:val="auto"/>
              </w:rPr>
              <w:t>158,162</w:t>
            </w:r>
          </w:p>
        </w:tc>
      </w:tr>
      <w:tr>
        <w:trPr>
          <w:trHeight w:val="279"/>
        </w:trPr>
        <w:tc>
          <w:tcPr>
            <w:tcW w:w="5440" w:type="dxa"/>
            <w:vAlign w:val="bottom"/>
          </w:tcPr>
          <w:p>
            <w:pPr>
              <w:ind w:left="160"/>
              <w:spacing w:after="0"/>
              <w:rPr>
                <w:sz w:val="20"/>
                <w:szCs w:val="20"/>
                <w:color w:val="auto"/>
              </w:rPr>
            </w:pPr>
            <w:r>
              <w:rPr>
                <w:rFonts w:ascii="Arial" w:cs="Arial" w:eastAsia="Arial" w:hAnsi="Arial"/>
                <w:sz w:val="16"/>
                <w:szCs w:val="16"/>
                <w:color w:val="auto"/>
              </w:rPr>
              <w:t>Contributed surplus</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3,725</w:t>
            </w:r>
          </w:p>
        </w:tc>
        <w:tc>
          <w:tcPr>
            <w:tcW w:w="1500" w:type="dxa"/>
            <w:vAlign w:val="bottom"/>
          </w:tcPr>
          <w:p>
            <w:pPr>
              <w:jc w:val="right"/>
              <w:spacing w:after="0"/>
              <w:rPr>
                <w:sz w:val="20"/>
                <w:szCs w:val="20"/>
                <w:color w:val="auto"/>
              </w:rPr>
            </w:pPr>
            <w:r>
              <w:rPr>
                <w:rFonts w:ascii="Arial" w:cs="Arial" w:eastAsia="Arial" w:hAnsi="Arial"/>
                <w:sz w:val="16"/>
                <w:szCs w:val="16"/>
                <w:color w:val="auto"/>
              </w:rPr>
              <w:t>2,102</w:t>
            </w:r>
          </w:p>
        </w:tc>
      </w:tr>
      <w:tr>
        <w:trPr>
          <w:trHeight w:val="279"/>
        </w:trPr>
        <w:tc>
          <w:tcPr>
            <w:tcW w:w="5440" w:type="dxa"/>
            <w:vAlign w:val="bottom"/>
          </w:tcPr>
          <w:p>
            <w:pPr>
              <w:ind w:left="160"/>
              <w:spacing w:after="0"/>
              <w:rPr>
                <w:sz w:val="20"/>
                <w:szCs w:val="20"/>
                <w:color w:val="auto"/>
              </w:rPr>
            </w:pPr>
            <w:r>
              <w:rPr>
                <w:rFonts w:ascii="Arial" w:cs="Arial" w:eastAsia="Arial" w:hAnsi="Arial"/>
                <w:sz w:val="16"/>
                <w:szCs w:val="16"/>
                <w:color w:val="auto"/>
              </w:rPr>
              <w:t>Optons reserve</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29,505</w:t>
            </w:r>
          </w:p>
        </w:tc>
        <w:tc>
          <w:tcPr>
            <w:tcW w:w="1500" w:type="dxa"/>
            <w:vAlign w:val="bottom"/>
          </w:tcPr>
          <w:p>
            <w:pPr>
              <w:jc w:val="right"/>
              <w:spacing w:after="0"/>
              <w:rPr>
                <w:sz w:val="20"/>
                <w:szCs w:val="20"/>
                <w:color w:val="auto"/>
              </w:rPr>
            </w:pPr>
            <w:r>
              <w:rPr>
                <w:rFonts w:ascii="Arial" w:cs="Arial" w:eastAsia="Arial" w:hAnsi="Arial"/>
                <w:sz w:val="16"/>
                <w:szCs w:val="16"/>
                <w:color w:val="auto"/>
              </w:rPr>
              <w:t>27,283</w:t>
            </w:r>
          </w:p>
        </w:tc>
      </w:tr>
      <w:tr>
        <w:trPr>
          <w:trHeight w:val="279"/>
        </w:trPr>
        <w:tc>
          <w:tcPr>
            <w:tcW w:w="5440" w:type="dxa"/>
            <w:vAlign w:val="bottom"/>
          </w:tcPr>
          <w:p>
            <w:pPr>
              <w:ind w:left="160"/>
              <w:spacing w:after="0"/>
              <w:rPr>
                <w:sz w:val="20"/>
                <w:szCs w:val="20"/>
                <w:color w:val="auto"/>
              </w:rPr>
            </w:pPr>
            <w:r>
              <w:rPr>
                <w:rFonts w:ascii="Arial" w:cs="Arial" w:eastAsia="Arial" w:hAnsi="Arial"/>
                <w:sz w:val="16"/>
                <w:szCs w:val="16"/>
                <w:color w:val="auto"/>
              </w:rPr>
              <w:t>Warrants reserve</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14,316</w:t>
            </w:r>
          </w:p>
        </w:tc>
        <w:tc>
          <w:tcPr>
            <w:tcW w:w="1500" w:type="dxa"/>
            <w:vAlign w:val="bottom"/>
          </w:tcPr>
          <w:p>
            <w:pPr>
              <w:jc w:val="right"/>
              <w:spacing w:after="0"/>
              <w:rPr>
                <w:sz w:val="20"/>
                <w:szCs w:val="20"/>
                <w:color w:val="auto"/>
              </w:rPr>
            </w:pPr>
            <w:r>
              <w:rPr>
                <w:rFonts w:ascii="Arial" w:cs="Arial" w:eastAsia="Arial" w:hAnsi="Arial"/>
                <w:sz w:val="16"/>
                <w:szCs w:val="16"/>
                <w:color w:val="auto"/>
              </w:rPr>
              <w:t>10,873</w:t>
            </w:r>
          </w:p>
        </w:tc>
      </w:tr>
      <w:tr>
        <w:trPr>
          <w:trHeight w:val="279"/>
        </w:trPr>
        <w:tc>
          <w:tcPr>
            <w:tcW w:w="544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(2,074)</w:t>
            </w:r>
          </w:p>
        </w:tc>
        <w:tc>
          <w:tcPr>
            <w:tcW w:w="1500" w:type="dxa"/>
            <w:vAlign w:val="bottom"/>
          </w:tcPr>
          <w:p>
            <w:pPr>
              <w:jc w:val="right"/>
              <w:spacing w:after="0"/>
              <w:rPr>
                <w:sz w:val="20"/>
                <w:szCs w:val="20"/>
                <w:color w:val="auto"/>
              </w:rPr>
            </w:pPr>
            <w:r>
              <w:rPr>
                <w:rFonts w:ascii="Arial" w:cs="Arial" w:eastAsia="Arial" w:hAnsi="Arial"/>
                <w:sz w:val="16"/>
                <w:szCs w:val="16"/>
                <w:color w:val="auto"/>
              </w:rPr>
              <w:t>(2,035)</w:t>
            </w:r>
          </w:p>
        </w:tc>
      </w:tr>
      <w:tr>
        <w:trPr>
          <w:trHeight w:val="279"/>
        </w:trPr>
        <w:tc>
          <w:tcPr>
            <w:tcW w:w="5440" w:type="dxa"/>
            <w:vAlign w:val="bottom"/>
          </w:tcPr>
          <w:p>
            <w:pPr>
              <w:ind w:left="160"/>
              <w:spacing w:after="0"/>
              <w:rPr>
                <w:sz w:val="20"/>
                <w:szCs w:val="20"/>
                <w:color w:val="auto"/>
              </w:rPr>
            </w:pPr>
            <w:r>
              <w:rPr>
                <w:rFonts w:ascii="Arial" w:cs="Arial" w:eastAsia="Arial" w:hAnsi="Arial"/>
                <w:sz w:val="16"/>
                <w:szCs w:val="16"/>
                <w:color w:val="auto"/>
              </w:rPr>
              <w:t>Defcit</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(174,555)</w:t>
            </w:r>
          </w:p>
        </w:tc>
        <w:tc>
          <w:tcPr>
            <w:tcW w:w="1500" w:type="dxa"/>
            <w:vAlign w:val="bottom"/>
          </w:tcPr>
          <w:p>
            <w:pPr>
              <w:jc w:val="right"/>
              <w:spacing w:after="0"/>
              <w:rPr>
                <w:sz w:val="20"/>
                <w:szCs w:val="20"/>
                <w:color w:val="auto"/>
              </w:rPr>
            </w:pPr>
            <w:r>
              <w:rPr>
                <w:rFonts w:ascii="Arial" w:cs="Arial" w:eastAsia="Arial" w:hAnsi="Arial"/>
                <w:sz w:val="16"/>
                <w:szCs w:val="16"/>
                <w:color w:val="auto"/>
              </w:rPr>
              <w:t>(148,151)</w:t>
            </w:r>
          </w:p>
        </w:tc>
      </w:tr>
      <w:tr>
        <w:trPr>
          <w:trHeight w:val="43"/>
        </w:trPr>
        <w:tc>
          <w:tcPr>
            <w:tcW w:w="54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16"/>
        </w:trPr>
        <w:tc>
          <w:tcPr>
            <w:tcW w:w="54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3580" w:type="dxa"/>
            <w:vAlign w:val="bottom"/>
          </w:tcPr>
          <w:p>
            <w:pPr>
              <w:jc w:val="right"/>
              <w:ind w:right="359"/>
              <w:spacing w:after="0"/>
              <w:rPr>
                <w:sz w:val="20"/>
                <w:szCs w:val="20"/>
                <w:color w:val="auto"/>
              </w:rPr>
            </w:pPr>
            <w:r>
              <w:rPr>
                <w:rFonts w:ascii="Arial" w:cs="Arial" w:eastAsia="Arial" w:hAnsi="Arial"/>
                <w:sz w:val="16"/>
                <w:szCs w:val="16"/>
                <w:b w:val="1"/>
                <w:bCs w:val="1"/>
                <w:color w:val="auto"/>
              </w:rPr>
              <w:t>48,384</w:t>
            </w:r>
          </w:p>
        </w:tc>
        <w:tc>
          <w:tcPr>
            <w:tcW w:w="1500" w:type="dxa"/>
            <w:vAlign w:val="bottom"/>
          </w:tcPr>
          <w:p>
            <w:pPr>
              <w:jc w:val="right"/>
              <w:spacing w:after="0"/>
              <w:rPr>
                <w:sz w:val="20"/>
                <w:szCs w:val="20"/>
                <w:color w:val="auto"/>
              </w:rPr>
            </w:pPr>
            <w:r>
              <w:rPr>
                <w:rFonts w:ascii="Arial" w:cs="Arial" w:eastAsia="Arial" w:hAnsi="Arial"/>
                <w:sz w:val="16"/>
                <w:szCs w:val="16"/>
                <w:color w:val="auto"/>
              </w:rPr>
              <w:t>48,234</w:t>
            </w:r>
          </w:p>
        </w:tc>
      </w:tr>
      <w:tr>
        <w:trPr>
          <w:trHeight w:val="43"/>
        </w:trPr>
        <w:tc>
          <w:tcPr>
            <w:tcW w:w="54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12.</w:t>
      </w:r>
      <w:r>
        <w:rPr>
          <w:sz w:val="20"/>
          <w:szCs w:val="20"/>
          <w:color w:val="auto"/>
        </w:rPr>
        <w:tab/>
      </w:r>
      <w:r>
        <w:rPr>
          <w:rFonts w:ascii="Arial" w:cs="Arial" w:eastAsia="Arial" w:hAnsi="Arial"/>
          <w:sz w:val="13"/>
          <w:szCs w:val="13"/>
          <w:b w:val="1"/>
          <w:bCs w:val="1"/>
          <w:color w:val="2D5F91"/>
        </w:rPr>
        <w:t>FINANCIAL INSTRUMENTS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fnancial instruments are exposed to certain fnancial risks, which include currency risk, credit risk, liquidity risk and interest rate risk.</w:t>
      </w:r>
    </w:p>
    <w:p>
      <w:pPr>
        <w:spacing w:after="0" w:line="204"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The Company has classifed its fnancial instruments as follows:</w:t>
            </w:r>
          </w:p>
        </w:tc>
        <w:tc>
          <w:tcPr>
            <w:tcW w:w="3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4"/>
        </w:trPr>
        <w:tc>
          <w:tcPr>
            <w:tcW w:w="5780" w:type="dxa"/>
            <w:vAlign w:val="bottom"/>
          </w:tcPr>
          <w:p>
            <w:pPr>
              <w:ind w:left="60"/>
              <w:spacing w:after="0"/>
              <w:rPr>
                <w:sz w:val="20"/>
                <w:szCs w:val="20"/>
                <w:color w:val="auto"/>
              </w:rPr>
            </w:pPr>
            <w:r>
              <w:rPr>
                <w:rFonts w:ascii="Arial" w:cs="Arial" w:eastAsia="Arial" w:hAnsi="Arial"/>
                <w:sz w:val="16"/>
                <w:szCs w:val="16"/>
                <w:b w:val="1"/>
                <w:bCs w:val="1"/>
                <w:color w:val="auto"/>
              </w:rPr>
              <w:t>As at</w:t>
            </w:r>
          </w:p>
        </w:tc>
        <w:tc>
          <w:tcPr>
            <w:tcW w:w="3360" w:type="dxa"/>
            <w:vAlign w:val="bottom"/>
          </w:tcPr>
          <w:p>
            <w:pPr>
              <w:jc w:val="right"/>
              <w:ind w:right="299"/>
              <w:spacing w:after="0"/>
              <w:rPr>
                <w:sz w:val="20"/>
                <w:szCs w:val="20"/>
                <w:color w:val="auto"/>
              </w:rPr>
            </w:pPr>
            <w:r>
              <w:rPr>
                <w:rFonts w:ascii="Arial" w:cs="Arial" w:eastAsia="Arial" w:hAnsi="Arial"/>
                <w:sz w:val="16"/>
                <w:szCs w:val="16"/>
                <w:b w:val="1"/>
                <w:bCs w:val="1"/>
                <w:color w:val="auto"/>
              </w:rPr>
              <w:t>September 30, 2023</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243"/>
        </w:trPr>
        <w:tc>
          <w:tcPr>
            <w:tcW w:w="5780" w:type="dxa"/>
            <w:vAlign w:val="bottom"/>
          </w:tcPr>
          <w:p>
            <w:pPr>
              <w:spacing w:after="0"/>
              <w:rPr>
                <w:sz w:val="21"/>
                <w:szCs w:val="21"/>
                <w:color w:val="auto"/>
              </w:rPr>
            </w:pPr>
          </w:p>
        </w:tc>
        <w:tc>
          <w:tcPr>
            <w:tcW w:w="33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55"/>
        </w:trPr>
        <w:tc>
          <w:tcPr>
            <w:tcW w:w="57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181"/>
        </w:trPr>
        <w:tc>
          <w:tcPr>
            <w:tcW w:w="5780" w:type="dxa"/>
            <w:vAlign w:val="bottom"/>
          </w:tcPr>
          <w:p>
            <w:pPr>
              <w:ind w:left="60"/>
              <w:spacing w:after="0" w:line="181" w:lineRule="exact"/>
              <w:rPr>
                <w:sz w:val="20"/>
                <w:szCs w:val="20"/>
                <w:color w:val="auto"/>
              </w:rPr>
            </w:pPr>
            <w:r>
              <w:rPr>
                <w:rFonts w:ascii="Arial" w:cs="Arial" w:eastAsia="Arial" w:hAnsi="Arial"/>
                <w:sz w:val="16"/>
                <w:szCs w:val="16"/>
                <w:b w:val="1"/>
                <w:bCs w:val="1"/>
                <w:color w:val="auto"/>
              </w:rPr>
              <w:t>Financial assets, measured at fair value:</w:t>
            </w:r>
          </w:p>
        </w:tc>
        <w:tc>
          <w:tcPr>
            <w:tcW w:w="33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2"/>
        </w:trPr>
        <w:tc>
          <w:tcPr>
            <w:tcW w:w="5780" w:type="dxa"/>
            <w:vAlign w:val="bottom"/>
          </w:tcPr>
          <w:p>
            <w:pPr>
              <w:ind w:left="160"/>
              <w:spacing w:after="0"/>
              <w:rPr>
                <w:sz w:val="20"/>
                <w:szCs w:val="20"/>
                <w:color w:val="auto"/>
              </w:rPr>
            </w:pPr>
            <w:r>
              <w:rPr>
                <w:rFonts w:ascii="Arial" w:cs="Arial" w:eastAsia="Arial" w:hAnsi="Arial"/>
                <w:sz w:val="16"/>
                <w:szCs w:val="16"/>
                <w:color w:val="auto"/>
              </w:rPr>
              <w:t>Cash</w:t>
            </w:r>
          </w:p>
        </w:tc>
        <w:tc>
          <w:tcPr>
            <w:tcW w:w="3360" w:type="dxa"/>
            <w:vAlign w:val="bottom"/>
          </w:tcPr>
          <w:p>
            <w:pPr>
              <w:jc w:val="right"/>
              <w:ind w:right="339"/>
              <w:spacing w:after="0"/>
              <w:rPr>
                <w:sz w:val="20"/>
                <w:szCs w:val="20"/>
                <w:color w:val="auto"/>
              </w:rPr>
            </w:pPr>
            <w:r>
              <w:rPr>
                <w:rFonts w:ascii="Arial" w:cs="Arial" w:eastAsia="Arial" w:hAnsi="Arial"/>
                <w:sz w:val="16"/>
                <w:szCs w:val="16"/>
                <w:b w:val="1"/>
                <w:bCs w:val="1"/>
                <w:color w:val="auto"/>
              </w:rPr>
              <w:t>18,118</w:t>
            </w:r>
          </w:p>
        </w:tc>
        <w:tc>
          <w:tcPr>
            <w:tcW w:w="1440" w:type="dxa"/>
            <w:vAlign w:val="bottom"/>
          </w:tcPr>
          <w:p>
            <w:pPr>
              <w:jc w:val="right"/>
              <w:spacing w:after="0"/>
              <w:rPr>
                <w:sz w:val="20"/>
                <w:szCs w:val="20"/>
                <w:color w:val="auto"/>
              </w:rPr>
            </w:pPr>
            <w:r>
              <w:rPr>
                <w:rFonts w:ascii="Arial" w:cs="Arial" w:eastAsia="Arial" w:hAnsi="Arial"/>
                <w:sz w:val="16"/>
                <w:szCs w:val="16"/>
                <w:color w:val="auto"/>
              </w:rPr>
              <w:t>16,633</w:t>
            </w:r>
          </w:p>
        </w:tc>
      </w:tr>
      <w:tr>
        <w:trPr>
          <w:trHeight w:val="243"/>
        </w:trPr>
        <w:tc>
          <w:tcPr>
            <w:tcW w:w="5780" w:type="dxa"/>
            <w:vAlign w:val="bottom"/>
          </w:tcPr>
          <w:p>
            <w:pPr>
              <w:ind w:left="60"/>
              <w:spacing w:after="0"/>
              <w:rPr>
                <w:sz w:val="20"/>
                <w:szCs w:val="20"/>
                <w:color w:val="auto"/>
              </w:rPr>
            </w:pPr>
            <w:r>
              <w:rPr>
                <w:rFonts w:ascii="Arial" w:cs="Arial" w:eastAsia="Arial" w:hAnsi="Arial"/>
                <w:sz w:val="16"/>
                <w:szCs w:val="16"/>
                <w:b w:val="1"/>
                <w:bCs w:val="1"/>
                <w:color w:val="auto"/>
              </w:rPr>
              <w:t>Financial assets, measured at amortzed cost:</w:t>
            </w:r>
          </w:p>
        </w:tc>
        <w:tc>
          <w:tcPr>
            <w:tcW w:w="33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9"/>
        </w:trPr>
        <w:tc>
          <w:tcPr>
            <w:tcW w:w="578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3360" w:type="dxa"/>
            <w:vAlign w:val="bottom"/>
          </w:tcPr>
          <w:p>
            <w:pPr>
              <w:jc w:val="right"/>
              <w:ind w:right="299"/>
              <w:spacing w:after="0"/>
              <w:rPr>
                <w:sz w:val="20"/>
                <w:szCs w:val="20"/>
                <w:color w:val="auto"/>
              </w:rPr>
            </w:pPr>
            <w:r>
              <w:rPr>
                <w:rFonts w:ascii="Arial" w:cs="Arial" w:eastAsia="Arial" w:hAnsi="Arial"/>
                <w:sz w:val="16"/>
                <w:szCs w:val="16"/>
                <w:b w:val="1"/>
                <w:bCs w:val="1"/>
                <w:color w:val="auto"/>
              </w:rPr>
              <w:t>230</w:t>
            </w:r>
          </w:p>
        </w:tc>
        <w:tc>
          <w:tcPr>
            <w:tcW w:w="14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06"/>
        </w:trPr>
        <w:tc>
          <w:tcPr>
            <w:tcW w:w="5780" w:type="dxa"/>
            <w:vAlign w:val="bottom"/>
          </w:tcPr>
          <w:p>
            <w:pPr>
              <w:ind w:left="60"/>
              <w:spacing w:after="0"/>
              <w:rPr>
                <w:sz w:val="20"/>
                <w:szCs w:val="20"/>
                <w:color w:val="auto"/>
              </w:rPr>
            </w:pPr>
            <w:r>
              <w:rPr>
                <w:rFonts w:ascii="Arial" w:cs="Arial" w:eastAsia="Arial" w:hAnsi="Arial"/>
                <w:sz w:val="16"/>
                <w:szCs w:val="16"/>
                <w:b w:val="1"/>
                <w:bCs w:val="1"/>
                <w:color w:val="auto"/>
              </w:rPr>
              <w:t>Financial liabilites, measured at amortzed cost:</w:t>
            </w:r>
          </w:p>
        </w:tc>
        <w:tc>
          <w:tcPr>
            <w:tcW w:w="33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3"/>
        </w:trPr>
        <w:tc>
          <w:tcPr>
            <w:tcW w:w="5780" w:type="dxa"/>
            <w:vAlign w:val="bottom"/>
          </w:tcPr>
          <w:p>
            <w:pPr>
              <w:ind w:left="160"/>
              <w:spacing w:after="0"/>
              <w:rPr>
                <w:sz w:val="20"/>
                <w:szCs w:val="20"/>
                <w:color w:val="auto"/>
              </w:rPr>
            </w:pPr>
            <w:r>
              <w:rPr>
                <w:rFonts w:ascii="Arial" w:cs="Arial" w:eastAsia="Arial" w:hAnsi="Arial"/>
                <w:sz w:val="16"/>
                <w:szCs w:val="16"/>
                <w:color w:val="auto"/>
              </w:rPr>
              <w:t>Accounts payable and accrued liabilites</w:t>
            </w:r>
          </w:p>
        </w:tc>
        <w:tc>
          <w:tcPr>
            <w:tcW w:w="3360" w:type="dxa"/>
            <w:vAlign w:val="bottom"/>
          </w:tcPr>
          <w:p>
            <w:pPr>
              <w:jc w:val="right"/>
              <w:ind w:right="339"/>
              <w:spacing w:after="0"/>
              <w:rPr>
                <w:sz w:val="20"/>
                <w:szCs w:val="20"/>
                <w:color w:val="auto"/>
              </w:rPr>
            </w:pPr>
            <w:r>
              <w:rPr>
                <w:rFonts w:ascii="Arial" w:cs="Arial" w:eastAsia="Arial" w:hAnsi="Arial"/>
                <w:sz w:val="16"/>
                <w:szCs w:val="16"/>
                <w:b w:val="1"/>
                <w:bCs w:val="1"/>
                <w:color w:val="auto"/>
              </w:rPr>
              <w:t>9,243</w:t>
            </w:r>
          </w:p>
        </w:tc>
        <w:tc>
          <w:tcPr>
            <w:tcW w:w="1440" w:type="dxa"/>
            <w:vAlign w:val="bottom"/>
          </w:tcPr>
          <w:p>
            <w:pPr>
              <w:jc w:val="right"/>
              <w:spacing w:after="0"/>
              <w:rPr>
                <w:sz w:val="20"/>
                <w:szCs w:val="20"/>
                <w:color w:val="auto"/>
              </w:rPr>
            </w:pPr>
            <w:r>
              <w:rPr>
                <w:rFonts w:ascii="Arial" w:cs="Arial" w:eastAsia="Arial" w:hAnsi="Arial"/>
                <w:sz w:val="16"/>
                <w:szCs w:val="16"/>
                <w:color w:val="auto"/>
              </w:rPr>
              <w:t>5,663</w:t>
            </w:r>
          </w:p>
        </w:tc>
      </w:tr>
      <w:tr>
        <w:trPr>
          <w:trHeight w:val="55"/>
        </w:trPr>
        <w:tc>
          <w:tcPr>
            <w:tcW w:w="57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bl>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carrying value of the Company’s fnancial instruments approximate their fair value.</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Fair value Hierarchy of Financial Instruments</w:t>
      </w:r>
    </w:p>
    <w:p>
      <w:pPr>
        <w:spacing w:after="0" w:line="192" w:lineRule="exact"/>
        <w:rPr>
          <w:sz w:val="20"/>
          <w:szCs w:val="20"/>
          <w:color w:val="auto"/>
        </w:rPr>
      </w:pPr>
    </w:p>
    <w:p>
      <w:pPr>
        <w:jc w:val="both"/>
        <w:ind w:left="280"/>
        <w:spacing w:after="0" w:line="325" w:lineRule="auto"/>
        <w:rPr>
          <w:sz w:val="20"/>
          <w:szCs w:val="20"/>
          <w:color w:val="auto"/>
        </w:rPr>
      </w:pPr>
      <w:r>
        <w:rPr>
          <w:rFonts w:ascii="Arial" w:cs="Arial" w:eastAsia="Arial" w:hAnsi="Arial"/>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20" w:lineRule="exact"/>
        <w:rPr>
          <w:sz w:val="20"/>
          <w:szCs w:val="20"/>
          <w:color w:val="auto"/>
        </w:rPr>
      </w:pPr>
    </w:p>
    <w:p>
      <w:pPr>
        <w:jc w:val="both"/>
        <w:ind w:left="280"/>
        <w:spacing w:after="0" w:line="309" w:lineRule="auto"/>
        <w:rPr>
          <w:sz w:val="20"/>
          <w:szCs w:val="20"/>
          <w:color w:val="auto"/>
        </w:rPr>
      </w:pPr>
      <w:r>
        <w:rPr>
          <w:rFonts w:ascii="Arial" w:cs="Arial" w:eastAsia="Arial" w:hAnsi="Arial"/>
          <w:sz w:val="16"/>
          <w:szCs w:val="16"/>
          <w:color w:val="auto"/>
        </w:rPr>
        <w:t>Level 1: Fair value is based on unadjusted quoted prices for identcal assets or liabilites in an actve market. The types of assets and liabilites classifed as Level 1 generally included cash.</w:t>
      </w:r>
    </w:p>
    <w:p>
      <w:pPr>
        <w:spacing w:after="0" w:line="133" w:lineRule="exact"/>
        <w:rPr>
          <w:sz w:val="20"/>
          <w:szCs w:val="20"/>
          <w:color w:val="auto"/>
        </w:rPr>
      </w:pPr>
    </w:p>
    <w:p>
      <w:pPr>
        <w:jc w:val="both"/>
        <w:ind w:left="280"/>
        <w:spacing w:after="0" w:line="305" w:lineRule="auto"/>
        <w:rPr>
          <w:sz w:val="20"/>
          <w:szCs w:val="20"/>
          <w:color w:val="auto"/>
        </w:rPr>
      </w:pPr>
      <w:r>
        <w:rPr>
          <w:rFonts w:ascii="Arial" w:cs="Arial" w:eastAsia="Arial" w:hAnsi="Arial"/>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20 of 25</w:t>
      </w:r>
    </w:p>
    <w:p>
      <w:pPr>
        <w:sectPr>
          <w:pgSz w:w="11900" w:h="16838" w:orient="portrait"/>
          <w:cols w:equalWidth="0" w:num="1">
            <w:col w:w="11240"/>
          </w:cols>
          <w:pgMar w:left="320" w:top="221" w:right="33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right="38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68580</wp:posOffset>
            </wp:positionV>
            <wp:extent cx="71462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220"/>
        <w:spacing w:after="0" w:line="305" w:lineRule="auto"/>
        <w:rPr>
          <w:sz w:val="20"/>
          <w:szCs w:val="20"/>
          <w:color w:val="auto"/>
        </w:rPr>
      </w:pPr>
      <w:r>
        <w:rPr>
          <w:rFonts w:ascii="Arial" w:cs="Arial" w:eastAsia="Arial" w:hAnsi="Arial"/>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Currently, the Company has no fnancial instruments that would be classifed as Level 3.</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were no transfers between levels of the fair value hierarchy for the three and six months ended September 30, 2023.</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auto"/>
        </w:rPr>
        <w:t>Financial risk management</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Credit risk</w:t>
      </w:r>
    </w:p>
    <w:p>
      <w:pPr>
        <w:spacing w:after="0" w:line="204" w:lineRule="exact"/>
        <w:rPr>
          <w:sz w:val="20"/>
          <w:szCs w:val="20"/>
          <w:color w:val="auto"/>
        </w:rPr>
      </w:pPr>
    </w:p>
    <w:p>
      <w:pPr>
        <w:jc w:val="both"/>
        <w:ind w:left="220"/>
        <w:spacing w:after="0" w:line="305" w:lineRule="auto"/>
        <w:rPr>
          <w:sz w:val="20"/>
          <w:szCs w:val="20"/>
          <w:color w:val="auto"/>
        </w:rPr>
      </w:pPr>
      <w:r>
        <w:rPr>
          <w:rFonts w:ascii="Arial" w:cs="Arial" w:eastAsia="Arial" w:hAnsi="Arial"/>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September 30, 2023, the Company’s maximum exposure to credit risk is the carrying value of its fnancial assets.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Liquidity risk</w:t>
      </w:r>
    </w:p>
    <w:p>
      <w:pPr>
        <w:spacing w:after="0" w:line="204" w:lineRule="exact"/>
        <w:rPr>
          <w:sz w:val="20"/>
          <w:szCs w:val="20"/>
          <w:color w:val="auto"/>
        </w:rPr>
      </w:pPr>
    </w:p>
    <w:p>
      <w:pPr>
        <w:jc w:val="both"/>
        <w:ind w:left="220"/>
        <w:spacing w:after="0" w:line="309" w:lineRule="auto"/>
        <w:rPr>
          <w:sz w:val="20"/>
          <w:szCs w:val="20"/>
          <w:color w:val="auto"/>
        </w:rPr>
      </w:pPr>
      <w:r>
        <w:rPr>
          <w:rFonts w:ascii="Arial" w:cs="Arial" w:eastAsia="Arial" w:hAnsi="Arial"/>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33" w:lineRule="exact"/>
        <w:rPr>
          <w:sz w:val="20"/>
          <w:szCs w:val="20"/>
          <w:color w:val="auto"/>
        </w:rPr>
      </w:pPr>
    </w:p>
    <w:p>
      <w:pPr>
        <w:jc w:val="both"/>
        <w:ind w:left="220"/>
        <w:spacing w:after="0" w:line="325" w:lineRule="auto"/>
        <w:rPr>
          <w:sz w:val="20"/>
          <w:szCs w:val="20"/>
          <w:color w:val="auto"/>
        </w:rPr>
      </w:pPr>
      <w:r>
        <w:rPr>
          <w:rFonts w:ascii="Arial" w:cs="Arial" w:eastAsia="Arial" w:hAnsi="Arial"/>
          <w:sz w:val="16"/>
          <w:szCs w:val="16"/>
          <w:color w:val="auto"/>
        </w:rPr>
        <w:t>As at September 30, 2023, the Company had cash of $18,118 (March 31, 2023 - $16,633) in order to meet current liabilites. Accounts payable and accrued liabilites include trade payables and other obligatons of $9,243 (March 31, 2023 - $5,663), all amounts are due within the next 12 months.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Market risk</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signifcant market risks to which the Company is exposed are interest rate risk and currency risk.</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Interest rate risk</w:t>
      </w:r>
    </w:p>
    <w:p>
      <w:pPr>
        <w:spacing w:after="0" w:line="204" w:lineRule="exact"/>
        <w:rPr>
          <w:sz w:val="20"/>
          <w:szCs w:val="20"/>
          <w:color w:val="auto"/>
        </w:rPr>
      </w:pPr>
    </w:p>
    <w:p>
      <w:pPr>
        <w:jc w:val="both"/>
        <w:ind w:left="220"/>
        <w:spacing w:after="0" w:line="305" w:lineRule="auto"/>
        <w:rPr>
          <w:sz w:val="20"/>
          <w:szCs w:val="20"/>
          <w:color w:val="auto"/>
        </w:rPr>
      </w:pPr>
      <w:r>
        <w:rPr>
          <w:rFonts w:ascii="Arial" w:cs="Arial" w:eastAsia="Arial" w:hAnsi="Arial"/>
          <w:sz w:val="16"/>
          <w:szCs w:val="16"/>
          <w:color w:val="auto"/>
        </w:rPr>
        <w:t>Interest rate risk is the risk that the fair value or the future cash fows of a fnancial instrument will fuctuate because of changes in market interest rate. In seeking to minimize the risks from interest rate fuctuatons, the Company manages exposure through its normal operatng and fnancing actvites. As at September 30, 2023, the Company has determined its exposure to interest rate risk is minimal.</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6"/>
          <w:szCs w:val="16"/>
          <w:i w:val="1"/>
          <w:iCs w:val="1"/>
          <w:u w:val="single" w:color="auto"/>
          <w:color w:val="auto"/>
        </w:rPr>
        <w:t>Currency risk</w:t>
      </w:r>
    </w:p>
    <w:p>
      <w:pPr>
        <w:spacing w:after="0" w:line="204" w:lineRule="exact"/>
        <w:rPr>
          <w:sz w:val="20"/>
          <w:szCs w:val="20"/>
          <w:color w:val="auto"/>
        </w:rPr>
      </w:pPr>
    </w:p>
    <w:p>
      <w:pPr>
        <w:jc w:val="both"/>
        <w:ind w:left="220"/>
        <w:spacing w:after="0" w:line="309" w:lineRule="auto"/>
        <w:rPr>
          <w:sz w:val="20"/>
          <w:szCs w:val="20"/>
          <w:color w:val="auto"/>
        </w:rPr>
      </w:pPr>
      <w:r>
        <w:rPr>
          <w:rFonts w:ascii="Arial" w:cs="Arial" w:eastAsia="Arial" w:hAnsi="Arial"/>
          <w:sz w:val="16"/>
          <w:szCs w:val="16"/>
          <w:color w:val="auto"/>
        </w:rPr>
        <w:t>The Company is exposed to currency risk to the extent that monetary operatonal expenses are denominated in both CAD and USD while functonal currency of CAD in used for reportng. The Company has not entered into any foreign currency contracts to mitgate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Page 21 of 25</w:t>
      </w:r>
    </w:p>
    <w:p>
      <w:pPr>
        <w:sectPr>
          <w:pgSz w:w="11900" w:h="16838" w:orient="portrait"/>
          <w:cols w:equalWidth="0" w:num="1">
            <w:col w:w="11180"/>
          </w:cols>
          <w:pgMar w:left="380" w:top="221" w:right="339" w:bottom="1440" w:gutter="0" w:footer="0" w:header="0"/>
        </w:sectPr>
      </w:pPr>
    </w:p>
    <w:bookmarkStart w:id="24" w:name="page25"/>
    <w:bookmarkEnd w:id="24"/>
    <w:p>
      <w:pPr>
        <w:ind w:left="60"/>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0" w:right="40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1462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September 30, 2023, the Company had the following balances in monetary assets and monetary liabilites which are subject to fuctuaton against CAD:</w:t>
      </w:r>
    </w:p>
    <w:p>
      <w:pPr>
        <w:spacing w:after="0" w:line="277" w:lineRule="exact"/>
        <w:rPr>
          <w:sz w:val="20"/>
          <w:szCs w:val="20"/>
          <w:color w:val="auto"/>
        </w:rPr>
      </w:pPr>
    </w:p>
    <w:tbl>
      <w:tblPr>
        <w:tblLayout w:type="fixed"/>
        <w:tblInd w:w="280" w:type="dxa"/>
        <w:tblCellMar>
          <w:top w:w="0" w:type="dxa"/>
          <w:left w:w="0" w:type="dxa"/>
          <w:bottom w:w="0" w:type="dxa"/>
          <w:right w:w="0" w:type="dxa"/>
        </w:tblCellMar>
      </w:tblPr>
      <w:tr>
        <w:trPr>
          <w:trHeight w:val="240"/>
        </w:trPr>
        <w:tc>
          <w:tcPr>
            <w:tcW w:w="5720" w:type="dxa"/>
            <w:vAlign w:val="bottom"/>
            <w:tcBorders>
              <w:bottom w:val="single" w:sz="8" w:color="auto"/>
            </w:tcBorders>
          </w:tcPr>
          <w:p>
            <w:pPr>
              <w:ind w:left="4060"/>
              <w:spacing w:after="0"/>
              <w:rPr>
                <w:sz w:val="20"/>
                <w:szCs w:val="20"/>
                <w:color w:val="auto"/>
              </w:rPr>
            </w:pPr>
            <w:r>
              <w:rPr>
                <w:rFonts w:ascii="Arial" w:cs="Arial" w:eastAsia="Arial" w:hAnsi="Arial"/>
                <w:sz w:val="16"/>
                <w:szCs w:val="16"/>
                <w:b w:val="1"/>
                <w:bCs w:val="1"/>
                <w:color w:val="auto"/>
              </w:rPr>
              <w:t>Denominated in:</w:t>
            </w:r>
          </w:p>
        </w:tc>
        <w:tc>
          <w:tcPr>
            <w:tcW w:w="176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US$000’s</w:t>
            </w:r>
          </w:p>
        </w:tc>
        <w:tc>
          <w:tcPr>
            <w:tcW w:w="176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GBP 000’s</w:t>
            </w:r>
          </w:p>
        </w:tc>
        <w:tc>
          <w:tcPr>
            <w:tcW w:w="124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b w:val="1"/>
                <w:bCs w:val="1"/>
                <w:color w:val="auto"/>
                <w:w w:val="86"/>
              </w:rPr>
              <w:t>EUR 000’s</w:t>
            </w:r>
          </w:p>
        </w:tc>
      </w:tr>
      <w:tr>
        <w:trPr>
          <w:trHeight w:val="188"/>
        </w:trPr>
        <w:tc>
          <w:tcPr>
            <w:tcW w:w="5720" w:type="dxa"/>
            <w:vAlign w:val="bottom"/>
          </w:tcPr>
          <w:p>
            <w:pPr>
              <w:ind w:left="20"/>
              <w:spacing w:after="0"/>
              <w:rPr>
                <w:sz w:val="20"/>
                <w:szCs w:val="20"/>
                <w:color w:val="auto"/>
              </w:rPr>
            </w:pPr>
            <w:r>
              <w:rPr>
                <w:rFonts w:ascii="Arial" w:cs="Arial" w:eastAsia="Arial" w:hAnsi="Arial"/>
                <w:sz w:val="16"/>
                <w:szCs w:val="16"/>
                <w:color w:val="auto"/>
              </w:rPr>
              <w:t>Cash</w:t>
            </w:r>
          </w:p>
        </w:tc>
        <w:tc>
          <w:tcPr>
            <w:tcW w:w="74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color w:val="auto"/>
              </w:rPr>
              <w:t>8,782</w:t>
            </w:r>
          </w:p>
        </w:tc>
        <w:tc>
          <w:tcPr>
            <w:tcW w:w="940" w:type="dxa"/>
            <w:vAlign w:val="bottom"/>
          </w:tcPr>
          <w:p>
            <w:pPr>
              <w:spacing w:after="0"/>
              <w:rPr>
                <w:sz w:val="16"/>
                <w:szCs w:val="16"/>
                <w:color w:val="auto"/>
              </w:rPr>
            </w:pPr>
          </w:p>
        </w:tc>
        <w:tc>
          <w:tcPr>
            <w:tcW w:w="820" w:type="dxa"/>
            <w:vAlign w:val="bottom"/>
          </w:tcPr>
          <w:p>
            <w:pPr>
              <w:jc w:val="right"/>
              <w:ind w:right="439"/>
              <w:spacing w:after="0"/>
              <w:rPr>
                <w:sz w:val="20"/>
                <w:szCs w:val="20"/>
                <w:color w:val="auto"/>
              </w:rPr>
            </w:pPr>
            <w:r>
              <w:rPr>
                <w:rFonts w:ascii="Arial" w:cs="Arial" w:eastAsia="Arial" w:hAnsi="Arial"/>
                <w:sz w:val="16"/>
                <w:szCs w:val="16"/>
                <w:color w:val="auto"/>
              </w:rPr>
              <w:t>144</w:t>
            </w:r>
          </w:p>
        </w:tc>
        <w:tc>
          <w:tcPr>
            <w:tcW w:w="7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03"/>
        </w:trPr>
        <w:tc>
          <w:tcPr>
            <w:tcW w:w="5720" w:type="dxa"/>
            <w:vAlign w:val="bottom"/>
          </w:tcPr>
          <w:p>
            <w:pPr>
              <w:ind w:left="20"/>
              <w:spacing w:after="0"/>
              <w:rPr>
                <w:sz w:val="20"/>
                <w:szCs w:val="20"/>
                <w:color w:val="auto"/>
              </w:rPr>
            </w:pPr>
            <w:r>
              <w:rPr>
                <w:rFonts w:ascii="Arial" w:cs="Arial" w:eastAsia="Arial" w:hAnsi="Arial"/>
                <w:sz w:val="16"/>
                <w:szCs w:val="16"/>
                <w:color w:val="auto"/>
              </w:rPr>
              <w:t>Accounts payable and accrued liabilites</w:t>
            </w:r>
          </w:p>
        </w:tc>
        <w:tc>
          <w:tcPr>
            <w:tcW w:w="74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color w:val="auto"/>
              </w:rPr>
              <w:t>(672)</w:t>
            </w:r>
          </w:p>
        </w:tc>
        <w:tc>
          <w:tcPr>
            <w:tcW w:w="940" w:type="dxa"/>
            <w:vAlign w:val="bottom"/>
          </w:tcPr>
          <w:p>
            <w:pPr>
              <w:spacing w:after="0"/>
              <w:rPr>
                <w:sz w:val="17"/>
                <w:szCs w:val="17"/>
                <w:color w:val="auto"/>
              </w:rPr>
            </w:pPr>
          </w:p>
        </w:tc>
        <w:tc>
          <w:tcPr>
            <w:tcW w:w="820" w:type="dxa"/>
            <w:vAlign w:val="bottom"/>
          </w:tcPr>
          <w:p>
            <w:pPr>
              <w:jc w:val="right"/>
              <w:ind w:right="439"/>
              <w:spacing w:after="0"/>
              <w:rPr>
                <w:sz w:val="20"/>
                <w:szCs w:val="20"/>
                <w:color w:val="auto"/>
              </w:rPr>
            </w:pPr>
            <w:r>
              <w:rPr>
                <w:rFonts w:ascii="Arial" w:cs="Arial" w:eastAsia="Arial" w:hAnsi="Arial"/>
                <w:sz w:val="16"/>
                <w:szCs w:val="16"/>
                <w:color w:val="auto"/>
                <w:w w:val="98"/>
              </w:rPr>
              <w:t>(47)</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(1,120)</w:t>
            </w:r>
          </w:p>
        </w:tc>
      </w:tr>
      <w:tr>
        <w:trPr>
          <w:trHeight w:val="21"/>
        </w:trPr>
        <w:tc>
          <w:tcPr>
            <w:tcW w:w="5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5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ind w:right="439"/>
              <w:spacing w:after="0" w:line="181" w:lineRule="exact"/>
              <w:rPr>
                <w:sz w:val="20"/>
                <w:szCs w:val="20"/>
                <w:color w:val="auto"/>
              </w:rPr>
            </w:pPr>
            <w:r>
              <w:rPr>
                <w:rFonts w:ascii="Arial" w:cs="Arial" w:eastAsia="Arial" w:hAnsi="Arial"/>
                <w:sz w:val="16"/>
                <w:szCs w:val="16"/>
                <w:b w:val="1"/>
                <w:bCs w:val="1"/>
                <w:color w:val="auto"/>
              </w:rPr>
              <w:t>8,110</w:t>
            </w:r>
          </w:p>
        </w:tc>
        <w:tc>
          <w:tcPr>
            <w:tcW w:w="940" w:type="dxa"/>
            <w:vAlign w:val="bottom"/>
          </w:tcPr>
          <w:p>
            <w:pPr>
              <w:spacing w:after="0"/>
              <w:rPr>
                <w:sz w:val="15"/>
                <w:szCs w:val="15"/>
                <w:color w:val="auto"/>
              </w:rPr>
            </w:pPr>
          </w:p>
        </w:tc>
        <w:tc>
          <w:tcPr>
            <w:tcW w:w="820" w:type="dxa"/>
            <w:vAlign w:val="bottom"/>
          </w:tcPr>
          <w:p>
            <w:pPr>
              <w:jc w:val="right"/>
              <w:ind w:right="439"/>
              <w:spacing w:after="0" w:line="181" w:lineRule="exact"/>
              <w:rPr>
                <w:sz w:val="20"/>
                <w:szCs w:val="20"/>
                <w:color w:val="auto"/>
              </w:rPr>
            </w:pPr>
            <w:r>
              <w:rPr>
                <w:rFonts w:ascii="Arial" w:cs="Arial" w:eastAsia="Arial" w:hAnsi="Arial"/>
                <w:sz w:val="16"/>
                <w:szCs w:val="16"/>
                <w:b w:val="1"/>
                <w:bCs w:val="1"/>
                <w:color w:val="auto"/>
              </w:rPr>
              <w:t>97</w:t>
            </w:r>
          </w:p>
        </w:tc>
        <w:tc>
          <w:tcPr>
            <w:tcW w:w="740" w:type="dxa"/>
            <w:vAlign w:val="bottom"/>
          </w:tcPr>
          <w:p>
            <w:pPr>
              <w:spacing w:after="0"/>
              <w:rPr>
                <w:sz w:val="15"/>
                <w:szCs w:val="15"/>
                <w:color w:val="auto"/>
              </w:rPr>
            </w:pPr>
          </w:p>
        </w:tc>
        <w:tc>
          <w:tcPr>
            <w:tcW w:w="5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w w:val="94"/>
              </w:rPr>
              <w:t>(1,385)</w:t>
            </w:r>
          </w:p>
        </w:tc>
      </w:tr>
      <w:tr>
        <w:trPr>
          <w:trHeight w:val="203"/>
        </w:trPr>
        <w:tc>
          <w:tcPr>
            <w:tcW w:w="5720" w:type="dxa"/>
            <w:vAlign w:val="bottom"/>
          </w:tcPr>
          <w:p>
            <w:pPr>
              <w:ind w:left="20"/>
              <w:spacing w:after="0"/>
              <w:rPr>
                <w:sz w:val="20"/>
                <w:szCs w:val="20"/>
                <w:color w:val="auto"/>
              </w:rPr>
            </w:pPr>
            <w:r>
              <w:rPr>
                <w:rFonts w:ascii="Arial" w:cs="Arial" w:eastAsia="Arial" w:hAnsi="Arial"/>
                <w:sz w:val="16"/>
                <w:szCs w:val="16"/>
                <w:color w:val="auto"/>
              </w:rPr>
              <w:t>Foreign currency rate</w:t>
            </w:r>
          </w:p>
        </w:tc>
        <w:tc>
          <w:tcPr>
            <w:tcW w:w="740" w:type="dxa"/>
            <w:vAlign w:val="bottom"/>
          </w:tcPr>
          <w:p>
            <w:pPr>
              <w:spacing w:after="0"/>
              <w:rPr>
                <w:sz w:val="17"/>
                <w:szCs w:val="17"/>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color w:val="auto"/>
                <w:w w:val="98"/>
              </w:rPr>
              <w:t>1.3520</w:t>
            </w:r>
          </w:p>
        </w:tc>
        <w:tc>
          <w:tcPr>
            <w:tcW w:w="1760" w:type="dxa"/>
            <w:vAlign w:val="bottom"/>
            <w:gridSpan w:val="2"/>
          </w:tcPr>
          <w:p>
            <w:pPr>
              <w:jc w:val="right"/>
              <w:ind w:right="439"/>
              <w:spacing w:after="0"/>
              <w:rPr>
                <w:sz w:val="20"/>
                <w:szCs w:val="20"/>
                <w:color w:val="auto"/>
              </w:rPr>
            </w:pPr>
            <w:r>
              <w:rPr>
                <w:rFonts w:ascii="Arial" w:cs="Arial" w:eastAsia="Arial" w:hAnsi="Arial"/>
                <w:sz w:val="16"/>
                <w:szCs w:val="16"/>
                <w:color w:val="auto"/>
              </w:rPr>
              <w:t>1.6510</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1.4034</w:t>
            </w:r>
          </w:p>
        </w:tc>
      </w:tr>
      <w:tr>
        <w:trPr>
          <w:trHeight w:val="21"/>
        </w:trPr>
        <w:tc>
          <w:tcPr>
            <w:tcW w:w="5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Equivalent in Canadian dollars</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8"/>
              </w:rPr>
              <w:t>10,965</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160</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(1,944)</w:t>
            </w:r>
          </w:p>
        </w:tc>
      </w:tr>
      <w:tr>
        <w:trPr>
          <w:trHeight w:val="198"/>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Impact of 10% change in foreign currency rate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1,097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16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w:t>
            </w:r>
          </w:p>
        </w:tc>
      </w:tr>
    </w:tbl>
    <w:p>
      <w:pPr>
        <w:spacing w:after="0" w:line="225" w:lineRule="exact"/>
        <w:rPr>
          <w:sz w:val="20"/>
          <w:szCs w:val="20"/>
          <w:color w:val="auto"/>
        </w:rPr>
      </w:pPr>
    </w:p>
    <w:p>
      <w:pPr>
        <w:ind w:left="280"/>
        <w:spacing w:after="0" w:line="325" w:lineRule="auto"/>
        <w:rPr>
          <w:sz w:val="20"/>
          <w:szCs w:val="20"/>
          <w:color w:val="auto"/>
        </w:rPr>
      </w:pPr>
      <w:r>
        <w:rPr>
          <w:rFonts w:ascii="Arial" w:cs="Arial" w:eastAsia="Arial" w:hAnsi="Arial"/>
          <w:sz w:val="16"/>
          <w:szCs w:val="16"/>
          <w:color w:val="auto"/>
        </w:rPr>
        <w:t>Based on the above net exposures as at September 30, 2023, and assuming that all other variables remain constant, a 10% change of the USD, GBP and EUR, against the CAD would impact net loss by approximately by $1,307.</w:t>
      </w:r>
    </w:p>
    <w:p>
      <w:pPr>
        <w:spacing w:after="0" w:line="12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13.</w:t>
      </w:r>
      <w:r>
        <w:rPr>
          <w:sz w:val="20"/>
          <w:szCs w:val="20"/>
          <w:color w:val="auto"/>
        </w:rPr>
        <w:tab/>
      </w:r>
      <w:r>
        <w:rPr>
          <w:rFonts w:ascii="Arial" w:cs="Arial" w:eastAsia="Arial" w:hAnsi="Arial"/>
          <w:sz w:val="13"/>
          <w:szCs w:val="13"/>
          <w:b w:val="1"/>
          <w:bCs w:val="1"/>
          <w:color w:val="2D5F91"/>
        </w:rPr>
        <w:t>INCOME TAX</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Major items causing the Company’s income tax rate to difer from the Canadian statutory rate of approximately 26.50% are as follows:</w:t>
      </w:r>
    </w:p>
    <w:p>
      <w:pPr>
        <w:spacing w:after="0" w:line="277" w:lineRule="exact"/>
        <w:rPr>
          <w:sz w:val="20"/>
          <w:szCs w:val="20"/>
          <w:color w:val="auto"/>
        </w:rPr>
      </w:pPr>
    </w:p>
    <w:tbl>
      <w:tblPr>
        <w:tblLayout w:type="fixed"/>
        <w:tblInd w:w="280" w:type="dxa"/>
        <w:tblCellMar>
          <w:top w:w="0" w:type="dxa"/>
          <w:left w:w="0" w:type="dxa"/>
          <w:bottom w:w="0" w:type="dxa"/>
          <w:right w:w="0" w:type="dxa"/>
        </w:tblCellMar>
      </w:tblPr>
      <w:tr>
        <w:trPr>
          <w:trHeight w:val="205"/>
        </w:trPr>
        <w:tc>
          <w:tcPr>
            <w:tcW w:w="4680" w:type="dxa"/>
            <w:vAlign w:val="bottom"/>
          </w:tcPr>
          <w:p>
            <w:pPr>
              <w:spacing w:after="0"/>
              <w:rPr>
                <w:sz w:val="17"/>
                <w:szCs w:val="17"/>
                <w:color w:val="auto"/>
              </w:rPr>
            </w:pPr>
          </w:p>
        </w:tc>
        <w:tc>
          <w:tcPr>
            <w:tcW w:w="354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Three-months Ended</w:t>
            </w:r>
          </w:p>
        </w:tc>
        <w:tc>
          <w:tcPr>
            <w:tcW w:w="10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w w:val="88"/>
              </w:rPr>
              <w:t>Six-months Ended</w:t>
            </w:r>
          </w:p>
        </w:tc>
      </w:tr>
      <w:tr>
        <w:trPr>
          <w:trHeight w:val="297"/>
        </w:trPr>
        <w:tc>
          <w:tcPr>
            <w:tcW w:w="4680" w:type="dxa"/>
            <w:vAlign w:val="bottom"/>
          </w:tcPr>
          <w:p>
            <w:pPr>
              <w:spacing w:after="0"/>
              <w:rPr>
                <w:sz w:val="24"/>
                <w:szCs w:val="24"/>
                <w:color w:val="auto"/>
              </w:rPr>
            </w:pPr>
          </w:p>
        </w:tc>
        <w:tc>
          <w:tcPr>
            <w:tcW w:w="242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r>
      <w:tr>
        <w:trPr>
          <w:trHeight w:val="261"/>
        </w:trPr>
        <w:tc>
          <w:tcPr>
            <w:tcW w:w="4680" w:type="dxa"/>
            <w:vAlign w:val="bottom"/>
          </w:tcPr>
          <w:p>
            <w:pPr>
              <w:spacing w:after="0"/>
              <w:rPr>
                <w:sz w:val="22"/>
                <w:szCs w:val="22"/>
                <w:color w:val="auto"/>
              </w:rPr>
            </w:pP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11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r>
      <w:tr>
        <w:trPr>
          <w:trHeight w:val="279"/>
        </w:trPr>
        <w:tc>
          <w:tcPr>
            <w:tcW w:w="4680" w:type="dxa"/>
            <w:vAlign w:val="bottom"/>
          </w:tcPr>
          <w:p>
            <w:pPr>
              <w:spacing w:after="0"/>
              <w:rPr>
                <w:sz w:val="24"/>
                <w:szCs w:val="24"/>
                <w:color w:val="auto"/>
              </w:rPr>
            </w:pP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468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8"/>
        </w:trPr>
        <w:tc>
          <w:tcPr>
            <w:tcW w:w="4680" w:type="dxa"/>
            <w:vAlign w:val="bottom"/>
          </w:tcPr>
          <w:p>
            <w:pPr>
              <w:ind w:left="20"/>
              <w:spacing w:after="0"/>
              <w:rPr>
                <w:sz w:val="20"/>
                <w:szCs w:val="20"/>
                <w:color w:val="auto"/>
              </w:rPr>
            </w:pPr>
            <w:r>
              <w:rPr>
                <w:rFonts w:ascii="Arial" w:cs="Arial" w:eastAsia="Arial" w:hAnsi="Arial"/>
                <w:sz w:val="16"/>
                <w:szCs w:val="16"/>
                <w:color w:val="auto"/>
              </w:rPr>
              <w:t>Net loss before income taxes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11,890</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9,973</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26,404</w:t>
            </w:r>
          </w:p>
        </w:tc>
        <w:tc>
          <w:tcPr>
            <w:tcW w:w="1320" w:type="dxa"/>
            <w:vAlign w:val="bottom"/>
          </w:tcPr>
          <w:p>
            <w:pPr>
              <w:jc w:val="right"/>
              <w:spacing w:after="0"/>
              <w:rPr>
                <w:sz w:val="20"/>
                <w:szCs w:val="20"/>
                <w:color w:val="auto"/>
              </w:rPr>
            </w:pPr>
            <w:r>
              <w:rPr>
                <w:rFonts w:ascii="Arial" w:cs="Arial" w:eastAsia="Arial" w:hAnsi="Arial"/>
                <w:sz w:val="16"/>
                <w:szCs w:val="16"/>
                <w:color w:val="auto"/>
              </w:rPr>
              <w:t>23,028</w:t>
            </w:r>
          </w:p>
        </w:tc>
      </w:tr>
      <w:tr>
        <w:trPr>
          <w:trHeight w:val="473"/>
        </w:trPr>
        <w:tc>
          <w:tcPr>
            <w:tcW w:w="4680" w:type="dxa"/>
            <w:vAlign w:val="bottom"/>
          </w:tcPr>
          <w:p>
            <w:pPr>
              <w:ind w:left="20"/>
              <w:spacing w:after="0"/>
              <w:rPr>
                <w:sz w:val="20"/>
                <w:szCs w:val="20"/>
                <w:color w:val="auto"/>
              </w:rPr>
            </w:pPr>
            <w:r>
              <w:rPr>
                <w:rFonts w:ascii="Arial" w:cs="Arial" w:eastAsia="Arial" w:hAnsi="Arial"/>
                <w:sz w:val="16"/>
                <w:szCs w:val="16"/>
                <w:color w:val="auto"/>
              </w:rPr>
              <w:t>Expected recovery at statutory rate</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3,151</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2,642</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6,997</w:t>
            </w:r>
          </w:p>
        </w:tc>
        <w:tc>
          <w:tcPr>
            <w:tcW w:w="1320" w:type="dxa"/>
            <w:vAlign w:val="bottom"/>
          </w:tcPr>
          <w:p>
            <w:pPr>
              <w:jc w:val="right"/>
              <w:spacing w:after="0"/>
              <w:rPr>
                <w:sz w:val="20"/>
                <w:szCs w:val="20"/>
                <w:color w:val="auto"/>
              </w:rPr>
            </w:pPr>
            <w:r>
              <w:rPr>
                <w:rFonts w:ascii="Arial" w:cs="Arial" w:eastAsia="Arial" w:hAnsi="Arial"/>
                <w:sz w:val="16"/>
                <w:szCs w:val="16"/>
                <w:color w:val="auto"/>
              </w:rPr>
              <w:t>6,102</w:t>
            </w:r>
          </w:p>
        </w:tc>
      </w:tr>
      <w:tr>
        <w:trPr>
          <w:trHeight w:val="279"/>
        </w:trPr>
        <w:tc>
          <w:tcPr>
            <w:tcW w:w="4680" w:type="dxa"/>
            <w:vAlign w:val="bottom"/>
          </w:tcPr>
          <w:p>
            <w:pPr>
              <w:ind w:left="20"/>
              <w:spacing w:after="0"/>
              <w:rPr>
                <w:sz w:val="20"/>
                <w:szCs w:val="20"/>
                <w:color w:val="auto"/>
              </w:rPr>
            </w:pPr>
            <w:r>
              <w:rPr>
                <w:rFonts w:ascii="Arial" w:cs="Arial" w:eastAsia="Arial" w:hAnsi="Arial"/>
                <w:sz w:val="16"/>
                <w:szCs w:val="16"/>
                <w:color w:val="auto"/>
              </w:rPr>
              <w:t>Share-based compensaton</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(375)</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(284)</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(713)</w:t>
            </w:r>
          </w:p>
        </w:tc>
        <w:tc>
          <w:tcPr>
            <w:tcW w:w="1320" w:type="dxa"/>
            <w:vAlign w:val="bottom"/>
          </w:tcPr>
          <w:p>
            <w:pPr>
              <w:jc w:val="right"/>
              <w:spacing w:after="0"/>
              <w:rPr>
                <w:sz w:val="20"/>
                <w:szCs w:val="20"/>
                <w:color w:val="auto"/>
              </w:rPr>
            </w:pPr>
            <w:r>
              <w:rPr>
                <w:rFonts w:ascii="Arial" w:cs="Arial" w:eastAsia="Arial" w:hAnsi="Arial"/>
                <w:sz w:val="16"/>
                <w:szCs w:val="16"/>
                <w:color w:val="auto"/>
              </w:rPr>
              <w:t>(855)</w:t>
            </w:r>
          </w:p>
        </w:tc>
      </w:tr>
      <w:tr>
        <w:trPr>
          <w:trHeight w:val="279"/>
        </w:trPr>
        <w:tc>
          <w:tcPr>
            <w:tcW w:w="468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459</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(373)</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13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79"/>
        </w:trPr>
        <w:tc>
          <w:tcPr>
            <w:tcW w:w="4680" w:type="dxa"/>
            <w:vAlign w:val="bottom"/>
          </w:tcPr>
          <w:p>
            <w:pPr>
              <w:ind w:left="20"/>
              <w:spacing w:after="0"/>
              <w:rPr>
                <w:sz w:val="20"/>
                <w:szCs w:val="20"/>
                <w:color w:val="auto"/>
              </w:rPr>
            </w:pPr>
            <w:r>
              <w:rPr>
                <w:rFonts w:ascii="Arial" w:cs="Arial" w:eastAsia="Arial" w:hAnsi="Arial"/>
                <w:sz w:val="16"/>
                <w:szCs w:val="16"/>
                <w:color w:val="auto"/>
              </w:rPr>
              <w:t>Diference between Canadian and foreign tax rates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(941)</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(224)</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(1,893)</w:t>
            </w:r>
          </w:p>
        </w:tc>
        <w:tc>
          <w:tcPr>
            <w:tcW w:w="1320" w:type="dxa"/>
            <w:vAlign w:val="bottom"/>
          </w:tcPr>
          <w:p>
            <w:pPr>
              <w:jc w:val="right"/>
              <w:spacing w:after="0"/>
              <w:rPr>
                <w:sz w:val="20"/>
                <w:szCs w:val="20"/>
                <w:color w:val="auto"/>
              </w:rPr>
            </w:pPr>
            <w:r>
              <w:rPr>
                <w:rFonts w:ascii="Arial" w:cs="Arial" w:eastAsia="Arial" w:hAnsi="Arial"/>
                <w:sz w:val="16"/>
                <w:szCs w:val="16"/>
                <w:color w:val="auto"/>
              </w:rPr>
              <w:t>(1,295)</w:t>
            </w:r>
          </w:p>
        </w:tc>
      </w:tr>
      <w:tr>
        <w:trPr>
          <w:trHeight w:val="279"/>
        </w:trPr>
        <w:tc>
          <w:tcPr>
            <w:tcW w:w="4680" w:type="dxa"/>
            <w:vAlign w:val="bottom"/>
          </w:tcPr>
          <w:p>
            <w:pPr>
              <w:ind w:left="20"/>
              <w:spacing w:after="0"/>
              <w:rPr>
                <w:sz w:val="20"/>
                <w:szCs w:val="20"/>
                <w:color w:val="auto"/>
              </w:rPr>
            </w:pPr>
            <w:r>
              <w:rPr>
                <w:rFonts w:ascii="Arial" w:cs="Arial" w:eastAsia="Arial" w:hAnsi="Arial"/>
                <w:sz w:val="16"/>
                <w:szCs w:val="16"/>
                <w:color w:val="auto"/>
              </w:rPr>
              <w:t>Efect of exchange on unbooked deferred tax assets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193</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444</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9"/>
        </w:trPr>
        <w:tc>
          <w:tcPr>
            <w:tcW w:w="4680" w:type="dxa"/>
            <w:vAlign w:val="bottom"/>
          </w:tcPr>
          <w:p>
            <w:pPr>
              <w:ind w:left="20"/>
              <w:spacing w:after="0"/>
              <w:rPr>
                <w:sz w:val="20"/>
                <w:szCs w:val="20"/>
                <w:color w:val="auto"/>
              </w:rPr>
            </w:pPr>
            <w:r>
              <w:rPr>
                <w:rFonts w:ascii="Arial" w:cs="Arial" w:eastAsia="Arial" w:hAnsi="Arial"/>
                <w:sz w:val="16"/>
                <w:szCs w:val="16"/>
                <w:color w:val="auto"/>
              </w:rPr>
              <w:t>Adjustment to prior year loss carryforwards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9"/>
        </w:trPr>
        <w:tc>
          <w:tcPr>
            <w:tcW w:w="4680" w:type="dxa"/>
            <w:vAlign w:val="bottom"/>
          </w:tcPr>
          <w:p>
            <w:pPr>
              <w:ind w:left="20"/>
              <w:spacing w:after="0"/>
              <w:rPr>
                <w:sz w:val="20"/>
                <w:szCs w:val="20"/>
                <w:color w:val="auto"/>
              </w:rPr>
            </w:pPr>
            <w:r>
              <w:rPr>
                <w:rFonts w:ascii="Arial" w:cs="Arial" w:eastAsia="Arial" w:hAnsi="Arial"/>
                <w:sz w:val="16"/>
                <w:szCs w:val="16"/>
                <w:color w:val="auto"/>
              </w:rPr>
              <w:t>Non-deductble expenses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(29)</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90</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3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79"/>
        </w:trPr>
        <w:tc>
          <w:tcPr>
            <w:tcW w:w="4680" w:type="dxa"/>
            <w:vAlign w:val="bottom"/>
          </w:tcPr>
          <w:p>
            <w:pPr>
              <w:ind w:left="20"/>
              <w:spacing w:after="0"/>
              <w:rPr>
                <w:sz w:val="20"/>
                <w:szCs w:val="20"/>
                <w:color w:val="auto"/>
              </w:rPr>
            </w:pPr>
            <w:r>
              <w:rPr>
                <w:rFonts w:ascii="Arial" w:cs="Arial" w:eastAsia="Arial" w:hAnsi="Arial"/>
                <w:sz w:val="16"/>
                <w:szCs w:val="16"/>
                <w:color w:val="auto"/>
              </w:rPr>
              <w:t>Change in unrecognized deferred tax assets</w:t>
            </w:r>
          </w:p>
        </w:tc>
        <w:tc>
          <w:tcPr>
            <w:tcW w:w="2420" w:type="dxa"/>
            <w:vAlign w:val="bottom"/>
          </w:tcPr>
          <w:p>
            <w:pPr>
              <w:jc w:val="right"/>
              <w:ind w:right="599"/>
              <w:spacing w:after="0"/>
              <w:rPr>
                <w:sz w:val="20"/>
                <w:szCs w:val="20"/>
                <w:color w:val="auto"/>
              </w:rPr>
            </w:pPr>
            <w:r>
              <w:rPr>
                <w:rFonts w:ascii="Arial" w:cs="Arial" w:eastAsia="Arial" w:hAnsi="Arial"/>
                <w:sz w:val="16"/>
                <w:szCs w:val="16"/>
                <w:b w:val="1"/>
                <w:bCs w:val="1"/>
                <w:color w:val="auto"/>
              </w:rPr>
              <w:t>(2,458)</w:t>
            </w:r>
          </w:p>
        </w:tc>
        <w:tc>
          <w:tcPr>
            <w:tcW w:w="1120" w:type="dxa"/>
            <w:vAlign w:val="bottom"/>
          </w:tcPr>
          <w:p>
            <w:pPr>
              <w:jc w:val="right"/>
              <w:ind w:right="399"/>
              <w:spacing w:after="0"/>
              <w:rPr>
                <w:sz w:val="20"/>
                <w:szCs w:val="20"/>
                <w:color w:val="auto"/>
              </w:rPr>
            </w:pPr>
            <w:r>
              <w:rPr>
                <w:rFonts w:ascii="Arial" w:cs="Arial" w:eastAsia="Arial" w:hAnsi="Arial"/>
                <w:sz w:val="16"/>
                <w:szCs w:val="16"/>
                <w:color w:val="auto"/>
              </w:rPr>
              <w:t>(1,851)</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(5,585)</w:t>
            </w:r>
          </w:p>
        </w:tc>
        <w:tc>
          <w:tcPr>
            <w:tcW w:w="1320" w:type="dxa"/>
            <w:vAlign w:val="bottom"/>
          </w:tcPr>
          <w:p>
            <w:pPr>
              <w:jc w:val="right"/>
              <w:spacing w:after="0"/>
              <w:rPr>
                <w:sz w:val="20"/>
                <w:szCs w:val="20"/>
                <w:color w:val="auto"/>
              </w:rPr>
            </w:pPr>
            <w:r>
              <w:rPr>
                <w:rFonts w:ascii="Arial" w:cs="Arial" w:eastAsia="Arial" w:hAnsi="Arial"/>
                <w:sz w:val="16"/>
                <w:szCs w:val="16"/>
                <w:color w:val="auto"/>
              </w:rPr>
              <w:t>(3,956)</w:t>
            </w: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1"/>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tax recovery</w:t>
            </w:r>
          </w:p>
        </w:tc>
        <w:tc>
          <w:tcPr>
            <w:tcW w:w="2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22 of 25</w:t>
      </w:r>
    </w:p>
    <w:p>
      <w:pPr>
        <w:sectPr>
          <w:pgSz w:w="11900" w:h="16838" w:orient="portrait"/>
          <w:cols w:equalWidth="0" w:num="1">
            <w:col w:w="11260"/>
          </w:cols>
          <w:pgMar w:left="320" w:top="221" w:right="319"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right="40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68580</wp:posOffset>
            </wp:positionV>
            <wp:extent cx="71462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line="325" w:lineRule="auto"/>
        <w:rPr>
          <w:sz w:val="20"/>
          <w:szCs w:val="20"/>
          <w:color w:val="auto"/>
        </w:rPr>
      </w:pPr>
      <w:r>
        <w:rPr>
          <w:rFonts w:ascii="Arial" w:cs="Arial" w:eastAsia="Arial" w:hAnsi="Arial"/>
          <w:sz w:val="16"/>
          <w:szCs w:val="16"/>
          <w:color w:val="auto"/>
        </w:rPr>
        <w:t>Note 1 - The three month ended September 30, 2022 amounts were determined by deductng the 3 months ended June 30, 2022 porton out of September 30, 2022 amounts per above.</w:t>
      </w:r>
    </w:p>
    <w:p>
      <w:pPr>
        <w:spacing w:after="0" w:line="120" w:lineRule="exact"/>
        <w:rPr>
          <w:sz w:val="20"/>
          <w:szCs w:val="20"/>
          <w:color w:val="auto"/>
        </w:rPr>
      </w:pPr>
    </w:p>
    <w:p>
      <w:pPr>
        <w:ind w:left="220" w:right="20"/>
        <w:spacing w:after="0" w:line="309" w:lineRule="auto"/>
        <w:rPr>
          <w:sz w:val="20"/>
          <w:szCs w:val="20"/>
          <w:color w:val="auto"/>
        </w:rPr>
      </w:pPr>
      <w:r>
        <w:rPr>
          <w:rFonts w:ascii="Arial" w:cs="Arial" w:eastAsia="Arial" w:hAnsi="Arial"/>
          <w:sz w:val="16"/>
          <w:szCs w:val="16"/>
          <w:color w:val="auto"/>
        </w:rPr>
        <w:t>The signifcant components of the Company’s deferred tax assets, resultng from temporary diferences, unused tax credits and unused tax losses, that have not been included on the consolidated statements of fnancial positon, are as follows:</w:t>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54"/>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As at</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September 30, 2023</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March 31, 2023</w:t>
            </w:r>
          </w:p>
        </w:tc>
      </w:tr>
      <w:tr>
        <w:trPr>
          <w:trHeight w:val="43"/>
        </w:trPr>
        <w:tc>
          <w:tcPr>
            <w:tcW w:w="46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6"/>
        </w:trPr>
        <w:tc>
          <w:tcPr>
            <w:tcW w:w="4660" w:type="dxa"/>
            <w:vAlign w:val="bottom"/>
          </w:tcPr>
          <w:p>
            <w:pPr>
              <w:spacing w:after="0"/>
              <w:rPr>
                <w:sz w:val="18"/>
                <w:szCs w:val="18"/>
                <w:color w:val="auto"/>
              </w:rPr>
            </w:pP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9"/>
        </w:trPr>
        <w:tc>
          <w:tcPr>
            <w:tcW w:w="4660" w:type="dxa"/>
            <w:vAlign w:val="bottom"/>
          </w:tcPr>
          <w:p>
            <w:pPr>
              <w:ind w:left="20"/>
              <w:spacing w:after="0"/>
              <w:rPr>
                <w:sz w:val="20"/>
                <w:szCs w:val="20"/>
                <w:color w:val="auto"/>
              </w:rPr>
            </w:pPr>
            <w:r>
              <w:rPr>
                <w:rFonts w:ascii="Arial" w:cs="Arial" w:eastAsia="Arial" w:hAnsi="Arial"/>
                <w:sz w:val="16"/>
                <w:szCs w:val="16"/>
                <w:color w:val="auto"/>
              </w:rPr>
              <w:t>Non-capital loss carryforwards</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24,897</w:t>
            </w:r>
          </w:p>
        </w:tc>
        <w:tc>
          <w:tcPr>
            <w:tcW w:w="1520" w:type="dxa"/>
            <w:vAlign w:val="bottom"/>
          </w:tcPr>
          <w:p>
            <w:pPr>
              <w:jc w:val="right"/>
              <w:spacing w:after="0"/>
              <w:rPr>
                <w:sz w:val="20"/>
                <w:szCs w:val="20"/>
                <w:color w:val="auto"/>
              </w:rPr>
            </w:pPr>
            <w:r>
              <w:rPr>
                <w:rFonts w:ascii="Arial" w:cs="Arial" w:eastAsia="Arial" w:hAnsi="Arial"/>
                <w:sz w:val="16"/>
                <w:szCs w:val="16"/>
                <w:color w:val="auto"/>
              </w:rPr>
              <w:t>20,248</w:t>
            </w:r>
          </w:p>
        </w:tc>
      </w:tr>
      <w:tr>
        <w:trPr>
          <w:trHeight w:val="279"/>
        </w:trPr>
        <w:tc>
          <w:tcPr>
            <w:tcW w:w="4660" w:type="dxa"/>
            <w:vAlign w:val="bottom"/>
          </w:tcPr>
          <w:p>
            <w:pPr>
              <w:ind w:left="20"/>
              <w:spacing w:after="0"/>
              <w:rPr>
                <w:sz w:val="20"/>
                <w:szCs w:val="20"/>
                <w:color w:val="auto"/>
              </w:rPr>
            </w:pPr>
            <w:r>
              <w:rPr>
                <w:rFonts w:ascii="Arial" w:cs="Arial" w:eastAsia="Arial" w:hAnsi="Arial"/>
                <w:sz w:val="16"/>
                <w:szCs w:val="16"/>
                <w:color w:val="auto"/>
              </w:rPr>
              <w:t>Deferred compensaton</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1,107</w:t>
            </w:r>
          </w:p>
        </w:tc>
        <w:tc>
          <w:tcPr>
            <w:tcW w:w="1520" w:type="dxa"/>
            <w:vAlign w:val="bottom"/>
          </w:tcPr>
          <w:p>
            <w:pPr>
              <w:jc w:val="right"/>
              <w:spacing w:after="0"/>
              <w:rPr>
                <w:sz w:val="20"/>
                <w:szCs w:val="20"/>
                <w:color w:val="auto"/>
              </w:rPr>
            </w:pPr>
            <w:r>
              <w:rPr>
                <w:rFonts w:ascii="Arial" w:cs="Arial" w:eastAsia="Arial" w:hAnsi="Arial"/>
                <w:sz w:val="16"/>
                <w:szCs w:val="16"/>
                <w:color w:val="auto"/>
              </w:rPr>
              <w:t>1,089</w:t>
            </w:r>
          </w:p>
        </w:tc>
      </w:tr>
      <w:tr>
        <w:trPr>
          <w:trHeight w:val="279"/>
        </w:trPr>
        <w:tc>
          <w:tcPr>
            <w:tcW w:w="4660" w:type="dxa"/>
            <w:vAlign w:val="bottom"/>
          </w:tcPr>
          <w:p>
            <w:pPr>
              <w:ind w:left="20"/>
              <w:spacing w:after="0"/>
              <w:rPr>
                <w:sz w:val="20"/>
                <w:szCs w:val="20"/>
                <w:color w:val="auto"/>
              </w:rPr>
            </w:pPr>
            <w:r>
              <w:rPr>
                <w:rFonts w:ascii="Arial" w:cs="Arial" w:eastAsia="Arial" w:hAnsi="Arial"/>
                <w:sz w:val="16"/>
                <w:szCs w:val="16"/>
                <w:color w:val="auto"/>
              </w:rPr>
              <w:t>R&amp;D expenditures</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1,720</w:t>
            </w:r>
          </w:p>
        </w:tc>
        <w:tc>
          <w:tcPr>
            <w:tcW w:w="152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79"/>
        </w:trPr>
        <w:tc>
          <w:tcPr>
            <w:tcW w:w="466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1,556</w:t>
            </w:r>
          </w:p>
        </w:tc>
        <w:tc>
          <w:tcPr>
            <w:tcW w:w="1520" w:type="dxa"/>
            <w:vAlign w:val="bottom"/>
          </w:tcPr>
          <w:p>
            <w:pPr>
              <w:jc w:val="right"/>
              <w:spacing w:after="0"/>
              <w:rPr>
                <w:sz w:val="20"/>
                <w:szCs w:val="20"/>
                <w:color w:val="auto"/>
              </w:rPr>
            </w:pPr>
            <w:r>
              <w:rPr>
                <w:rFonts w:ascii="Arial" w:cs="Arial" w:eastAsia="Arial" w:hAnsi="Arial"/>
                <w:sz w:val="16"/>
                <w:szCs w:val="16"/>
                <w:color w:val="auto"/>
              </w:rPr>
              <w:t>1,303</w:t>
            </w:r>
          </w:p>
        </w:tc>
      </w:tr>
      <w:tr>
        <w:trPr>
          <w:trHeight w:val="279"/>
        </w:trPr>
        <w:tc>
          <w:tcPr>
            <w:tcW w:w="4660" w:type="dxa"/>
            <w:vAlign w:val="bottom"/>
          </w:tcPr>
          <w:p>
            <w:pPr>
              <w:ind w:left="20"/>
              <w:spacing w:after="0"/>
              <w:rPr>
                <w:sz w:val="20"/>
                <w:szCs w:val="20"/>
                <w:color w:val="auto"/>
              </w:rPr>
            </w:pPr>
            <w:r>
              <w:rPr>
                <w:rFonts w:ascii="Arial" w:cs="Arial" w:eastAsia="Arial" w:hAnsi="Arial"/>
                <w:sz w:val="16"/>
                <w:szCs w:val="16"/>
                <w:color w:val="auto"/>
              </w:rPr>
              <w:t>Depreciaton/CCA diferences</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(2)</w:t>
            </w: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9"/>
        </w:trPr>
        <w:tc>
          <w:tcPr>
            <w:tcW w:w="4660" w:type="dxa"/>
            <w:vAlign w:val="bottom"/>
          </w:tcPr>
          <w:p>
            <w:pPr>
              <w:ind w:left="20"/>
              <w:spacing w:after="0"/>
              <w:rPr>
                <w:sz w:val="20"/>
                <w:szCs w:val="20"/>
                <w:color w:val="auto"/>
              </w:rPr>
            </w:pPr>
            <w:r>
              <w:rPr>
                <w:rFonts w:ascii="Arial" w:cs="Arial" w:eastAsia="Arial" w:hAnsi="Arial"/>
                <w:sz w:val="16"/>
                <w:szCs w:val="16"/>
                <w:color w:val="auto"/>
              </w:rPr>
              <w:t>Other</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43"/>
        </w:trPr>
        <w:tc>
          <w:tcPr>
            <w:tcW w:w="46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6"/>
        </w:trPr>
        <w:tc>
          <w:tcPr>
            <w:tcW w:w="4660" w:type="dxa"/>
            <w:vAlign w:val="bottom"/>
          </w:tcPr>
          <w:p>
            <w:pPr>
              <w:spacing w:after="0"/>
              <w:rPr>
                <w:sz w:val="18"/>
                <w:szCs w:val="18"/>
                <w:color w:val="auto"/>
              </w:rPr>
            </w:pP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29,278</w:t>
            </w:r>
          </w:p>
        </w:tc>
        <w:tc>
          <w:tcPr>
            <w:tcW w:w="1520" w:type="dxa"/>
            <w:vAlign w:val="bottom"/>
          </w:tcPr>
          <w:p>
            <w:pPr>
              <w:jc w:val="right"/>
              <w:spacing w:after="0"/>
              <w:rPr>
                <w:sz w:val="20"/>
                <w:szCs w:val="20"/>
                <w:color w:val="auto"/>
              </w:rPr>
            </w:pPr>
            <w:r>
              <w:rPr>
                <w:rFonts w:ascii="Arial" w:cs="Arial" w:eastAsia="Arial" w:hAnsi="Arial"/>
                <w:sz w:val="16"/>
                <w:szCs w:val="16"/>
                <w:color w:val="auto"/>
              </w:rPr>
              <w:t>23,693</w:t>
            </w:r>
          </w:p>
        </w:tc>
      </w:tr>
      <w:tr>
        <w:trPr>
          <w:trHeight w:val="279"/>
        </w:trPr>
        <w:tc>
          <w:tcPr>
            <w:tcW w:w="4660" w:type="dxa"/>
            <w:vAlign w:val="bottom"/>
          </w:tcPr>
          <w:p>
            <w:pPr>
              <w:ind w:left="20"/>
              <w:spacing w:after="0"/>
              <w:rPr>
                <w:sz w:val="20"/>
                <w:szCs w:val="20"/>
                <w:color w:val="auto"/>
              </w:rPr>
            </w:pPr>
            <w:r>
              <w:rPr>
                <w:rFonts w:ascii="Arial" w:cs="Arial" w:eastAsia="Arial" w:hAnsi="Arial"/>
                <w:sz w:val="16"/>
                <w:szCs w:val="16"/>
                <w:color w:val="auto"/>
              </w:rPr>
              <w:t>Valuaton allowance</w:t>
            </w: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(29,278)</w:t>
            </w:r>
          </w:p>
        </w:tc>
        <w:tc>
          <w:tcPr>
            <w:tcW w:w="1520" w:type="dxa"/>
            <w:vAlign w:val="bottom"/>
          </w:tcPr>
          <w:p>
            <w:pPr>
              <w:jc w:val="right"/>
              <w:spacing w:after="0"/>
              <w:rPr>
                <w:sz w:val="20"/>
                <w:szCs w:val="20"/>
                <w:color w:val="auto"/>
              </w:rPr>
            </w:pPr>
            <w:r>
              <w:rPr>
                <w:rFonts w:ascii="Arial" w:cs="Arial" w:eastAsia="Arial" w:hAnsi="Arial"/>
                <w:sz w:val="16"/>
                <w:szCs w:val="16"/>
                <w:color w:val="auto"/>
              </w:rPr>
              <w:t>(23,693)</w:t>
            </w:r>
          </w:p>
        </w:tc>
      </w:tr>
      <w:tr>
        <w:trPr>
          <w:trHeight w:val="43"/>
        </w:trPr>
        <w:tc>
          <w:tcPr>
            <w:tcW w:w="46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6"/>
        </w:trPr>
        <w:tc>
          <w:tcPr>
            <w:tcW w:w="4660" w:type="dxa"/>
            <w:vAlign w:val="bottom"/>
          </w:tcPr>
          <w:p>
            <w:pPr>
              <w:spacing w:after="0"/>
              <w:rPr>
                <w:sz w:val="18"/>
                <w:szCs w:val="18"/>
                <w:color w:val="auto"/>
              </w:rPr>
            </w:pPr>
          </w:p>
        </w:tc>
        <w:tc>
          <w:tcPr>
            <w:tcW w:w="442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
        </w:trPr>
        <w:tc>
          <w:tcPr>
            <w:tcW w:w="466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bl>
    <w:p>
      <w:pPr>
        <w:spacing w:after="0" w:line="225" w:lineRule="exact"/>
        <w:rPr>
          <w:sz w:val="20"/>
          <w:szCs w:val="20"/>
          <w:color w:val="auto"/>
        </w:rPr>
      </w:pPr>
    </w:p>
    <w:p>
      <w:pPr>
        <w:ind w:left="220" w:right="20"/>
        <w:spacing w:after="0" w:line="325" w:lineRule="auto"/>
        <w:rPr>
          <w:sz w:val="20"/>
          <w:szCs w:val="20"/>
          <w:color w:val="auto"/>
        </w:rPr>
      </w:pPr>
      <w:r>
        <w:rPr>
          <w:rFonts w:ascii="Arial" w:cs="Arial" w:eastAsia="Arial" w:hAnsi="Arial"/>
          <w:sz w:val="16"/>
          <w:szCs w:val="16"/>
          <w:color w:val="auto"/>
        </w:rPr>
        <w:t>These deferred tax assets have not been recognized because it is not probable that future taxable proft will be available against which the Company will be able to use these potental benefts.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Non-capital loss balance</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As at September 30, 2023, the Company has non-capital losses in Canada, which under certain circumstances can be used to reduce the taxable income of future years.</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non-capital losses expire as follows:</w:t>
      </w:r>
    </w:p>
    <w:p>
      <w:pPr>
        <w:spacing w:after="0" w:line="228" w:lineRule="exact"/>
        <w:rPr>
          <w:sz w:val="20"/>
          <w:szCs w:val="20"/>
          <w:color w:val="auto"/>
        </w:rPr>
      </w:pPr>
    </w:p>
    <w:tbl>
      <w:tblPr>
        <w:tblLayout w:type="fixed"/>
        <w:tblInd w:w="220" w:type="dxa"/>
        <w:tblCellMar>
          <w:top w:w="0" w:type="dxa"/>
          <w:left w:w="0" w:type="dxa"/>
          <w:bottom w:w="0" w:type="dxa"/>
          <w:right w:w="0" w:type="dxa"/>
        </w:tblCellMar>
      </w:tblPr>
      <w:tr>
        <w:trPr>
          <w:trHeight w:val="240"/>
        </w:trPr>
        <w:tc>
          <w:tcPr>
            <w:tcW w:w="5480" w:type="dxa"/>
            <w:vAlign w:val="bottom"/>
          </w:tcPr>
          <w:p>
            <w:pPr>
              <w:ind w:left="20"/>
              <w:spacing w:after="0"/>
              <w:rPr>
                <w:sz w:val="20"/>
                <w:szCs w:val="20"/>
                <w:color w:val="auto"/>
              </w:rPr>
            </w:pPr>
            <w:r>
              <w:rPr>
                <w:rFonts w:ascii="Arial" w:cs="Arial" w:eastAsia="Arial" w:hAnsi="Arial"/>
                <w:sz w:val="16"/>
                <w:szCs w:val="16"/>
                <w:color w:val="auto"/>
              </w:rPr>
              <w:t>Year of expiry</w:t>
            </w:r>
          </w:p>
        </w:tc>
        <w:tc>
          <w:tcPr>
            <w:tcW w:w="5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7"/>
        </w:trPr>
        <w:tc>
          <w:tcPr>
            <w:tcW w:w="548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2040</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740</w:t>
            </w:r>
          </w:p>
        </w:tc>
      </w:tr>
      <w:tr>
        <w:trPr>
          <w:trHeight w:val="267"/>
        </w:trPr>
        <w:tc>
          <w:tcPr>
            <w:tcW w:w="5480" w:type="dxa"/>
            <w:vAlign w:val="bottom"/>
          </w:tcPr>
          <w:p>
            <w:pPr>
              <w:ind w:left="20"/>
              <w:spacing w:after="0"/>
              <w:rPr>
                <w:sz w:val="20"/>
                <w:szCs w:val="20"/>
                <w:color w:val="auto"/>
              </w:rPr>
            </w:pPr>
            <w:r>
              <w:rPr>
                <w:rFonts w:ascii="Arial" w:cs="Arial" w:eastAsia="Arial" w:hAnsi="Arial"/>
                <w:sz w:val="16"/>
                <w:szCs w:val="16"/>
                <w:color w:val="auto"/>
              </w:rPr>
              <w:t>2041</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19,193</w:t>
            </w:r>
          </w:p>
        </w:tc>
      </w:tr>
      <w:tr>
        <w:trPr>
          <w:trHeight w:val="279"/>
        </w:trPr>
        <w:tc>
          <w:tcPr>
            <w:tcW w:w="5480" w:type="dxa"/>
            <w:vAlign w:val="bottom"/>
          </w:tcPr>
          <w:p>
            <w:pPr>
              <w:ind w:left="20"/>
              <w:spacing w:after="0"/>
              <w:rPr>
                <w:sz w:val="20"/>
                <w:szCs w:val="20"/>
                <w:color w:val="auto"/>
              </w:rPr>
            </w:pPr>
            <w:r>
              <w:rPr>
                <w:rFonts w:ascii="Arial" w:cs="Arial" w:eastAsia="Arial" w:hAnsi="Arial"/>
                <w:sz w:val="16"/>
                <w:szCs w:val="16"/>
                <w:color w:val="auto"/>
              </w:rPr>
              <w:t>2042</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12,234</w:t>
            </w:r>
          </w:p>
        </w:tc>
      </w:tr>
      <w:tr>
        <w:trPr>
          <w:trHeight w:val="279"/>
        </w:trPr>
        <w:tc>
          <w:tcPr>
            <w:tcW w:w="5480" w:type="dxa"/>
            <w:vAlign w:val="bottom"/>
          </w:tcPr>
          <w:p>
            <w:pPr>
              <w:ind w:left="20"/>
              <w:spacing w:after="0"/>
              <w:rPr>
                <w:sz w:val="20"/>
                <w:szCs w:val="20"/>
                <w:color w:val="auto"/>
              </w:rPr>
            </w:pPr>
            <w:r>
              <w:rPr>
                <w:rFonts w:ascii="Arial" w:cs="Arial" w:eastAsia="Arial" w:hAnsi="Arial"/>
                <w:sz w:val="16"/>
                <w:szCs w:val="16"/>
                <w:color w:val="auto"/>
              </w:rPr>
              <w:t>2043</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10,704</w:t>
            </w:r>
          </w:p>
        </w:tc>
      </w:tr>
      <w:tr>
        <w:trPr>
          <w:trHeight w:val="279"/>
        </w:trPr>
        <w:tc>
          <w:tcPr>
            <w:tcW w:w="5480" w:type="dxa"/>
            <w:vAlign w:val="bottom"/>
          </w:tcPr>
          <w:p>
            <w:pPr>
              <w:ind w:left="20"/>
              <w:spacing w:after="0"/>
              <w:rPr>
                <w:sz w:val="20"/>
                <w:szCs w:val="20"/>
                <w:color w:val="auto"/>
              </w:rPr>
            </w:pPr>
            <w:r>
              <w:rPr>
                <w:rFonts w:ascii="Arial" w:cs="Arial" w:eastAsia="Arial" w:hAnsi="Arial"/>
                <w:sz w:val="16"/>
                <w:szCs w:val="16"/>
                <w:color w:val="auto"/>
              </w:rPr>
              <w:t>2044</w:t>
            </w: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8,328</w:t>
            </w:r>
          </w:p>
        </w:tc>
      </w:tr>
      <w:tr>
        <w:trPr>
          <w:trHeight w:val="55"/>
        </w:trPr>
        <w:tc>
          <w:tcPr>
            <w:tcW w:w="548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r>
      <w:tr>
        <w:trPr>
          <w:trHeight w:val="216"/>
        </w:trPr>
        <w:tc>
          <w:tcPr>
            <w:tcW w:w="5480" w:type="dxa"/>
            <w:vAlign w:val="bottom"/>
          </w:tcPr>
          <w:p>
            <w:pPr>
              <w:spacing w:after="0"/>
              <w:rPr>
                <w:sz w:val="18"/>
                <w:szCs w:val="18"/>
                <w:color w:val="auto"/>
              </w:rPr>
            </w:pPr>
          </w:p>
        </w:tc>
        <w:tc>
          <w:tcPr>
            <w:tcW w:w="5060" w:type="dxa"/>
            <w:vAlign w:val="bottom"/>
          </w:tcPr>
          <w:p>
            <w:pPr>
              <w:jc w:val="right"/>
              <w:spacing w:after="0"/>
              <w:rPr>
                <w:sz w:val="20"/>
                <w:szCs w:val="20"/>
                <w:color w:val="auto"/>
              </w:rPr>
            </w:pPr>
            <w:r>
              <w:rPr>
                <w:rFonts w:ascii="Arial" w:cs="Arial" w:eastAsia="Arial" w:hAnsi="Arial"/>
                <w:sz w:val="16"/>
                <w:szCs w:val="16"/>
                <w:b w:val="1"/>
                <w:bCs w:val="1"/>
                <w:color w:val="auto"/>
              </w:rPr>
              <w:t>51,199</w:t>
            </w:r>
          </w:p>
        </w:tc>
      </w:tr>
      <w:tr>
        <w:trPr>
          <w:trHeight w:val="43"/>
        </w:trPr>
        <w:tc>
          <w:tcPr>
            <w:tcW w:w="548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Page 23 of 25</w:t>
      </w:r>
    </w:p>
    <w:p>
      <w:pPr>
        <w:sectPr>
          <w:pgSz w:w="11900" w:h="16838" w:orient="portrait"/>
          <w:cols w:equalWidth="0" w:num="1">
            <w:col w:w="11200"/>
          </w:cols>
          <w:pgMar w:left="380" w:top="221" w:right="319" w:bottom="1440" w:gutter="0" w:footer="0" w:header="0"/>
        </w:sectPr>
      </w:pPr>
    </w:p>
    <w:bookmarkStart w:id="26" w:name="page27"/>
    <w:bookmarkEnd w:id="26"/>
    <w:p>
      <w:pPr>
        <w:ind w:left="60"/>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left="60" w:right="38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ind w:left="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1462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280"/>
        <w:spacing w:after="0" w:line="325" w:lineRule="auto"/>
        <w:rPr>
          <w:sz w:val="20"/>
          <w:szCs w:val="20"/>
          <w:color w:val="auto"/>
        </w:rPr>
      </w:pPr>
      <w:r>
        <w:rPr>
          <w:rFonts w:ascii="Arial" w:cs="Arial" w:eastAsia="Arial" w:hAnsi="Arial"/>
          <w:sz w:val="16"/>
          <w:szCs w:val="16"/>
          <w:color w:val="auto"/>
        </w:rPr>
        <w:t>As at September 30, 2023, the Company has non-capital losses in the United States, which under certain circumstances can be used to reduce the taxable income of future years. The non-capital losses, stated in Canadian dollars, that will expire as follows:</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40"/>
        </w:trPr>
        <w:tc>
          <w:tcPr>
            <w:tcW w:w="7640" w:type="dxa"/>
            <w:vAlign w:val="bottom"/>
            <w:gridSpan w:val="2"/>
          </w:tcPr>
          <w:p>
            <w:pPr>
              <w:ind w:left="20"/>
              <w:spacing w:after="0"/>
              <w:rPr>
                <w:sz w:val="20"/>
                <w:szCs w:val="20"/>
                <w:color w:val="auto"/>
              </w:rPr>
            </w:pPr>
            <w:r>
              <w:rPr>
                <w:rFonts w:ascii="Arial" w:cs="Arial" w:eastAsia="Arial" w:hAnsi="Arial"/>
                <w:sz w:val="16"/>
                <w:szCs w:val="16"/>
                <w:color w:val="auto"/>
              </w:rPr>
              <w:t>Year of expiry</w:t>
            </w:r>
          </w:p>
        </w:tc>
        <w:tc>
          <w:tcPr>
            <w:tcW w:w="2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7"/>
        </w:trPr>
        <w:tc>
          <w:tcPr>
            <w:tcW w:w="380" w:type="dxa"/>
            <w:vAlign w:val="bottom"/>
            <w:tcBorders>
              <w:bottom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16"/>
        </w:trPr>
        <w:tc>
          <w:tcPr>
            <w:tcW w:w="380" w:type="dxa"/>
            <w:vAlign w:val="bottom"/>
          </w:tcPr>
          <w:p>
            <w:pPr>
              <w:ind w:left="20"/>
              <w:spacing w:after="0"/>
              <w:rPr>
                <w:sz w:val="20"/>
                <w:szCs w:val="20"/>
                <w:color w:val="auto"/>
              </w:rPr>
            </w:pPr>
            <w:r>
              <w:rPr>
                <w:rFonts w:ascii="Arial" w:cs="Arial" w:eastAsia="Arial" w:hAnsi="Arial"/>
                <w:sz w:val="16"/>
                <w:szCs w:val="16"/>
                <w:color w:val="auto"/>
                <w:w w:val="95"/>
              </w:rPr>
              <w:t>2041</w:t>
            </w:r>
          </w:p>
        </w:tc>
        <w:tc>
          <w:tcPr>
            <w:tcW w:w="7260" w:type="dxa"/>
            <w:vAlign w:val="bottom"/>
          </w:tcPr>
          <w:p>
            <w:pPr>
              <w:spacing w:after="0"/>
              <w:rPr>
                <w:sz w:val="20"/>
                <w:szCs w:val="20"/>
                <w:color w:val="auto"/>
              </w:rPr>
            </w:pPr>
            <w:r>
              <w:rPr>
                <w:rFonts w:ascii="Arial" w:cs="Arial" w:eastAsia="Arial" w:hAnsi="Arial"/>
                <w:sz w:val="16"/>
                <w:szCs w:val="16"/>
                <w:color w:val="auto"/>
              </w:rPr>
              <w:t>- Pre-acquisiton loss generated up to December 4, 2020</w:t>
            </w:r>
          </w:p>
        </w:tc>
        <w:tc>
          <w:tcPr>
            <w:tcW w:w="2880" w:type="dxa"/>
            <w:vAlign w:val="bottom"/>
          </w:tcPr>
          <w:p>
            <w:pPr>
              <w:jc w:val="right"/>
              <w:spacing w:after="0"/>
              <w:rPr>
                <w:sz w:val="20"/>
                <w:szCs w:val="20"/>
                <w:color w:val="auto"/>
              </w:rPr>
            </w:pPr>
            <w:r>
              <w:rPr>
                <w:rFonts w:ascii="Arial" w:cs="Arial" w:eastAsia="Arial" w:hAnsi="Arial"/>
                <w:sz w:val="16"/>
                <w:szCs w:val="16"/>
                <w:b w:val="1"/>
                <w:bCs w:val="1"/>
                <w:color w:val="auto"/>
              </w:rPr>
              <w:t>991</w:t>
            </w:r>
          </w:p>
        </w:tc>
      </w:tr>
      <w:tr>
        <w:trPr>
          <w:trHeight w:val="267"/>
        </w:trPr>
        <w:tc>
          <w:tcPr>
            <w:tcW w:w="380" w:type="dxa"/>
            <w:vAlign w:val="bottom"/>
          </w:tcPr>
          <w:p>
            <w:pPr>
              <w:ind w:left="20"/>
              <w:spacing w:after="0"/>
              <w:rPr>
                <w:sz w:val="20"/>
                <w:szCs w:val="20"/>
                <w:color w:val="auto"/>
              </w:rPr>
            </w:pPr>
            <w:r>
              <w:rPr>
                <w:rFonts w:ascii="Arial" w:cs="Arial" w:eastAsia="Arial" w:hAnsi="Arial"/>
                <w:sz w:val="16"/>
                <w:szCs w:val="16"/>
                <w:color w:val="auto"/>
                <w:w w:val="95"/>
              </w:rPr>
              <w:t>2041</w:t>
            </w:r>
          </w:p>
        </w:tc>
        <w:tc>
          <w:tcPr>
            <w:tcW w:w="7260" w:type="dxa"/>
            <w:vAlign w:val="bottom"/>
          </w:tcPr>
          <w:p>
            <w:pPr>
              <w:spacing w:after="0"/>
              <w:rPr>
                <w:sz w:val="20"/>
                <w:szCs w:val="20"/>
                <w:color w:val="auto"/>
              </w:rPr>
            </w:pPr>
            <w:r>
              <w:rPr>
                <w:rFonts w:ascii="Arial" w:cs="Arial" w:eastAsia="Arial" w:hAnsi="Arial"/>
                <w:sz w:val="16"/>
                <w:szCs w:val="16"/>
                <w:color w:val="auto"/>
              </w:rPr>
              <w:t>- Loss generated in the period from December 4, 2020 to March 31, 2021</w:t>
            </w:r>
          </w:p>
        </w:tc>
        <w:tc>
          <w:tcPr>
            <w:tcW w:w="2880" w:type="dxa"/>
            <w:vAlign w:val="bottom"/>
          </w:tcPr>
          <w:p>
            <w:pPr>
              <w:jc w:val="right"/>
              <w:spacing w:after="0"/>
              <w:rPr>
                <w:sz w:val="20"/>
                <w:szCs w:val="20"/>
                <w:color w:val="auto"/>
              </w:rPr>
            </w:pPr>
            <w:r>
              <w:rPr>
                <w:rFonts w:ascii="Arial" w:cs="Arial" w:eastAsia="Arial" w:hAnsi="Arial"/>
                <w:sz w:val="16"/>
                <w:szCs w:val="16"/>
                <w:b w:val="1"/>
                <w:bCs w:val="1"/>
                <w:color w:val="auto"/>
              </w:rPr>
              <w:t>1,322</w:t>
            </w:r>
          </w:p>
        </w:tc>
      </w:tr>
      <w:tr>
        <w:trPr>
          <w:trHeight w:val="279"/>
        </w:trPr>
        <w:tc>
          <w:tcPr>
            <w:tcW w:w="380" w:type="dxa"/>
            <w:vAlign w:val="bottom"/>
          </w:tcPr>
          <w:p>
            <w:pPr>
              <w:ind w:left="20"/>
              <w:spacing w:after="0"/>
              <w:rPr>
                <w:sz w:val="20"/>
                <w:szCs w:val="20"/>
                <w:color w:val="auto"/>
              </w:rPr>
            </w:pPr>
            <w:r>
              <w:rPr>
                <w:rFonts w:ascii="Arial" w:cs="Arial" w:eastAsia="Arial" w:hAnsi="Arial"/>
                <w:sz w:val="16"/>
                <w:szCs w:val="16"/>
                <w:color w:val="auto"/>
                <w:w w:val="95"/>
              </w:rPr>
              <w:t>2042</w:t>
            </w:r>
          </w:p>
        </w:tc>
        <w:tc>
          <w:tcPr>
            <w:tcW w:w="7260" w:type="dxa"/>
            <w:vAlign w:val="bottom"/>
          </w:tcPr>
          <w:p>
            <w:pPr>
              <w:spacing w:after="0"/>
              <w:rPr>
                <w:sz w:val="20"/>
                <w:szCs w:val="20"/>
                <w:color w:val="auto"/>
              </w:rPr>
            </w:pPr>
            <w:r>
              <w:rPr>
                <w:rFonts w:ascii="Arial" w:cs="Arial" w:eastAsia="Arial" w:hAnsi="Arial"/>
                <w:sz w:val="16"/>
                <w:szCs w:val="16"/>
                <w:color w:val="auto"/>
              </w:rPr>
              <w:t>- Loss generated in the year ended March 31, 2022</w:t>
            </w:r>
          </w:p>
        </w:tc>
        <w:tc>
          <w:tcPr>
            <w:tcW w:w="2880" w:type="dxa"/>
            <w:vAlign w:val="bottom"/>
          </w:tcPr>
          <w:p>
            <w:pPr>
              <w:jc w:val="right"/>
              <w:spacing w:after="0"/>
              <w:rPr>
                <w:sz w:val="20"/>
                <w:szCs w:val="20"/>
                <w:color w:val="auto"/>
              </w:rPr>
            </w:pPr>
            <w:r>
              <w:rPr>
                <w:rFonts w:ascii="Arial" w:cs="Arial" w:eastAsia="Arial" w:hAnsi="Arial"/>
                <w:sz w:val="16"/>
                <w:szCs w:val="16"/>
                <w:b w:val="1"/>
                <w:bCs w:val="1"/>
                <w:color w:val="auto"/>
              </w:rPr>
              <w:t>5,552</w:t>
            </w:r>
          </w:p>
        </w:tc>
      </w:tr>
      <w:tr>
        <w:trPr>
          <w:trHeight w:val="279"/>
        </w:trPr>
        <w:tc>
          <w:tcPr>
            <w:tcW w:w="380" w:type="dxa"/>
            <w:vAlign w:val="bottom"/>
          </w:tcPr>
          <w:p>
            <w:pPr>
              <w:ind w:left="20"/>
              <w:spacing w:after="0"/>
              <w:rPr>
                <w:sz w:val="20"/>
                <w:szCs w:val="20"/>
                <w:color w:val="auto"/>
              </w:rPr>
            </w:pPr>
            <w:r>
              <w:rPr>
                <w:rFonts w:ascii="Arial" w:cs="Arial" w:eastAsia="Arial" w:hAnsi="Arial"/>
                <w:sz w:val="16"/>
                <w:szCs w:val="16"/>
                <w:color w:val="auto"/>
                <w:w w:val="95"/>
              </w:rPr>
              <w:t>2043</w:t>
            </w:r>
          </w:p>
        </w:tc>
        <w:tc>
          <w:tcPr>
            <w:tcW w:w="7260" w:type="dxa"/>
            <w:vAlign w:val="bottom"/>
          </w:tcPr>
          <w:p>
            <w:pPr>
              <w:spacing w:after="0"/>
              <w:rPr>
                <w:sz w:val="20"/>
                <w:szCs w:val="20"/>
                <w:color w:val="auto"/>
              </w:rPr>
            </w:pPr>
            <w:r>
              <w:rPr>
                <w:rFonts w:ascii="Arial" w:cs="Arial" w:eastAsia="Arial" w:hAnsi="Arial"/>
                <w:sz w:val="16"/>
                <w:szCs w:val="16"/>
                <w:color w:val="auto"/>
              </w:rPr>
              <w:t>- Loss generated in the year ended March 31, 2023</w:t>
            </w:r>
          </w:p>
        </w:tc>
        <w:tc>
          <w:tcPr>
            <w:tcW w:w="2880" w:type="dxa"/>
            <w:vAlign w:val="bottom"/>
          </w:tcPr>
          <w:p>
            <w:pPr>
              <w:jc w:val="right"/>
              <w:spacing w:after="0"/>
              <w:rPr>
                <w:sz w:val="20"/>
                <w:szCs w:val="20"/>
                <w:color w:val="auto"/>
              </w:rPr>
            </w:pPr>
            <w:r>
              <w:rPr>
                <w:rFonts w:ascii="Arial" w:cs="Arial" w:eastAsia="Arial" w:hAnsi="Arial"/>
                <w:sz w:val="16"/>
                <w:szCs w:val="16"/>
                <w:b w:val="1"/>
                <w:bCs w:val="1"/>
                <w:color w:val="auto"/>
              </w:rPr>
              <w:t>1,327</w:t>
            </w:r>
          </w:p>
        </w:tc>
      </w:tr>
      <w:tr>
        <w:trPr>
          <w:trHeight w:val="279"/>
        </w:trPr>
        <w:tc>
          <w:tcPr>
            <w:tcW w:w="380" w:type="dxa"/>
            <w:vAlign w:val="bottom"/>
          </w:tcPr>
          <w:p>
            <w:pPr>
              <w:ind w:left="20"/>
              <w:spacing w:after="0"/>
              <w:rPr>
                <w:sz w:val="20"/>
                <w:szCs w:val="20"/>
                <w:color w:val="auto"/>
              </w:rPr>
            </w:pPr>
            <w:r>
              <w:rPr>
                <w:rFonts w:ascii="Arial" w:cs="Arial" w:eastAsia="Arial" w:hAnsi="Arial"/>
                <w:sz w:val="16"/>
                <w:szCs w:val="16"/>
                <w:color w:val="auto"/>
                <w:w w:val="95"/>
              </w:rPr>
              <w:t>2044</w:t>
            </w:r>
          </w:p>
        </w:tc>
        <w:tc>
          <w:tcPr>
            <w:tcW w:w="7260" w:type="dxa"/>
            <w:vAlign w:val="bottom"/>
          </w:tcPr>
          <w:p>
            <w:pPr>
              <w:spacing w:after="0"/>
              <w:rPr>
                <w:sz w:val="20"/>
                <w:szCs w:val="20"/>
                <w:color w:val="auto"/>
              </w:rPr>
            </w:pPr>
            <w:r>
              <w:rPr>
                <w:rFonts w:ascii="Arial" w:cs="Arial" w:eastAsia="Arial" w:hAnsi="Arial"/>
                <w:sz w:val="16"/>
                <w:szCs w:val="16"/>
                <w:color w:val="auto"/>
              </w:rPr>
              <w:t>- Loss generated in the six-month period ended September 30, 2023</w:t>
            </w:r>
          </w:p>
        </w:tc>
        <w:tc>
          <w:tcPr>
            <w:tcW w:w="2880" w:type="dxa"/>
            <w:vAlign w:val="bottom"/>
          </w:tcPr>
          <w:p>
            <w:pPr>
              <w:jc w:val="right"/>
              <w:spacing w:after="0"/>
              <w:rPr>
                <w:sz w:val="20"/>
                <w:szCs w:val="20"/>
                <w:color w:val="auto"/>
              </w:rPr>
            </w:pPr>
            <w:r>
              <w:rPr>
                <w:rFonts w:ascii="Arial" w:cs="Arial" w:eastAsia="Arial" w:hAnsi="Arial"/>
                <w:sz w:val="16"/>
                <w:szCs w:val="16"/>
                <w:b w:val="1"/>
                <w:bCs w:val="1"/>
                <w:color w:val="auto"/>
              </w:rPr>
              <w:t>522</w:t>
            </w:r>
          </w:p>
        </w:tc>
      </w:tr>
      <w:tr>
        <w:trPr>
          <w:trHeight w:val="55"/>
        </w:trPr>
        <w:tc>
          <w:tcPr>
            <w:tcW w:w="380" w:type="dxa"/>
            <w:vAlign w:val="bottom"/>
            <w:tcBorders>
              <w:bottom w:val="single" w:sz="8" w:color="auto"/>
            </w:tcBorders>
          </w:tcPr>
          <w:p>
            <w:pPr>
              <w:spacing w:after="0"/>
              <w:rPr>
                <w:sz w:val="4"/>
                <w:szCs w:val="4"/>
                <w:color w:val="auto"/>
              </w:rPr>
            </w:pPr>
          </w:p>
        </w:tc>
        <w:tc>
          <w:tcPr>
            <w:tcW w:w="726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16"/>
        </w:trPr>
        <w:tc>
          <w:tcPr>
            <w:tcW w:w="38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6"/>
                <w:szCs w:val="16"/>
                <w:b w:val="1"/>
                <w:bCs w:val="1"/>
                <w:color w:val="auto"/>
              </w:rPr>
              <w:t>9,714</w:t>
            </w:r>
          </w:p>
        </w:tc>
      </w:tr>
      <w:tr>
        <w:trPr>
          <w:trHeight w:val="43"/>
        </w:trPr>
        <w:tc>
          <w:tcPr>
            <w:tcW w:w="380" w:type="dxa"/>
            <w:vAlign w:val="bottom"/>
            <w:tcBorders>
              <w:bottom w:val="single" w:sz="8" w:color="auto"/>
            </w:tcBorders>
          </w:tcPr>
          <w:p>
            <w:pPr>
              <w:spacing w:after="0"/>
              <w:rPr>
                <w:sz w:val="3"/>
                <w:szCs w:val="3"/>
                <w:color w:val="auto"/>
              </w:rPr>
            </w:pPr>
          </w:p>
        </w:tc>
        <w:tc>
          <w:tcPr>
            <w:tcW w:w="726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r>
    </w:tbl>
    <w:p>
      <w:pPr>
        <w:spacing w:after="0" w:line="225" w:lineRule="exact"/>
        <w:rPr>
          <w:sz w:val="20"/>
          <w:szCs w:val="20"/>
          <w:color w:val="auto"/>
        </w:rPr>
      </w:pPr>
    </w:p>
    <w:p>
      <w:pPr>
        <w:jc w:val="both"/>
        <w:ind w:left="280"/>
        <w:spacing w:after="0" w:line="305" w:lineRule="auto"/>
        <w:rPr>
          <w:sz w:val="20"/>
          <w:szCs w:val="20"/>
          <w:color w:val="auto"/>
        </w:rPr>
      </w:pPr>
      <w:r>
        <w:rPr>
          <w:rFonts w:ascii="Arial" w:cs="Arial" w:eastAsia="Arial" w:hAnsi="Arial"/>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September 30, 2023, the annual limitaton was $144.</w:t>
      </w:r>
    </w:p>
    <w:p>
      <w:pPr>
        <w:spacing w:after="0" w:line="1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Massachusets allows for a 20-year carryforward period for restricted and unrestricted losses without limitaton.</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As at September 30, 2023, the Company has non-capital losses in Ireland, which under certain circumstances can be used to reduce the taxable income of future years.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non-capital losses, stated in Canadian dollars, expire as follows:</w:t>
      </w:r>
    </w:p>
    <w:p>
      <w:pPr>
        <w:spacing w:after="0" w:line="265" w:lineRule="exact"/>
        <w:rPr>
          <w:sz w:val="20"/>
          <w:szCs w:val="20"/>
          <w:color w:val="auto"/>
        </w:rPr>
      </w:pPr>
    </w:p>
    <w:tbl>
      <w:tblPr>
        <w:tblLayout w:type="fixed"/>
        <w:tblInd w:w="280" w:type="dxa"/>
        <w:tblCellMar>
          <w:top w:w="0" w:type="dxa"/>
          <w:left w:w="0" w:type="dxa"/>
          <w:bottom w:w="0" w:type="dxa"/>
          <w:right w:w="0" w:type="dxa"/>
        </w:tblCellMar>
      </w:tblPr>
      <w:tr>
        <w:trPr>
          <w:trHeight w:val="227"/>
        </w:trPr>
        <w:tc>
          <w:tcPr>
            <w:tcW w:w="5540" w:type="dxa"/>
            <w:vAlign w:val="bottom"/>
          </w:tcPr>
          <w:p>
            <w:pPr>
              <w:ind w:left="20"/>
              <w:spacing w:after="0"/>
              <w:rPr>
                <w:sz w:val="20"/>
                <w:szCs w:val="20"/>
                <w:color w:val="auto"/>
              </w:rPr>
            </w:pPr>
            <w:r>
              <w:rPr>
                <w:rFonts w:ascii="Arial" w:cs="Arial" w:eastAsia="Arial" w:hAnsi="Arial"/>
                <w:sz w:val="16"/>
                <w:szCs w:val="16"/>
                <w:color w:val="auto"/>
              </w:rPr>
              <w:t>Year of expiry</w:t>
            </w:r>
          </w:p>
        </w:tc>
        <w:tc>
          <w:tcPr>
            <w:tcW w:w="5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3"/>
        </w:trPr>
        <w:tc>
          <w:tcPr>
            <w:tcW w:w="55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r>
      <w:tr>
        <w:trPr>
          <w:trHeight w:val="238"/>
        </w:trPr>
        <w:tc>
          <w:tcPr>
            <w:tcW w:w="5540" w:type="dxa"/>
            <w:vAlign w:val="bottom"/>
          </w:tcPr>
          <w:p>
            <w:pPr>
              <w:ind w:left="20"/>
              <w:spacing w:after="0"/>
              <w:rPr>
                <w:sz w:val="20"/>
                <w:szCs w:val="20"/>
                <w:color w:val="auto"/>
              </w:rPr>
            </w:pPr>
            <w:r>
              <w:rPr>
                <w:rFonts w:ascii="Arial" w:cs="Arial" w:eastAsia="Arial" w:hAnsi="Arial"/>
                <w:sz w:val="16"/>
                <w:szCs w:val="16"/>
                <w:color w:val="auto"/>
              </w:rPr>
              <w:t>2042</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22,965</w:t>
            </w:r>
          </w:p>
        </w:tc>
      </w:tr>
      <w:tr>
        <w:trPr>
          <w:trHeight w:val="327"/>
        </w:trPr>
        <w:tc>
          <w:tcPr>
            <w:tcW w:w="5540" w:type="dxa"/>
            <w:vAlign w:val="bottom"/>
          </w:tcPr>
          <w:p>
            <w:pPr>
              <w:ind w:left="20"/>
              <w:spacing w:after="0"/>
              <w:rPr>
                <w:sz w:val="20"/>
                <w:szCs w:val="20"/>
                <w:color w:val="auto"/>
              </w:rPr>
            </w:pPr>
            <w:r>
              <w:rPr>
                <w:rFonts w:ascii="Arial" w:cs="Arial" w:eastAsia="Arial" w:hAnsi="Arial"/>
                <w:sz w:val="16"/>
                <w:szCs w:val="16"/>
                <w:color w:val="auto"/>
              </w:rPr>
              <w:t>2043</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23,017</w:t>
            </w:r>
          </w:p>
        </w:tc>
      </w:tr>
      <w:tr>
        <w:trPr>
          <w:trHeight w:val="340"/>
        </w:trPr>
        <w:tc>
          <w:tcPr>
            <w:tcW w:w="5540" w:type="dxa"/>
            <w:vAlign w:val="bottom"/>
          </w:tcPr>
          <w:p>
            <w:pPr>
              <w:ind w:left="20"/>
              <w:spacing w:after="0"/>
              <w:rPr>
                <w:sz w:val="20"/>
                <w:szCs w:val="20"/>
                <w:color w:val="auto"/>
              </w:rPr>
            </w:pPr>
            <w:r>
              <w:rPr>
                <w:rFonts w:ascii="Arial" w:cs="Arial" w:eastAsia="Arial" w:hAnsi="Arial"/>
                <w:sz w:val="16"/>
                <w:szCs w:val="16"/>
                <w:color w:val="auto"/>
              </w:rPr>
              <w:t>2044</w:t>
            </w: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13,318</w:t>
            </w:r>
          </w:p>
        </w:tc>
      </w:tr>
      <w:tr>
        <w:trPr>
          <w:trHeight w:val="93"/>
        </w:trPr>
        <w:tc>
          <w:tcPr>
            <w:tcW w:w="55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r>
      <w:tr>
        <w:trPr>
          <w:trHeight w:val="216"/>
        </w:trPr>
        <w:tc>
          <w:tcPr>
            <w:tcW w:w="5540" w:type="dxa"/>
            <w:vAlign w:val="bottom"/>
          </w:tcPr>
          <w:p>
            <w:pPr>
              <w:spacing w:after="0"/>
              <w:rPr>
                <w:sz w:val="18"/>
                <w:szCs w:val="18"/>
                <w:color w:val="auto"/>
              </w:rPr>
            </w:pPr>
          </w:p>
        </w:tc>
        <w:tc>
          <w:tcPr>
            <w:tcW w:w="5120" w:type="dxa"/>
            <w:vAlign w:val="bottom"/>
          </w:tcPr>
          <w:p>
            <w:pPr>
              <w:jc w:val="right"/>
              <w:spacing w:after="0"/>
              <w:rPr>
                <w:sz w:val="20"/>
                <w:szCs w:val="20"/>
                <w:color w:val="auto"/>
              </w:rPr>
            </w:pPr>
            <w:r>
              <w:rPr>
                <w:rFonts w:ascii="Arial" w:cs="Arial" w:eastAsia="Arial" w:hAnsi="Arial"/>
                <w:sz w:val="16"/>
                <w:szCs w:val="16"/>
                <w:b w:val="1"/>
                <w:bCs w:val="1"/>
                <w:color w:val="auto"/>
              </w:rPr>
              <w:t>59,300</w:t>
            </w:r>
          </w:p>
        </w:tc>
      </w:tr>
      <w:tr>
        <w:trPr>
          <w:trHeight w:val="43"/>
        </w:trPr>
        <w:tc>
          <w:tcPr>
            <w:tcW w:w="554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2D5F91"/>
        </w:rPr>
        <w:t>14.</w:t>
      </w:r>
      <w:r>
        <w:rPr>
          <w:sz w:val="20"/>
          <w:szCs w:val="20"/>
          <w:color w:val="auto"/>
        </w:rPr>
        <w:tab/>
      </w:r>
      <w:r>
        <w:rPr>
          <w:rFonts w:ascii="Arial" w:cs="Arial" w:eastAsia="Arial" w:hAnsi="Arial"/>
          <w:sz w:val="12"/>
          <w:szCs w:val="12"/>
          <w:b w:val="1"/>
          <w:bCs w:val="1"/>
          <w:color w:val="2D5F91"/>
        </w:rPr>
        <w:t>SUBSEQUENT EVENTS</w:t>
      </w:r>
    </w:p>
    <w:p>
      <w:pPr>
        <w:spacing w:after="0" w:line="204" w:lineRule="exact"/>
        <w:rPr>
          <w:sz w:val="20"/>
          <w:szCs w:val="20"/>
          <w:color w:val="auto"/>
        </w:rPr>
      </w:pPr>
    </w:p>
    <w:p>
      <w:pPr>
        <w:jc w:val="both"/>
        <w:ind w:left="280"/>
        <w:spacing w:after="0" w:line="323" w:lineRule="auto"/>
        <w:rPr>
          <w:sz w:val="20"/>
          <w:szCs w:val="20"/>
          <w:color w:val="auto"/>
        </w:rPr>
      </w:pPr>
      <w:r>
        <w:rPr>
          <w:rFonts w:ascii="Arial" w:cs="Arial" w:eastAsia="Arial" w:hAnsi="Arial"/>
          <w:sz w:val="15"/>
          <w:szCs w:val="15"/>
          <w:color w:val="auto"/>
        </w:rPr>
        <w:t>On October 23, 2023, Cybin completed the Arrangement for the acquisiton of Small Pharma (see note 10). As a result of the Arrangement, Small Pharma became a wholly owned subsidiary of Cybin. Under the terms of the Arrangement, each former shareholder of Small Pharma received 0.2409 Common Shares for each common share of Small Pharma held. Pursuant to the Arrangement, Cybin issued an aggregate of 80,945,254 Common Shares to the former shareholders of Small Pharma. The common shares of Small Pharma were delisted from the TSX Venture Exchange and removed from the OTCQB Venture Market.</w:t>
      </w:r>
    </w:p>
    <w:p>
      <w:pPr>
        <w:spacing w:after="0" w:line="127" w:lineRule="exact"/>
        <w:rPr>
          <w:sz w:val="20"/>
          <w:szCs w:val="20"/>
          <w:color w:val="auto"/>
        </w:rPr>
      </w:pPr>
    </w:p>
    <w:p>
      <w:pPr>
        <w:jc w:val="both"/>
        <w:ind w:left="280"/>
        <w:spacing w:after="0" w:line="305" w:lineRule="auto"/>
        <w:rPr>
          <w:sz w:val="20"/>
          <w:szCs w:val="20"/>
          <w:color w:val="auto"/>
        </w:rPr>
      </w:pPr>
      <w:r>
        <w:rPr>
          <w:rFonts w:ascii="Arial" w:cs="Arial" w:eastAsia="Arial" w:hAnsi="Arial"/>
          <w:sz w:val="16"/>
          <w:szCs w:val="16"/>
          <w:color w:val="auto"/>
        </w:rPr>
        <w:t>On November 14, 2023, Cybin completed an underwriten ofering (the “November 2023 Ofering”) of 66,666,667 units of Cybin (the “November 2023 Units”) at a price of US$0.45 per November 2023 Unit for gross proceeds of approximately US$30,000. Each November 2023 Unit is comprised of one Common Share and one common share purchase warrants (the “November 2023 Warrants”). Each November 2023 Warrant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 24 of 25</w:t>
      </w:r>
    </w:p>
    <w:p>
      <w:pPr>
        <w:sectPr>
          <w:pgSz w:w="11900" w:h="16838" w:orient="portrait"/>
          <w:cols w:equalWidth="0" w:num="1">
            <w:col w:w="11240"/>
          </w:cols>
          <w:pgMar w:left="320" w:top="221" w:right="33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color w:val="auto"/>
        </w:rPr>
        <w:t>CYBIN INC.</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 TO THE CONDENSED INTERIM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September 30, 2023</w:t>
      </w:r>
    </w:p>
    <w:p>
      <w:pPr>
        <w:spacing w:after="0" w:line="40" w:lineRule="exact"/>
        <w:rPr>
          <w:sz w:val="20"/>
          <w:szCs w:val="20"/>
          <w:color w:val="auto"/>
        </w:rPr>
      </w:pPr>
    </w:p>
    <w:p>
      <w:pPr>
        <w:ind w:right="380"/>
        <w:spacing w:after="0" w:line="288" w:lineRule="auto"/>
        <w:rPr>
          <w:sz w:val="20"/>
          <w:szCs w:val="20"/>
          <w:color w:val="auto"/>
        </w:rPr>
      </w:pPr>
      <w:r>
        <w:rPr>
          <w:rFonts w:ascii="Arial" w:cs="Arial" w:eastAsia="Arial" w:hAnsi="Arial"/>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68580</wp:posOffset>
            </wp:positionV>
            <wp:extent cx="71462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20"/>
        <w:spacing w:after="0" w:line="363" w:lineRule="auto"/>
        <w:rPr>
          <w:sz w:val="20"/>
          <w:szCs w:val="20"/>
          <w:color w:val="auto"/>
        </w:rPr>
      </w:pPr>
      <w:r>
        <w:rPr>
          <w:rFonts w:ascii="Arial" w:cs="Arial" w:eastAsia="Arial" w:hAnsi="Arial"/>
          <w:sz w:val="15"/>
          <w:szCs w:val="15"/>
          <w:color w:val="auto"/>
        </w:rPr>
        <w:t>exercisable to acquire one Common Share at a price of US$0.51 between May 14, 2024 and May 14, 2029, subject to acceleraton in certain circumstances. In the context of arranging for the November 2023 Ofering, on November 9, 2023, the Company suspended all sales under the LPC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Page 25 of 25</w:t>
      </w:r>
    </w:p>
    <w:p>
      <w:pPr>
        <w:sectPr>
          <w:pgSz w:w="11900" w:h="16838" w:orient="portrait"/>
          <w:cols w:equalWidth="0" w:num="1">
            <w:col w:w="11180"/>
          </w:cols>
          <w:pgMar w:left="380" w:top="221"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3119755</wp:posOffset>
            </wp:positionH>
            <wp:positionV relativeFrom="page">
              <wp:posOffset>2406650</wp:posOffset>
            </wp:positionV>
            <wp:extent cx="1309370" cy="762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0937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Cybin Inc.</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of Financial Condition and Operating Performance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For the three and six months ended September 30, 2023</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November 14, 2023</w:t>
      </w:r>
    </w:p>
    <w:p>
      <w:pPr>
        <w:sectPr>
          <w:pgSz w:w="11900" w:h="16838" w:orient="portrait"/>
          <w:cols w:equalWidth="0" w:num="1">
            <w:col w:w="9019"/>
          </w:cols>
          <w:pgMar w:left="1440" w:top="1440"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CYBIN INC.</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6" w:lineRule="exact"/>
        <w:rPr>
          <w:sz w:val="20"/>
          <w:szCs w:val="20"/>
          <w:color w:val="auto"/>
        </w:rPr>
      </w:pPr>
    </w:p>
    <w:p>
      <w:pPr>
        <w:jc w:val="both"/>
        <w:spacing w:after="0" w:line="310" w:lineRule="auto"/>
        <w:rPr>
          <w:sz w:val="20"/>
          <w:szCs w:val="20"/>
          <w:color w:val="auto"/>
        </w:rPr>
      </w:pPr>
      <w:r>
        <w:rPr>
          <w:rFonts w:ascii="Arial" w:cs="Arial" w:eastAsia="Arial" w:hAnsi="Arial"/>
          <w:sz w:val="17"/>
          <w:szCs w:val="17"/>
          <w:color w:val="auto"/>
        </w:rPr>
        <w:t>This Management’s Discussion and Analysis (“MD&amp;A”) has been prepared by management of Cybin Inc. (“Cybin” or the “Company”) and should be read in conjunction with Cybin’s interim condensed consolidated financial statements and notes for the three and six months ended September 30, 2023 (the “Interim Financial Statements”). This MD&amp;A does not address all of the changes to the Company and its business, such changes are addressed in the Company’s most recently filed annual information form (the “AIF”) on SEDAR+. The Interim Financial Statements have been prepared using International Financial Reporting Standards ("IFRS") as issued by the International Accounting Standards Board. All amounts are in Canadian dollars unless otherwise indicated. The Interim Financial Statements may be viewed on the SEDAR+ profile of Cybin at www.sedarplus.ca.</w:t>
      </w:r>
    </w:p>
    <w:p>
      <w:pPr>
        <w:spacing w:after="0" w:line="183" w:lineRule="exact"/>
        <w:rPr>
          <w:sz w:val="20"/>
          <w:szCs w:val="20"/>
          <w:color w:val="auto"/>
        </w:rPr>
      </w:pPr>
    </w:p>
    <w:p>
      <w:pPr>
        <w:jc w:val="both"/>
        <w:ind w:right="20"/>
        <w:spacing w:after="0" w:line="315" w:lineRule="auto"/>
        <w:rPr>
          <w:sz w:val="20"/>
          <w:szCs w:val="20"/>
          <w:color w:val="auto"/>
        </w:rPr>
      </w:pPr>
      <w:r>
        <w:rPr>
          <w:rFonts w:ascii="Arial" w:cs="Arial" w:eastAsia="Arial" w:hAnsi="Arial"/>
          <w:sz w:val="18"/>
          <w:szCs w:val="18"/>
          <w:color w:val="auto"/>
        </w:rPr>
        <w:t>This MD&amp;A contains disclosure related to Cybin occurring up to and including November 14, 2023. Unless otherwise indicated, all amounts in this MD&amp;A are in thousands of Canadian dollars.</w:t>
      </w:r>
    </w:p>
    <w:p>
      <w:pPr>
        <w:spacing w:after="0" w:line="146"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Arial" w:cs="Arial" w:eastAsia="Arial" w:hAnsi="Arial"/>
          <w:sz w:val="17"/>
          <w:szCs w:val="17"/>
          <w:b w:val="1"/>
          <w:bCs w:val="1"/>
          <w:color w:val="auto"/>
        </w:rPr>
        <w:t>SubCo</w:t>
      </w:r>
      <w:r>
        <w:rPr>
          <w:rFonts w:ascii="Arial" w:cs="Arial" w:eastAsia="Arial" w:hAnsi="Arial"/>
          <w:sz w:val="17"/>
          <w:szCs w:val="17"/>
          <w:color w:val="auto"/>
        </w:rPr>
        <w:t>”), a wholly owned subsidiary of the Company (the “</w:t>
      </w:r>
      <w:r>
        <w:rPr>
          <w:rFonts w:ascii="Arial" w:cs="Arial" w:eastAsia="Arial" w:hAnsi="Arial"/>
          <w:sz w:val="17"/>
          <w:szCs w:val="17"/>
          <w:b w:val="1"/>
          <w:bCs w:val="1"/>
          <w:color w:val="auto"/>
        </w:rPr>
        <w:t>Reverse Takeover</w:t>
      </w:r>
      <w:r>
        <w:rPr>
          <w:rFonts w:ascii="Arial" w:cs="Arial" w:eastAsia="Arial" w:hAnsi="Arial"/>
          <w:sz w:val="17"/>
          <w:szCs w:val="17"/>
          <w:color w:val="auto"/>
        </w:rPr>
        <w:t xml:space="preserve">”).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70"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0"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Some of the risks which could affect future results and could cause results to differ materially from those expressed in the forward-looking statements contained herein include:</w:t>
      </w:r>
    </w:p>
    <w:p>
      <w:pPr>
        <w:spacing w:after="0" w:line="156" w:lineRule="exact"/>
        <w:rPr>
          <w:sz w:val="20"/>
          <w:szCs w:val="20"/>
          <w:color w:val="auto"/>
        </w:rPr>
      </w:pPr>
    </w:p>
    <w:p>
      <w:pPr>
        <w:ind w:left="820" w:hanging="241"/>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impact of the novel coronavirus “COVID-19”;</w:t>
      </w:r>
    </w:p>
    <w:p>
      <w:pPr>
        <w:spacing w:after="0" w:line="35" w:lineRule="exact"/>
        <w:rPr>
          <w:rFonts w:ascii="Arial" w:cs="Arial" w:eastAsia="Arial" w:hAnsi="Arial"/>
          <w:sz w:val="18"/>
          <w:szCs w:val="18"/>
          <w:color w:val="auto"/>
        </w:rPr>
      </w:pPr>
    </w:p>
    <w:p>
      <w:pPr>
        <w:ind w:left="820" w:hanging="241"/>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320" w:top="725" w:right="319" w:bottom="1440" w:gutter="0" w:footer="0" w:header="0"/>
        </w:sectPr>
      </w:pPr>
    </w:p>
    <w:bookmarkStart w:id="30" w:name="page31"/>
    <w:bookmarkEnd w:id="30"/>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publicly announced milestones;</w:t>
      </w:r>
    </w:p>
    <w:p>
      <w:pPr>
        <w:spacing w:after="0" w:line="4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speculative nature of investment risk;</w:t>
      </w:r>
    </w:p>
    <w:p>
      <w:pPr>
        <w:spacing w:after="0" w:line="3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early stage of the industry and product development;</w:t>
      </w:r>
    </w:p>
    <w:p>
      <w:pPr>
        <w:spacing w:after="0" w:line="33"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risks and uncertainties</w:t>
      </w:r>
    </w:p>
    <w:p>
      <w:pPr>
        <w:spacing w:after="0" w:line="59" w:lineRule="exact"/>
        <w:rPr>
          <w:rFonts w:ascii="Arial" w:cs="Arial" w:eastAsia="Arial" w:hAnsi="Arial"/>
          <w:sz w:val="18"/>
          <w:szCs w:val="18"/>
          <w:color w:val="auto"/>
        </w:rPr>
      </w:pPr>
    </w:p>
    <w:p>
      <w:pPr>
        <w:ind w:left="281" w:hanging="281"/>
        <w:spacing w:after="0"/>
        <w:tabs>
          <w:tab w:leader="none" w:pos="281" w:val="left"/>
        </w:tabs>
        <w:numPr>
          <w:ilvl w:val="0"/>
          <w:numId w:val="13"/>
        </w:numPr>
        <w:rPr>
          <w:rFonts w:ascii="Arial" w:cs="Arial" w:eastAsia="Arial" w:hAnsi="Arial"/>
          <w:sz w:val="19"/>
          <w:szCs w:val="19"/>
          <w:color w:val="auto"/>
        </w:rPr>
      </w:pPr>
      <w:r>
        <w:rPr>
          <w:rFonts w:ascii="Arial" w:cs="Arial" w:eastAsia="Arial" w:hAnsi="Arial"/>
          <w:sz w:val="18"/>
          <w:szCs w:val="18"/>
          <w:color w:val="auto"/>
        </w:rPr>
        <w:t>risks of operating in European countries;</w:t>
      </w:r>
    </w:p>
    <w:p>
      <w:pPr>
        <w:spacing w:after="0" w:line="36" w:lineRule="exact"/>
        <w:rPr>
          <w:rFonts w:ascii="Arial" w:cs="Arial" w:eastAsia="Arial" w:hAnsi="Arial"/>
          <w:sz w:val="19"/>
          <w:szCs w:val="19"/>
          <w:color w:val="auto"/>
        </w:rPr>
      </w:pPr>
    </w:p>
    <w:p>
      <w:pPr>
        <w:ind w:left="241" w:hanging="241"/>
        <w:spacing w:after="0"/>
        <w:tabs>
          <w:tab w:leader="none" w:pos="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“foreign private issuer” status under U.S. Securities Laws;</w:t>
      </w:r>
    </w:p>
    <w:p>
      <w:pPr>
        <w:spacing w:after="0" w:line="72" w:lineRule="exact"/>
        <w:rPr>
          <w:rFonts w:ascii="Arial" w:cs="Arial" w:eastAsia="Arial" w:hAnsi="Arial"/>
          <w:sz w:val="16"/>
          <w:szCs w:val="16"/>
          <w:color w:val="auto"/>
        </w:rPr>
      </w:pPr>
    </w:p>
    <w:p>
      <w:pPr>
        <w:ind w:left="261" w:hanging="261"/>
        <w:spacing w:after="0"/>
        <w:tabs>
          <w:tab w:leader="none" w:pos="261" w:val="left"/>
        </w:tabs>
        <w:numPr>
          <w:ilvl w:val="0"/>
          <w:numId w:val="13"/>
        </w:numPr>
        <w:rPr>
          <w:rFonts w:ascii="Arial" w:cs="Arial" w:eastAsia="Arial" w:hAnsi="Arial"/>
          <w:sz w:val="19"/>
          <w:szCs w:val="19"/>
          <w:color w:val="auto"/>
        </w:rPr>
      </w:pPr>
      <w:r>
        <w:rPr>
          <w:rFonts w:ascii="Arial" w:cs="Arial" w:eastAsia="Arial" w:hAnsi="Arial"/>
          <w:sz w:val="18"/>
          <w:szCs w:val="18"/>
          <w:color w:val="auto"/>
        </w:rPr>
        <w:t>plans for growth;</w:t>
      </w:r>
    </w:p>
    <w:p>
      <w:pPr>
        <w:spacing w:after="0" w:line="46" w:lineRule="exact"/>
        <w:rPr>
          <w:rFonts w:ascii="Arial" w:cs="Arial" w:eastAsia="Arial" w:hAnsi="Arial"/>
          <w:sz w:val="19"/>
          <w:szCs w:val="19"/>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products;</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marketing and sales capabilities;</w:t>
      </w:r>
    </w:p>
    <w:p>
      <w:pPr>
        <w:spacing w:after="0" w:line="3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assurance of commercial success;</w:t>
      </w:r>
    </w:p>
    <w:p>
      <w:pPr>
        <w:spacing w:after="0" w:line="4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profits or significant revenues;</w:t>
      </w:r>
    </w:p>
    <w:p>
      <w:pPr>
        <w:spacing w:after="0" w:line="3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reliance on third parties for clinical development activities;</w:t>
      </w:r>
    </w:p>
    <w:p>
      <w:pPr>
        <w:spacing w:after="0" w:line="70" w:lineRule="exact"/>
        <w:rPr>
          <w:rFonts w:ascii="Arial" w:cs="Arial" w:eastAsia="Arial" w:hAnsi="Arial"/>
          <w:sz w:val="16"/>
          <w:szCs w:val="16"/>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third party relationships;</w:t>
      </w:r>
    </w:p>
    <w:p>
      <w:pPr>
        <w:spacing w:after="0" w:line="33"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contract manufacturers;</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and efficacy of products;</w:t>
      </w:r>
    </w:p>
    <w:p>
      <w:pPr>
        <w:spacing w:after="0" w:line="4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testing and commercializing products;</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clinical trials;</w:t>
      </w:r>
    </w:p>
    <w:p>
      <w:pPr>
        <w:spacing w:after="0" w:line="3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grade product manufacturing;</w:t>
      </w:r>
    </w:p>
    <w:p>
      <w:pPr>
        <w:spacing w:after="0" w:line="4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nature of regulatory approvals;</w:t>
      </w:r>
    </w:p>
    <w:p>
      <w:pPr>
        <w:spacing w:after="0" w:line="47" w:lineRule="exact"/>
        <w:rPr>
          <w:rFonts w:ascii="Arial" w:cs="Arial" w:eastAsia="Arial" w:hAnsi="Arial"/>
          <w:sz w:val="18"/>
          <w:szCs w:val="18"/>
          <w:color w:val="auto"/>
        </w:rPr>
      </w:pPr>
    </w:p>
    <w:p>
      <w:pPr>
        <w:ind w:left="281" w:hanging="281"/>
        <w:spacing w:after="0"/>
        <w:tabs>
          <w:tab w:leader="none" w:pos="281" w:val="left"/>
        </w:tabs>
        <w:numPr>
          <w:ilvl w:val="0"/>
          <w:numId w:val="13"/>
        </w:numPr>
        <w:rPr>
          <w:rFonts w:ascii="Arial" w:cs="Arial" w:eastAsia="Arial" w:hAnsi="Arial"/>
          <w:sz w:val="19"/>
          <w:szCs w:val="19"/>
          <w:color w:val="auto"/>
        </w:rPr>
      </w:pPr>
      <w:r>
        <w:rPr>
          <w:rFonts w:ascii="Arial" w:cs="Arial" w:eastAsia="Arial" w:hAnsi="Arial"/>
          <w:sz w:val="18"/>
          <w:szCs w:val="18"/>
          <w:color w:val="auto"/>
        </w:rPr>
        <w:t>market access and acceptance;</w:t>
      </w:r>
    </w:p>
    <w:p>
      <w:pPr>
        <w:spacing w:after="0" w:line="36" w:lineRule="exact"/>
        <w:rPr>
          <w:rFonts w:ascii="Arial" w:cs="Arial" w:eastAsia="Arial" w:hAnsi="Arial"/>
          <w:sz w:val="19"/>
          <w:szCs w:val="19"/>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unfavourable publicity or consumer perception;</w:t>
      </w:r>
    </w:p>
    <w:p>
      <w:pPr>
        <w:spacing w:after="0" w:line="49"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social media;</w:t>
      </w:r>
    </w:p>
    <w:p>
      <w:pPr>
        <w:spacing w:after="0" w:line="33"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biotechnology and pharmaceutical market competition;</w:t>
      </w:r>
    </w:p>
    <w:p>
      <w:pPr>
        <w:spacing w:after="0" w:line="61" w:lineRule="exact"/>
        <w:rPr>
          <w:rFonts w:ascii="Arial" w:cs="Arial" w:eastAsia="Arial" w:hAnsi="Arial"/>
          <w:sz w:val="17"/>
          <w:szCs w:val="17"/>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key executives and scientists;</w:t>
      </w:r>
    </w:p>
    <w:p>
      <w:pPr>
        <w:spacing w:after="0" w:line="33"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misconduct;</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expansion and growth;</w:t>
      </w:r>
    </w:p>
    <w:p>
      <w:pPr>
        <w:spacing w:after="0" w:line="4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results of external clinical trials or studies;</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enforcing contracts;</w:t>
      </w:r>
    </w:p>
    <w:p>
      <w:pPr>
        <w:spacing w:after="0" w:line="4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and material recalls;</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distribution and supply chain interruption;</w:t>
      </w:r>
    </w:p>
    <w:p>
      <w:pPr>
        <w:spacing w:after="0" w:line="4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to forecast;</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promoting the brand;</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viability;</w:t>
      </w:r>
    </w:p>
    <w:p>
      <w:pPr>
        <w:spacing w:after="0" w:line="4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 of quality control systems;</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reliance on key inputs;</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liability arising from fraudulent or illegal activity;</w:t>
      </w:r>
    </w:p>
    <w:p>
      <w:pPr>
        <w:spacing w:after="0" w:line="4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risk and insurance coverage;</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operating as public company;</w:t>
      </w:r>
    </w:p>
    <w:p>
      <w:pPr>
        <w:spacing w:after="0" w:line="47"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of growth;</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operations;</w:t>
      </w:r>
    </w:p>
    <w:p>
      <w:pPr>
        <w:spacing w:after="0" w:line="45" w:lineRule="exact"/>
        <w:rPr>
          <w:rFonts w:ascii="Arial" w:cs="Arial" w:eastAsia="Arial" w:hAnsi="Arial"/>
          <w:sz w:val="18"/>
          <w:szCs w:val="18"/>
          <w:color w:val="auto"/>
        </w:rPr>
      </w:pPr>
    </w:p>
    <w:p>
      <w:pPr>
        <w:ind w:left="261" w:hanging="261"/>
        <w:spacing w:after="0"/>
        <w:tabs>
          <w:tab w:leader="none" w:pos="261" w:val="left"/>
        </w:tabs>
        <w:numPr>
          <w:ilvl w:val="0"/>
          <w:numId w:val="13"/>
        </w:numPr>
        <w:rPr>
          <w:rFonts w:ascii="Arial" w:cs="Arial" w:eastAsia="Arial" w:hAnsi="Arial"/>
          <w:sz w:val="19"/>
          <w:szCs w:val="19"/>
          <w:color w:val="auto"/>
        </w:rPr>
      </w:pPr>
      <w:r>
        <w:rPr>
          <w:rFonts w:ascii="Arial" w:cs="Arial" w:eastAsia="Arial" w:hAnsi="Arial"/>
          <w:sz w:val="19"/>
          <w:szCs w:val="19"/>
          <w:color w:val="auto"/>
        </w:rPr>
        <w:t>exchange rate fluctuations;</w:t>
      </w:r>
    </w:p>
    <w:p>
      <w:pPr>
        <w:spacing w:after="0" w:line="50" w:lineRule="exact"/>
        <w:rPr>
          <w:rFonts w:ascii="Arial" w:cs="Arial" w:eastAsia="Arial" w:hAnsi="Arial"/>
          <w:sz w:val="19"/>
          <w:szCs w:val="19"/>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cybersecurity and privacy risk;</w:t>
      </w:r>
    </w:p>
    <w:p>
      <w:pPr>
        <w:spacing w:after="0" w:line="35" w:lineRule="exact"/>
        <w:rPr>
          <w:rFonts w:ascii="Arial" w:cs="Arial" w:eastAsia="Arial" w:hAnsi="Arial"/>
          <w:sz w:val="18"/>
          <w:szCs w:val="18"/>
          <w:color w:val="auto"/>
        </w:rPr>
      </w:pPr>
    </w:p>
    <w:p>
      <w:pPr>
        <w:ind w:left="241" w:hanging="241"/>
        <w:spacing w:after="0"/>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regulation and risks;</w:t>
      </w:r>
    </w:p>
    <w:p>
      <w:pPr>
        <w:spacing w:after="0" w:line="59" w:lineRule="exact"/>
        <w:rPr>
          <w:rFonts w:ascii="Arial" w:cs="Arial" w:eastAsia="Arial" w:hAnsi="Arial"/>
          <w:sz w:val="18"/>
          <w:szCs w:val="18"/>
          <w:color w:val="auto"/>
        </w:rPr>
      </w:pPr>
    </w:p>
    <w:p>
      <w:pPr>
        <w:ind w:left="281" w:hanging="281"/>
        <w:spacing w:after="0"/>
        <w:tabs>
          <w:tab w:leader="none" w:pos="281" w:val="left"/>
        </w:tabs>
        <w:numPr>
          <w:ilvl w:val="0"/>
          <w:numId w:val="13"/>
        </w:numPr>
        <w:rPr>
          <w:rFonts w:ascii="Arial" w:cs="Arial" w:eastAsia="Arial" w:hAnsi="Arial"/>
          <w:sz w:val="19"/>
          <w:szCs w:val="19"/>
          <w:color w:val="auto"/>
        </w:rPr>
      </w:pPr>
      <w:r>
        <w:rPr>
          <w:rFonts w:ascii="Arial" w:cs="Arial" w:eastAsia="Arial" w:hAnsi="Arial"/>
          <w:sz w:val="18"/>
          <w:szCs w:val="18"/>
          <w:color w:val="auto"/>
        </w:rPr>
        <w:t>decriminalization of psychedelics;</w:t>
      </w:r>
    </w:p>
    <w:p>
      <w:pPr>
        <w:spacing w:after="0" w:line="48" w:lineRule="exact"/>
        <w:rPr>
          <w:rFonts w:ascii="Arial" w:cs="Arial" w:eastAsia="Arial" w:hAnsi="Arial"/>
          <w:sz w:val="19"/>
          <w:szCs w:val="19"/>
          <w:color w:val="auto"/>
        </w:rPr>
      </w:pPr>
    </w:p>
    <w:p>
      <w:pPr>
        <w:ind w:left="281" w:hanging="281"/>
        <w:spacing w:after="0"/>
        <w:tabs>
          <w:tab w:leader="none" w:pos="281" w:val="left"/>
        </w:tabs>
        <w:numPr>
          <w:ilvl w:val="0"/>
          <w:numId w:val="13"/>
        </w:numPr>
        <w:rPr>
          <w:rFonts w:ascii="Arial" w:cs="Arial" w:eastAsia="Arial" w:hAnsi="Arial"/>
          <w:sz w:val="17"/>
          <w:szCs w:val="17"/>
          <w:color w:val="auto"/>
        </w:rPr>
      </w:pPr>
      <w:r>
        <w:rPr>
          <w:rFonts w:ascii="Arial" w:cs="Arial" w:eastAsia="Arial" w:hAnsi="Arial"/>
          <w:sz w:val="16"/>
          <w:szCs w:val="16"/>
          <w:color w:val="auto"/>
        </w:rPr>
        <w:t>forward-looking statements may prove to be inaccurate;</w:t>
      </w:r>
    </w:p>
    <w:p>
      <w:pPr>
        <w:spacing w:after="0" w:line="71" w:lineRule="exact"/>
        <w:rPr>
          <w:rFonts w:ascii="Arial" w:cs="Arial" w:eastAsia="Arial" w:hAnsi="Arial"/>
          <w:sz w:val="17"/>
          <w:szCs w:val="17"/>
          <w:color w:val="auto"/>
        </w:rPr>
      </w:pPr>
    </w:p>
    <w:p>
      <w:pPr>
        <w:ind w:left="281" w:hanging="281"/>
        <w:spacing w:after="0"/>
        <w:tabs>
          <w:tab w:leader="none" w:pos="281" w:val="left"/>
        </w:tabs>
        <w:numPr>
          <w:ilvl w:val="0"/>
          <w:numId w:val="13"/>
        </w:numPr>
        <w:rPr>
          <w:rFonts w:ascii="Arial" w:cs="Arial" w:eastAsia="Arial" w:hAnsi="Arial"/>
          <w:sz w:val="19"/>
          <w:szCs w:val="19"/>
          <w:color w:val="auto"/>
        </w:rPr>
      </w:pPr>
      <w:r>
        <w:rPr>
          <w:rFonts w:ascii="Arial" w:cs="Arial" w:eastAsia="Arial" w:hAnsi="Arial"/>
          <w:sz w:val="18"/>
          <w:szCs w:val="18"/>
          <w:color w:val="auto"/>
        </w:rPr>
        <w:t>effects of inflation;</w:t>
      </w:r>
    </w:p>
    <w:p>
      <w:pPr>
        <w:sectPr>
          <w:pgSz w:w="11900" w:h="16838" w:orient="portrait"/>
          <w:cols w:equalWidth="0" w:num="1">
            <w:col w:w="9560"/>
          </w:cols>
          <w:pgMar w:left="899" w:top="7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1"/>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560"/>
          </w:cols>
          <w:pgMar w:left="899" w:top="731" w:right="1440" w:bottom="1440" w:gutter="0" w:footer="0" w:header="0"/>
          <w:type w:val="continuous"/>
        </w:sectPr>
      </w:pPr>
    </w:p>
    <w:bookmarkStart w:id="31" w:name="page32"/>
    <w:bookmarkEnd w:id="31"/>
    <w:p>
      <w:pPr>
        <w:ind w:left="860" w:hanging="281"/>
        <w:spacing w:after="0"/>
        <w:tabs>
          <w:tab w:leader="none" w:pos="860" w:val="left"/>
        </w:tabs>
        <w:numPr>
          <w:ilvl w:val="0"/>
          <w:numId w:val="14"/>
        </w:numPr>
        <w:rPr>
          <w:rFonts w:ascii="Arial" w:cs="Arial" w:eastAsia="Arial" w:hAnsi="Arial"/>
          <w:sz w:val="19"/>
          <w:szCs w:val="19"/>
          <w:color w:val="auto"/>
        </w:rPr>
      </w:pPr>
      <w:r>
        <w:rPr>
          <w:rFonts w:ascii="Arial" w:cs="Arial" w:eastAsia="Arial" w:hAnsi="Arial"/>
          <w:sz w:val="18"/>
          <w:szCs w:val="18"/>
          <w:color w:val="auto"/>
        </w:rPr>
        <w:t>political and economic conditions;</w:t>
      </w:r>
    </w:p>
    <w:p>
      <w:pPr>
        <w:spacing w:after="0" w:line="48" w:lineRule="exact"/>
        <w:rPr>
          <w:rFonts w:ascii="Arial" w:cs="Arial" w:eastAsia="Arial" w:hAnsi="Arial"/>
          <w:sz w:val="19"/>
          <w:szCs w:val="19"/>
          <w:color w:val="auto"/>
        </w:rPr>
      </w:pPr>
    </w:p>
    <w:p>
      <w:pPr>
        <w:ind w:left="860" w:hanging="281"/>
        <w:spacing w:after="0"/>
        <w:tabs>
          <w:tab w:leader="none" w:pos="860" w:val="left"/>
        </w:tabs>
        <w:numPr>
          <w:ilvl w:val="0"/>
          <w:numId w:val="14"/>
        </w:numPr>
        <w:rPr>
          <w:rFonts w:ascii="Arial" w:cs="Arial" w:eastAsia="Arial" w:hAnsi="Arial"/>
          <w:sz w:val="19"/>
          <w:szCs w:val="19"/>
          <w:color w:val="auto"/>
        </w:rPr>
      </w:pPr>
      <w:r>
        <w:rPr>
          <w:rFonts w:ascii="Arial" w:cs="Arial" w:eastAsia="Arial" w:hAnsi="Arial"/>
          <w:sz w:val="18"/>
          <w:szCs w:val="18"/>
          <w:color w:val="auto"/>
        </w:rPr>
        <w:t>application and interpretation of tax laws;</w:t>
      </w:r>
    </w:p>
    <w:p>
      <w:pPr>
        <w:spacing w:after="0" w:line="60" w:lineRule="exact"/>
        <w:rPr>
          <w:rFonts w:ascii="Arial" w:cs="Arial" w:eastAsia="Arial" w:hAnsi="Arial"/>
          <w:sz w:val="19"/>
          <w:szCs w:val="19"/>
          <w:color w:val="auto"/>
        </w:rPr>
      </w:pPr>
    </w:p>
    <w:p>
      <w:pPr>
        <w:ind w:left="860" w:hanging="281"/>
        <w:spacing w:after="0"/>
        <w:tabs>
          <w:tab w:leader="none" w:pos="860" w:val="left"/>
        </w:tabs>
        <w:numPr>
          <w:ilvl w:val="0"/>
          <w:numId w:val="14"/>
        </w:numPr>
        <w:rPr>
          <w:rFonts w:ascii="Arial" w:cs="Arial" w:eastAsia="Arial" w:hAnsi="Arial"/>
          <w:sz w:val="19"/>
          <w:szCs w:val="19"/>
          <w:color w:val="auto"/>
        </w:rPr>
      </w:pPr>
      <w:r>
        <w:rPr>
          <w:rFonts w:ascii="Arial" w:cs="Arial" w:eastAsia="Arial" w:hAnsi="Arial"/>
          <w:sz w:val="18"/>
          <w:szCs w:val="18"/>
          <w:color w:val="auto"/>
        </w:rPr>
        <w:t>enforcement of civil liabilities;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Intellectual Property:</w:t>
      </w:r>
    </w:p>
    <w:p>
      <w:pPr>
        <w:spacing w:after="0" w:line="36" w:lineRule="exact"/>
        <w:rPr>
          <w:sz w:val="20"/>
          <w:szCs w:val="20"/>
          <w:color w:val="auto"/>
        </w:rPr>
      </w:pPr>
    </w:p>
    <w:p>
      <w:pPr>
        <w:ind w:left="820" w:hanging="24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trademark protection;</w:t>
      </w:r>
    </w:p>
    <w:p>
      <w:pPr>
        <w:spacing w:after="0" w:line="47" w:lineRule="exact"/>
        <w:rPr>
          <w:rFonts w:ascii="Arial" w:cs="Arial" w:eastAsia="Arial" w:hAnsi="Arial"/>
          <w:sz w:val="18"/>
          <w:szCs w:val="18"/>
          <w:color w:val="auto"/>
        </w:rPr>
      </w:pPr>
    </w:p>
    <w:p>
      <w:pPr>
        <w:ind w:left="820" w:hanging="24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37" w:lineRule="exact"/>
        <w:rPr>
          <w:rFonts w:ascii="Arial" w:cs="Arial" w:eastAsia="Arial" w:hAnsi="Arial"/>
          <w:sz w:val="18"/>
          <w:szCs w:val="18"/>
          <w:color w:val="auto"/>
        </w:rPr>
      </w:pPr>
    </w:p>
    <w:p>
      <w:pPr>
        <w:ind w:left="820" w:hanging="24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 law reform;</w:t>
      </w:r>
    </w:p>
    <w:p>
      <w:pPr>
        <w:spacing w:after="0" w:line="35" w:lineRule="exact"/>
        <w:rPr>
          <w:rFonts w:ascii="Arial" w:cs="Arial" w:eastAsia="Arial" w:hAnsi="Arial"/>
          <w:sz w:val="18"/>
          <w:szCs w:val="18"/>
          <w:color w:val="auto"/>
        </w:rPr>
      </w:pPr>
    </w:p>
    <w:p>
      <w:pPr>
        <w:ind w:left="820" w:hanging="24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 litigation and intellectual property;</w:t>
      </w:r>
    </w:p>
    <w:p>
      <w:pPr>
        <w:spacing w:after="0" w:line="47" w:lineRule="exact"/>
        <w:rPr>
          <w:rFonts w:ascii="Arial" w:cs="Arial" w:eastAsia="Arial" w:hAnsi="Arial"/>
          <w:sz w:val="18"/>
          <w:szCs w:val="18"/>
          <w:color w:val="auto"/>
        </w:rPr>
      </w:pPr>
    </w:p>
    <w:p>
      <w:pPr>
        <w:ind w:left="820" w:hanging="24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33" w:lineRule="exact"/>
        <w:rPr>
          <w:rFonts w:ascii="Arial" w:cs="Arial" w:eastAsia="Arial" w:hAnsi="Arial"/>
          <w:sz w:val="18"/>
          <w:szCs w:val="18"/>
          <w:color w:val="auto"/>
        </w:rPr>
      </w:pPr>
    </w:p>
    <w:p>
      <w:pPr>
        <w:ind w:left="820" w:hanging="24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licences;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Financial and Accounting Risks:</w:t>
      </w:r>
    </w:p>
    <w:p>
      <w:pPr>
        <w:spacing w:after="0" w:line="58" w:lineRule="exact"/>
        <w:rPr>
          <w:sz w:val="20"/>
          <w:szCs w:val="20"/>
          <w:color w:val="auto"/>
        </w:rPr>
      </w:pPr>
    </w:p>
    <w:p>
      <w:pPr>
        <w:ind w:left="860" w:hanging="281"/>
        <w:spacing w:after="0"/>
        <w:tabs>
          <w:tab w:leader="none" w:pos="860" w:val="left"/>
        </w:tabs>
        <w:numPr>
          <w:ilvl w:val="0"/>
          <w:numId w:val="16"/>
        </w:numPr>
        <w:rPr>
          <w:rFonts w:ascii="Arial" w:cs="Arial" w:eastAsia="Arial" w:hAnsi="Arial"/>
          <w:sz w:val="19"/>
          <w:szCs w:val="19"/>
          <w:color w:val="auto"/>
        </w:rPr>
      </w:pPr>
      <w:r>
        <w:rPr>
          <w:rFonts w:ascii="Arial" w:cs="Arial" w:eastAsia="Arial" w:hAnsi="Arial"/>
          <w:sz w:val="18"/>
          <w:szCs w:val="18"/>
          <w:color w:val="auto"/>
        </w:rPr>
        <w:t>substantial number of authorized but unissued Common Shares (as defined herein);</w:t>
      </w:r>
    </w:p>
    <w:p>
      <w:pPr>
        <w:spacing w:after="0" w:line="38" w:lineRule="exact"/>
        <w:rPr>
          <w:rFonts w:ascii="Arial" w:cs="Arial" w:eastAsia="Arial" w:hAnsi="Arial"/>
          <w:sz w:val="19"/>
          <w:szCs w:val="19"/>
          <w:color w:val="auto"/>
        </w:rPr>
      </w:pPr>
    </w:p>
    <w:p>
      <w:pPr>
        <w:ind w:left="820" w:hanging="24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dilution;</w:t>
      </w:r>
    </w:p>
    <w:p>
      <w:pPr>
        <w:spacing w:after="0" w:line="45" w:lineRule="exact"/>
        <w:rPr>
          <w:rFonts w:ascii="Arial" w:cs="Arial" w:eastAsia="Arial" w:hAnsi="Arial"/>
          <w:sz w:val="18"/>
          <w:szCs w:val="18"/>
          <w:color w:val="auto"/>
        </w:rPr>
      </w:pPr>
    </w:p>
    <w:p>
      <w:pPr>
        <w:ind w:left="860" w:hanging="281"/>
        <w:spacing w:after="0"/>
        <w:tabs>
          <w:tab w:leader="none" w:pos="860" w:val="left"/>
        </w:tabs>
        <w:numPr>
          <w:ilvl w:val="0"/>
          <w:numId w:val="16"/>
        </w:numPr>
        <w:rPr>
          <w:rFonts w:ascii="Arial" w:cs="Arial" w:eastAsia="Arial" w:hAnsi="Arial"/>
          <w:sz w:val="19"/>
          <w:szCs w:val="19"/>
          <w:color w:val="auto"/>
        </w:rPr>
      </w:pPr>
      <w:r>
        <w:rPr>
          <w:rFonts w:ascii="Arial" w:cs="Arial" w:eastAsia="Arial" w:hAnsi="Arial"/>
          <w:sz w:val="18"/>
          <w:szCs w:val="18"/>
          <w:color w:val="auto"/>
        </w:rPr>
        <w:t>negative cash flow from operating activities and going concern;</w:t>
      </w:r>
    </w:p>
    <w:p>
      <w:pPr>
        <w:spacing w:after="0" w:line="50" w:lineRule="exact"/>
        <w:rPr>
          <w:rFonts w:ascii="Arial" w:cs="Arial" w:eastAsia="Arial" w:hAnsi="Arial"/>
          <w:sz w:val="19"/>
          <w:szCs w:val="19"/>
          <w:color w:val="auto"/>
        </w:rPr>
      </w:pPr>
    </w:p>
    <w:p>
      <w:pPr>
        <w:ind w:left="820" w:hanging="24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capital requirements;</w:t>
      </w:r>
    </w:p>
    <w:p>
      <w:pPr>
        <w:spacing w:after="0" w:line="33" w:lineRule="exact"/>
        <w:rPr>
          <w:rFonts w:ascii="Arial" w:cs="Arial" w:eastAsia="Arial" w:hAnsi="Arial"/>
          <w:sz w:val="18"/>
          <w:szCs w:val="18"/>
          <w:color w:val="auto"/>
        </w:rPr>
      </w:pPr>
    </w:p>
    <w:p>
      <w:pPr>
        <w:ind w:left="820" w:hanging="24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significant product revenue;</w:t>
      </w:r>
    </w:p>
    <w:p>
      <w:pPr>
        <w:spacing w:after="0" w:line="35" w:lineRule="exact"/>
        <w:rPr>
          <w:rFonts w:ascii="Arial" w:cs="Arial" w:eastAsia="Arial" w:hAnsi="Arial"/>
          <w:sz w:val="18"/>
          <w:szCs w:val="18"/>
          <w:color w:val="auto"/>
        </w:rPr>
      </w:pPr>
    </w:p>
    <w:p>
      <w:pPr>
        <w:ind w:left="820" w:hanging="24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or judgments relating to critical accounting policies;</w:t>
      </w:r>
    </w:p>
    <w:p>
      <w:pPr>
        <w:spacing w:after="0" w:line="45" w:lineRule="exact"/>
        <w:rPr>
          <w:rFonts w:ascii="Arial" w:cs="Arial" w:eastAsia="Arial" w:hAnsi="Arial"/>
          <w:sz w:val="18"/>
          <w:szCs w:val="18"/>
          <w:color w:val="auto"/>
        </w:rPr>
      </w:pPr>
    </w:p>
    <w:p>
      <w:pPr>
        <w:ind w:left="840" w:hanging="261"/>
        <w:spacing w:after="0"/>
        <w:tabs>
          <w:tab w:leader="none" w:pos="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inadequate internal controls;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Common Shares:</w:t>
      </w:r>
    </w:p>
    <w:p>
      <w:pPr>
        <w:spacing w:after="0" w:line="48" w:lineRule="exact"/>
        <w:rPr>
          <w:sz w:val="20"/>
          <w:szCs w:val="20"/>
          <w:color w:val="auto"/>
        </w:rPr>
      </w:pPr>
    </w:p>
    <w:p>
      <w:pPr>
        <w:ind w:left="820" w:hanging="24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for the Common Shares;</w:t>
      </w:r>
    </w:p>
    <w:p>
      <w:pPr>
        <w:spacing w:after="0" w:line="35" w:lineRule="exact"/>
        <w:rPr>
          <w:rFonts w:ascii="Arial" w:cs="Arial" w:eastAsia="Arial" w:hAnsi="Arial"/>
          <w:sz w:val="18"/>
          <w:szCs w:val="18"/>
          <w:color w:val="auto"/>
        </w:rPr>
      </w:pPr>
    </w:p>
    <w:p>
      <w:pPr>
        <w:ind w:left="820" w:hanging="24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sales of Common Shares;</w:t>
      </w:r>
    </w:p>
    <w:p>
      <w:pPr>
        <w:spacing w:after="0" w:line="33" w:lineRule="exact"/>
        <w:rPr>
          <w:rFonts w:ascii="Arial" w:cs="Arial" w:eastAsia="Arial" w:hAnsi="Arial"/>
          <w:sz w:val="18"/>
          <w:szCs w:val="18"/>
          <w:color w:val="auto"/>
        </w:rPr>
      </w:pPr>
    </w:p>
    <w:p>
      <w:pPr>
        <w:ind w:left="820" w:hanging="24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volatile market price for the Common Shares;</w:t>
      </w:r>
    </w:p>
    <w:p>
      <w:pPr>
        <w:spacing w:after="0" w:line="47" w:lineRule="exact"/>
        <w:rPr>
          <w:rFonts w:ascii="Arial" w:cs="Arial" w:eastAsia="Arial" w:hAnsi="Arial"/>
          <w:sz w:val="18"/>
          <w:szCs w:val="18"/>
          <w:color w:val="auto"/>
        </w:rPr>
      </w:pPr>
    </w:p>
    <w:p>
      <w:pPr>
        <w:ind w:left="820" w:hanging="24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issues; and</w:t>
      </w:r>
    </w:p>
    <w:p>
      <w:pPr>
        <w:spacing w:after="0" w:line="35" w:lineRule="exact"/>
        <w:rPr>
          <w:rFonts w:ascii="Arial" w:cs="Arial" w:eastAsia="Arial" w:hAnsi="Arial"/>
          <w:sz w:val="18"/>
          <w:szCs w:val="18"/>
          <w:color w:val="auto"/>
        </w:rPr>
      </w:pPr>
    </w:p>
    <w:p>
      <w:pPr>
        <w:ind w:left="820" w:hanging="241"/>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dividends.</w:t>
      </w:r>
    </w:p>
    <w:p>
      <w:pPr>
        <w:spacing w:after="0" w:line="25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72" w:lineRule="exact"/>
        <w:rPr>
          <w:sz w:val="20"/>
          <w:szCs w:val="20"/>
          <w:color w:val="auto"/>
        </w:rPr>
      </w:pPr>
    </w:p>
    <w:p>
      <w:pPr>
        <w:ind w:left="580" w:hanging="294"/>
        <w:spacing w:after="0" w:line="292" w:lineRule="auto"/>
        <w:tabs>
          <w:tab w:leader="none" w:pos="5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we will continue to incur significant losses in the future;</w:t>
      </w:r>
    </w:p>
    <w:p>
      <w:pPr>
        <w:spacing w:after="0" w:line="5"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as to the Company’s ability to raise additional funding to support operations;</w:t>
      </w:r>
    </w:p>
    <w:p>
      <w:pPr>
        <w:spacing w:after="0" w:line="71"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ability to access additional funding;</w:t>
      </w:r>
    </w:p>
    <w:p>
      <w:pPr>
        <w:spacing w:after="0" w:line="59"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spacing w:after="0" w:line="59"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of COVID-19 and the extent of its economic and social impact;</w:t>
      </w:r>
    </w:p>
    <w:p>
      <w:pPr>
        <w:spacing w:after="0" w:line="71"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Company’s product candidates which are at early stages of development;</w:t>
      </w:r>
    </w:p>
    <w:p>
      <w:pPr>
        <w:spacing w:after="0" w:line="59"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upon industry publications as the Company’s primary sources for third-party industry data and forecasts;</w:t>
      </w:r>
    </w:p>
    <w:p>
      <w:pPr>
        <w:spacing w:after="0" w:line="71"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Company’s preclinical studies and clinical trials;</w:t>
      </w:r>
    </w:p>
    <w:p>
      <w:pPr>
        <w:spacing w:after="0" w:line="59" w:lineRule="exact"/>
        <w:rPr>
          <w:rFonts w:ascii="Arial" w:cs="Arial" w:eastAsia="Arial" w:hAnsi="Arial"/>
          <w:sz w:val="18"/>
          <w:szCs w:val="18"/>
          <w:color w:val="auto"/>
        </w:rPr>
      </w:pPr>
    </w:p>
    <w:p>
      <w:pPr>
        <w:ind w:left="540" w:hanging="25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spacing w:after="0" w:line="59" w:lineRule="exact"/>
        <w:rPr>
          <w:rFonts w:ascii="Arial" w:cs="Arial" w:eastAsia="Arial" w:hAnsi="Arial"/>
          <w:sz w:val="18"/>
          <w:szCs w:val="18"/>
          <w:color w:val="auto"/>
        </w:rPr>
      </w:pPr>
    </w:p>
    <w:p>
      <w:pPr>
        <w:ind w:left="620" w:hanging="334"/>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product candidates may fail to demonstrate safety and efficacy to the satisfaction of regulatory authorities or may not otherwise</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produce positive results;</w:t>
      </w:r>
    </w:p>
    <w:p>
      <w:pPr>
        <w:spacing w:after="0" w:line="36" w:lineRule="exact"/>
        <w:rPr>
          <w:sz w:val="20"/>
          <w:szCs w:val="20"/>
          <w:color w:val="auto"/>
        </w:rPr>
      </w:pPr>
    </w:p>
    <w:p>
      <w:pPr>
        <w:ind w:left="540" w:hanging="25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40"/>
          </w:cols>
          <w:pgMar w:left="320" w:top="741" w:right="339" w:bottom="1440" w:gutter="0" w:footer="0" w:header="0"/>
        </w:sectPr>
      </w:pPr>
    </w:p>
    <w:bookmarkStart w:id="32" w:name="page33"/>
    <w:bookmarkEnd w:id="32"/>
    <w:p>
      <w:pPr>
        <w:ind w:left="540" w:hanging="25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spacing w:after="0" w:line="71" w:lineRule="exact"/>
        <w:rPr>
          <w:rFonts w:ascii="Arial" w:cs="Arial" w:eastAsia="Arial" w:hAnsi="Arial"/>
          <w:sz w:val="18"/>
          <w:szCs w:val="18"/>
          <w:color w:val="auto"/>
        </w:rPr>
      </w:pPr>
    </w:p>
    <w:p>
      <w:pPr>
        <w:ind w:left="540" w:hanging="25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spacing w:after="0" w:line="59" w:lineRule="exact"/>
        <w:rPr>
          <w:rFonts w:ascii="Arial" w:cs="Arial" w:eastAsia="Arial" w:hAnsi="Arial"/>
          <w:sz w:val="18"/>
          <w:szCs w:val="18"/>
          <w:color w:val="auto"/>
        </w:rPr>
      </w:pPr>
    </w:p>
    <w:p>
      <w:pPr>
        <w:ind w:left="580" w:right="20" w:hanging="294"/>
        <w:spacing w:after="0" w:line="299" w:lineRule="auto"/>
        <w:tabs>
          <w:tab w:leader="none" w:pos="6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reliance on the capabilities and experience of the Company’s key executives and scientists and the resulting loss of any of these individuals;</w:t>
      </w:r>
    </w:p>
    <w:p>
      <w:pPr>
        <w:spacing w:after="0" w:line="5" w:lineRule="exact"/>
        <w:rPr>
          <w:rFonts w:ascii="Arial" w:cs="Arial" w:eastAsia="Arial" w:hAnsi="Arial"/>
          <w:sz w:val="18"/>
          <w:szCs w:val="18"/>
          <w:color w:val="auto"/>
        </w:rPr>
      </w:pPr>
    </w:p>
    <w:p>
      <w:pPr>
        <w:ind w:left="540" w:hanging="25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fully realize the benefits of acquisitions;</w:t>
      </w:r>
    </w:p>
    <w:p>
      <w:pPr>
        <w:spacing w:after="0" w:line="61" w:lineRule="exact"/>
        <w:rPr>
          <w:rFonts w:ascii="Arial" w:cs="Arial" w:eastAsia="Arial" w:hAnsi="Arial"/>
          <w:sz w:val="18"/>
          <w:szCs w:val="18"/>
          <w:color w:val="auto"/>
        </w:rPr>
      </w:pPr>
    </w:p>
    <w:p>
      <w:pPr>
        <w:ind w:left="540" w:hanging="25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ability to adequately protect the Company’s intellectual property and trade secrets;</w:t>
      </w:r>
    </w:p>
    <w:p>
      <w:pPr>
        <w:spacing w:after="0" w:line="57" w:lineRule="exact"/>
        <w:rPr>
          <w:rFonts w:ascii="Arial" w:cs="Arial" w:eastAsia="Arial" w:hAnsi="Arial"/>
          <w:sz w:val="18"/>
          <w:szCs w:val="18"/>
          <w:color w:val="auto"/>
        </w:rPr>
      </w:pPr>
    </w:p>
    <w:p>
      <w:pPr>
        <w:ind w:left="540" w:hanging="25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80" w:lineRule="exact"/>
        <w:rPr>
          <w:rFonts w:ascii="Arial" w:cs="Arial" w:eastAsia="Arial" w:hAnsi="Arial"/>
          <w:sz w:val="18"/>
          <w:szCs w:val="18"/>
          <w:color w:val="auto"/>
        </w:rPr>
      </w:pPr>
    </w:p>
    <w:p>
      <w:pPr>
        <w:ind w:left="580" w:right="20" w:hanging="294"/>
        <w:spacing w:after="0" w:line="309" w:lineRule="auto"/>
        <w:tabs>
          <w:tab w:leader="none" w:pos="587" w:val="left"/>
        </w:tabs>
        <w:numPr>
          <w:ilvl w:val="0"/>
          <w:numId w:val="20"/>
        </w:numPr>
        <w:rPr>
          <w:rFonts w:ascii="Arial" w:cs="Arial" w:eastAsia="Arial" w:hAnsi="Arial"/>
          <w:sz w:val="19"/>
          <w:szCs w:val="19"/>
          <w:color w:val="auto"/>
        </w:rPr>
      </w:pPr>
      <w:r>
        <w:rPr>
          <w:rFonts w:ascii="Arial" w:cs="Arial" w:eastAsia="Arial" w:hAnsi="Arial"/>
          <w:sz w:val="18"/>
          <w:szCs w:val="18"/>
          <w:color w:val="auto"/>
        </w:rPr>
        <w:t>the risk of unforeseen changes to the laws or regulations in the United States (the “</w:t>
      </w:r>
      <w:r>
        <w:rPr>
          <w:rFonts w:ascii="Arial" w:cs="Arial" w:eastAsia="Arial" w:hAnsi="Arial"/>
          <w:sz w:val="18"/>
          <w:szCs w:val="18"/>
          <w:b w:val="1"/>
          <w:bCs w:val="1"/>
          <w:color w:val="auto"/>
        </w:rPr>
        <w:t>United States</w:t>
      </w:r>
      <w:r>
        <w:rPr>
          <w:rFonts w:ascii="Arial" w:cs="Arial" w:eastAsia="Arial" w:hAnsi="Arial"/>
          <w:sz w:val="18"/>
          <w:szCs w:val="18"/>
          <w:color w:val="auto"/>
        </w:rPr>
        <w:t>” or the “</w:t>
      </w:r>
      <w:r>
        <w:rPr>
          <w:rFonts w:ascii="Arial" w:cs="Arial" w:eastAsia="Arial" w:hAnsi="Arial"/>
          <w:sz w:val="18"/>
          <w:szCs w:val="18"/>
          <w:b w:val="1"/>
          <w:bCs w:val="1"/>
          <w:color w:val="auto"/>
        </w:rPr>
        <w:t>U.S.</w:t>
      </w:r>
      <w:r>
        <w:rPr>
          <w:rFonts w:ascii="Arial" w:cs="Arial" w:eastAsia="Arial" w:hAnsi="Arial"/>
          <w:sz w:val="18"/>
          <w:szCs w:val="18"/>
          <w:color w:val="auto"/>
        </w:rPr>
        <w:t>”), the United Kingdom (the “</w:t>
      </w:r>
      <w:r>
        <w:rPr>
          <w:rFonts w:ascii="Arial" w:cs="Arial" w:eastAsia="Arial" w:hAnsi="Arial"/>
          <w:sz w:val="18"/>
          <w:szCs w:val="18"/>
          <w:b w:val="1"/>
          <w:bCs w:val="1"/>
          <w:color w:val="auto"/>
        </w:rPr>
        <w:t>United</w:t>
      </w:r>
      <w:r>
        <w:rPr>
          <w:rFonts w:ascii="Arial" w:cs="Arial" w:eastAsia="Arial" w:hAnsi="Arial"/>
          <w:sz w:val="18"/>
          <w:szCs w:val="18"/>
          <w:color w:val="auto"/>
        </w:rPr>
        <w:t xml:space="preserve"> </w:t>
      </w:r>
      <w:r>
        <w:rPr>
          <w:rFonts w:ascii="Arial" w:cs="Arial" w:eastAsia="Arial" w:hAnsi="Arial"/>
          <w:sz w:val="18"/>
          <w:szCs w:val="18"/>
          <w:b w:val="1"/>
          <w:bCs w:val="1"/>
          <w:color w:val="auto"/>
        </w:rPr>
        <w:t>Kingdom</w:t>
      </w:r>
      <w:r>
        <w:rPr>
          <w:rFonts w:ascii="Arial" w:cs="Arial" w:eastAsia="Arial" w:hAnsi="Arial"/>
          <w:sz w:val="18"/>
          <w:szCs w:val="18"/>
          <w:color w:val="auto"/>
        </w:rPr>
        <w:t>” or the “</w:t>
      </w:r>
      <w:r>
        <w:rPr>
          <w:rFonts w:ascii="Arial" w:cs="Arial" w:eastAsia="Arial" w:hAnsi="Arial"/>
          <w:sz w:val="18"/>
          <w:szCs w:val="18"/>
          <w:b w:val="1"/>
          <w:bCs w:val="1"/>
          <w:color w:val="auto"/>
        </w:rPr>
        <w:t>UK</w:t>
      </w:r>
      <w:r>
        <w:rPr>
          <w:rFonts w:ascii="Arial" w:cs="Arial" w:eastAsia="Arial" w:hAnsi="Arial"/>
          <w:sz w:val="18"/>
          <w:szCs w:val="18"/>
          <w:color w:val="auto"/>
        </w:rPr>
        <w:t>”), Canada, the Netherlands, Ireland and other jurisdictions in which the Company operates.</w:t>
      </w:r>
    </w:p>
    <w:p>
      <w:pPr>
        <w:spacing w:after="0" w:line="17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66"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Overview</w:t>
      </w:r>
    </w:p>
    <w:p>
      <w:pPr>
        <w:spacing w:after="0" w:line="230"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The Company is a clinical-stage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62"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whereby Cybin Corp. amalgamated with SubCo to form an amalgamated corporation and a wholly owned subsidiary of the Company.</w:t>
      </w:r>
    </w:p>
    <w:p>
      <w:pPr>
        <w:spacing w:after="0" w:line="17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Immediately prior to the completion of the Reverse Takeover, the Company completed a consolidation of all of its issued and outstanding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on the basis of 6.672 old Common Shares into one new Common Share. All Common Share and per Common Share amounts expressed herein reflect the post-consolidation Common Shares.</w:t>
      </w:r>
    </w:p>
    <w:p>
      <w:pPr>
        <w:spacing w:after="0" w:line="180" w:lineRule="exact"/>
        <w:rPr>
          <w:sz w:val="20"/>
          <w:szCs w:val="20"/>
          <w:color w:val="auto"/>
        </w:rPr>
      </w:pPr>
    </w:p>
    <w:p>
      <w:pPr>
        <w:jc w:val="both"/>
        <w:ind w:right="20"/>
        <w:spacing w:after="0" w:line="322" w:lineRule="auto"/>
        <w:rPr>
          <w:sz w:val="20"/>
          <w:szCs w:val="20"/>
          <w:color w:val="auto"/>
        </w:rPr>
      </w:pPr>
      <w:r>
        <w:rPr>
          <w:rFonts w:ascii="Arial" w:cs="Arial" w:eastAsia="Arial" w:hAnsi="Arial"/>
          <w:sz w:val="18"/>
          <w:szCs w:val="18"/>
          <w:color w:val="auto"/>
        </w:rPr>
        <w:t>In connection with the Reverse Takeover, Clarmin Explorations Inc. (“</w:t>
      </w:r>
      <w:r>
        <w:rPr>
          <w:rFonts w:ascii="Arial" w:cs="Arial" w:eastAsia="Arial" w:hAnsi="Arial"/>
          <w:sz w:val="18"/>
          <w:szCs w:val="18"/>
          <w:b w:val="1"/>
          <w:bCs w:val="1"/>
          <w:color w:val="auto"/>
        </w:rPr>
        <w:t>Clarmin</w:t>
      </w:r>
      <w:r>
        <w:rPr>
          <w:rFonts w:ascii="Arial" w:cs="Arial" w:eastAsia="Arial" w:hAnsi="Arial"/>
          <w:sz w:val="18"/>
          <w:szCs w:val="18"/>
          <w:color w:val="auto"/>
        </w:rPr>
        <w:t>”) changed its name to “Cybin Inc.” and the Common Shares became listed for trading on the Neo Exchange Inc. (the “</w:t>
      </w:r>
      <w:r>
        <w:rPr>
          <w:rFonts w:ascii="Arial" w:cs="Arial" w:eastAsia="Arial" w:hAnsi="Arial"/>
          <w:sz w:val="18"/>
          <w:szCs w:val="18"/>
          <w:b w:val="1"/>
          <w:bCs w:val="1"/>
          <w:color w:val="auto"/>
        </w:rPr>
        <w:t>Exchange</w:t>
      </w:r>
      <w:r>
        <w:rPr>
          <w:rFonts w:ascii="Arial" w:cs="Arial" w:eastAsia="Arial" w:hAnsi="Arial"/>
          <w:sz w:val="18"/>
          <w:szCs w:val="18"/>
          <w:color w:val="auto"/>
        </w:rPr>
        <w:t>”) under the trading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320" w:top="729" w:right="319" w:bottom="1440" w:gutter="0" w:footer="0" w:header="0"/>
        </w:sectPr>
      </w:pPr>
    </w:p>
    <w:bookmarkStart w:id="33" w:name="page34"/>
    <w:bookmarkEnd w:id="33"/>
    <w:p>
      <w:pPr>
        <w:jc w:val="both"/>
        <w:ind w:left="3" w:right="20"/>
        <w:spacing w:after="0" w:line="314" w:lineRule="auto"/>
        <w:rPr>
          <w:sz w:val="20"/>
          <w:szCs w:val="20"/>
          <w:color w:val="auto"/>
        </w:rPr>
      </w:pPr>
      <w:r>
        <w:rPr>
          <w:rFonts w:ascii="Arial" w:cs="Arial" w:eastAsia="Arial" w:hAnsi="Arial"/>
          <w:sz w:val="17"/>
          <w:szCs w:val="17"/>
          <w:color w:val="auto"/>
        </w:rPr>
        <w:t xml:space="preserve">symbol “CYBN”. In accordance with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consolidated statement of financial position is presented as a continuation of Cybin Corp. and comparative figures presented in the consolidated financial statements after the Reverse Takeover are those of Cybin Corp.</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8"/>
          <w:szCs w:val="18"/>
          <w:color w:val="auto"/>
        </w:rPr>
        <w:t>Prior to completing the Reverse Takeover, and during fiscal 2020, the Company was inactive and evaluating business opportunities.</w:t>
      </w:r>
    </w:p>
    <w:p>
      <w:pPr>
        <w:spacing w:after="0" w:line="254" w:lineRule="exact"/>
        <w:rPr>
          <w:sz w:val="20"/>
          <w:szCs w:val="20"/>
          <w:color w:val="auto"/>
        </w:rPr>
      </w:pPr>
    </w:p>
    <w:p>
      <w:pPr>
        <w:jc w:val="both"/>
        <w:ind w:left="3" w:right="20"/>
        <w:spacing w:after="0" w:line="387" w:lineRule="auto"/>
        <w:rPr>
          <w:sz w:val="20"/>
          <w:szCs w:val="20"/>
          <w:color w:val="auto"/>
        </w:rPr>
      </w:pPr>
      <w:r>
        <w:rPr>
          <w:rFonts w:ascii="Arial" w:cs="Arial" w:eastAsia="Arial" w:hAnsi="Arial"/>
          <w:sz w:val="16"/>
          <w:szCs w:val="16"/>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Arial" w:cs="Arial" w:eastAsia="Arial" w:hAnsi="Arial"/>
          <w:sz w:val="16"/>
          <w:szCs w:val="16"/>
          <w:b w:val="1"/>
          <w:bCs w:val="1"/>
          <w:color w:val="auto"/>
        </w:rPr>
        <w:t>Cybin Ireland</w:t>
      </w:r>
      <w:r>
        <w:rPr>
          <w:rFonts w:ascii="Arial" w:cs="Arial" w:eastAsia="Arial" w:hAnsi="Arial"/>
          <w:sz w:val="16"/>
          <w:szCs w:val="16"/>
          <w:color w:val="auto"/>
        </w:rPr>
        <w:t>”).</w:t>
      </w:r>
    </w:p>
    <w:p>
      <w:pPr>
        <w:spacing w:after="0" w:line="118" w:lineRule="exact"/>
        <w:rPr>
          <w:sz w:val="20"/>
          <w:szCs w:val="20"/>
          <w:color w:val="auto"/>
        </w:rPr>
      </w:pPr>
    </w:p>
    <w:p>
      <w:pPr>
        <w:jc w:val="both"/>
        <w:ind w:left="3" w:right="20"/>
        <w:spacing w:after="0" w:line="392" w:lineRule="auto"/>
        <w:rPr>
          <w:sz w:val="20"/>
          <w:szCs w:val="20"/>
          <w:color w:val="auto"/>
        </w:rPr>
      </w:pPr>
      <w:r>
        <w:rPr>
          <w:rFonts w:ascii="Arial" w:cs="Arial" w:eastAsia="Arial" w:hAnsi="Arial"/>
          <w:sz w:val="16"/>
          <w:szCs w:val="16"/>
          <w:color w:val="auto"/>
        </w:rPr>
        <w:t>On August 5, 2021, the Common Shares commenced trading on the NYSE American LLC stock exchange (the “</w:t>
      </w:r>
      <w:r>
        <w:rPr>
          <w:rFonts w:ascii="Arial" w:cs="Arial" w:eastAsia="Arial" w:hAnsi="Arial"/>
          <w:sz w:val="16"/>
          <w:szCs w:val="16"/>
          <w:b w:val="1"/>
          <w:bCs w:val="1"/>
          <w:color w:val="auto"/>
        </w:rPr>
        <w:t>NYSE American</w:t>
      </w:r>
      <w:r>
        <w:rPr>
          <w:rFonts w:ascii="Arial" w:cs="Arial" w:eastAsia="Arial" w:hAnsi="Arial"/>
          <w:sz w:val="16"/>
          <w:szCs w:val="16"/>
          <w:color w:val="auto"/>
        </w:rPr>
        <w:t>”) under the symbol “CYBN”. Concurrent with the commencement of trading on the NYSE American, the Common Shares ceased to be quoted on the OTCQB® Venture Market.</w:t>
      </w:r>
    </w:p>
    <w:p>
      <w:pPr>
        <w:spacing w:after="0" w:line="74" w:lineRule="exact"/>
        <w:rPr>
          <w:sz w:val="20"/>
          <w:szCs w:val="20"/>
          <w:color w:val="auto"/>
        </w:rPr>
      </w:pPr>
    </w:p>
    <w:p>
      <w:pPr>
        <w:jc w:val="both"/>
        <w:ind w:left="3"/>
        <w:spacing w:after="0" w:line="286" w:lineRule="auto"/>
        <w:rPr>
          <w:sz w:val="20"/>
          <w:szCs w:val="20"/>
          <w:color w:val="auto"/>
        </w:rPr>
      </w:pPr>
      <w:r>
        <w:rPr>
          <w:rFonts w:ascii="Arial" w:cs="Arial" w:eastAsia="Arial" w:hAnsi="Arial"/>
          <w:sz w:val="18"/>
          <w:szCs w:val="18"/>
          <w:color w:val="auto"/>
        </w:rPr>
        <w:t>On October 23, 2023, the Company announced the completion of the previously-announced acquisition by Cybin of Small Pharma Inc. (“</w:t>
      </w:r>
      <w:r>
        <w:rPr>
          <w:rFonts w:ascii="Arial" w:cs="Arial" w:eastAsia="Arial" w:hAnsi="Arial"/>
          <w:sz w:val="19"/>
          <w:szCs w:val="19"/>
          <w:b w:val="1"/>
          <w:bCs w:val="1"/>
          <w:color w:val="auto"/>
        </w:rPr>
        <w:t>Small Pharma</w:t>
      </w:r>
      <w:r>
        <w:rPr>
          <w:rFonts w:ascii="Arial" w:cs="Arial" w:eastAsia="Arial" w:hAnsi="Arial"/>
          <w:sz w:val="18"/>
          <w:szCs w:val="18"/>
          <w:color w:val="auto"/>
        </w:rPr>
        <w:t xml:space="preserve">”) by way of a statutory plan of arrangement under the provisions of the </w:t>
      </w:r>
      <w:r>
        <w:rPr>
          <w:rFonts w:ascii="Arial" w:cs="Arial" w:eastAsia="Arial" w:hAnsi="Arial"/>
          <w:sz w:val="19"/>
          <w:szCs w:val="19"/>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9"/>
          <w:szCs w:val="19"/>
          <w:b w:val="1"/>
          <w:bCs w:val="1"/>
          <w:color w:val="auto"/>
        </w:rPr>
        <w:t>Arrangement</w:t>
      </w:r>
      <w:r>
        <w:rPr>
          <w:rFonts w:ascii="Arial" w:cs="Arial" w:eastAsia="Arial" w:hAnsi="Arial"/>
          <w:sz w:val="18"/>
          <w:szCs w:val="18"/>
          <w:color w:val="auto"/>
        </w:rPr>
        <w:t>”). The Arrangement was completed pursuant to the terms of an arrangement agreement entered into between the Company and Small Pharma dated August 28, 2023. As a result of the Arrangement, Small Pharma is now a wholly-owned subsidiary of Cybin.</w:t>
      </w:r>
    </w:p>
    <w:p>
      <w:pPr>
        <w:spacing w:after="0" w:line="183" w:lineRule="exact"/>
        <w:rPr>
          <w:sz w:val="20"/>
          <w:szCs w:val="20"/>
          <w:color w:val="auto"/>
        </w:rPr>
      </w:pPr>
    </w:p>
    <w:p>
      <w:pPr>
        <w:jc w:val="both"/>
        <w:ind w:left="3" w:right="20"/>
        <w:spacing w:after="0" w:line="289" w:lineRule="auto"/>
        <w:rPr>
          <w:sz w:val="20"/>
          <w:szCs w:val="20"/>
          <w:color w:val="auto"/>
        </w:rPr>
      </w:pPr>
      <w:r>
        <w:rPr>
          <w:rFonts w:ascii="Arial" w:cs="Arial" w:eastAsia="Arial" w:hAnsi="Arial"/>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Arial" w:cs="Arial" w:eastAsia="Arial" w:hAnsi="Arial"/>
          <w:sz w:val="18"/>
          <w:szCs w:val="18"/>
          <w:color w:val="0000FF"/>
        </w:rPr>
        <w:t>www.sedarplus.ca</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54" w:lineRule="exact"/>
        <w:rPr>
          <w:sz w:val="20"/>
          <w:szCs w:val="20"/>
          <w:color w:val="auto"/>
        </w:rPr>
      </w:pPr>
    </w:p>
    <w:p>
      <w:pPr>
        <w:jc w:val="both"/>
        <w:ind w:left="3"/>
        <w:spacing w:after="0" w:line="265" w:lineRule="auto"/>
        <w:rPr>
          <w:sz w:val="20"/>
          <w:szCs w:val="20"/>
          <w:color w:val="auto"/>
        </w:rPr>
      </w:pPr>
      <w:r>
        <w:rPr>
          <w:rFonts w:ascii="Arial" w:cs="Arial" w:eastAsia="Arial" w:hAnsi="Arial"/>
          <w:sz w:val="18"/>
          <w:szCs w:val="18"/>
          <w:color w:val="auto"/>
        </w:rPr>
        <w:t>Cybin is a clinical-stage biopharmaceutical company on a mission to create safe and effective psychedelic-based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Arial" w:cs="Arial" w:eastAsia="Arial" w:hAnsi="Arial"/>
          <w:sz w:val="23"/>
          <w:szCs w:val="23"/>
          <w:color w:val="006600"/>
          <w:vertAlign w:val="superscript"/>
        </w:rPr>
        <w:t>1</w:t>
      </w:r>
    </w:p>
    <w:p>
      <w:pPr>
        <w:spacing w:after="0" w:line="126" w:lineRule="exact"/>
        <w:rPr>
          <w:sz w:val="20"/>
          <w:szCs w:val="20"/>
          <w:color w:val="auto"/>
        </w:rPr>
      </w:pPr>
    </w:p>
    <w:p>
      <w:pPr>
        <w:jc w:val="both"/>
        <w:ind w:left="3" w:right="20"/>
        <w:spacing w:after="0" w:line="340" w:lineRule="auto"/>
        <w:rPr>
          <w:sz w:val="20"/>
          <w:szCs w:val="20"/>
          <w:color w:val="auto"/>
        </w:rPr>
      </w:pPr>
      <w:r>
        <w:rPr>
          <w:rFonts w:ascii="Arial" w:cs="Arial" w:eastAsia="Arial" w:hAnsi="Arial"/>
          <w:sz w:val="16"/>
          <w:szCs w:val="16"/>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Arial" w:cs="Arial" w:eastAsia="Arial" w:hAnsi="Arial"/>
          <w:sz w:val="16"/>
          <w:szCs w:val="16"/>
          <w:b w:val="1"/>
          <w:bCs w:val="1"/>
          <w:color w:val="auto"/>
        </w:rPr>
        <w:t>IP</w:t>
      </w:r>
      <w:r>
        <w:rPr>
          <w:rFonts w:ascii="Arial" w:cs="Arial" w:eastAsia="Arial" w:hAnsi="Arial"/>
          <w:sz w:val="16"/>
          <w:szCs w:val="16"/>
          <w:color w:val="auto"/>
        </w:rPr>
        <w:t>") focused on developing the Company’s platform technology, the progression of clinical development programs including CYB003, a deuterated psilocybin analog, CYB004, a deuterated version of N, N-dimethyltryptamine (“</w:t>
      </w:r>
      <w:r>
        <w:rPr>
          <w:rFonts w:ascii="Arial" w:cs="Arial" w:eastAsia="Arial" w:hAnsi="Arial"/>
          <w:sz w:val="16"/>
          <w:szCs w:val="16"/>
          <w:b w:val="1"/>
          <w:bCs w:val="1"/>
          <w:color w:val="auto"/>
        </w:rPr>
        <w:t>DMT</w:t>
      </w:r>
      <w:r>
        <w:rPr>
          <w:rFonts w:ascii="Arial" w:cs="Arial" w:eastAsia="Arial" w:hAnsi="Arial"/>
          <w:sz w:val="16"/>
          <w:szCs w:val="16"/>
          <w:color w:val="auto"/>
        </w:rPr>
        <w:t>”), CYB005, phenethylamine derivatives, and an expansive list of preclinical molecules to facilitate future drug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153987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389" w:lineRule="exact"/>
        <w:rPr>
          <w:sz w:val="20"/>
          <w:szCs w:val="20"/>
          <w:color w:val="auto"/>
        </w:rPr>
      </w:pPr>
    </w:p>
    <w:p>
      <w:pPr>
        <w:jc w:val="both"/>
        <w:ind w:left="3" w:right="20" w:hanging="3"/>
        <w:spacing w:after="0" w:line="237" w:lineRule="auto"/>
        <w:tabs>
          <w:tab w:leader="none" w:pos="86"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9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3"/>
          </w:cols>
          <w:pgMar w:left="317" w:top="729" w:right="319" w:bottom="1440" w:gutter="0" w:footer="0" w:header="0"/>
        </w:sectPr>
      </w:pPr>
    </w:p>
    <w:bookmarkStart w:id="34" w:name="page35"/>
    <w:bookmarkEnd w:id="34"/>
    <w:p>
      <w:pPr>
        <w:jc w:val="both"/>
        <w:ind w:left="3"/>
        <w:spacing w:after="0" w:line="262" w:lineRule="auto"/>
        <w:rPr>
          <w:sz w:val="20"/>
          <w:szCs w:val="20"/>
          <w:color w:val="auto"/>
        </w:rPr>
      </w:pPr>
      <w:r>
        <w:rPr>
          <w:rFonts w:ascii="Arial" w:cs="Arial" w:eastAsia="Arial" w:hAnsi="Arial"/>
          <w:sz w:val="18"/>
          <w:szCs w:val="18"/>
          <w:color w:val="auto"/>
        </w:rPr>
        <w:t>On October 23, 2023, the Company completed the Arrangement pursuant to which Small Pharma became a wholly-owned subsidiary of Cybin. Small Pharma is a biotechnology company focused on developing short-duration psychedelic-assisted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Arial" w:cs="Arial" w:eastAsia="Arial" w:hAnsi="Arial"/>
          <w:sz w:val="19"/>
          <w:szCs w:val="19"/>
          <w:b w:val="1"/>
          <w:bCs w:val="1"/>
          <w:color w:val="auto"/>
        </w:rPr>
        <w:t>LSD</w:t>
      </w:r>
      <w:r>
        <w:rPr>
          <w:rFonts w:ascii="Arial" w:cs="Arial" w:eastAsia="Arial" w:hAnsi="Arial"/>
          <w:sz w:val="18"/>
          <w:szCs w:val="18"/>
          <w:color w:val="auto"/>
        </w:rPr>
        <w:t>”). Second-generation psychedelics refer to those that have been chemically modified with the aim to optimize their therapeutic benefit.</w:t>
      </w:r>
    </w:p>
    <w:p>
      <w:pPr>
        <w:spacing w:after="0" w:line="206" w:lineRule="exact"/>
        <w:rPr>
          <w:sz w:val="20"/>
          <w:szCs w:val="20"/>
          <w:color w:val="auto"/>
        </w:rPr>
      </w:pPr>
    </w:p>
    <w:p>
      <w:pPr>
        <w:ind w:left="3" w:right="160"/>
        <w:spacing w:after="0" w:line="300" w:lineRule="auto"/>
        <w:rPr>
          <w:sz w:val="20"/>
          <w:szCs w:val="20"/>
          <w:color w:val="auto"/>
        </w:rPr>
      </w:pPr>
      <w:r>
        <w:rPr>
          <w:rFonts w:ascii="Arial" w:cs="Arial" w:eastAsia="Arial" w:hAnsi="Arial"/>
          <w:sz w:val="17"/>
          <w:szCs w:val="17"/>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84" w:lineRule="exact"/>
        <w:rPr>
          <w:sz w:val="20"/>
          <w:szCs w:val="20"/>
          <w:color w:val="auto"/>
        </w:rPr>
      </w:pPr>
    </w:p>
    <w:p>
      <w:pPr>
        <w:ind w:left="3"/>
        <w:spacing w:after="0"/>
        <w:rPr>
          <w:sz w:val="20"/>
          <w:szCs w:val="20"/>
          <w:color w:val="auto"/>
        </w:rPr>
      </w:pPr>
      <w:r>
        <w:rPr>
          <w:rFonts w:ascii="Arial" w:cs="Arial" w:eastAsia="Arial" w:hAnsi="Arial"/>
          <w:sz w:val="18"/>
          <w:szCs w:val="18"/>
          <w:color w:val="auto"/>
        </w:rPr>
        <w:t>As a result of the Arrangement, Cybin currently now has 38 granted patents and over 172 pending applications. See “</w:t>
      </w:r>
      <w:r>
        <w:rPr>
          <w:rFonts w:ascii="Arial" w:cs="Arial" w:eastAsia="Arial" w:hAnsi="Arial"/>
          <w:sz w:val="19"/>
          <w:szCs w:val="19"/>
          <w:i w:val="1"/>
          <w:iCs w:val="1"/>
          <w:color w:val="auto"/>
        </w:rPr>
        <w:t>Intellectual Property</w:t>
      </w:r>
      <w:r>
        <w:rPr>
          <w:rFonts w:ascii="Arial" w:cs="Arial" w:eastAsia="Arial" w:hAnsi="Arial"/>
          <w:sz w:val="18"/>
          <w:szCs w:val="18"/>
          <w:color w:val="auto"/>
        </w:rPr>
        <w:t>”.</w:t>
      </w:r>
    </w:p>
    <w:p>
      <w:pPr>
        <w:spacing w:after="0" w:line="27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Advancement of Mental Healthcare</w:t>
      </w:r>
    </w:p>
    <w:p>
      <w:pPr>
        <w:spacing w:after="0" w:line="252" w:lineRule="exact"/>
        <w:rPr>
          <w:sz w:val="20"/>
          <w:szCs w:val="20"/>
          <w:color w:val="auto"/>
        </w:rPr>
      </w:pPr>
    </w:p>
    <w:p>
      <w:pPr>
        <w:jc w:val="both"/>
        <w:ind w:left="3"/>
        <w:spacing w:after="0" w:line="299" w:lineRule="auto"/>
        <w:rPr>
          <w:sz w:val="20"/>
          <w:szCs w:val="20"/>
          <w:color w:val="auto"/>
        </w:rPr>
      </w:pPr>
      <w:r>
        <w:rPr>
          <w:rFonts w:ascii="Arial" w:cs="Arial" w:eastAsia="Arial" w:hAnsi="Arial"/>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74" w:lineRule="exact"/>
        <w:rPr>
          <w:sz w:val="20"/>
          <w:szCs w:val="20"/>
          <w:color w:val="auto"/>
        </w:rPr>
      </w:pPr>
    </w:p>
    <w:p>
      <w:pPr>
        <w:jc w:val="both"/>
        <w:ind w:left="3" w:right="20"/>
        <w:spacing w:after="0" w:line="294" w:lineRule="auto"/>
        <w:rPr>
          <w:sz w:val="20"/>
          <w:szCs w:val="20"/>
          <w:color w:val="auto"/>
        </w:rPr>
      </w:pPr>
      <w:r>
        <w:rPr>
          <w:rFonts w:ascii="Arial" w:cs="Arial" w:eastAsia="Arial" w:hAnsi="Arial"/>
          <w:sz w:val="18"/>
          <w:szCs w:val="18"/>
          <w:color w:val="auto"/>
        </w:rPr>
        <w:t>Across its extensive research and development programs, Cybin is evaluating a wide array of novel, synthetic psychedelic active pharmaceutical ingredients (“</w:t>
      </w:r>
      <w:r>
        <w:rPr>
          <w:rFonts w:ascii="Arial" w:cs="Arial" w:eastAsia="Arial" w:hAnsi="Arial"/>
          <w:sz w:val="18"/>
          <w:szCs w:val="18"/>
          <w:b w:val="1"/>
          <w:bCs w:val="1"/>
          <w:color w:val="auto"/>
        </w:rPr>
        <w:t>API</w:t>
      </w:r>
      <w:r>
        <w:rPr>
          <w:rFonts w:ascii="Arial" w:cs="Arial" w:eastAsia="Arial" w:hAnsi="Arial"/>
          <w:sz w:val="18"/>
          <w:szCs w:val="18"/>
          <w:color w:val="auto"/>
        </w:rPr>
        <w:t>”) intended to be delivered through innovative drug delivery systems including via inhalation, via intravenous (“</w:t>
      </w:r>
      <w:r>
        <w:rPr>
          <w:rFonts w:ascii="Arial" w:cs="Arial" w:eastAsia="Arial" w:hAnsi="Arial"/>
          <w:sz w:val="18"/>
          <w:szCs w:val="18"/>
          <w:b w:val="1"/>
          <w:bCs w:val="1"/>
          <w:color w:val="auto"/>
        </w:rPr>
        <w:t>IV</w:t>
      </w:r>
      <w:r>
        <w:rPr>
          <w:rFonts w:ascii="Arial" w:cs="Arial" w:eastAsia="Arial" w:hAnsi="Arial"/>
          <w:sz w:val="18"/>
          <w:szCs w:val="18"/>
          <w:color w:val="auto"/>
        </w:rPr>
        <w:t>”), and intramuscular, or subcutaneous administration</w:t>
      </w:r>
      <w:r>
        <w:rPr>
          <w:rFonts w:ascii="Arial" w:cs="Arial" w:eastAsia="Arial" w:hAnsi="Arial"/>
          <w:sz w:val="23"/>
          <w:szCs w:val="23"/>
          <w:color w:val="006600"/>
          <w:vertAlign w:val="superscript"/>
        </w:rPr>
        <w:t>2</w:t>
      </w:r>
      <w:r>
        <w:rPr>
          <w:rFonts w:ascii="Arial" w:cs="Arial" w:eastAsia="Arial" w:hAnsi="Arial"/>
          <w:sz w:val="23"/>
          <w:szCs w:val="23"/>
          <w:color w:val="auto"/>
          <w:vertAlign w:val="superscript"/>
        </w:rPr>
        <w:t>.</w:t>
      </w:r>
    </w:p>
    <w:p>
      <w:pPr>
        <w:spacing w:after="0" w:line="85"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7"/>
          <w:szCs w:val="17"/>
          <w:color w:val="auto"/>
        </w:rPr>
        <w:t>The Company intends to apply for regulatory approval for therapies targeting indications such as major depressive disorder (“</w:t>
      </w:r>
      <w:r>
        <w:rPr>
          <w:rFonts w:ascii="Arial" w:cs="Arial" w:eastAsia="Arial" w:hAnsi="Arial"/>
          <w:sz w:val="17"/>
          <w:szCs w:val="17"/>
          <w:b w:val="1"/>
          <w:bCs w:val="1"/>
          <w:color w:val="auto"/>
        </w:rPr>
        <w:t>MDD</w:t>
      </w:r>
      <w:r>
        <w:rPr>
          <w:rFonts w:ascii="Arial" w:cs="Arial" w:eastAsia="Arial" w:hAnsi="Arial"/>
          <w:sz w:val="17"/>
          <w:szCs w:val="17"/>
          <w:color w:val="auto"/>
        </w:rPr>
        <w:t>”), alcohol use disorder (“</w:t>
      </w:r>
      <w:r>
        <w:rPr>
          <w:rFonts w:ascii="Arial" w:cs="Arial" w:eastAsia="Arial" w:hAnsi="Arial"/>
          <w:sz w:val="17"/>
          <w:szCs w:val="17"/>
          <w:b w:val="1"/>
          <w:bCs w:val="1"/>
          <w:color w:val="auto"/>
        </w:rPr>
        <w:t>AUD</w:t>
      </w:r>
      <w:r>
        <w:rPr>
          <w:rFonts w:ascii="Arial" w:cs="Arial" w:eastAsia="Arial" w:hAnsi="Arial"/>
          <w:sz w:val="17"/>
          <w:szCs w:val="17"/>
          <w:color w:val="auto"/>
        </w:rPr>
        <w:t>”), generalized anxiety disorder ("</w:t>
      </w:r>
      <w:r>
        <w:rPr>
          <w:rFonts w:ascii="Arial" w:cs="Arial" w:eastAsia="Arial" w:hAnsi="Arial"/>
          <w:sz w:val="17"/>
          <w:szCs w:val="17"/>
          <w:b w:val="1"/>
          <w:bCs w:val="1"/>
          <w:color w:val="auto"/>
        </w:rPr>
        <w:t>GAD</w:t>
      </w:r>
      <w:r>
        <w:rPr>
          <w:rFonts w:ascii="Arial" w:cs="Arial" w:eastAsia="Arial" w:hAnsi="Arial"/>
          <w:sz w:val="17"/>
          <w:szCs w:val="17"/>
          <w:color w:val="auto"/>
        </w:rPr>
        <w:t>") and potentially other various mental health conditions</w:t>
      </w:r>
      <w:r>
        <w:rPr>
          <w:rFonts w:ascii="Arial" w:cs="Arial" w:eastAsia="Arial" w:hAnsi="Arial"/>
          <w:sz w:val="22"/>
          <w:szCs w:val="22"/>
          <w:color w:val="006600"/>
          <w:vertAlign w:val="superscript"/>
        </w:rPr>
        <w:t>3</w:t>
      </w:r>
      <w:r>
        <w:rPr>
          <w:rFonts w:ascii="Arial" w:cs="Arial" w:eastAsia="Arial" w:hAnsi="Arial"/>
          <w:sz w:val="17"/>
          <w:szCs w:val="17"/>
          <w:color w:val="auto"/>
        </w:rPr>
        <w:t>. The Company is also developing compounds that may have the potential to address neuroinflammation, central nervous system (“</w:t>
      </w:r>
      <w:r>
        <w:rPr>
          <w:rFonts w:ascii="Arial" w:cs="Arial" w:eastAsia="Arial" w:hAnsi="Arial"/>
          <w:sz w:val="17"/>
          <w:szCs w:val="17"/>
          <w:b w:val="1"/>
          <w:bCs w:val="1"/>
          <w:color w:val="auto"/>
        </w:rPr>
        <w:t>CNS</w:t>
      </w:r>
      <w:r>
        <w:rPr>
          <w:rFonts w:ascii="Arial" w:cs="Arial" w:eastAsia="Arial" w:hAnsi="Arial"/>
          <w:sz w:val="17"/>
          <w:szCs w:val="17"/>
          <w:color w:val="auto"/>
        </w:rPr>
        <w:t>”) disorders, and psychiatric disorders</w:t>
      </w:r>
      <w:r>
        <w:rPr>
          <w:rFonts w:ascii="Arial" w:cs="Arial" w:eastAsia="Arial" w:hAnsi="Arial"/>
          <w:sz w:val="22"/>
          <w:szCs w:val="22"/>
          <w:color w:val="006600"/>
          <w:vertAlign w:val="superscript"/>
        </w:rPr>
        <w:t>4</w:t>
      </w:r>
      <w:r>
        <w:rPr>
          <w:rFonts w:ascii="Arial" w:cs="Arial" w:eastAsia="Arial" w:hAnsi="Arial"/>
          <w:sz w:val="17"/>
          <w:szCs w:val="17"/>
          <w:color w:val="auto"/>
        </w:rPr>
        <w:t>.</w:t>
      </w:r>
    </w:p>
    <w:p>
      <w:pPr>
        <w:spacing w:after="0" w:line="122" w:lineRule="exact"/>
        <w:rPr>
          <w:sz w:val="20"/>
          <w:szCs w:val="20"/>
          <w:color w:val="auto"/>
        </w:rPr>
      </w:pPr>
    </w:p>
    <w:p>
      <w:pPr>
        <w:jc w:val="both"/>
        <w:ind w:left="3" w:right="20"/>
        <w:spacing w:after="0" w:line="314" w:lineRule="auto"/>
        <w:rPr>
          <w:sz w:val="20"/>
          <w:szCs w:val="20"/>
          <w:color w:val="auto"/>
        </w:rPr>
      </w:pPr>
      <w:r>
        <w:rPr>
          <w:rFonts w:ascii="Arial" w:cs="Arial" w:eastAsia="Arial" w:hAnsi="Arial"/>
          <w:sz w:val="16"/>
          <w:szCs w:val="16"/>
          <w:color w:val="auto"/>
        </w:rPr>
        <w:t>Further, over the next 12-month period, the Company will continue to seek to establish strategic partnerships that advance the Company’s scientific research and IP for new psychedelic-based compounds and novel delivery mechanisms</w:t>
      </w:r>
      <w:r>
        <w:rPr>
          <w:rFonts w:ascii="Arial" w:cs="Arial" w:eastAsia="Arial" w:hAnsi="Arial"/>
          <w:sz w:val="21"/>
          <w:szCs w:val="21"/>
          <w:color w:val="006600"/>
          <w:vertAlign w:val="superscript"/>
        </w:rPr>
        <w:t>5</w:t>
      </w:r>
      <w:r>
        <w:rPr>
          <w:rFonts w:ascii="Arial" w:cs="Arial" w:eastAsia="Arial" w:hAnsi="Arial"/>
          <w:sz w:val="16"/>
          <w:szCs w:val="16"/>
          <w:color w:val="auto"/>
        </w:rPr>
        <w:t>. The Company will also continue to sponsor select internal and partner-related clinical trials that advance the understanding of safety and efficacy for various psychedelic agents that target mental health conditions</w:t>
      </w:r>
      <w:r>
        <w:rPr>
          <w:rFonts w:ascii="Arial" w:cs="Arial" w:eastAsia="Arial" w:hAnsi="Arial"/>
          <w:sz w:val="21"/>
          <w:szCs w:val="21"/>
          <w:color w:val="006600"/>
          <w:vertAlign w:val="superscript"/>
        </w:rPr>
        <w:t>6</w:t>
      </w:r>
      <w:r>
        <w:rPr>
          <w:rFonts w:ascii="Arial" w:cs="Arial" w:eastAsia="Arial" w:hAnsi="Arial"/>
          <w:sz w:val="16"/>
          <w:szCs w:val="16"/>
          <w:color w:val="auto"/>
        </w:rPr>
        <w:t>.</w:t>
      </w:r>
    </w:p>
    <w:p>
      <w:pPr>
        <w:spacing w:after="0" w:line="6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Stage of Development</w:t>
      </w:r>
    </w:p>
    <w:p>
      <w:pPr>
        <w:spacing w:after="0" w:line="181" w:lineRule="exact"/>
        <w:rPr>
          <w:sz w:val="20"/>
          <w:szCs w:val="20"/>
          <w:color w:val="auto"/>
        </w:rPr>
      </w:pPr>
    </w:p>
    <w:p>
      <w:pPr>
        <w:jc w:val="both"/>
        <w:ind w:left="3" w:right="20"/>
        <w:spacing w:after="0" w:line="371" w:lineRule="auto"/>
        <w:rPr>
          <w:sz w:val="20"/>
          <w:szCs w:val="20"/>
          <w:color w:val="auto"/>
        </w:rPr>
      </w:pPr>
      <w:r>
        <w:rPr>
          <w:rFonts w:ascii="Arial" w:cs="Arial" w:eastAsia="Arial" w:hAnsi="Arial"/>
          <w:sz w:val="16"/>
          <w:szCs w:val="16"/>
          <w:color w:val="auto"/>
        </w:rPr>
        <w:t>Like most life sciences and pharmaceutical companies, the Company's psychedelic business is focused on research and development and any future revenue will be dependent on a number of factors, including the outcome of the Company’s clinical trials and the receipt of all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15398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6" w:lineRule="exact"/>
        <w:rPr>
          <w:sz w:val="20"/>
          <w:szCs w:val="20"/>
          <w:color w:val="auto"/>
        </w:rPr>
      </w:pPr>
    </w:p>
    <w:p>
      <w:pPr>
        <w:ind w:left="3" w:right="10220" w:hanging="3"/>
        <w:spacing w:after="0" w:line="231" w:lineRule="auto"/>
        <w:tabs>
          <w:tab w:leader="none" w:pos="87"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 xml:space="preserve">See footnote 1.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See footnote 1.</w:t>
      </w:r>
    </w:p>
    <w:p>
      <w:pPr>
        <w:ind w:left="103" w:hanging="103"/>
        <w:spacing w:after="0" w:line="229" w:lineRule="auto"/>
        <w:tabs>
          <w:tab w:leader="none" w:pos="103"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See footnote 1.</w:t>
      </w:r>
    </w:p>
    <w:p>
      <w:pPr>
        <w:ind w:left="83" w:hanging="83"/>
        <w:spacing w:after="0" w:line="203" w:lineRule="auto"/>
        <w:tabs>
          <w:tab w:leader="none" w:pos="83"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A material factor and assumption underlying this forward-looking statement is that the Company will be able to successfully negotiate strategic partnerships.</w:t>
      </w:r>
    </w:p>
    <w:p>
      <w:pPr>
        <w:jc w:val="both"/>
        <w:ind w:left="3" w:right="20" w:hanging="3"/>
        <w:spacing w:after="0" w:line="219" w:lineRule="auto"/>
        <w:tabs>
          <w:tab w:leader="none" w:pos="82"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3"/>
          </w:cols>
          <w:pgMar w:left="317" w:top="717" w:right="319" w:bottom="1440" w:gutter="0" w:footer="0" w:header="0"/>
        </w:sectPr>
      </w:pPr>
    </w:p>
    <w:bookmarkStart w:id="35" w:name="page36"/>
    <w:bookmarkEnd w:id="35"/>
    <w:p>
      <w:pPr>
        <w:jc w:val="both"/>
        <w:ind w:left="3"/>
        <w:spacing w:after="0" w:line="295" w:lineRule="auto"/>
        <w:rPr>
          <w:sz w:val="20"/>
          <w:szCs w:val="20"/>
          <w:color w:val="auto"/>
        </w:rPr>
      </w:pPr>
      <w:r>
        <w:rPr>
          <w:rFonts w:ascii="Arial" w:cs="Arial" w:eastAsia="Arial" w:hAnsi="Arial"/>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European Union ("</w:t>
      </w:r>
      <w:r>
        <w:rPr>
          <w:rFonts w:ascii="Arial" w:cs="Arial" w:eastAsia="Arial" w:hAnsi="Arial"/>
          <w:sz w:val="18"/>
          <w:szCs w:val="18"/>
          <w:b w:val="1"/>
          <w:bCs w:val="1"/>
          <w:color w:val="auto"/>
        </w:rPr>
        <w:t>EU</w:t>
      </w:r>
      <w:r>
        <w:rPr>
          <w:rFonts w:ascii="Arial" w:cs="Arial" w:eastAsia="Arial" w:hAnsi="Arial"/>
          <w:sz w:val="18"/>
          <w:szCs w:val="18"/>
          <w:color w:val="auto"/>
        </w:rPr>
        <w:t>")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Arial" w:cs="Arial" w:eastAsia="Arial" w:hAnsi="Arial"/>
          <w:sz w:val="23"/>
          <w:szCs w:val="23"/>
          <w:color w:val="006600"/>
          <w:vertAlign w:val="superscript"/>
        </w:rPr>
        <w:t>7</w:t>
      </w:r>
    </w:p>
    <w:p>
      <w:pPr>
        <w:spacing w:after="0" w:line="96" w:lineRule="exact"/>
        <w:rPr>
          <w:sz w:val="20"/>
          <w:szCs w:val="20"/>
          <w:color w:val="auto"/>
        </w:rPr>
      </w:pPr>
    </w:p>
    <w:p>
      <w:pPr>
        <w:jc w:val="both"/>
        <w:ind w:left="3" w:right="20"/>
        <w:spacing w:after="0" w:line="294" w:lineRule="auto"/>
        <w:rPr>
          <w:sz w:val="20"/>
          <w:szCs w:val="20"/>
          <w:color w:val="auto"/>
        </w:rPr>
      </w:pPr>
      <w:r>
        <w:rPr>
          <w:rFonts w:ascii="Arial" w:cs="Arial" w:eastAsia="Arial" w:hAnsi="Arial"/>
          <w:sz w:val="18"/>
          <w:szCs w:val="18"/>
          <w:color w:val="auto"/>
        </w:rPr>
        <w:t xml:space="preserve">Prescription drugs are classified and regulated under the federal </w:t>
      </w:r>
      <w:r>
        <w:rPr>
          <w:rFonts w:ascii="Arial" w:cs="Arial" w:eastAsia="Arial" w:hAnsi="Arial"/>
          <w:sz w:val="18"/>
          <w:szCs w:val="18"/>
          <w:i w:val="1"/>
          <w:iCs w:val="1"/>
          <w:color w:val="auto"/>
        </w:rPr>
        <w:t>Food and Drugs Act</w:t>
      </w:r>
      <w:r>
        <w:rPr>
          <w:rFonts w:ascii="Arial" w:cs="Arial" w:eastAsia="Arial" w:hAnsi="Arial"/>
          <w:sz w:val="18"/>
          <w:szCs w:val="18"/>
          <w:color w:val="auto"/>
        </w:rPr>
        <w:t xml:space="preserve"> (Canada) (the “</w:t>
      </w:r>
      <w:r>
        <w:rPr>
          <w:rFonts w:ascii="Arial" w:cs="Arial" w:eastAsia="Arial" w:hAnsi="Arial"/>
          <w:sz w:val="18"/>
          <w:szCs w:val="18"/>
          <w:b w:val="1"/>
          <w:bCs w:val="1"/>
          <w:color w:val="auto"/>
        </w:rPr>
        <w:t>Canadian FDA</w:t>
      </w:r>
      <w:r>
        <w:rPr>
          <w:rFonts w:ascii="Arial" w:cs="Arial" w:eastAsia="Arial" w:hAnsi="Arial"/>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73" w:lineRule="exact"/>
        <w:rPr>
          <w:sz w:val="20"/>
          <w:szCs w:val="20"/>
          <w:color w:val="auto"/>
        </w:rPr>
      </w:pPr>
    </w:p>
    <w:p>
      <w:pPr>
        <w:jc w:val="both"/>
        <w:ind w:left="3" w:right="20"/>
        <w:spacing w:after="0" w:line="312" w:lineRule="auto"/>
        <w:rPr>
          <w:sz w:val="20"/>
          <w:szCs w:val="20"/>
          <w:color w:val="auto"/>
        </w:rPr>
      </w:pPr>
      <w:r>
        <w:rPr>
          <w:rFonts w:ascii="Arial" w:cs="Arial" w:eastAsia="Arial" w:hAnsi="Arial"/>
          <w:sz w:val="17"/>
          <w:szCs w:val="17"/>
          <w:color w:val="auto"/>
        </w:rPr>
        <w:t xml:space="preserve">In the United States, foods, drugs and dietary supplements are subject to extensive regulation. The </w:t>
      </w:r>
      <w:r>
        <w:rPr>
          <w:rFonts w:ascii="Arial" w:cs="Arial" w:eastAsia="Arial" w:hAnsi="Arial"/>
          <w:sz w:val="17"/>
          <w:szCs w:val="17"/>
          <w:i w:val="1"/>
          <w:iCs w:val="1"/>
          <w:color w:val="auto"/>
        </w:rPr>
        <w:t>Federal Food, Drug, and Cosmetic Act</w:t>
      </w:r>
      <w:r>
        <w:rPr>
          <w:rFonts w:ascii="Arial" w:cs="Arial" w:eastAsia="Arial" w:hAnsi="Arial"/>
          <w:sz w:val="17"/>
          <w:szCs w:val="17"/>
          <w:color w:val="auto"/>
        </w:rPr>
        <w:t xml:space="preserve"> (the “</w:t>
      </w:r>
      <w:r>
        <w:rPr>
          <w:rFonts w:ascii="Arial" w:cs="Arial" w:eastAsia="Arial" w:hAnsi="Arial"/>
          <w:sz w:val="17"/>
          <w:szCs w:val="17"/>
          <w:b w:val="1"/>
          <w:bCs w:val="1"/>
          <w:color w:val="auto"/>
        </w:rPr>
        <w:t>FFDCA</w:t>
      </w:r>
      <w:r>
        <w:rPr>
          <w:rFonts w:ascii="Arial" w:cs="Arial" w:eastAsia="Arial" w:hAnsi="Arial"/>
          <w:sz w:val="17"/>
          <w:szCs w:val="17"/>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w:t>
      </w:r>
    </w:p>
    <w:p>
      <w:pPr>
        <w:spacing w:after="0" w:line="164" w:lineRule="exact"/>
        <w:rPr>
          <w:sz w:val="20"/>
          <w:szCs w:val="20"/>
          <w:color w:val="auto"/>
        </w:rPr>
      </w:pPr>
    </w:p>
    <w:p>
      <w:pPr>
        <w:jc w:val="both"/>
        <w:ind w:left="3" w:right="20"/>
        <w:spacing w:after="0" w:line="290" w:lineRule="auto"/>
        <w:rPr>
          <w:sz w:val="20"/>
          <w:szCs w:val="20"/>
          <w:color w:val="auto"/>
        </w:rPr>
      </w:pPr>
      <w:r>
        <w:rPr>
          <w:rFonts w:ascii="Arial" w:cs="Arial" w:eastAsia="Arial" w:hAnsi="Arial"/>
          <w:sz w:val="18"/>
          <w:szCs w:val="18"/>
          <w:color w:val="auto"/>
        </w:rPr>
        <w:t>On November 4, 2021, the Company announced that it had been granted a Schedule I manufacturing license from the U.S.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Non-Revenue Generating Projects</w:t>
      </w:r>
      <w:r>
        <w:rPr>
          <w:rFonts w:ascii="Arial" w:cs="Arial" w:eastAsia="Arial" w:hAnsi="Arial"/>
          <w:sz w:val="23"/>
          <w:szCs w:val="23"/>
          <w:b w:val="1"/>
          <w:bCs w:val="1"/>
          <w:i w:val="1"/>
          <w:iCs w:val="1"/>
          <w:color w:val="006600"/>
          <w:vertAlign w:val="superscript"/>
        </w:rPr>
        <w:t>8</w:t>
      </w:r>
    </w:p>
    <w:p>
      <w:pPr>
        <w:spacing w:after="0" w:line="172"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Company currently has four significant projects, which have not yet generated revenue:</w:t>
      </w:r>
    </w:p>
    <w:p>
      <w:pPr>
        <w:spacing w:after="0" w:line="230" w:lineRule="exact"/>
        <w:rPr>
          <w:sz w:val="20"/>
          <w:szCs w:val="20"/>
          <w:color w:val="auto"/>
        </w:rPr>
      </w:pPr>
    </w:p>
    <w:p>
      <w:pPr>
        <w:ind w:left="603" w:hanging="312"/>
        <w:spacing w:after="0"/>
        <w:tabs>
          <w:tab w:leader="none" w:pos="6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Deuterated Psilocybin Analog Program (CYB003)</w:t>
      </w:r>
    </w:p>
    <w:p>
      <w:pPr>
        <w:spacing w:after="0" w:line="47" w:lineRule="exact"/>
        <w:rPr>
          <w:rFonts w:ascii="Arial" w:cs="Arial" w:eastAsia="Arial" w:hAnsi="Arial"/>
          <w:sz w:val="18"/>
          <w:szCs w:val="18"/>
          <w:color w:val="auto"/>
        </w:rPr>
      </w:pPr>
    </w:p>
    <w:p>
      <w:pPr>
        <w:ind w:left="603" w:hanging="312"/>
        <w:spacing w:after="0"/>
        <w:tabs>
          <w:tab w:leader="none" w:pos="6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Deuterated Dimethyltryptamine Program (CYB004)</w:t>
      </w:r>
    </w:p>
    <w:p>
      <w:pPr>
        <w:spacing w:after="0" w:line="35" w:lineRule="exact"/>
        <w:rPr>
          <w:rFonts w:ascii="Arial" w:cs="Arial" w:eastAsia="Arial" w:hAnsi="Arial"/>
          <w:sz w:val="18"/>
          <w:szCs w:val="18"/>
          <w:color w:val="auto"/>
        </w:rPr>
      </w:pPr>
    </w:p>
    <w:p>
      <w:pPr>
        <w:ind w:left="603" w:hanging="312"/>
        <w:spacing w:after="0"/>
        <w:tabs>
          <w:tab w:leader="none" w:pos="6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Phenethylamine Derivatives Program (CYB005)</w:t>
      </w:r>
    </w:p>
    <w:p>
      <w:pPr>
        <w:spacing w:after="0" w:line="47" w:lineRule="exact"/>
        <w:rPr>
          <w:rFonts w:ascii="Arial" w:cs="Arial" w:eastAsia="Arial" w:hAnsi="Arial"/>
          <w:sz w:val="18"/>
          <w:szCs w:val="18"/>
          <w:color w:val="auto"/>
        </w:rPr>
      </w:pPr>
    </w:p>
    <w:p>
      <w:pPr>
        <w:ind w:left="603" w:hanging="312"/>
        <w:spacing w:after="0"/>
        <w:tabs>
          <w:tab w:leader="none" w:pos="6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Technology Programs</w:t>
      </w:r>
    </w:p>
    <w:p>
      <w:pPr>
        <w:spacing w:after="0" w:line="230" w:lineRule="exact"/>
        <w:rPr>
          <w:sz w:val="20"/>
          <w:szCs w:val="20"/>
          <w:color w:val="auto"/>
        </w:rPr>
      </w:pPr>
    </w:p>
    <w:p>
      <w:pPr>
        <w:jc w:val="both"/>
        <w:ind w:left="3" w:right="20"/>
        <w:spacing w:after="0" w:line="329" w:lineRule="auto"/>
        <w:rPr>
          <w:sz w:val="20"/>
          <w:szCs w:val="20"/>
          <w:color w:val="auto"/>
        </w:rPr>
      </w:pPr>
      <w:r>
        <w:rPr>
          <w:rFonts w:ascii="Arial" w:cs="Arial" w:eastAsia="Arial" w:hAnsi="Arial"/>
          <w:sz w:val="16"/>
          <w:szCs w:val="16"/>
          <w:color w:val="auto"/>
        </w:rPr>
        <w:t>The Company has developed EMBARK, a psychological support model that integrates leading clinical approaches to promote supportive healing with psychedelic medicine. EMBARK’s six clinical domains (</w:t>
      </w:r>
      <w:r>
        <w:rPr>
          <w:rFonts w:ascii="Arial" w:cs="Arial" w:eastAsia="Arial" w:hAnsi="Arial"/>
          <w:sz w:val="16"/>
          <w:szCs w:val="16"/>
          <w:b w:val="1"/>
          <w:bCs w:val="1"/>
          <w:color w:val="auto"/>
        </w:rPr>
        <w:t>E</w:t>
      </w:r>
      <w:r>
        <w:rPr>
          <w:rFonts w:ascii="Arial" w:cs="Arial" w:eastAsia="Arial" w:hAnsi="Arial"/>
          <w:sz w:val="16"/>
          <w:szCs w:val="16"/>
          <w:color w:val="auto"/>
        </w:rPr>
        <w:t xml:space="preserve">xistential-Spiritual, </w:t>
      </w:r>
      <w:r>
        <w:rPr>
          <w:rFonts w:ascii="Arial" w:cs="Arial" w:eastAsia="Arial" w:hAnsi="Arial"/>
          <w:sz w:val="16"/>
          <w:szCs w:val="16"/>
          <w:b w:val="1"/>
          <w:bCs w:val="1"/>
          <w:color w:val="auto"/>
        </w:rPr>
        <w:t>M</w:t>
      </w:r>
      <w:r>
        <w:rPr>
          <w:rFonts w:ascii="Arial" w:cs="Arial" w:eastAsia="Arial" w:hAnsi="Arial"/>
          <w:sz w:val="16"/>
          <w:szCs w:val="16"/>
          <w:color w:val="auto"/>
        </w:rPr>
        <w:t xml:space="preserve">indfulness, </w:t>
      </w:r>
      <w:r>
        <w:rPr>
          <w:rFonts w:ascii="Arial" w:cs="Arial" w:eastAsia="Arial" w:hAnsi="Arial"/>
          <w:sz w:val="16"/>
          <w:szCs w:val="16"/>
          <w:b w:val="1"/>
          <w:bCs w:val="1"/>
          <w:color w:val="auto"/>
        </w:rPr>
        <w:t>B</w:t>
      </w:r>
      <w:r>
        <w:rPr>
          <w:rFonts w:ascii="Arial" w:cs="Arial" w:eastAsia="Arial" w:hAnsi="Arial"/>
          <w:sz w:val="16"/>
          <w:szCs w:val="16"/>
          <w:color w:val="auto"/>
        </w:rPr>
        <w:t xml:space="preserve">ody Aware, </w:t>
      </w:r>
      <w:r>
        <w:rPr>
          <w:rFonts w:ascii="Arial" w:cs="Arial" w:eastAsia="Arial" w:hAnsi="Arial"/>
          <w:sz w:val="16"/>
          <w:szCs w:val="16"/>
          <w:b w:val="1"/>
          <w:bCs w:val="1"/>
          <w:color w:val="auto"/>
        </w:rPr>
        <w:t>A</w:t>
      </w:r>
      <w:r>
        <w:rPr>
          <w:rFonts w:ascii="Arial" w:cs="Arial" w:eastAsia="Arial" w:hAnsi="Arial"/>
          <w:sz w:val="16"/>
          <w:szCs w:val="16"/>
          <w:color w:val="auto"/>
        </w:rPr>
        <w:t xml:space="preserve">ffective-Cognitive, </w:t>
      </w:r>
      <w:r>
        <w:rPr>
          <w:rFonts w:ascii="Arial" w:cs="Arial" w:eastAsia="Arial" w:hAnsi="Arial"/>
          <w:sz w:val="16"/>
          <w:szCs w:val="16"/>
          <w:b w:val="1"/>
          <w:bCs w:val="1"/>
          <w:color w:val="auto"/>
        </w:rPr>
        <w:t>R</w:t>
      </w:r>
      <w:r>
        <w:rPr>
          <w:rFonts w:ascii="Arial" w:cs="Arial" w:eastAsia="Arial" w:hAnsi="Arial"/>
          <w:sz w:val="16"/>
          <w:szCs w:val="16"/>
          <w:color w:val="auto"/>
        </w:rPr>
        <w:t xml:space="preserve">elational, </w:t>
      </w:r>
      <w:r>
        <w:rPr>
          <w:rFonts w:ascii="Arial" w:cs="Arial" w:eastAsia="Arial" w:hAnsi="Arial"/>
          <w:sz w:val="16"/>
          <w:szCs w:val="16"/>
          <w:b w:val="1"/>
          <w:bCs w:val="1"/>
          <w:color w:val="auto"/>
        </w:rPr>
        <w:t>K</w:t>
      </w:r>
      <w:r>
        <w:rPr>
          <w:rFonts w:ascii="Arial" w:cs="Arial" w:eastAsia="Arial" w:hAnsi="Arial"/>
          <w:sz w:val="16"/>
          <w:szCs w:val="16"/>
          <w:color w:val="auto"/>
        </w:rPr>
        <w:t>eeping Momentum) represent the broad spectrum of ways in which therapeutic benefits may arise in psychedelic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Arial" w:cs="Arial" w:eastAsia="Arial" w:hAnsi="Arial"/>
          <w:sz w:val="16"/>
          <w:szCs w:val="16"/>
          <w:b w:val="1"/>
          <w:bCs w:val="1"/>
          <w:color w:val="auto"/>
        </w:rPr>
        <w:t>EMBARK OA</w:t>
      </w:r>
      <w:r>
        <w:rPr>
          <w:rFonts w:ascii="Arial" w:cs="Arial" w:eastAsia="Arial" w:hAnsi="Arial"/>
          <w:sz w:val="16"/>
          <w:szCs w:val="16"/>
          <w:color w:val="auto"/>
        </w:rPr>
        <w:t>”), a free online foundational training course for psychedelic facilitation. EMBARK Open Access is the first and only free massive open online course that offers foundational psychedelic facilitation training for healthcare professionals and people interested in offering psychological support. On July 12, 2023, the Company announced that it has commenced the development of a streamlined, scalable version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15398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2" w:lineRule="exact"/>
        <w:rPr>
          <w:sz w:val="20"/>
          <w:szCs w:val="20"/>
          <w:color w:val="auto"/>
        </w:rPr>
      </w:pPr>
    </w:p>
    <w:p>
      <w:pPr>
        <w:ind w:left="3" w:right="20" w:hanging="3"/>
        <w:spacing w:after="0" w:line="211" w:lineRule="auto"/>
        <w:tabs>
          <w:tab w:leader="none" w:pos="108"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Arial" w:cs="Arial" w:eastAsia="Arial" w:hAnsi="Arial"/>
          <w:sz w:val="21"/>
          <w:szCs w:val="21"/>
          <w:color w:val="auto"/>
          <w:vertAlign w:val="superscript"/>
        </w:rPr>
      </w:pPr>
    </w:p>
    <w:p>
      <w:pPr>
        <w:ind w:left="3"/>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8</w:t>
      </w:r>
      <w:r>
        <w:rPr>
          <w:rFonts w:ascii="Arial" w:cs="Arial" w:eastAsia="Arial" w:hAnsi="Arial"/>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3"/>
          </w:cols>
          <w:pgMar w:left="317" w:top="729" w:right="319" w:bottom="1440" w:gutter="0" w:footer="0" w:header="0"/>
        </w:sectPr>
      </w:pPr>
    </w:p>
    <w:bookmarkStart w:id="36" w:name="page37"/>
    <w:bookmarkEnd w:id="36"/>
    <w:p>
      <w:pPr>
        <w:jc w:val="both"/>
        <w:spacing w:after="0" w:line="247" w:lineRule="auto"/>
        <w:rPr>
          <w:sz w:val="20"/>
          <w:szCs w:val="20"/>
          <w:color w:val="auto"/>
        </w:rPr>
      </w:pPr>
      <w:r>
        <w:rPr>
          <w:rFonts w:ascii="Arial" w:cs="Arial" w:eastAsia="Arial" w:hAnsi="Arial"/>
          <w:sz w:val="18"/>
          <w:szCs w:val="18"/>
          <w:color w:val="auto"/>
        </w:rPr>
        <w:t>EMBARK Training Program, known as EMBARK</w:t>
      </w:r>
      <w:r>
        <w:rPr>
          <w:rFonts w:ascii="Arial" w:cs="Arial" w:eastAsia="Arial" w:hAnsi="Arial"/>
          <w:sz w:val="23"/>
          <w:szCs w:val="23"/>
          <w:color w:val="auto"/>
          <w:vertAlign w:val="superscript"/>
        </w:rPr>
        <w:t>CT</w:t>
      </w:r>
      <w:r>
        <w:rPr>
          <w:rFonts w:ascii="Arial" w:cs="Arial" w:eastAsia="Arial" w:hAnsi="Arial"/>
          <w:sz w:val="18"/>
          <w:szCs w:val="18"/>
          <w:color w:val="auto"/>
        </w:rPr>
        <w:t>, which is designed for individuals with existing knowledge, skills, and experience in psychedelic facilitation. The EMBARK</w:t>
      </w:r>
      <w:r>
        <w:rPr>
          <w:rFonts w:ascii="Arial" w:cs="Arial" w:eastAsia="Arial" w:hAnsi="Arial"/>
          <w:sz w:val="23"/>
          <w:szCs w:val="23"/>
          <w:color w:val="auto"/>
          <w:vertAlign w:val="superscript"/>
        </w:rPr>
        <w:t>CT</w:t>
      </w:r>
      <w:r>
        <w:rPr>
          <w:rFonts w:ascii="Arial" w:cs="Arial" w:eastAsia="Arial" w:hAnsi="Arial"/>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42" w:lineRule="exact"/>
        <w:rPr>
          <w:sz w:val="20"/>
          <w:szCs w:val="20"/>
          <w:color w:val="auto"/>
        </w:rPr>
      </w:pPr>
    </w:p>
    <w:p>
      <w:pPr>
        <w:jc w:val="both"/>
        <w:spacing w:after="0" w:line="371" w:lineRule="auto"/>
        <w:rPr>
          <w:sz w:val="20"/>
          <w:szCs w:val="20"/>
          <w:color w:val="auto"/>
        </w:rPr>
      </w:pPr>
      <w:r>
        <w:rPr>
          <w:rFonts w:ascii="Arial" w:cs="Arial" w:eastAsia="Arial" w:hAnsi="Arial"/>
          <w:sz w:val="16"/>
          <w:szCs w:val="16"/>
          <w:color w:val="auto"/>
        </w:rPr>
        <w:t>The Company is continuing to assess the research and development programs of Small Pharma acquired through the Arrangement and will provide further information and updates upon completion of the integration of Small Pharma’s business, including the anticipated spend associated with any programs.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Deuterated Psilocybin Analog Program (CYB003)</w:t>
      </w:r>
    </w:p>
    <w:p>
      <w:pPr>
        <w:spacing w:after="0" w:line="25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The Company's lead program, CYB003, is an orally delivered deuterated psilocybin analog that aims to address the limitations of oral psilocybin, including side effects, scalability and accessibility of treatment.</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 Company completed its CYB003 Investigational New Drug ("</w:t>
      </w:r>
      <w:r>
        <w:rPr>
          <w:rFonts w:ascii="Arial" w:cs="Arial" w:eastAsia="Arial" w:hAnsi="Arial"/>
          <w:sz w:val="17"/>
          <w:szCs w:val="17"/>
          <w:b w:val="1"/>
          <w:bCs w:val="1"/>
          <w:color w:val="auto"/>
        </w:rPr>
        <w:t>IND</w:t>
      </w:r>
      <w:r>
        <w:rPr>
          <w:rFonts w:ascii="Arial" w:cs="Arial" w:eastAsia="Arial" w:hAnsi="Arial"/>
          <w:sz w:val="17"/>
          <w:szCs w:val="17"/>
          <w:color w:val="auto"/>
        </w:rPr>
        <w:t>")-enabling preclinical studies and Chemistry, Manufacturing and Control ("</w:t>
      </w:r>
      <w:r>
        <w:rPr>
          <w:rFonts w:ascii="Arial" w:cs="Arial" w:eastAsia="Arial" w:hAnsi="Arial"/>
          <w:sz w:val="17"/>
          <w:szCs w:val="17"/>
          <w:b w:val="1"/>
          <w:bCs w:val="1"/>
          <w:color w:val="auto"/>
        </w:rPr>
        <w:t>CMC</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Arial" w:cs="Arial" w:eastAsia="Arial" w:hAnsi="Arial"/>
          <w:sz w:val="17"/>
          <w:szCs w:val="17"/>
          <w:b w:val="1"/>
          <w:bCs w:val="1"/>
          <w:color w:val="auto"/>
        </w:rPr>
        <w:t>IRB</w:t>
      </w:r>
      <w:r>
        <w:rPr>
          <w:rFonts w:ascii="Arial" w:cs="Arial" w:eastAsia="Arial" w:hAnsi="Arial"/>
          <w:sz w:val="17"/>
          <w:szCs w:val="17"/>
          <w:color w:val="auto"/>
        </w:rPr>
        <w:t>”) approval in the U.S. to commence its first-in-human Phase 1/2a study of CYB003 in participants with moderate to severe MDD. The Company has engaged Clinilabs Drug Development Corporation (“</w:t>
      </w:r>
      <w:r>
        <w:rPr>
          <w:rFonts w:ascii="Arial" w:cs="Arial" w:eastAsia="Arial" w:hAnsi="Arial"/>
          <w:sz w:val="17"/>
          <w:szCs w:val="17"/>
          <w:b w:val="1"/>
          <w:bCs w:val="1"/>
          <w:color w:val="auto"/>
        </w:rPr>
        <w:t>Clinilabs</w:t>
      </w:r>
      <w:r>
        <w:rPr>
          <w:rFonts w:ascii="Arial" w:cs="Arial" w:eastAsia="Arial" w:hAnsi="Arial"/>
          <w:sz w:val="17"/>
          <w:szCs w:val="17"/>
          <w:color w:val="auto"/>
        </w:rPr>
        <w:t>”), a full-service contract research organization with deep expertise in central nervous system drug development, to carry out the Phase 1/2a clinical trial of CYB003. On August 30, 2022, the Company announced that the first two participants have been dosed in the Phase 1/2a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the CYB003 Phase 1/2a Clinical Trial</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Phase 1/2a trial is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psychedelic effect are assessed after each dose. Participants with MDD received two administrations (placebo/active and active/active) three weeks apart and response/remission are assessed three weeks after each dose. MDD participants in the trial that are currently being treated with antidepressants are allowed to remain on their antidepressant medication.</w:t>
      </w:r>
    </w:p>
    <w:p>
      <w:pPr>
        <w:spacing w:after="0" w:line="16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study is investigating the safety, tolerability, pharmacokinetics ("</w:t>
      </w:r>
      <w:r>
        <w:rPr>
          <w:rFonts w:ascii="Arial" w:cs="Arial" w:eastAsia="Arial" w:hAnsi="Arial"/>
          <w:sz w:val="16"/>
          <w:szCs w:val="16"/>
          <w:b w:val="1"/>
          <w:bCs w:val="1"/>
          <w:color w:val="auto"/>
        </w:rPr>
        <w:t>PK</w:t>
      </w:r>
      <w:r>
        <w:rPr>
          <w:rFonts w:ascii="Arial" w:cs="Arial" w:eastAsia="Arial" w:hAnsi="Arial"/>
          <w:sz w:val="16"/>
          <w:szCs w:val="16"/>
          <w:color w:val="auto"/>
        </w:rPr>
        <w:t>") and pharmacodynamics ("</w:t>
      </w:r>
      <w:r>
        <w:rPr>
          <w:rFonts w:ascii="Arial" w:cs="Arial" w:eastAsia="Arial" w:hAnsi="Arial"/>
          <w:sz w:val="16"/>
          <w:szCs w:val="16"/>
          <w:b w:val="1"/>
          <w:bCs w:val="1"/>
          <w:color w:val="auto"/>
        </w:rPr>
        <w:t>PD</w:t>
      </w:r>
      <w:r>
        <w:rPr>
          <w:rFonts w:ascii="Arial" w:cs="Arial" w:eastAsia="Arial" w:hAnsi="Arial"/>
          <w:sz w:val="16"/>
          <w:szCs w:val="16"/>
          <w:color w:val="auto"/>
        </w:rPr>
        <w:t>"), and psychedelic effect of ascending oral doses of CYB003. In participants with MDD, the trial evaluates rapid onset of antidepressant effect on the day of dosing, using the Montgomery-Asberg Depression Rating Scale ("</w:t>
      </w:r>
      <w:r>
        <w:rPr>
          <w:rFonts w:ascii="Arial" w:cs="Arial" w:eastAsia="Arial" w:hAnsi="Arial"/>
          <w:sz w:val="16"/>
          <w:szCs w:val="16"/>
          <w:b w:val="1"/>
          <w:bCs w:val="1"/>
          <w:color w:val="auto"/>
        </w:rPr>
        <w:t>MADRS</w:t>
      </w:r>
      <w:r>
        <w:rPr>
          <w:rFonts w:ascii="Arial" w:cs="Arial" w:eastAsia="Arial" w:hAnsi="Arial"/>
          <w:sz w:val="16"/>
          <w:szCs w:val="16"/>
          <w:color w:val="auto"/>
        </w:rPr>
        <w:t>"), and evaluates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29" w:right="339" w:bottom="1440" w:gutter="0" w:footer="0" w:header="0"/>
        </w:sectPr>
      </w:pPr>
    </w:p>
    <w:bookmarkStart w:id="37" w:name="page38"/>
    <w:bookmarkEnd w:id="37"/>
    <w:p>
      <w:pPr>
        <w:jc w:val="both"/>
        <w:ind w:left="3"/>
        <w:spacing w:after="0" w:line="338" w:lineRule="auto"/>
        <w:rPr>
          <w:sz w:val="20"/>
          <w:szCs w:val="20"/>
          <w:color w:val="auto"/>
        </w:rPr>
      </w:pPr>
      <w:r>
        <w:rPr>
          <w:rFonts w:ascii="Arial" w:cs="Arial" w:eastAsia="Arial" w:hAnsi="Arial"/>
          <w:sz w:val="16"/>
          <w:szCs w:val="16"/>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 As of February 28, 2023, dosing in the Phase 1 portion of the study has been completed and dosing is ongoing in the Phase 2a portion.</w:t>
      </w:r>
    </w:p>
    <w:p>
      <w:pPr>
        <w:spacing w:after="0" w:line="150" w:lineRule="exact"/>
        <w:rPr>
          <w:sz w:val="20"/>
          <w:szCs w:val="20"/>
          <w:color w:val="auto"/>
        </w:rPr>
      </w:pPr>
    </w:p>
    <w:p>
      <w:pPr>
        <w:jc w:val="both"/>
        <w:ind w:left="3"/>
        <w:spacing w:after="0" w:line="273" w:lineRule="auto"/>
        <w:rPr>
          <w:sz w:val="20"/>
          <w:szCs w:val="20"/>
          <w:color w:val="auto"/>
        </w:rPr>
      </w:pPr>
      <w:r>
        <w:rPr>
          <w:rFonts w:ascii="Arial" w:cs="Arial" w:eastAsia="Arial" w:hAnsi="Arial"/>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so far of completed Cohorts 4 and 5, evaluated two 12mg doses of CYB003. On August 2, 2023, the Company announced that it had initiated dosing in Cohort 6, the final cohort of the CYB003 Phase 2a study.</w:t>
      </w:r>
    </w:p>
    <w:p>
      <w:pPr>
        <w:spacing w:after="0" w:line="184" w:lineRule="exact"/>
        <w:rPr>
          <w:sz w:val="20"/>
          <w:szCs w:val="20"/>
          <w:color w:val="auto"/>
        </w:rPr>
      </w:pPr>
    </w:p>
    <w:p>
      <w:pPr>
        <w:jc w:val="both"/>
        <w:ind w:left="3"/>
        <w:spacing w:after="0" w:line="319" w:lineRule="auto"/>
        <w:rPr>
          <w:sz w:val="20"/>
          <w:szCs w:val="20"/>
          <w:color w:val="auto"/>
        </w:rPr>
      </w:pPr>
      <w:r>
        <w:rPr>
          <w:rFonts w:ascii="Arial" w:cs="Arial" w:eastAsia="Arial" w:hAnsi="Arial"/>
          <w:sz w:val="16"/>
          <w:szCs w:val="16"/>
          <w:color w:val="auto"/>
        </w:rPr>
        <w:t>On September 21, 2023, the Company announced that it had completed enrollment in its Phase 2a study of CYB003, its proprietary deuterated psilocybin analog program being developed for the potential treatment of MDD. All participants in the sixth, and final, cohort received at least one dose (placebo or 16mg of CYB003) with several second doses already administered, and no serious adverse events observed in participants. To date, CYB003 has demonstrated a favorable safety and tolerability profile at all doses evaluated in the five completed cohorts (1mg, 3mg, 8mg, 10mg, and 12mg).</w:t>
      </w:r>
    </w:p>
    <w:p>
      <w:pPr>
        <w:spacing w:after="0" w:line="150" w:lineRule="exact"/>
        <w:rPr>
          <w:sz w:val="20"/>
          <w:szCs w:val="20"/>
          <w:color w:val="auto"/>
        </w:rPr>
      </w:pPr>
    </w:p>
    <w:p>
      <w:pPr>
        <w:jc w:val="both"/>
        <w:ind w:left="3"/>
        <w:spacing w:after="0" w:line="328" w:lineRule="auto"/>
        <w:rPr>
          <w:sz w:val="20"/>
          <w:szCs w:val="20"/>
          <w:color w:val="auto"/>
        </w:rPr>
      </w:pPr>
      <w:r>
        <w:rPr>
          <w:rFonts w:ascii="Arial" w:cs="Arial" w:eastAsia="Arial" w:hAnsi="Arial"/>
          <w:sz w:val="16"/>
          <w:szCs w:val="16"/>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69" w:lineRule="exact"/>
        <w:rPr>
          <w:sz w:val="20"/>
          <w:szCs w:val="20"/>
          <w:color w:val="auto"/>
        </w:rPr>
      </w:pPr>
    </w:p>
    <w:p>
      <w:pPr>
        <w:jc w:val="both"/>
        <w:ind w:left="3"/>
        <w:spacing w:after="0" w:line="344" w:lineRule="auto"/>
        <w:rPr>
          <w:sz w:val="20"/>
          <w:szCs w:val="20"/>
          <w:color w:val="auto"/>
        </w:rPr>
      </w:pPr>
      <w:r>
        <w:rPr>
          <w:rFonts w:ascii="Arial" w:cs="Arial" w:eastAsia="Arial" w:hAnsi="Arial"/>
          <w:sz w:val="16"/>
          <w:szCs w:val="16"/>
          <w:color w:val="auto"/>
        </w:rPr>
        <w:t xml:space="preserve">On October 31, 2023, the Company announced Phase 2a interim results for CYB003, its proprietary deuterated psilocybin analog,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w:t>
      </w:r>
      <w:r>
        <w:rPr>
          <w:rFonts w:ascii="Arial" w:cs="Arial" w:eastAsia="Arial" w:hAnsi="Arial"/>
          <w:sz w:val="17"/>
          <w:szCs w:val="17"/>
          <w:color w:val="auto"/>
        </w:rPr>
        <w:t>MADRS</w:t>
      </w:r>
      <w:r>
        <w:rPr>
          <w:rFonts w:ascii="Arial" w:cs="Arial" w:eastAsia="Arial" w:hAnsi="Arial"/>
          <w:sz w:val="16"/>
          <w:szCs w:val="16"/>
          <w:color w:val="auto"/>
        </w:rPr>
        <w:t xml:space="preserve"> total score, was superior in participants assigned to CYB003 compared to the participants who received placebo by 14.08 points (p=0.0005, Cohen’s d=2.15).</w:t>
      </w:r>
    </w:p>
    <w:p>
      <w:pPr>
        <w:spacing w:after="0" w:line="139"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Company spent approximately $5,873 on the Deuterated Psilocybin Analog Program during the six months ended September 30, 2023.</w:t>
      </w:r>
    </w:p>
    <w:p>
      <w:pPr>
        <w:spacing w:after="0" w:line="254" w:lineRule="exact"/>
        <w:rPr>
          <w:sz w:val="20"/>
          <w:szCs w:val="20"/>
          <w:color w:val="auto"/>
        </w:rPr>
      </w:pPr>
    </w:p>
    <w:p>
      <w:pPr>
        <w:jc w:val="both"/>
        <w:ind w:left="3"/>
        <w:spacing w:after="0" w:line="289" w:lineRule="auto"/>
        <w:rPr>
          <w:sz w:val="20"/>
          <w:szCs w:val="20"/>
          <w:color w:val="auto"/>
        </w:rPr>
      </w:pPr>
      <w:r>
        <w:rPr>
          <w:rFonts w:ascii="Arial" w:cs="Arial" w:eastAsia="Arial" w:hAnsi="Arial"/>
          <w:sz w:val="18"/>
          <w:szCs w:val="18"/>
          <w:color w:val="auto"/>
        </w:rPr>
        <w:t>As the Company continues to progress through the CYB003 program, additional milestones related to the Phase 1/2a clinical trial have been identified. The Company intends to:</w:t>
      </w:r>
    </w:p>
    <w:p>
      <w:pPr>
        <w:spacing w:after="0" w:line="193" w:lineRule="exact"/>
        <w:rPr>
          <w:sz w:val="20"/>
          <w:szCs w:val="20"/>
          <w:color w:val="auto"/>
        </w:rPr>
      </w:pPr>
    </w:p>
    <w:p>
      <w:pPr>
        <w:ind w:left="523" w:hanging="232"/>
        <w:spacing w:after="0"/>
        <w:tabs>
          <w:tab w:leader="none" w:pos="5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topline data readout from the Phase 1/2a study in Q4 2023</w:t>
      </w:r>
      <w:r>
        <w:rPr>
          <w:rFonts w:ascii="Arial" w:cs="Arial" w:eastAsia="Arial" w:hAnsi="Arial"/>
          <w:sz w:val="23"/>
          <w:szCs w:val="23"/>
          <w:color w:val="006600"/>
          <w:vertAlign w:val="superscript"/>
        </w:rPr>
        <w:t>9</w:t>
      </w:r>
      <w:r>
        <w:rPr>
          <w:rFonts w:ascii="Arial" w:cs="Arial" w:eastAsia="Arial" w:hAnsi="Arial"/>
          <w:sz w:val="18"/>
          <w:szCs w:val="18"/>
          <w:color w:val="auto"/>
        </w:rPr>
        <w:t>.</w:t>
      </w:r>
      <w:r>
        <w:rPr>
          <w:rFonts w:ascii="Arial" w:cs="Arial" w:eastAsia="Arial" w:hAnsi="Arial"/>
          <w:sz w:val="23"/>
          <w:szCs w:val="23"/>
          <w:color w:val="auto"/>
          <w:strike w:val="1"/>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15398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39875" cy="762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-95250</wp:posOffset>
            </wp:positionV>
            <wp:extent cx="1524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2400" cy="7620"/>
                    </a:xfrm>
                    <a:prstGeom prst="rect">
                      <a:avLst/>
                    </a:prstGeom>
                    <a:noFill/>
                  </pic:spPr>
                </pic:pic>
              </a:graphicData>
            </a:graphic>
          </wp:anchor>
        </w:drawing>
      </w:r>
    </w:p>
    <w:p>
      <w:pPr>
        <w:spacing w:after="0" w:line="156" w:lineRule="exact"/>
        <w:rPr>
          <w:sz w:val="20"/>
          <w:szCs w:val="20"/>
          <w:color w:val="auto"/>
        </w:rPr>
      </w:pPr>
    </w:p>
    <w:p>
      <w:pPr>
        <w:ind w:left="3" w:right="40"/>
        <w:spacing w:after="0" w:line="254" w:lineRule="auto"/>
        <w:rPr>
          <w:sz w:val="20"/>
          <w:szCs w:val="20"/>
          <w:color w:val="auto"/>
        </w:rPr>
      </w:pPr>
      <w:r>
        <w:rPr>
          <w:rFonts w:ascii="Arial" w:cs="Arial" w:eastAsia="Arial" w:hAnsi="Arial"/>
          <w:sz w:val="24"/>
          <w:szCs w:val="24"/>
          <w:color w:val="auto"/>
          <w:vertAlign w:val="superscript"/>
        </w:rPr>
        <w:t>9</w:t>
      </w:r>
      <w:r>
        <w:rPr>
          <w:rFonts w:ascii="Arial" w:cs="Arial" w:eastAsia="Arial" w:hAnsi="Arial"/>
          <w:sz w:val="14"/>
          <w:szCs w:val="14"/>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63" w:lineRule="exact"/>
        <w:rPr>
          <w:sz w:val="20"/>
          <w:szCs w:val="20"/>
          <w:color w:val="auto"/>
        </w:rPr>
      </w:pPr>
    </w:p>
    <w:p>
      <w:pPr>
        <w:ind w:left="3" w:hanging="3"/>
        <w:spacing w:after="0" w:line="226" w:lineRule="auto"/>
        <w:tabs>
          <w:tab w:leader="none" w:pos="178"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The Company has updated this milestone. The Company had previously expected it would complete this milestone in Q3/Q4 2023. The Company now expects to receive the topline data readout in Q4 2023.</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3"/>
          </w:cols>
          <w:pgMar w:left="317" w:top="729" w:right="339" w:bottom="1440" w:gutter="0" w:footer="0" w:header="0"/>
        </w:sectPr>
      </w:pPr>
    </w:p>
    <w:bookmarkStart w:id="38" w:name="page39"/>
    <w:bookmarkEnd w:id="38"/>
    <w:p>
      <w:pPr>
        <w:ind w:left="523" w:hanging="232"/>
        <w:spacing w:after="0"/>
        <w:tabs>
          <w:tab w:leader="none" w:pos="5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complete FDA submission of CYB003 Phase 1/2a data for end of phase 2 meeting in Q4 2023</w:t>
      </w:r>
      <w:r>
        <w:rPr>
          <w:rFonts w:ascii="Arial" w:cs="Arial" w:eastAsia="Arial" w:hAnsi="Arial"/>
          <w:sz w:val="23"/>
          <w:szCs w:val="23"/>
          <w:color w:val="auto"/>
          <w:strike w:val="1"/>
          <w:vertAlign w:val="superscript"/>
        </w:rPr>
        <w:t>11</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523" w:hanging="232"/>
        <w:spacing w:after="0"/>
        <w:tabs>
          <w:tab w:leader="none" w:pos="5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a Phase 3 study of CYB003 in MDD in Q1 2024</w:t>
      </w:r>
      <w:r>
        <w:rPr>
          <w:rFonts w:ascii="Arial" w:cs="Arial" w:eastAsia="Arial" w:hAnsi="Arial"/>
          <w:sz w:val="23"/>
          <w:szCs w:val="23"/>
          <w:color w:val="auto"/>
          <w:vertAlign w:val="superscript"/>
        </w:rPr>
        <w:t>12</w:t>
      </w:r>
      <w:r>
        <w:rPr>
          <w:rFonts w:ascii="Arial" w:cs="Arial" w:eastAsia="Arial" w:hAnsi="Arial"/>
          <w:sz w:val="18"/>
          <w:szCs w:val="18"/>
          <w:color w:val="auto"/>
        </w:rPr>
        <w:t>.</w:t>
      </w:r>
    </w:p>
    <w:p>
      <w:pPr>
        <w:spacing w:after="0" w:line="168" w:lineRule="exact"/>
        <w:rPr>
          <w:sz w:val="20"/>
          <w:szCs w:val="20"/>
          <w:color w:val="auto"/>
        </w:rPr>
      </w:pPr>
    </w:p>
    <w:p>
      <w:pPr>
        <w:jc w:val="both"/>
        <w:ind w:left="3"/>
        <w:spacing w:after="0" w:line="279" w:lineRule="auto"/>
        <w:rPr>
          <w:sz w:val="20"/>
          <w:szCs w:val="20"/>
          <w:color w:val="auto"/>
        </w:rPr>
      </w:pPr>
      <w:r>
        <w:rPr>
          <w:rFonts w:ascii="Arial" w:cs="Arial" w:eastAsia="Arial" w:hAnsi="Arial"/>
          <w:sz w:val="17"/>
          <w:szCs w:val="17"/>
          <w:color w:val="auto"/>
        </w:rPr>
        <w:t>The Company expects to spend approximately $7,704</w:t>
      </w:r>
      <w:r>
        <w:rPr>
          <w:rFonts w:ascii="Arial" w:cs="Arial" w:eastAsia="Arial" w:hAnsi="Arial"/>
          <w:sz w:val="22"/>
          <w:szCs w:val="22"/>
          <w:color w:val="auto"/>
          <w:vertAlign w:val="superscript"/>
        </w:rPr>
        <w:t>13</w:t>
      </w:r>
      <w:r>
        <w:rPr>
          <w:rFonts w:ascii="Arial" w:cs="Arial" w:eastAsia="Arial" w:hAnsi="Arial"/>
          <w:sz w:val="17"/>
          <w:szCs w:val="17"/>
          <w:color w:val="auto"/>
        </w:rPr>
        <w:t xml:space="preserve"> to provide topline data readout from the Phase 1/2a study by Q4 2023</w:t>
      </w:r>
      <w:r>
        <w:rPr>
          <w:rFonts w:ascii="Arial" w:cs="Arial" w:eastAsia="Arial" w:hAnsi="Arial"/>
          <w:sz w:val="22"/>
          <w:szCs w:val="22"/>
          <w:color w:val="auto"/>
          <w:strike w:val="1"/>
          <w:vertAlign w:val="superscript"/>
        </w:rPr>
        <w:t>14</w:t>
      </w:r>
      <w:r>
        <w:rPr>
          <w:rFonts w:ascii="Arial" w:cs="Arial" w:eastAsia="Arial" w:hAnsi="Arial"/>
          <w:sz w:val="17"/>
          <w:szCs w:val="17"/>
          <w:color w:val="auto"/>
        </w:rPr>
        <w:t>, of which approximately $5,310 was spent during the six months ended September 30, 2023 and approximately $1,392 was spent in the financial year ended March 31, 2023, resulting in an approximate remaining spend as of September 30, 2023 of $1,002 by Q4 2023. The Company also expects to spend approximately $2,500 to complete the FDA submission of CYB003 Phase 1/2a data by Q4 2023, of which approximately nil was spent during the six months ended September 30, 2023. The Company intends to continue funding the Deuterated Psilocybin Analog (CYB003) Program.</w:t>
      </w:r>
    </w:p>
    <w:p>
      <w:pPr>
        <w:spacing w:after="0" w:line="216"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Company intends to complete future clinical trials for this program in the U.S., Canada, and/or Europe.</w:t>
      </w:r>
    </w:p>
    <w:p>
      <w:pPr>
        <w:spacing w:after="0" w:line="262" w:lineRule="exact"/>
        <w:rPr>
          <w:sz w:val="20"/>
          <w:szCs w:val="20"/>
          <w:color w:val="auto"/>
        </w:rPr>
      </w:pPr>
    </w:p>
    <w:p>
      <w:pPr>
        <w:ind w:left="3"/>
        <w:spacing w:after="0"/>
        <w:rPr>
          <w:sz w:val="20"/>
          <w:szCs w:val="20"/>
          <w:color w:val="auto"/>
        </w:rPr>
      </w:pPr>
      <w:r>
        <w:rPr>
          <w:rFonts w:ascii="Arial" w:cs="Arial" w:eastAsia="Arial" w:hAnsi="Arial"/>
          <w:sz w:val="18"/>
          <w:szCs w:val="18"/>
          <w:b w:val="1"/>
          <w:bCs w:val="1"/>
          <w:u w:val="single" w:color="auto"/>
          <w:color w:val="auto"/>
        </w:rPr>
        <w:t>Deuterated Dimethyltryptamine Program (CYB004)</w:t>
      </w:r>
    </w:p>
    <w:p>
      <w:pPr>
        <w:spacing w:after="0" w:line="248" w:lineRule="exact"/>
        <w:rPr>
          <w:sz w:val="20"/>
          <w:szCs w:val="20"/>
          <w:color w:val="auto"/>
        </w:rPr>
      </w:pPr>
    </w:p>
    <w:p>
      <w:pPr>
        <w:jc w:val="both"/>
        <w:ind w:left="3"/>
        <w:spacing w:after="0" w:line="320" w:lineRule="auto"/>
        <w:rPr>
          <w:sz w:val="20"/>
          <w:szCs w:val="20"/>
          <w:color w:val="auto"/>
        </w:rPr>
      </w:pPr>
      <w:r>
        <w:rPr>
          <w:rFonts w:ascii="Arial" w:cs="Arial" w:eastAsia="Arial" w:hAnsi="Arial"/>
          <w:sz w:val="16"/>
          <w:szCs w:val="16"/>
          <w:color w:val="auto"/>
        </w:rPr>
        <w:t>The Company’s Deuterated Dimethyltryptamine Program is focused on the development of CYB004, a deuterated version of DMT. DMT has been shown to exert its psychedelic effects by activating the 5-HT2A receptor. In its regular form, DMT is an unstable molecule rapidly metabolized in the body, which significantly reduces its bioavailability. By maximizing CYB004 as a deuterated molecule and improving upon the bioavailability of DMT, CYB004 has the potential to overcome existing limitations of DMT and may offer less invasive and more convenient dosing methods compared to IV DMT. Cybin is currently developing CYB004 for the potential treatment of GAD, with or without MDD. CYB004 is secured by a U.S. composition of matter patent with protection through 2041. The patent covers a range of deuteration forms of DMT and protects CYB004 as a putative new chemical entity.</w:t>
      </w:r>
    </w:p>
    <w:p>
      <w:pPr>
        <w:spacing w:after="0" w:line="165" w:lineRule="exact"/>
        <w:rPr>
          <w:sz w:val="20"/>
          <w:szCs w:val="20"/>
          <w:color w:val="auto"/>
        </w:rPr>
      </w:pPr>
    </w:p>
    <w:p>
      <w:pPr>
        <w:jc w:val="both"/>
        <w:ind w:left="3"/>
        <w:spacing w:after="0" w:line="277" w:lineRule="auto"/>
        <w:rPr>
          <w:sz w:val="20"/>
          <w:szCs w:val="20"/>
          <w:color w:val="auto"/>
        </w:rPr>
      </w:pPr>
      <w:r>
        <w:rPr>
          <w:rFonts w:ascii="Arial" w:cs="Arial" w:eastAsia="Arial" w:hAnsi="Arial"/>
          <w:sz w:val="18"/>
          <w:szCs w:val="18"/>
          <w:color w:val="auto"/>
        </w:rPr>
        <w:t>In preclinical studies,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psychedelic-based therapeutics.</w:t>
      </w:r>
    </w:p>
    <w:p>
      <w:pPr>
        <w:spacing w:after="0" w:line="187" w:lineRule="exact"/>
        <w:rPr>
          <w:sz w:val="20"/>
          <w:szCs w:val="20"/>
          <w:color w:val="auto"/>
        </w:rPr>
      </w:pPr>
    </w:p>
    <w:p>
      <w:pPr>
        <w:jc w:val="both"/>
        <w:ind w:left="3" w:right="20"/>
        <w:spacing w:after="0" w:line="297" w:lineRule="auto"/>
        <w:rPr>
          <w:sz w:val="20"/>
          <w:szCs w:val="20"/>
          <w:color w:val="auto"/>
        </w:rPr>
      </w:pPr>
      <w:r>
        <w:rPr>
          <w:rFonts w:ascii="Arial" w:cs="Arial" w:eastAsia="Arial" w:hAnsi="Arial"/>
          <w:sz w:val="17"/>
          <w:szCs w:val="17"/>
          <w:color w:val="auto"/>
        </w:rPr>
        <w:t>On June 7, 2022, the Company announced it had entered into an agreement to acquire a Phase 1 DMT study (the “</w:t>
      </w:r>
      <w:r>
        <w:rPr>
          <w:rFonts w:ascii="Arial" w:cs="Arial" w:eastAsia="Arial" w:hAnsi="Arial"/>
          <w:sz w:val="17"/>
          <w:szCs w:val="17"/>
          <w:b w:val="1"/>
          <w:bCs w:val="1"/>
          <w:color w:val="auto"/>
        </w:rPr>
        <w:t>Asset Acquisition</w:t>
      </w:r>
      <w:r>
        <w:rPr>
          <w:rFonts w:ascii="Arial" w:cs="Arial" w:eastAsia="Arial" w:hAnsi="Arial"/>
          <w:sz w:val="17"/>
          <w:szCs w:val="17"/>
          <w:color w:val="auto"/>
        </w:rPr>
        <w:t>”) from Entheon Biomedical Corp. (“</w:t>
      </w:r>
      <w:r>
        <w:rPr>
          <w:rFonts w:ascii="Arial" w:cs="Arial" w:eastAsia="Arial" w:hAnsi="Arial"/>
          <w:sz w:val="17"/>
          <w:szCs w:val="17"/>
          <w:b w:val="1"/>
          <w:bCs w:val="1"/>
          <w:color w:val="auto"/>
        </w:rPr>
        <w:t>Entheon</w:t>
      </w:r>
      <w:r>
        <w:rPr>
          <w:rFonts w:ascii="Arial" w:cs="Arial" w:eastAsia="Arial" w:hAnsi="Arial"/>
          <w:sz w:val="17"/>
          <w:szCs w:val="17"/>
          <w:color w:val="auto"/>
        </w:rPr>
        <w:t>”) to accelerate the clinical development path for CYB004. On July 11, 2022, the Company announced that the Asset Acquisition was completed. The Phase 1 study, previously identified as EBRX-101 and now named CYB004-E, is being conducted in the Netherlands. Entheon acted as external consultants to the Company for approximately 10 months after the Asset Acquisition.</w:t>
      </w:r>
    </w:p>
    <w:p>
      <w:pPr>
        <w:spacing w:after="0" w:line="176" w:lineRule="exact"/>
        <w:rPr>
          <w:sz w:val="20"/>
          <w:szCs w:val="20"/>
          <w:color w:val="auto"/>
        </w:rPr>
      </w:pPr>
    </w:p>
    <w:p>
      <w:pPr>
        <w:jc w:val="both"/>
        <w:ind w:left="3" w:right="20"/>
        <w:spacing w:after="0" w:line="303" w:lineRule="auto"/>
        <w:rPr>
          <w:sz w:val="20"/>
          <w:szCs w:val="20"/>
          <w:color w:val="auto"/>
        </w:rPr>
      </w:pPr>
      <w:r>
        <w:rPr>
          <w:rFonts w:ascii="Arial" w:cs="Arial" w:eastAsia="Arial" w:hAnsi="Arial"/>
          <w:sz w:val="18"/>
          <w:szCs w:val="18"/>
          <w:color w:val="auto"/>
        </w:rPr>
        <w:t>On January 12, 2023, the Company announced that it has selected GAD with or without MDD as the target indication for its proprietary deuterated DMT molecule, CYB004.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15398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3" w:right="20" w:hanging="3"/>
        <w:spacing w:after="0" w:line="233" w:lineRule="auto"/>
        <w:tabs>
          <w:tab w:leader="none" w:pos="173" w:val="left"/>
        </w:tabs>
        <w:numPr>
          <w:ilvl w:val="0"/>
          <w:numId w:val="31"/>
        </w:numPr>
        <w:rPr>
          <w:rFonts w:ascii="Arial" w:cs="Arial" w:eastAsia="Arial" w:hAnsi="Arial"/>
          <w:sz w:val="23"/>
          <w:szCs w:val="23"/>
          <w:color w:val="auto"/>
          <w:vertAlign w:val="superscript"/>
        </w:rPr>
      </w:pPr>
      <w:r>
        <w:rPr>
          <w:rFonts w:ascii="Arial" w:cs="Arial" w:eastAsia="Arial" w:hAnsi="Arial"/>
          <w:sz w:val="14"/>
          <w:szCs w:val="14"/>
          <w:color w:val="auto"/>
        </w:rPr>
        <w:t>See footnote 9. The advancement of the Company’s Deuterated Psilocybin Analog Program (CYB003) program beyond providing a topline data readout from the Phase 1/2a study in Q3/Q4 2023 is contingent on the Company's ability to continue raising capital under its current and future financing arrangements. No assurances can be given that the Company will be able to raise the additional capital that it may require for its anticipated future development. See “Risk Factors” for further information.</w:t>
      </w:r>
    </w:p>
    <w:p>
      <w:pPr>
        <w:spacing w:after="0" w:line="2" w:lineRule="exact"/>
        <w:rPr>
          <w:rFonts w:ascii="Arial" w:cs="Arial" w:eastAsia="Arial" w:hAnsi="Arial"/>
          <w:sz w:val="23"/>
          <w:szCs w:val="23"/>
          <w:color w:val="auto"/>
          <w:vertAlign w:val="superscript"/>
        </w:rPr>
      </w:pPr>
    </w:p>
    <w:p>
      <w:pPr>
        <w:ind w:left="183" w:hanging="183"/>
        <w:spacing w:after="0" w:line="221" w:lineRule="auto"/>
        <w:tabs>
          <w:tab w:leader="none" w:pos="183" w:val="left"/>
        </w:tabs>
        <w:numPr>
          <w:ilvl w:val="0"/>
          <w:numId w:val="31"/>
        </w:numPr>
        <w:rPr>
          <w:rFonts w:ascii="Arial" w:cs="Arial" w:eastAsia="Arial" w:hAnsi="Arial"/>
          <w:sz w:val="24"/>
          <w:szCs w:val="24"/>
          <w:color w:val="auto"/>
          <w:vertAlign w:val="superscript"/>
        </w:rPr>
      </w:pPr>
      <w:r>
        <w:rPr>
          <w:rFonts w:ascii="Arial" w:cs="Arial" w:eastAsia="Arial" w:hAnsi="Arial"/>
          <w:sz w:val="14"/>
          <w:szCs w:val="14"/>
          <w:color w:val="auto"/>
        </w:rPr>
        <w:t>See footnotes 9 and 11.</w:t>
      </w:r>
    </w:p>
    <w:p>
      <w:pPr>
        <w:spacing w:after="0" w:line="35" w:lineRule="exact"/>
        <w:rPr>
          <w:rFonts w:ascii="Arial" w:cs="Arial" w:eastAsia="Arial" w:hAnsi="Arial"/>
          <w:sz w:val="24"/>
          <w:szCs w:val="24"/>
          <w:color w:val="auto"/>
          <w:vertAlign w:val="superscript"/>
        </w:rPr>
      </w:pPr>
    </w:p>
    <w:p>
      <w:pPr>
        <w:jc w:val="both"/>
        <w:ind w:left="3" w:right="20" w:hanging="3"/>
        <w:spacing w:after="0" w:line="234" w:lineRule="auto"/>
        <w:tabs>
          <w:tab w:leader="none" w:pos="175" w:val="left"/>
        </w:tabs>
        <w:numPr>
          <w:ilvl w:val="0"/>
          <w:numId w:val="31"/>
        </w:numPr>
        <w:rPr>
          <w:rFonts w:ascii="Arial" w:cs="Arial" w:eastAsia="Arial" w:hAnsi="Arial"/>
          <w:sz w:val="23"/>
          <w:szCs w:val="23"/>
          <w:color w:val="auto"/>
          <w:vertAlign w:val="superscript"/>
        </w:rPr>
      </w:pPr>
      <w:r>
        <w:rPr>
          <w:rFonts w:ascii="Arial" w:cs="Arial" w:eastAsia="Arial" w:hAnsi="Arial"/>
          <w:sz w:val="14"/>
          <w:szCs w:val="14"/>
          <w:color w:val="auto"/>
        </w:rPr>
        <w:t>Reflects actual spend during the financial year ended March 31, 2023, during the period from April 1, 2023 to September 30, 2023 and expected spend during the period from October 1, 2023 until the achievement of topline data readout from the Phase 1/2a study in Q4 2023.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1" w:lineRule="exact"/>
        <w:rPr>
          <w:rFonts w:ascii="Arial" w:cs="Arial" w:eastAsia="Arial" w:hAnsi="Arial"/>
          <w:sz w:val="23"/>
          <w:szCs w:val="23"/>
          <w:color w:val="auto"/>
          <w:vertAlign w:val="superscript"/>
        </w:rPr>
      </w:pPr>
    </w:p>
    <w:p>
      <w:pPr>
        <w:ind w:left="123" w:hanging="123"/>
        <w:spacing w:after="0"/>
        <w:tabs>
          <w:tab w:leader="none" w:pos="123"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See footnote 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3"/>
          </w:cols>
          <w:pgMar w:left="317" w:top="729" w:right="319" w:bottom="1440" w:gutter="0" w:footer="0" w:header="0"/>
        </w:sectPr>
      </w:pPr>
    </w:p>
    <w:bookmarkStart w:id="39" w:name="page40"/>
    <w:bookmarkEnd w:id="39"/>
    <w:p>
      <w:pPr>
        <w:ind w:left="3"/>
        <w:spacing w:after="0"/>
        <w:rPr>
          <w:sz w:val="20"/>
          <w:szCs w:val="20"/>
          <w:color w:val="auto"/>
        </w:rPr>
      </w:pPr>
      <w:r>
        <w:rPr>
          <w:rFonts w:ascii="Arial" w:cs="Arial" w:eastAsia="Arial" w:hAnsi="Arial"/>
          <w:sz w:val="18"/>
          <w:szCs w:val="18"/>
          <w:b w:val="1"/>
          <w:bCs w:val="1"/>
          <w:i w:val="1"/>
          <w:iCs w:val="1"/>
          <w:color w:val="auto"/>
        </w:rPr>
        <w:t>About the Phase 1 CYB004-E DMT Study</w:t>
      </w:r>
    </w:p>
    <w:p>
      <w:pPr>
        <w:spacing w:after="0" w:line="254" w:lineRule="exact"/>
        <w:rPr>
          <w:sz w:val="20"/>
          <w:szCs w:val="20"/>
          <w:color w:val="auto"/>
        </w:rPr>
      </w:pPr>
    </w:p>
    <w:p>
      <w:pPr>
        <w:jc w:val="both"/>
        <w:ind w:left="3" w:right="20"/>
        <w:spacing w:after="0" w:line="293" w:lineRule="auto"/>
        <w:rPr>
          <w:sz w:val="20"/>
          <w:szCs w:val="20"/>
          <w:color w:val="auto"/>
        </w:rPr>
      </w:pPr>
      <w:r>
        <w:rPr>
          <w:rFonts w:ascii="Arial" w:cs="Arial" w:eastAsia="Arial" w:hAnsi="Arial"/>
          <w:sz w:val="18"/>
          <w:szCs w:val="18"/>
          <w:color w:val="auto"/>
        </w:rPr>
        <w:t>The Phase 1 trial is a three-part study evaluating the safety, pharmacokinetics, and pharmacodynamics of escalating doses of DMT and CYB004 in healthy volunteers. The three-part study design was established in a protocol amendment to the initial study design, allowing the Company to commence first-in-human dosing of CYB004 sooner than initially planned. The study is expected to provide essential safety and dosing optimization data to inform the clinical path forward for CYB004. The CYB004-E study is being conducted at the Centre for Human Drug Research in the Netherlands and is one of the largest Phase 1 DMT clinical trials to date.</w:t>
      </w:r>
    </w:p>
    <w:p>
      <w:pPr>
        <w:spacing w:after="0" w:line="182" w:lineRule="exact"/>
        <w:rPr>
          <w:sz w:val="20"/>
          <w:szCs w:val="20"/>
          <w:color w:val="auto"/>
        </w:rPr>
      </w:pPr>
    </w:p>
    <w:p>
      <w:pPr>
        <w:jc w:val="both"/>
        <w:ind w:left="3" w:right="20"/>
        <w:spacing w:after="0" w:line="301" w:lineRule="auto"/>
        <w:rPr>
          <w:sz w:val="20"/>
          <w:szCs w:val="20"/>
          <w:color w:val="auto"/>
        </w:rPr>
      </w:pPr>
      <w:r>
        <w:rPr>
          <w:rFonts w:ascii="Arial" w:cs="Arial" w:eastAsia="Arial" w:hAnsi="Arial"/>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70" w:lineRule="exact"/>
        <w:rPr>
          <w:sz w:val="20"/>
          <w:szCs w:val="20"/>
          <w:color w:val="auto"/>
        </w:rPr>
      </w:pPr>
    </w:p>
    <w:p>
      <w:pPr>
        <w:jc w:val="both"/>
        <w:ind w:left="3"/>
        <w:spacing w:after="0" w:line="289" w:lineRule="auto"/>
        <w:rPr>
          <w:sz w:val="20"/>
          <w:szCs w:val="20"/>
          <w:color w:val="auto"/>
        </w:rPr>
      </w:pPr>
      <w:r>
        <w:rPr>
          <w:rFonts w:ascii="Arial" w:cs="Arial" w:eastAsia="Arial" w:hAnsi="Arial"/>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81" w:lineRule="exact"/>
        <w:rPr>
          <w:sz w:val="20"/>
          <w:szCs w:val="20"/>
          <w:color w:val="auto"/>
        </w:rPr>
      </w:pPr>
    </w:p>
    <w:p>
      <w:pPr>
        <w:jc w:val="both"/>
        <w:ind w:left="3"/>
        <w:spacing w:after="0" w:line="289" w:lineRule="auto"/>
        <w:rPr>
          <w:sz w:val="20"/>
          <w:szCs w:val="20"/>
          <w:color w:val="auto"/>
        </w:rPr>
      </w:pPr>
      <w:r>
        <w:rPr>
          <w:rFonts w:ascii="Arial" w:cs="Arial" w:eastAsia="Arial" w:hAnsi="Arial"/>
          <w:sz w:val="17"/>
          <w:szCs w:val="17"/>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186" w:lineRule="exact"/>
        <w:rPr>
          <w:sz w:val="20"/>
          <w:szCs w:val="20"/>
          <w:color w:val="auto"/>
        </w:rPr>
      </w:pPr>
    </w:p>
    <w:p>
      <w:pPr>
        <w:ind w:left="3"/>
        <w:spacing w:after="0"/>
        <w:rPr>
          <w:sz w:val="20"/>
          <w:szCs w:val="20"/>
          <w:color w:val="auto"/>
        </w:rPr>
      </w:pPr>
      <w:r>
        <w:rPr>
          <w:rFonts w:ascii="Arial" w:cs="Arial" w:eastAsia="Arial" w:hAnsi="Arial"/>
          <w:sz w:val="18"/>
          <w:szCs w:val="18"/>
          <w:color w:val="auto"/>
        </w:rPr>
        <w:t>On May 9, 2023, the Company announced that it had completed dosing for the last subject in Part B of the Phase 1 CYB004-E trial.</w:t>
      </w:r>
    </w:p>
    <w:p>
      <w:pPr>
        <w:spacing w:after="0" w:line="242" w:lineRule="exact"/>
        <w:rPr>
          <w:sz w:val="20"/>
          <w:szCs w:val="20"/>
          <w:color w:val="auto"/>
        </w:rPr>
      </w:pPr>
    </w:p>
    <w:p>
      <w:pPr>
        <w:ind w:left="3"/>
        <w:spacing w:after="0"/>
        <w:rPr>
          <w:sz w:val="20"/>
          <w:szCs w:val="20"/>
          <w:color w:val="auto"/>
        </w:rPr>
      </w:pPr>
      <w:r>
        <w:rPr>
          <w:rFonts w:ascii="Arial" w:cs="Arial" w:eastAsia="Arial" w:hAnsi="Arial"/>
          <w:sz w:val="18"/>
          <w:szCs w:val="18"/>
          <w:color w:val="auto"/>
        </w:rPr>
        <w:t>On May 24, 2023, the Company announced that it had initiated first-in-human dosing of CYB004 in Part C of the Phase 1 CYB004-E trial.</w:t>
      </w:r>
    </w:p>
    <w:p>
      <w:pPr>
        <w:spacing w:after="0" w:line="252" w:lineRule="exact"/>
        <w:rPr>
          <w:sz w:val="20"/>
          <w:szCs w:val="20"/>
          <w:color w:val="auto"/>
        </w:rPr>
      </w:pPr>
    </w:p>
    <w:p>
      <w:pPr>
        <w:jc w:val="both"/>
        <w:ind w:left="3" w:right="20"/>
        <w:spacing w:after="0" w:line="317" w:lineRule="auto"/>
        <w:rPr>
          <w:sz w:val="20"/>
          <w:szCs w:val="20"/>
          <w:color w:val="auto"/>
        </w:rPr>
      </w:pPr>
      <w:r>
        <w:rPr>
          <w:rFonts w:ascii="Arial" w:cs="Arial" w:eastAsia="Arial" w:hAnsi="Arial"/>
          <w:sz w:val="18"/>
          <w:szCs w:val="18"/>
          <w:color w:val="auto"/>
        </w:rPr>
        <w:t>The Company spent approximately $3,765 on its Deuterated Dimethyltryptamine Program during the six months ended September 30, 2023, related to the milestones detailed below.</w:t>
      </w:r>
    </w:p>
    <w:p>
      <w:pPr>
        <w:spacing w:after="0" w:line="132" w:lineRule="exact"/>
        <w:rPr>
          <w:sz w:val="20"/>
          <w:szCs w:val="20"/>
          <w:color w:val="auto"/>
        </w:rPr>
      </w:pPr>
    </w:p>
    <w:p>
      <w:pPr>
        <w:jc w:val="both"/>
        <w:ind w:left="3" w:right="20"/>
        <w:spacing w:after="0" w:line="289" w:lineRule="auto"/>
        <w:rPr>
          <w:sz w:val="20"/>
          <w:szCs w:val="20"/>
          <w:color w:val="auto"/>
        </w:rPr>
      </w:pPr>
      <w:r>
        <w:rPr>
          <w:rFonts w:ascii="Arial" w:cs="Arial" w:eastAsia="Arial" w:hAnsi="Arial"/>
          <w:sz w:val="18"/>
          <w:szCs w:val="18"/>
          <w:color w:val="auto"/>
        </w:rPr>
        <w:t>As the Company continues to progress its Deuterated Dimethyltryptamine Program, additional milestones related to its clinical development have been identified. The Company intends to:</w:t>
      </w:r>
    </w:p>
    <w:p>
      <w:pPr>
        <w:spacing w:after="0" w:line="194" w:lineRule="exact"/>
        <w:rPr>
          <w:sz w:val="20"/>
          <w:szCs w:val="20"/>
          <w:color w:val="auto"/>
        </w:rPr>
      </w:pPr>
    </w:p>
    <w:p>
      <w:pPr>
        <w:ind w:left="523" w:hanging="232"/>
        <w:spacing w:after="0"/>
        <w:tabs>
          <w:tab w:leader="none" w:pos="5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topline data from the Phase 1 CYB004-E trial in Q4 2023</w:t>
      </w:r>
      <w:r>
        <w:rPr>
          <w:rFonts w:ascii="Arial" w:cs="Arial" w:eastAsia="Arial" w:hAnsi="Arial"/>
          <w:sz w:val="23"/>
          <w:szCs w:val="23"/>
          <w:color w:val="auto"/>
          <w:strike w:val="1"/>
          <w:vertAlign w:val="superscript"/>
        </w:rPr>
        <w:t>15</w:t>
      </w:r>
      <w:r>
        <w:rPr>
          <w:rFonts w:ascii="Arial" w:cs="Arial" w:eastAsia="Arial" w:hAnsi="Arial"/>
          <w:sz w:val="18"/>
          <w:szCs w:val="18"/>
          <w:color w:val="auto"/>
        </w:rPr>
        <w:t>.</w:t>
      </w:r>
    </w:p>
    <w:p>
      <w:pPr>
        <w:spacing w:after="0" w:line="5" w:lineRule="exact"/>
        <w:rPr>
          <w:rFonts w:ascii="Arial" w:cs="Arial" w:eastAsia="Arial" w:hAnsi="Arial"/>
          <w:sz w:val="18"/>
          <w:szCs w:val="18"/>
          <w:color w:val="auto"/>
        </w:rPr>
      </w:pPr>
    </w:p>
    <w:p>
      <w:pPr>
        <w:ind w:left="523" w:hanging="232"/>
        <w:spacing w:after="0" w:line="231" w:lineRule="auto"/>
        <w:tabs>
          <w:tab w:leader="none" w:pos="5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complete FDA IND submission in Q1 2024</w:t>
      </w:r>
      <w:r>
        <w:rPr>
          <w:rFonts w:ascii="Arial" w:cs="Arial" w:eastAsia="Arial" w:hAnsi="Arial"/>
          <w:sz w:val="23"/>
          <w:szCs w:val="23"/>
          <w:color w:val="auto"/>
          <w:vertAlign w:val="superscript"/>
        </w:rPr>
        <w:t>16</w:t>
      </w:r>
      <w:r>
        <w:rPr>
          <w:rFonts w:ascii="Arial" w:cs="Arial" w:eastAsia="Arial" w:hAnsi="Arial"/>
          <w:sz w:val="18"/>
          <w:szCs w:val="18"/>
          <w:color w:val="auto"/>
        </w:rPr>
        <w:t>.</w:t>
      </w:r>
    </w:p>
    <w:p>
      <w:pPr>
        <w:ind w:left="523" w:hanging="232"/>
        <w:spacing w:after="0" w:line="220" w:lineRule="auto"/>
        <w:tabs>
          <w:tab w:leader="none" w:pos="5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 Phase 2 proof-of-concept study in Q1 2024</w:t>
      </w:r>
      <w:r>
        <w:rPr>
          <w:rFonts w:ascii="Arial" w:cs="Arial" w:eastAsia="Arial" w:hAnsi="Arial"/>
          <w:sz w:val="23"/>
          <w:szCs w:val="23"/>
          <w:color w:val="auto"/>
          <w:vertAlign w:val="superscript"/>
        </w:rPr>
        <w:t>17</w:t>
      </w:r>
      <w:r>
        <w:rPr>
          <w:rFonts w:ascii="Arial" w:cs="Arial" w:eastAsia="Arial" w:hAnsi="Arial"/>
          <w:sz w:val="18"/>
          <w:szCs w:val="18"/>
          <w:color w:val="auto"/>
        </w:rPr>
        <w:t>.</w:t>
      </w:r>
    </w:p>
    <w:p>
      <w:pPr>
        <w:ind w:left="523" w:hanging="232"/>
        <w:spacing w:after="0"/>
        <w:tabs>
          <w:tab w:leader="none" w:pos="5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initiate a subcutaneous formulation study in Q1 2024</w:t>
      </w:r>
      <w:r>
        <w:rPr>
          <w:rFonts w:ascii="Arial" w:cs="Arial" w:eastAsia="Arial" w:hAnsi="Arial"/>
          <w:sz w:val="23"/>
          <w:szCs w:val="23"/>
          <w:color w:val="auto"/>
          <w:vertAlign w:val="superscript"/>
        </w:rPr>
        <w:t>18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5398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42" w:lineRule="exact"/>
        <w:rPr>
          <w:sz w:val="20"/>
          <w:szCs w:val="20"/>
          <w:color w:val="auto"/>
        </w:rPr>
      </w:pPr>
    </w:p>
    <w:p>
      <w:pPr>
        <w:jc w:val="both"/>
        <w:ind w:left="3" w:right="20" w:hanging="3"/>
        <w:spacing w:after="0" w:line="225" w:lineRule="auto"/>
        <w:tabs>
          <w:tab w:leader="none" w:pos="178" w:val="left"/>
        </w:tabs>
        <w:numPr>
          <w:ilvl w:val="0"/>
          <w:numId w:val="33"/>
        </w:numPr>
        <w:rPr>
          <w:rFonts w:ascii="Arial" w:cs="Arial" w:eastAsia="Arial" w:hAnsi="Arial"/>
          <w:sz w:val="22"/>
          <w:szCs w:val="22"/>
          <w:color w:val="auto"/>
          <w:vertAlign w:val="superscript"/>
        </w:rPr>
      </w:pPr>
      <w:r>
        <w:rPr>
          <w:rFonts w:ascii="Arial" w:cs="Arial" w:eastAsia="Arial" w:hAnsi="Arial"/>
          <w:sz w:val="13"/>
          <w:szCs w:val="13"/>
          <w:color w:val="auto"/>
        </w:rPr>
        <w:t>The Company has updated this milestone. The Company had previously expected it would complete this milestone in Q3/Q4 2023. The Company now expects to receive the topline data readout in Q4 2023. Anticipated spending and timelines regarding drug development are based on reasonable assumptions informed by current knowledge and information available to the</w:t>
      </w:r>
    </w:p>
    <w:p>
      <w:pPr>
        <w:spacing w:after="0" w:line="10" w:lineRule="exact"/>
        <w:rPr>
          <w:rFonts w:ascii="Arial" w:cs="Arial" w:eastAsia="Arial" w:hAnsi="Arial"/>
          <w:sz w:val="22"/>
          <w:szCs w:val="22"/>
          <w:color w:val="auto"/>
          <w:vertAlign w:val="superscript"/>
        </w:rPr>
      </w:pPr>
    </w:p>
    <w:p>
      <w:pPr>
        <w:ind w:left="3"/>
        <w:spacing w:after="0"/>
        <w:rPr>
          <w:rFonts w:ascii="Arial" w:cs="Arial" w:eastAsia="Arial" w:hAnsi="Arial"/>
          <w:sz w:val="22"/>
          <w:szCs w:val="22"/>
          <w:color w:val="auto"/>
          <w:vertAlign w:val="superscript"/>
        </w:rPr>
      </w:pPr>
      <w:r>
        <w:rPr>
          <w:rFonts w:ascii="Arial" w:cs="Arial" w:eastAsia="Arial" w:hAnsi="Arial"/>
          <w:sz w:val="15"/>
          <w:szCs w:val="15"/>
          <w:color w:val="auto"/>
        </w:rPr>
        <w:t>Company. See also footnote 9.</w:t>
      </w:r>
    </w:p>
    <w:p>
      <w:pPr>
        <w:spacing w:after="0" w:line="11" w:lineRule="exact"/>
        <w:rPr>
          <w:rFonts w:ascii="Arial" w:cs="Arial" w:eastAsia="Arial" w:hAnsi="Arial"/>
          <w:sz w:val="22"/>
          <w:szCs w:val="22"/>
          <w:color w:val="auto"/>
          <w:vertAlign w:val="superscript"/>
        </w:rPr>
      </w:pPr>
    </w:p>
    <w:p>
      <w:pPr>
        <w:ind w:left="163" w:hanging="163"/>
        <w:spacing w:after="0" w:line="192" w:lineRule="auto"/>
        <w:tabs>
          <w:tab w:leader="none" w:pos="163" w:val="left"/>
        </w:tabs>
        <w:numPr>
          <w:ilvl w:val="0"/>
          <w:numId w:val="33"/>
        </w:numPr>
        <w:rPr>
          <w:rFonts w:ascii="Arial" w:cs="Arial" w:eastAsia="Arial" w:hAnsi="Arial"/>
          <w:sz w:val="21"/>
          <w:szCs w:val="21"/>
          <w:color w:val="auto"/>
          <w:vertAlign w:val="superscript"/>
        </w:rPr>
      </w:pPr>
      <w:r>
        <w:rPr>
          <w:rFonts w:ascii="Arial" w:cs="Arial" w:eastAsia="Arial" w:hAnsi="Arial"/>
          <w:sz w:val="13"/>
          <w:szCs w:val="13"/>
          <w:color w:val="auto"/>
        </w:rPr>
        <w:t>See footnote 9.</w:t>
      </w:r>
    </w:p>
    <w:p>
      <w:pPr>
        <w:spacing w:after="0" w:line="59" w:lineRule="exact"/>
        <w:rPr>
          <w:rFonts w:ascii="Arial" w:cs="Arial" w:eastAsia="Arial" w:hAnsi="Arial"/>
          <w:sz w:val="21"/>
          <w:szCs w:val="21"/>
          <w:color w:val="auto"/>
          <w:vertAlign w:val="superscript"/>
        </w:rPr>
      </w:pPr>
    </w:p>
    <w:p>
      <w:pPr>
        <w:jc w:val="both"/>
        <w:ind w:left="3" w:right="20" w:hanging="3"/>
        <w:spacing w:after="0" w:line="225" w:lineRule="auto"/>
        <w:tabs>
          <w:tab w:leader="none" w:pos="190" w:val="left"/>
        </w:tabs>
        <w:numPr>
          <w:ilvl w:val="0"/>
          <w:numId w:val="33"/>
        </w:numPr>
        <w:rPr>
          <w:rFonts w:ascii="Arial" w:cs="Arial" w:eastAsia="Arial" w:hAnsi="Arial"/>
          <w:sz w:val="22"/>
          <w:szCs w:val="22"/>
          <w:color w:val="auto"/>
          <w:vertAlign w:val="superscript"/>
        </w:rPr>
      </w:pPr>
      <w:r>
        <w:rPr>
          <w:rFonts w:ascii="Arial" w:cs="Arial" w:eastAsia="Arial" w:hAnsi="Arial"/>
          <w:sz w:val="13"/>
          <w:szCs w:val="13"/>
          <w:color w:val="auto"/>
        </w:rPr>
        <w:t>The advancement of the Company’s Deuterated Dimethyltryptamine Program (CYB004) program beyond providing topline data from the Phase 1 CYB004-E trial in Q3/Q4 2023 and completing FDA IND submission for CYB004 in Q1 2024 is contingent on the Company’s ability to continue raising capital under its current and future financing arrangements. No assurances</w:t>
      </w:r>
    </w:p>
    <w:p>
      <w:pPr>
        <w:spacing w:after="0" w:line="10" w:lineRule="exact"/>
        <w:rPr>
          <w:rFonts w:ascii="Arial" w:cs="Arial" w:eastAsia="Arial" w:hAnsi="Arial"/>
          <w:sz w:val="22"/>
          <w:szCs w:val="22"/>
          <w:color w:val="auto"/>
          <w:vertAlign w:val="superscript"/>
        </w:rPr>
      </w:pPr>
    </w:p>
    <w:p>
      <w:pPr>
        <w:ind w:left="3"/>
        <w:spacing w:after="0"/>
        <w:rPr>
          <w:rFonts w:ascii="Arial" w:cs="Arial" w:eastAsia="Arial" w:hAnsi="Arial"/>
          <w:sz w:val="22"/>
          <w:szCs w:val="22"/>
          <w:color w:val="auto"/>
          <w:vertAlign w:val="superscript"/>
        </w:rPr>
      </w:pPr>
      <w:r>
        <w:rPr>
          <w:rFonts w:ascii="Arial" w:cs="Arial" w:eastAsia="Arial" w:hAnsi="Arial"/>
          <w:sz w:val="12"/>
          <w:szCs w:val="12"/>
          <w:color w:val="auto"/>
        </w:rPr>
        <w:t>can be given that the Company will be able to raise the additional capital that it may require for its anticipated future development. See “</w:t>
      </w:r>
      <w:r>
        <w:rPr>
          <w:rFonts w:ascii="Arial" w:cs="Arial" w:eastAsia="Arial" w:hAnsi="Arial"/>
          <w:sz w:val="12"/>
          <w:szCs w:val="12"/>
          <w:i w:val="1"/>
          <w:iCs w:val="1"/>
          <w:color w:val="auto"/>
        </w:rPr>
        <w:t>Risk Factors</w:t>
      </w:r>
      <w:r>
        <w:rPr>
          <w:rFonts w:ascii="Arial" w:cs="Arial" w:eastAsia="Arial" w:hAnsi="Arial"/>
          <w:sz w:val="12"/>
          <w:szCs w:val="12"/>
          <w:color w:val="auto"/>
        </w:rPr>
        <w:t>” for further information. See also footnote</w:t>
      </w:r>
    </w:p>
    <w:p>
      <w:pPr>
        <w:spacing w:after="0" w:line="45" w:lineRule="exact"/>
        <w:rPr>
          <w:rFonts w:ascii="Arial" w:cs="Arial" w:eastAsia="Arial" w:hAnsi="Arial"/>
          <w:sz w:val="22"/>
          <w:szCs w:val="22"/>
          <w:color w:val="auto"/>
          <w:vertAlign w:val="superscript"/>
        </w:rPr>
      </w:pPr>
    </w:p>
    <w:p>
      <w:pPr>
        <w:spacing w:after="0"/>
        <w:tabs>
          <w:tab w:leader="none" w:pos="0" w:val="left"/>
        </w:tabs>
        <w:numPr>
          <w:ilvl w:val="0"/>
          <w:numId w:val="34"/>
        </w:numPr>
        <w:rPr>
          <w:rFonts w:ascii="Arial" w:cs="Arial" w:eastAsia="Arial" w:hAnsi="Arial"/>
          <w:sz w:val="15"/>
          <w:szCs w:val="15"/>
          <w:color w:val="auto"/>
        </w:rPr>
      </w:pPr>
    </w:p>
    <w:p>
      <w:pPr>
        <w:spacing w:after="0" w:line="9" w:lineRule="exact"/>
        <w:rPr>
          <w:rFonts w:ascii="Arial" w:cs="Arial" w:eastAsia="Arial" w:hAnsi="Arial"/>
          <w:sz w:val="15"/>
          <w:szCs w:val="15"/>
          <w:color w:val="auto"/>
        </w:rPr>
      </w:pPr>
    </w:p>
    <w:p>
      <w:pPr>
        <w:ind w:left="183" w:hanging="183"/>
        <w:spacing w:after="0" w:line="221" w:lineRule="auto"/>
        <w:tabs>
          <w:tab w:leader="none" w:pos="183"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See footnotes 9 and 17.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3"/>
          </w:cols>
          <w:pgMar w:left="317" w:top="717" w:right="319" w:bottom="1440" w:gutter="0" w:footer="0" w:header="0"/>
        </w:sectPr>
      </w:pPr>
    </w:p>
    <w:bookmarkStart w:id="40" w:name="page41"/>
    <w:bookmarkEnd w:id="40"/>
    <w:p>
      <w:pPr>
        <w:jc w:val="both"/>
        <w:ind w:left="3"/>
        <w:spacing w:after="0" w:line="275" w:lineRule="auto"/>
        <w:rPr>
          <w:sz w:val="20"/>
          <w:szCs w:val="20"/>
          <w:color w:val="auto"/>
        </w:rPr>
      </w:pPr>
      <w:r>
        <w:rPr>
          <w:rFonts w:ascii="Arial" w:cs="Arial" w:eastAsia="Arial" w:hAnsi="Arial"/>
          <w:sz w:val="16"/>
          <w:szCs w:val="16"/>
          <w:color w:val="auto"/>
        </w:rPr>
        <w:t>The Company expects to spend approximately $7,180</w:t>
      </w:r>
      <w:r>
        <w:rPr>
          <w:rFonts w:ascii="Arial" w:cs="Arial" w:eastAsia="Arial" w:hAnsi="Arial"/>
          <w:sz w:val="21"/>
          <w:szCs w:val="21"/>
          <w:color w:val="auto"/>
          <w:vertAlign w:val="superscript"/>
        </w:rPr>
        <w:t>19</w:t>
      </w:r>
      <w:r>
        <w:rPr>
          <w:rFonts w:ascii="Arial" w:cs="Arial" w:eastAsia="Arial" w:hAnsi="Arial"/>
          <w:sz w:val="16"/>
          <w:szCs w:val="16"/>
          <w:color w:val="auto"/>
        </w:rPr>
        <w:t xml:space="preserve"> to complete FDA IND submission for CYB004 by Q1 2024 of which approximately $1,596 was spent during the six months ended September 30, 2023, and approximately $4,973 was spent in the financial year ended March 31, 2023, resulting in an approximate remaining spend as of September 30, 2023 of $611 by Q1 2024. The Company expects to spend approximately $5,174</w:t>
      </w:r>
      <w:r>
        <w:rPr>
          <w:rFonts w:ascii="Arial" w:cs="Arial" w:eastAsia="Arial" w:hAnsi="Arial"/>
          <w:sz w:val="21"/>
          <w:szCs w:val="21"/>
          <w:color w:val="auto"/>
          <w:strike w:val="1"/>
          <w:vertAlign w:val="superscript"/>
        </w:rPr>
        <w:t>20</w:t>
      </w:r>
      <w:r>
        <w:rPr>
          <w:rFonts w:ascii="Arial" w:cs="Arial" w:eastAsia="Arial" w:hAnsi="Arial"/>
          <w:sz w:val="16"/>
          <w:szCs w:val="16"/>
          <w:color w:val="auto"/>
        </w:rPr>
        <w:t xml:space="preserve"> to provide topline data from the Phase 1 CYB004-E trial in Q4 2023 of which approximately $2,169 was spent during the six months ended September 30, 2023 and approximately $2,797 was spent in the financial year ended March 31, 2023, resulting in an approximate remaining spend as of September 30, 2023 of $208 by Q4 2023.</w:t>
      </w:r>
    </w:p>
    <w:p>
      <w:pPr>
        <w:spacing w:after="0" w:line="208" w:lineRule="exact"/>
        <w:rPr>
          <w:sz w:val="20"/>
          <w:szCs w:val="20"/>
          <w:color w:val="auto"/>
        </w:rPr>
      </w:pPr>
    </w:p>
    <w:p>
      <w:pPr>
        <w:jc w:val="both"/>
        <w:ind w:left="3"/>
        <w:spacing w:after="0" w:line="303" w:lineRule="auto"/>
        <w:rPr>
          <w:sz w:val="20"/>
          <w:szCs w:val="20"/>
          <w:color w:val="auto"/>
        </w:rPr>
      </w:pPr>
      <w:r>
        <w:rPr>
          <w:rFonts w:ascii="Arial" w:cs="Arial" w:eastAsia="Arial" w:hAnsi="Arial"/>
          <w:sz w:val="18"/>
          <w:szCs w:val="18"/>
          <w:color w:val="auto"/>
        </w:rPr>
        <w:t>The Company intends to continue funding the Deuterated Dimethyltryptamine (CYB004) Program, subject to the Company's ability to continue raising capital under its current and future financing. See "Subsequent Events".</w:t>
      </w:r>
    </w:p>
    <w:p>
      <w:pPr>
        <w:spacing w:after="0" w:line="181" w:lineRule="exact"/>
        <w:rPr>
          <w:sz w:val="20"/>
          <w:szCs w:val="20"/>
          <w:color w:val="auto"/>
        </w:rPr>
      </w:pPr>
    </w:p>
    <w:p>
      <w:pPr>
        <w:ind w:left="3" w:right="140"/>
        <w:spacing w:after="0" w:line="283" w:lineRule="auto"/>
        <w:rPr>
          <w:sz w:val="20"/>
          <w:szCs w:val="20"/>
          <w:color w:val="auto"/>
        </w:rPr>
      </w:pPr>
      <w:r>
        <w:rPr>
          <w:rFonts w:ascii="Arial" w:cs="Arial" w:eastAsia="Arial" w:hAnsi="Arial"/>
          <w:sz w:val="18"/>
          <w:szCs w:val="18"/>
          <w:color w:val="auto"/>
        </w:rPr>
        <w:t>In addition, following the acquisition of Small Pharma, the Company intends to provide a data readout from the Phase 1 SPL028 study in Q4 2023. The Company is continuing to assess this study and will provide further information and updates upon completion of the integration of Small Pharma’s business, including the anticipated spend associated with the Phase 1 SPL028 study</w:t>
      </w:r>
      <w:r>
        <w:rPr>
          <w:rFonts w:ascii="Arial" w:cs="Arial" w:eastAsia="Arial" w:hAnsi="Arial"/>
          <w:sz w:val="23"/>
          <w:szCs w:val="23"/>
          <w:color w:val="auto"/>
          <w:strike w:val="1"/>
          <w:vertAlign w:val="superscript"/>
        </w:rPr>
        <w:t>21</w:t>
      </w:r>
      <w:r>
        <w:rPr>
          <w:rFonts w:ascii="Arial" w:cs="Arial" w:eastAsia="Arial" w:hAnsi="Arial"/>
          <w:sz w:val="18"/>
          <w:szCs w:val="18"/>
          <w:color w:val="auto"/>
        </w:rPr>
        <w:t>.</w:t>
      </w:r>
    </w:p>
    <w:p>
      <w:pPr>
        <w:spacing w:after="0" w:line="118" w:lineRule="exact"/>
        <w:rPr>
          <w:sz w:val="20"/>
          <w:szCs w:val="20"/>
          <w:color w:val="auto"/>
        </w:rPr>
      </w:pPr>
    </w:p>
    <w:p>
      <w:pPr>
        <w:ind w:left="3"/>
        <w:spacing w:after="0"/>
        <w:rPr>
          <w:sz w:val="20"/>
          <w:szCs w:val="20"/>
          <w:color w:val="auto"/>
        </w:rPr>
      </w:pPr>
      <w:r>
        <w:rPr>
          <w:rFonts w:ascii="Arial" w:cs="Arial" w:eastAsia="Arial" w:hAnsi="Arial"/>
          <w:sz w:val="18"/>
          <w:szCs w:val="18"/>
          <w:b w:val="1"/>
          <w:bCs w:val="1"/>
          <w:u w:val="single" w:color="auto"/>
          <w:color w:val="auto"/>
        </w:rPr>
        <w:t>Phenethylamine Derivatives Program (CYB005)</w:t>
      </w:r>
    </w:p>
    <w:p>
      <w:pPr>
        <w:spacing w:after="0" w:line="234" w:lineRule="exact"/>
        <w:rPr>
          <w:sz w:val="20"/>
          <w:szCs w:val="20"/>
          <w:color w:val="auto"/>
        </w:rPr>
      </w:pPr>
    </w:p>
    <w:p>
      <w:pPr>
        <w:jc w:val="both"/>
        <w:ind w:left="3"/>
        <w:spacing w:after="0" w:line="332" w:lineRule="auto"/>
        <w:rPr>
          <w:sz w:val="20"/>
          <w:szCs w:val="20"/>
          <w:color w:val="auto"/>
        </w:rPr>
      </w:pPr>
      <w:r>
        <w:rPr>
          <w:rFonts w:ascii="Arial" w:cs="Arial" w:eastAsia="Arial" w:hAnsi="Arial"/>
          <w:sz w:val="16"/>
          <w:szCs w:val="16"/>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psychiatric disorders, neuroinflammation and other neurological conditions.</w:t>
      </w:r>
      <w:r>
        <w:rPr>
          <w:rFonts w:ascii="Arial" w:cs="Arial" w:eastAsia="Arial" w:hAnsi="Arial"/>
          <w:sz w:val="21"/>
          <w:szCs w:val="21"/>
          <w:color w:val="auto"/>
          <w:strike w:val="1"/>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153987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334" w:lineRule="exact"/>
        <w:rPr>
          <w:sz w:val="20"/>
          <w:szCs w:val="20"/>
          <w:color w:val="auto"/>
        </w:rPr>
      </w:pPr>
    </w:p>
    <w:p>
      <w:pPr>
        <w:jc w:val="both"/>
        <w:ind w:left="3" w:right="20" w:hanging="3"/>
        <w:spacing w:after="0" w:line="282" w:lineRule="auto"/>
        <w:tabs>
          <w:tab w:leader="none" w:pos="166" w:val="left"/>
        </w:tabs>
        <w:numPr>
          <w:ilvl w:val="0"/>
          <w:numId w:val="36"/>
        </w:numPr>
        <w:rPr>
          <w:rFonts w:ascii="Arial" w:cs="Arial" w:eastAsia="Arial" w:hAnsi="Arial"/>
          <w:sz w:val="22"/>
          <w:szCs w:val="22"/>
          <w:color w:val="auto"/>
          <w:vertAlign w:val="superscript"/>
        </w:rPr>
      </w:pPr>
      <w:r>
        <w:rPr>
          <w:rFonts w:ascii="Arial" w:cs="Arial" w:eastAsia="Arial" w:hAnsi="Arial"/>
          <w:sz w:val="13"/>
          <w:szCs w:val="13"/>
          <w:color w:val="auto"/>
        </w:rPr>
        <w:t>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during the period from April 1, 2022 to September 30, 2023 and expected spend during the period from October 1, 2023 until the completion of the FDA IND submission for CYB004 in Q1 2024.</w:t>
      </w:r>
    </w:p>
    <w:p>
      <w:pPr>
        <w:spacing w:after="0" w:line="43" w:lineRule="exact"/>
        <w:rPr>
          <w:rFonts w:ascii="Arial" w:cs="Arial" w:eastAsia="Arial" w:hAnsi="Arial"/>
          <w:sz w:val="22"/>
          <w:szCs w:val="22"/>
          <w:color w:val="auto"/>
          <w:vertAlign w:val="superscript"/>
        </w:rPr>
      </w:pPr>
    </w:p>
    <w:p>
      <w:pPr>
        <w:jc w:val="both"/>
        <w:ind w:left="3" w:right="20" w:hanging="3"/>
        <w:spacing w:after="0"/>
        <w:tabs>
          <w:tab w:leader="none" w:pos="19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The Company has updated this milestone. The Company had previously estimated that its spending to advance the Phase 1 CYB004-E trial would be $5,034.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Reflects actual spend during the financial year ended March 31, 2023, during the period from April 1, 2022 to September 30, 2023 and expected spend during the period from October 1, 2023 until the achievement of topline data from the Phase 1 CYB004-E trial in Q4 2023.</w:t>
      </w:r>
    </w:p>
    <w:p>
      <w:pPr>
        <w:ind w:left="183" w:hanging="183"/>
        <w:spacing w:after="0" w:line="200" w:lineRule="auto"/>
        <w:tabs>
          <w:tab w:leader="none" w:pos="183"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See footnotes 9 and 17.</w:t>
      </w:r>
    </w:p>
    <w:p>
      <w:pPr>
        <w:spacing w:after="0" w:line="83" w:lineRule="exact"/>
        <w:rPr>
          <w:rFonts w:ascii="Arial" w:cs="Arial" w:eastAsia="Arial" w:hAnsi="Arial"/>
          <w:sz w:val="24"/>
          <w:szCs w:val="24"/>
          <w:color w:val="auto"/>
          <w:vertAlign w:val="superscript"/>
        </w:rPr>
      </w:pPr>
    </w:p>
    <w:p>
      <w:pPr>
        <w:jc w:val="both"/>
        <w:ind w:left="3" w:hanging="3"/>
        <w:spacing w:after="0" w:line="262" w:lineRule="auto"/>
        <w:tabs>
          <w:tab w:leader="none" w:pos="178"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3"/>
          </w:cols>
          <w:pgMar w:left="317" w:top="936" w:right="319" w:bottom="1440" w:gutter="0" w:footer="0" w:header="0"/>
        </w:sectPr>
      </w:pPr>
    </w:p>
    <w:bookmarkStart w:id="41" w:name="page42"/>
    <w:bookmarkEnd w:id="41"/>
    <w:p>
      <w:pPr>
        <w:jc w:val="both"/>
        <w:ind w:left="3" w:right="20"/>
        <w:spacing w:after="0" w:line="333" w:lineRule="auto"/>
        <w:rPr>
          <w:sz w:val="20"/>
          <w:szCs w:val="20"/>
          <w:color w:val="auto"/>
        </w:rPr>
      </w:pPr>
      <w:r>
        <w:rPr>
          <w:rFonts w:ascii="Arial" w:cs="Arial" w:eastAsia="Arial" w:hAnsi="Arial"/>
          <w:sz w:val="16"/>
          <w:szCs w:val="16"/>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76" w:lineRule="exact"/>
        <w:rPr>
          <w:sz w:val="20"/>
          <w:szCs w:val="20"/>
          <w:color w:val="auto"/>
        </w:rPr>
      </w:pPr>
    </w:p>
    <w:p>
      <w:pPr>
        <w:jc w:val="both"/>
        <w:ind w:left="3" w:right="20"/>
        <w:spacing w:after="0" w:line="290" w:lineRule="auto"/>
        <w:rPr>
          <w:sz w:val="20"/>
          <w:szCs w:val="20"/>
          <w:color w:val="auto"/>
        </w:rPr>
      </w:pPr>
      <w:r>
        <w:rPr>
          <w:rFonts w:ascii="Arial" w:cs="Arial" w:eastAsia="Arial" w:hAnsi="Arial"/>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205" w:lineRule="exact"/>
        <w:rPr>
          <w:sz w:val="20"/>
          <w:szCs w:val="20"/>
          <w:color w:val="auto"/>
        </w:rPr>
      </w:pPr>
    </w:p>
    <w:p>
      <w:pPr>
        <w:jc w:val="both"/>
        <w:ind w:left="3" w:right="20"/>
        <w:spacing w:after="0" w:line="303" w:lineRule="auto"/>
        <w:rPr>
          <w:sz w:val="20"/>
          <w:szCs w:val="20"/>
          <w:color w:val="auto"/>
        </w:rPr>
      </w:pPr>
      <w:r>
        <w:rPr>
          <w:rFonts w:ascii="Arial" w:cs="Arial" w:eastAsia="Arial" w:hAnsi="Arial"/>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7"/>
          <w:szCs w:val="17"/>
          <w:color w:val="auto"/>
        </w:rPr>
        <w:t>The Company spent approximately $63 on its preclinical Phenethylamine Derivatives Program during the six months ended September 30, 2023.</w:t>
      </w:r>
    </w:p>
    <w:p>
      <w:pPr>
        <w:spacing w:after="0" w:line="265" w:lineRule="exact"/>
        <w:rPr>
          <w:sz w:val="20"/>
          <w:szCs w:val="20"/>
          <w:color w:val="auto"/>
        </w:rPr>
      </w:pPr>
    </w:p>
    <w:p>
      <w:pPr>
        <w:jc w:val="both"/>
        <w:ind w:left="3" w:right="20"/>
        <w:spacing w:after="0" w:line="300" w:lineRule="auto"/>
        <w:rPr>
          <w:sz w:val="20"/>
          <w:szCs w:val="20"/>
          <w:color w:val="auto"/>
        </w:rPr>
      </w:pPr>
      <w:r>
        <w:rPr>
          <w:rFonts w:ascii="Arial" w:cs="Arial" w:eastAsia="Arial" w:hAnsi="Arial"/>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2023</w:t>
      </w:r>
      <w:r>
        <w:rPr>
          <w:rFonts w:ascii="Arial" w:cs="Arial" w:eastAsia="Arial" w:hAnsi="Arial"/>
          <w:sz w:val="23"/>
          <w:szCs w:val="23"/>
          <w:color w:val="auto"/>
          <w:strike w:val="1"/>
          <w:vertAlign w:val="superscript"/>
        </w:rPr>
        <w:t>23</w:t>
      </w:r>
      <w:r>
        <w:rPr>
          <w:rFonts w:ascii="Arial" w:cs="Arial" w:eastAsia="Arial" w:hAnsi="Arial"/>
          <w:sz w:val="18"/>
          <w:szCs w:val="18"/>
          <w:color w:val="auto"/>
        </w:rPr>
        <w:t>.</w:t>
      </w:r>
    </w:p>
    <w:p>
      <w:pPr>
        <w:spacing w:after="0" w:line="108" w:lineRule="exact"/>
        <w:rPr>
          <w:sz w:val="20"/>
          <w:szCs w:val="20"/>
          <w:color w:val="auto"/>
        </w:rPr>
      </w:pPr>
    </w:p>
    <w:p>
      <w:pPr>
        <w:jc w:val="both"/>
        <w:ind w:left="3"/>
        <w:spacing w:after="0" w:line="233" w:lineRule="auto"/>
        <w:rPr>
          <w:sz w:val="20"/>
          <w:szCs w:val="20"/>
          <w:color w:val="auto"/>
        </w:rPr>
      </w:pPr>
      <w:r>
        <w:rPr>
          <w:rFonts w:ascii="Arial" w:cs="Arial" w:eastAsia="Arial" w:hAnsi="Arial"/>
          <w:sz w:val="18"/>
          <w:szCs w:val="18"/>
          <w:color w:val="auto"/>
        </w:rPr>
        <w:t>The Company expects to spend approximately $900</w:t>
      </w:r>
      <w:r>
        <w:rPr>
          <w:rFonts w:ascii="Arial" w:cs="Arial" w:eastAsia="Arial" w:hAnsi="Arial"/>
          <w:sz w:val="23"/>
          <w:szCs w:val="23"/>
          <w:color w:val="auto"/>
          <w:strike w:val="1"/>
          <w:vertAlign w:val="superscript"/>
        </w:rPr>
        <w:t>24</w:t>
      </w:r>
      <w:r>
        <w:rPr>
          <w:rFonts w:ascii="Arial" w:cs="Arial" w:eastAsia="Arial" w:hAnsi="Arial"/>
          <w:sz w:val="18"/>
          <w:szCs w:val="18"/>
          <w:color w:val="auto"/>
        </w:rPr>
        <w:t xml:space="preserve"> to complete preclinical development of a phenethylamine drug candidate by the end of Q4 2023</w:t>
      </w:r>
      <w:r>
        <w:rPr>
          <w:rFonts w:ascii="Arial" w:cs="Arial" w:eastAsia="Arial" w:hAnsi="Arial"/>
          <w:sz w:val="23"/>
          <w:szCs w:val="23"/>
          <w:color w:val="auto"/>
          <w:strike w:val="1"/>
          <w:vertAlign w:val="superscript"/>
        </w:rPr>
        <w:t>25</w:t>
      </w:r>
      <w:r>
        <w:rPr>
          <w:rFonts w:ascii="Arial" w:cs="Arial" w:eastAsia="Arial" w:hAnsi="Arial"/>
          <w:sz w:val="18"/>
          <w:szCs w:val="18"/>
          <w:color w:val="auto"/>
        </w:rPr>
        <w:t>, of which approximately $63 was spent during the six months ended September 30, 2023, and approximately $782 was spent during the financial year ended March 31, 2023 resulting in an approximate remaining spend as of September 30, 2023 of $55 by December 31, 2023. The Company intends to continue funding the Phenethylamine Derivatives Program (CYB005)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253365</wp:posOffset>
            </wp:positionV>
            <wp:extent cx="153987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both"/>
        <w:ind w:left="3" w:right="20" w:hanging="3"/>
        <w:spacing w:after="0" w:line="219" w:lineRule="auto"/>
        <w:tabs>
          <w:tab w:leader="none" w:pos="19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See footnote 9. The Company is prioritizing its progression of its Deuterated Psilocybin Analog Program (CYB003). The advancement of the Company’s Phenethylamine Derivatives Program (CYB005) is contingent on the Company's ability to continue raising capital under its current and future financing arrangements. No assurances can be given that the Company will be able to raise the additional capital that it may require for its anticipated future development. See “</w:t>
      </w:r>
      <w:r>
        <w:rPr>
          <w:rFonts w:ascii="Arial" w:cs="Arial" w:eastAsia="Arial" w:hAnsi="Arial"/>
          <w:sz w:val="14"/>
          <w:szCs w:val="14"/>
          <w:i w:val="1"/>
          <w:iCs w:val="1"/>
          <w:color w:val="auto"/>
        </w:rPr>
        <w:t>Risk Factors</w:t>
      </w:r>
      <w:r>
        <w:rPr>
          <w:rFonts w:ascii="Arial" w:cs="Arial" w:eastAsia="Arial" w:hAnsi="Arial"/>
          <w:sz w:val="14"/>
          <w:szCs w:val="14"/>
          <w:color w:val="auto"/>
        </w:rPr>
        <w:t>” for further information.</w:t>
      </w:r>
    </w:p>
    <w:p>
      <w:pPr>
        <w:spacing w:after="0" w:line="48" w:lineRule="exact"/>
        <w:rPr>
          <w:rFonts w:ascii="Arial" w:cs="Arial" w:eastAsia="Arial" w:hAnsi="Arial"/>
          <w:sz w:val="24"/>
          <w:szCs w:val="24"/>
          <w:color w:val="auto"/>
          <w:vertAlign w:val="superscript"/>
        </w:rPr>
      </w:pPr>
    </w:p>
    <w:p>
      <w:pPr>
        <w:jc w:val="both"/>
        <w:ind w:left="3" w:right="20" w:hanging="3"/>
        <w:spacing w:after="0" w:line="252" w:lineRule="auto"/>
        <w:tabs>
          <w:tab w:leader="none" w:pos="19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Reflects actual spend during the financial year ended March 31, 2023, the six months ended September 30, 2023, and expected spend during the period from October 1, 2023 until the achievement of preclinical development of a phenethylamine drug candidate by December 31, 2023.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2" w:lineRule="exact"/>
        <w:rPr>
          <w:rFonts w:ascii="Arial" w:cs="Arial" w:eastAsia="Arial" w:hAnsi="Arial"/>
          <w:sz w:val="24"/>
          <w:szCs w:val="24"/>
          <w:color w:val="auto"/>
          <w:vertAlign w:val="superscript"/>
        </w:rPr>
      </w:pPr>
    </w:p>
    <w:p>
      <w:pPr>
        <w:jc w:val="both"/>
        <w:ind w:left="3" w:right="20" w:hanging="3"/>
        <w:spacing w:after="0" w:line="273" w:lineRule="auto"/>
        <w:tabs>
          <w:tab w:leader="none" w:pos="190" w:val="left"/>
        </w:tabs>
        <w:numPr>
          <w:ilvl w:val="0"/>
          <w:numId w:val="37"/>
        </w:numPr>
        <w:rPr>
          <w:rFonts w:ascii="Arial" w:cs="Arial" w:eastAsia="Arial" w:hAnsi="Arial"/>
          <w:sz w:val="22"/>
          <w:szCs w:val="22"/>
          <w:color w:val="auto"/>
          <w:vertAlign w:val="superscript"/>
        </w:rPr>
      </w:pPr>
      <w:r>
        <w:rPr>
          <w:rFonts w:ascii="Arial" w:cs="Arial" w:eastAsia="Arial" w:hAnsi="Arial"/>
          <w:sz w:val="13"/>
          <w:szCs w:val="13"/>
          <w:color w:val="auto"/>
        </w:rPr>
        <w:t>The Company has updated this milestone. The Company had previously expected it would complete this milestone by September 30, 2023. The Company now expects to complete preclinical development of phenethylamine drug candidate by the end of Q4 2023.Change in anticipated timing due to the prioritization of the CYB003 Program. Anticipated spending and timelines regarding drug development are based on reasonable assumptions informed by current knowledge and information available to the Company. See also footnote 9.</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3"/>
          </w:cols>
          <w:pgMar w:left="317" w:top="731" w:right="319" w:bottom="1440" w:gutter="0" w:footer="0" w:header="0"/>
        </w:sectPr>
      </w:pPr>
    </w:p>
    <w:bookmarkStart w:id="42" w:name="page43"/>
    <w:bookmarkEnd w:id="42"/>
    <w:p>
      <w:pPr>
        <w:ind w:left="3"/>
        <w:spacing w:after="0"/>
        <w:rPr>
          <w:sz w:val="20"/>
          <w:szCs w:val="20"/>
          <w:color w:val="auto"/>
        </w:rPr>
      </w:pPr>
      <w:r>
        <w:rPr>
          <w:rFonts w:ascii="Arial" w:cs="Arial" w:eastAsia="Arial" w:hAnsi="Arial"/>
          <w:sz w:val="18"/>
          <w:szCs w:val="18"/>
          <w:b w:val="1"/>
          <w:bCs w:val="1"/>
          <w:u w:val="single" w:color="auto"/>
          <w:color w:val="auto"/>
        </w:rPr>
        <w:t>Technology Programs</w:t>
      </w:r>
    </w:p>
    <w:p>
      <w:pPr>
        <w:spacing w:after="0" w:line="270"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Digital Therapy Platform</w:t>
      </w:r>
    </w:p>
    <w:p>
      <w:pPr>
        <w:spacing w:after="0" w:line="32" w:lineRule="exact"/>
        <w:rPr>
          <w:sz w:val="20"/>
          <w:szCs w:val="20"/>
          <w:color w:val="auto"/>
        </w:rPr>
      </w:pPr>
    </w:p>
    <w:p>
      <w:pPr>
        <w:jc w:val="both"/>
        <w:ind w:left="3" w:right="20"/>
        <w:spacing w:after="0" w:line="301" w:lineRule="auto"/>
        <w:rPr>
          <w:sz w:val="20"/>
          <w:szCs w:val="20"/>
          <w:color w:val="auto"/>
        </w:rPr>
      </w:pPr>
      <w:r>
        <w:rPr>
          <w:rFonts w:ascii="Arial" w:cs="Arial" w:eastAsia="Arial" w:hAnsi="Arial"/>
          <w:sz w:val="18"/>
          <w:szCs w:val="18"/>
          <w:color w:val="auto"/>
        </w:rPr>
        <w:t>The Company has been working on the creation of a patient digital therapy platform (the “</w:t>
      </w:r>
      <w:r>
        <w:rPr>
          <w:rFonts w:ascii="Arial" w:cs="Arial" w:eastAsia="Arial" w:hAnsi="Arial"/>
          <w:sz w:val="18"/>
          <w:szCs w:val="18"/>
          <w:b w:val="1"/>
          <w:bCs w:val="1"/>
          <w:color w:val="auto"/>
        </w:rPr>
        <w:t>Digital Platform</w:t>
      </w:r>
      <w:r>
        <w:rPr>
          <w:rFonts w:ascii="Arial" w:cs="Arial" w:eastAsia="Arial" w:hAnsi="Arial"/>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59" w:lineRule="exact"/>
        <w:rPr>
          <w:sz w:val="20"/>
          <w:szCs w:val="20"/>
          <w:color w:val="auto"/>
        </w:rPr>
      </w:pPr>
    </w:p>
    <w:p>
      <w:pPr>
        <w:jc w:val="both"/>
        <w:ind w:left="3"/>
        <w:spacing w:after="0" w:line="299" w:lineRule="auto"/>
        <w:rPr>
          <w:sz w:val="20"/>
          <w:szCs w:val="20"/>
          <w:color w:val="auto"/>
        </w:rPr>
      </w:pPr>
      <w:r>
        <w:rPr>
          <w:rFonts w:ascii="Arial" w:cs="Arial" w:eastAsia="Arial" w:hAnsi="Arial"/>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97" w:lineRule="exact"/>
        <w:rPr>
          <w:sz w:val="20"/>
          <w:szCs w:val="20"/>
          <w:color w:val="auto"/>
        </w:rPr>
      </w:pPr>
    </w:p>
    <w:p>
      <w:pPr>
        <w:jc w:val="both"/>
        <w:ind w:left="3" w:right="20"/>
        <w:spacing w:after="0" w:line="303" w:lineRule="auto"/>
        <w:rPr>
          <w:sz w:val="20"/>
          <w:szCs w:val="20"/>
          <w:color w:val="auto"/>
        </w:rPr>
      </w:pPr>
      <w:r>
        <w:rPr>
          <w:rFonts w:ascii="Arial" w:cs="Arial" w:eastAsia="Arial" w:hAnsi="Arial"/>
          <w:sz w:val="18"/>
          <w:szCs w:val="18"/>
          <w:color w:val="auto"/>
        </w:rPr>
        <w:t>Proof-of-concept testing for the Company's Digital Platform was completed in Q2 2022. The Company is currently evaluating paths forward for its Digital Platform program.</w:t>
      </w:r>
    </w:p>
    <w:p>
      <w:pPr>
        <w:spacing w:after="0" w:line="19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Kernel Collaboration</w:t>
      </w:r>
    </w:p>
    <w:p>
      <w:pPr>
        <w:spacing w:after="0" w:line="250" w:lineRule="exact"/>
        <w:rPr>
          <w:sz w:val="20"/>
          <w:szCs w:val="20"/>
          <w:color w:val="auto"/>
        </w:rPr>
      </w:pPr>
    </w:p>
    <w:p>
      <w:pPr>
        <w:jc w:val="both"/>
        <w:ind w:left="3" w:right="20"/>
        <w:spacing w:after="0" w:line="322" w:lineRule="auto"/>
        <w:rPr>
          <w:sz w:val="20"/>
          <w:szCs w:val="20"/>
          <w:color w:val="auto"/>
        </w:rPr>
      </w:pPr>
      <w:r>
        <w:rPr>
          <w:rFonts w:ascii="Arial" w:cs="Arial" w:eastAsia="Arial" w:hAnsi="Arial"/>
          <w:sz w:val="18"/>
          <w:szCs w:val="18"/>
          <w:color w:val="auto"/>
        </w:rPr>
        <w:t>On January 11, 2021, the Company announced that it entered into an agreement with HI, LLC dba Kernel (“</w:t>
      </w:r>
      <w:r>
        <w:rPr>
          <w:rFonts w:ascii="Arial" w:cs="Arial" w:eastAsia="Arial" w:hAnsi="Arial"/>
          <w:sz w:val="18"/>
          <w:szCs w:val="18"/>
          <w:b w:val="1"/>
          <w:bCs w:val="1"/>
          <w:color w:val="auto"/>
        </w:rPr>
        <w:t>Kernel</w:t>
      </w:r>
      <w:r>
        <w:rPr>
          <w:rFonts w:ascii="Arial" w:cs="Arial" w:eastAsia="Arial" w:hAnsi="Arial"/>
          <w:sz w:val="18"/>
          <w:szCs w:val="18"/>
          <w:color w:val="auto"/>
        </w:rPr>
        <w:t>”) that will enable the Company to use the Kernel Flow technology (</w:t>
      </w:r>
      <w:r>
        <w:rPr>
          <w:rFonts w:ascii="Arial" w:cs="Arial" w:eastAsia="Arial" w:hAnsi="Arial"/>
          <w:sz w:val="18"/>
          <w:szCs w:val="18"/>
          <w:b w:val="1"/>
          <w:bCs w:val="1"/>
          <w:color w:val="auto"/>
        </w:rPr>
        <w:t>"Flow"</w:t>
      </w:r>
      <w:r>
        <w:rPr>
          <w:rFonts w:ascii="Arial" w:cs="Arial" w:eastAsia="Arial" w:hAnsi="Arial"/>
          <w:sz w:val="18"/>
          <w:szCs w:val="18"/>
          <w:color w:val="auto"/>
        </w:rPr>
        <w:t>) to potentially measure neural activity during psychedelic therapy.</w:t>
      </w:r>
    </w:p>
    <w:p>
      <w:pPr>
        <w:spacing w:after="0" w:line="140" w:lineRule="exact"/>
        <w:rPr>
          <w:sz w:val="20"/>
          <w:szCs w:val="20"/>
          <w:color w:val="auto"/>
        </w:rPr>
      </w:pPr>
    </w:p>
    <w:p>
      <w:pPr>
        <w:jc w:val="both"/>
        <w:ind w:left="3" w:right="20"/>
        <w:spacing w:after="0" w:line="277" w:lineRule="auto"/>
        <w:rPr>
          <w:sz w:val="20"/>
          <w:szCs w:val="20"/>
          <w:color w:val="auto"/>
        </w:rPr>
      </w:pPr>
      <w:r>
        <w:rPr>
          <w:rFonts w:ascii="Arial" w:cs="Arial" w:eastAsia="Arial" w:hAnsi="Arial"/>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Arial" w:cs="Arial" w:eastAsia="Arial" w:hAnsi="Arial"/>
          <w:sz w:val="23"/>
          <w:szCs w:val="23"/>
          <w:color w:val="auto"/>
          <w:strike w:val="1"/>
          <w:vertAlign w:val="superscript"/>
        </w:rPr>
        <w:t>26</w:t>
      </w:r>
      <w:r>
        <w:rPr>
          <w:rFonts w:ascii="Arial" w:cs="Arial" w:eastAsia="Arial" w:hAnsi="Arial"/>
          <w:sz w:val="18"/>
          <w:szCs w:val="18"/>
          <w:color w:val="auto"/>
        </w:rPr>
        <w:t xml:space="preserve"> The Company completed its feasibility study sponsorship utilizing Flow in Q3 2022.</w:t>
      </w:r>
    </w:p>
    <w:p>
      <w:pPr>
        <w:spacing w:after="0" w:line="170" w:lineRule="exact"/>
        <w:rPr>
          <w:sz w:val="20"/>
          <w:szCs w:val="20"/>
          <w:color w:val="auto"/>
        </w:rPr>
      </w:pPr>
    </w:p>
    <w:p>
      <w:pPr>
        <w:jc w:val="both"/>
        <w:ind w:left="3"/>
        <w:spacing w:after="0" w:line="290" w:lineRule="auto"/>
        <w:rPr>
          <w:sz w:val="20"/>
          <w:szCs w:val="20"/>
          <w:color w:val="auto"/>
        </w:rPr>
      </w:pPr>
      <w:r>
        <w:rPr>
          <w:rFonts w:ascii="Arial" w:cs="Arial" w:eastAsia="Arial" w:hAnsi="Arial"/>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("PR") and pulse rate variability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194" w:lineRule="exact"/>
        <w:rPr>
          <w:sz w:val="20"/>
          <w:szCs w:val="20"/>
          <w:color w:val="auto"/>
        </w:rPr>
      </w:pPr>
    </w:p>
    <w:p>
      <w:pPr>
        <w:jc w:val="both"/>
        <w:ind w:left="3" w:right="20"/>
        <w:spacing w:after="0" w:line="296" w:lineRule="auto"/>
        <w:rPr>
          <w:sz w:val="20"/>
          <w:szCs w:val="20"/>
          <w:color w:val="auto"/>
        </w:rPr>
      </w:pPr>
      <w:r>
        <w:rPr>
          <w:rFonts w:ascii="Arial" w:cs="Arial" w:eastAsia="Arial" w:hAnsi="Arial"/>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Arial" w:cs="Arial" w:eastAsia="Arial" w:hAnsi="Arial"/>
          <w:sz w:val="19"/>
          <w:szCs w:val="19"/>
          <w:i w:val="1"/>
          <w:iCs w:val="1"/>
          <w:color w:val="auto"/>
        </w:rPr>
        <w:t>Scientific Reports</w:t>
      </w:r>
      <w:r>
        <w:rPr>
          <w:rFonts w:ascii="Arial" w:cs="Arial" w:eastAsia="Arial" w:hAnsi="Arial"/>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Arial" w:cs="Arial" w:eastAsia="Arial" w:hAnsi="Arial"/>
          <w:sz w:val="19"/>
          <w:szCs w:val="19"/>
          <w:b w:val="1"/>
          <w:bCs w:val="1"/>
          <w:color w:val="auto"/>
        </w:rPr>
        <w:t>fNIRS”)</w:t>
      </w:r>
      <w:r>
        <w:rPr>
          <w:rFonts w:ascii="Arial" w:cs="Arial" w:eastAsia="Arial" w:hAnsi="Arial"/>
          <w:sz w:val="18"/>
          <w:szCs w:val="18"/>
          <w:color w:val="auto"/>
        </w:rPr>
        <w:t xml:space="preserve"> study to measure the acute effect of a psychedelic and is the first ever fNIRS neuroimaging study evaluating ketamine in humans. In this single-blind, placebo-controlled study, employing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15398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9" w:lineRule="exact"/>
        <w:rPr>
          <w:sz w:val="20"/>
          <w:szCs w:val="20"/>
          <w:color w:val="auto"/>
        </w:rPr>
      </w:pPr>
    </w:p>
    <w:p>
      <w:pPr>
        <w:jc w:val="both"/>
        <w:ind w:left="3" w:hanging="3"/>
        <w:spacing w:after="0" w:line="246" w:lineRule="auto"/>
        <w:tabs>
          <w:tab w:leader="none" w:pos="139"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Arial" w:cs="Arial" w:eastAsia="Arial" w:hAnsi="Arial"/>
          <w:sz w:val="14"/>
          <w:szCs w:val="14"/>
          <w:i w:val="1"/>
          <w:iCs w:val="1"/>
          <w:color w:val="auto"/>
        </w:rPr>
        <w:t>Scheidegger et al 2012; Zacharias et al 2019; Li et al 2022</w:t>
      </w:r>
      <w:r>
        <w:rPr>
          <w:rFonts w:ascii="Arial" w:cs="Arial" w:eastAsia="Arial" w:hAnsi="Arial"/>
          <w:sz w:val="14"/>
          <w:szCs w:val="14"/>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3"/>
          </w:cols>
          <w:pgMar w:left="317" w:top="725" w:right="319" w:bottom="1440" w:gutter="0" w:footer="0" w:header="0"/>
        </w:sectPr>
      </w:pPr>
    </w:p>
    <w:bookmarkStart w:id="43" w:name="page44"/>
    <w:bookmarkEnd w:id="43"/>
    <w:p>
      <w:pPr>
        <w:jc w:val="both"/>
        <w:ind w:right="20"/>
        <w:spacing w:after="0" w:line="298" w:lineRule="auto"/>
        <w:rPr>
          <w:sz w:val="20"/>
          <w:szCs w:val="20"/>
          <w:color w:val="auto"/>
        </w:rPr>
      </w:pPr>
      <w:r>
        <w:rPr>
          <w:rFonts w:ascii="Arial" w:cs="Arial" w:eastAsia="Arial" w:hAnsi="Arial"/>
          <w:sz w:val="18"/>
          <w:szCs w:val="18"/>
          <w:color w:val="auto"/>
        </w:rPr>
        <w:t>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Results from the study are intended to inform the next steps forward for this program.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the Phase 1 Kernel Flow Feasibility Study</w:t>
      </w:r>
    </w:p>
    <w:p>
      <w:pPr>
        <w:spacing w:after="0" w:line="264"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66"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The main objective of the feasibility study was to evaluate a participant’s experience wearing Flow while in an altered state of consciousness following the administration of ketamine.</w:t>
      </w:r>
    </w:p>
    <w:p>
      <w:pPr>
        <w:spacing w:after="0" w:line="171" w:lineRule="exact"/>
        <w:rPr>
          <w:sz w:val="20"/>
          <w:szCs w:val="20"/>
          <w:color w:val="auto"/>
        </w:rPr>
      </w:pPr>
    </w:p>
    <w:p>
      <w:pPr>
        <w:jc w:val="both"/>
        <w:ind w:right="20"/>
        <w:spacing w:after="0" w:line="315" w:lineRule="auto"/>
        <w:rPr>
          <w:sz w:val="20"/>
          <w:szCs w:val="20"/>
          <w:color w:val="auto"/>
        </w:rPr>
      </w:pPr>
      <w:r>
        <w:rPr>
          <w:rFonts w:ascii="Arial" w:cs="Arial" w:eastAsia="Arial" w:hAnsi="Arial"/>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Use of Proceeds</w:t>
      </w:r>
    </w:p>
    <w:p>
      <w:pPr>
        <w:spacing w:after="0" w:line="256" w:lineRule="exact"/>
        <w:rPr>
          <w:sz w:val="20"/>
          <w:szCs w:val="20"/>
          <w:color w:val="auto"/>
        </w:rPr>
      </w:pPr>
    </w:p>
    <w:p>
      <w:pPr>
        <w:ind w:right="200"/>
        <w:spacing w:after="0" w:line="299" w:lineRule="auto"/>
        <w:rPr>
          <w:sz w:val="20"/>
          <w:szCs w:val="20"/>
          <w:color w:val="auto"/>
        </w:rPr>
      </w:pPr>
      <w:r>
        <w:rPr>
          <w:rFonts w:ascii="Arial" w:cs="Arial" w:eastAsia="Arial" w:hAnsi="Arial"/>
          <w:sz w:val="17"/>
          <w:szCs w:val="17"/>
          <w:color w:val="auto"/>
        </w:rPr>
        <w:t>The table below covers the period beginning July 1, 2022 until June 30, 2023, and describes the differences between the Company’s anticipated use of proceeds of $10,018 as previously disclosed in the Company’s prospectus supplement dated August 1, 2023 (the “</w:t>
      </w:r>
      <w:r>
        <w:rPr>
          <w:rFonts w:ascii="Arial" w:cs="Arial" w:eastAsia="Arial" w:hAnsi="Arial"/>
          <w:sz w:val="18"/>
          <w:szCs w:val="18"/>
          <w:b w:val="1"/>
          <w:bCs w:val="1"/>
          <w:color w:val="auto"/>
        </w:rPr>
        <w:t>August Prospectus Supplement</w:t>
      </w:r>
      <w:r>
        <w:rPr>
          <w:rFonts w:ascii="Arial" w:cs="Arial" w:eastAsia="Arial" w:hAnsi="Arial"/>
          <w:sz w:val="17"/>
          <w:szCs w:val="17"/>
          <w:color w:val="auto"/>
        </w:rPr>
        <w:t xml:space="preserve">”) to the Company’s short form base shelf prospectus dated July 5, 2021 (the “ </w:t>
      </w:r>
      <w:r>
        <w:rPr>
          <w:rFonts w:ascii="Arial" w:cs="Arial" w:eastAsia="Arial" w:hAnsi="Arial"/>
          <w:sz w:val="18"/>
          <w:szCs w:val="18"/>
          <w:b w:val="1"/>
          <w:bCs w:val="1"/>
          <w:color w:val="auto"/>
        </w:rPr>
        <w:t>2021 Base Shelf Prospectus</w:t>
      </w:r>
      <w:r>
        <w:rPr>
          <w:rFonts w:ascii="Arial" w:cs="Arial" w:eastAsia="Arial" w:hAnsi="Arial"/>
          <w:sz w:val="17"/>
          <w:szCs w:val="17"/>
          <w:color w:val="auto"/>
        </w:rPr>
        <w:t>”), the revised estimated costs as at September 30, 2023, for the same period, and the actual use of proceeds as at September 30, 2023.</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80" w:type="dxa"/>
            <w:vAlign w:val="bottom"/>
            <w:tcBorders>
              <w:top w:val="single" w:sz="8" w:color="auto"/>
              <w:left w:val="single" w:sz="8" w:color="D9D9D9"/>
            </w:tcBorders>
            <w:shd w:val="clear" w:color="auto" w:fill="D9D9D9"/>
          </w:tcPr>
          <w:p>
            <w:pPr>
              <w:spacing w:after="0"/>
              <w:rPr>
                <w:sz w:val="19"/>
                <w:szCs w:val="19"/>
                <w:color w:val="auto"/>
              </w:rPr>
            </w:pPr>
          </w:p>
        </w:tc>
        <w:tc>
          <w:tcPr>
            <w:tcW w:w="4500" w:type="dxa"/>
            <w:vAlign w:val="bottom"/>
            <w:tcBorders>
              <w:top w:val="single" w:sz="8" w:color="auto"/>
              <w:right w:val="single" w:sz="8" w:color="auto"/>
            </w:tcBorders>
            <w:shd w:val="clear" w:color="auto" w:fill="D9D9D9"/>
          </w:tcPr>
          <w:p>
            <w:pPr>
              <w:spacing w:after="0"/>
              <w:rPr>
                <w:sz w:val="19"/>
                <w:szCs w:val="19"/>
                <w:color w:val="auto"/>
              </w:rPr>
            </w:pPr>
          </w:p>
        </w:tc>
        <w:tc>
          <w:tcPr>
            <w:tcW w:w="16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Previous Disclosure</w:t>
            </w:r>
          </w:p>
        </w:tc>
        <w:tc>
          <w:tcPr>
            <w:tcW w:w="1520" w:type="dxa"/>
            <w:vAlign w:val="bottom"/>
            <w:tcBorders>
              <w:top w:val="single" w:sz="8" w:color="auto"/>
              <w:right w:val="single" w:sz="8" w:color="auto"/>
            </w:tcBorders>
            <w:shd w:val="clear" w:color="auto" w:fill="D9D9D9"/>
          </w:tcPr>
          <w:p>
            <w:pPr>
              <w:spacing w:after="0"/>
              <w:rPr>
                <w:sz w:val="19"/>
                <w:szCs w:val="19"/>
                <w:color w:val="auto"/>
              </w:rPr>
            </w:pPr>
          </w:p>
        </w:tc>
        <w:tc>
          <w:tcPr>
            <w:tcW w:w="1700" w:type="dxa"/>
            <w:vAlign w:val="bottom"/>
            <w:tcBorders>
              <w:top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 w:type="dxa"/>
            <w:vAlign w:val="bottom"/>
            <w:tcBorders>
              <w:left w:val="single" w:sz="8" w:color="D9D9D9"/>
            </w:tcBorders>
            <w:shd w:val="clear" w:color="auto" w:fill="D9D9D9"/>
          </w:tcPr>
          <w:p>
            <w:pPr>
              <w:spacing w:after="0"/>
              <w:rPr>
                <w:sz w:val="18"/>
                <w:szCs w:val="18"/>
                <w:color w:val="auto"/>
              </w:rPr>
            </w:pPr>
          </w:p>
        </w:tc>
        <w:tc>
          <w:tcPr>
            <w:tcW w:w="4500" w:type="dxa"/>
            <w:vAlign w:val="bottom"/>
            <w:tcBorders>
              <w:right w:val="single" w:sz="8" w:color="auto"/>
            </w:tcBorders>
            <w:shd w:val="clear" w:color="auto" w:fill="D9D9D9"/>
          </w:tcPr>
          <w:p>
            <w:pPr>
              <w:spacing w:after="0"/>
              <w:rPr>
                <w:sz w:val="18"/>
                <w:szCs w:val="18"/>
                <w:color w:val="auto"/>
              </w:rPr>
            </w:pPr>
          </w:p>
        </w:tc>
        <w:tc>
          <w:tcPr>
            <w:tcW w:w="1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Regarding Use</w:t>
            </w:r>
          </w:p>
        </w:tc>
        <w:tc>
          <w:tcPr>
            <w:tcW w:w="1520" w:type="dxa"/>
            <w:vAlign w:val="bottom"/>
            <w:tcBorders>
              <w:right w:val="single" w:sz="8" w:color="auto"/>
            </w:tcBorders>
            <w:shd w:val="clear" w:color="auto" w:fill="D9D9D9"/>
          </w:tcPr>
          <w:p>
            <w:pPr>
              <w:spacing w:after="0"/>
              <w:rPr>
                <w:sz w:val="18"/>
                <w:szCs w:val="18"/>
                <w:color w:val="auto"/>
              </w:rPr>
            </w:pPr>
          </w:p>
        </w:tc>
        <w:tc>
          <w:tcPr>
            <w:tcW w:w="170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 w:type="dxa"/>
            <w:vAlign w:val="bottom"/>
            <w:tcBorders>
              <w:left w:val="single" w:sz="8" w:color="D9D9D9"/>
            </w:tcBorders>
            <w:shd w:val="clear" w:color="auto" w:fill="D9D9D9"/>
          </w:tcPr>
          <w:p>
            <w:pPr>
              <w:spacing w:after="0"/>
              <w:rPr>
                <w:sz w:val="17"/>
                <w:szCs w:val="17"/>
                <w:color w:val="auto"/>
              </w:rPr>
            </w:pPr>
          </w:p>
        </w:tc>
        <w:tc>
          <w:tcPr>
            <w:tcW w:w="4500" w:type="dxa"/>
            <w:vAlign w:val="bottom"/>
            <w:tcBorders>
              <w:right w:val="single" w:sz="8" w:color="auto"/>
            </w:tcBorders>
            <w:shd w:val="clear" w:color="auto" w:fill="D9D9D9"/>
          </w:tcPr>
          <w:p>
            <w:pPr>
              <w:spacing w:after="0"/>
              <w:rPr>
                <w:sz w:val="17"/>
                <w:szCs w:val="17"/>
                <w:color w:val="auto"/>
              </w:rPr>
            </w:pPr>
          </w:p>
        </w:tc>
        <w:tc>
          <w:tcPr>
            <w:tcW w:w="1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of Proceeds in the</w:t>
            </w:r>
          </w:p>
        </w:tc>
        <w:tc>
          <w:tcPr>
            <w:tcW w:w="15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Actual Use of Proceeds</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5"/>
              </w:rPr>
              <w:t>Revised Estimated Use of</w:t>
            </w:r>
          </w:p>
        </w:tc>
        <w:tc>
          <w:tcPr>
            <w:tcW w:w="0" w:type="dxa"/>
            <w:vAlign w:val="bottom"/>
          </w:tcPr>
          <w:p>
            <w:pPr>
              <w:spacing w:after="0"/>
              <w:rPr>
                <w:sz w:val="1"/>
                <w:szCs w:val="1"/>
                <w:color w:val="auto"/>
              </w:rPr>
            </w:pPr>
          </w:p>
        </w:tc>
      </w:tr>
      <w:tr>
        <w:trPr>
          <w:trHeight w:val="104"/>
        </w:trPr>
        <w:tc>
          <w:tcPr>
            <w:tcW w:w="80" w:type="dxa"/>
            <w:vAlign w:val="bottom"/>
            <w:tcBorders>
              <w:left w:val="single" w:sz="8" w:color="D9D9D9"/>
            </w:tcBorders>
            <w:shd w:val="clear" w:color="auto" w:fill="D9D9D9"/>
          </w:tcPr>
          <w:p>
            <w:pPr>
              <w:spacing w:after="0"/>
              <w:rPr>
                <w:sz w:val="9"/>
                <w:szCs w:val="9"/>
                <w:color w:val="auto"/>
              </w:rPr>
            </w:pPr>
          </w:p>
        </w:tc>
        <w:tc>
          <w:tcPr>
            <w:tcW w:w="4500" w:type="dxa"/>
            <w:vAlign w:val="bottom"/>
            <w:tcBorders>
              <w:right w:val="single" w:sz="8" w:color="auto"/>
            </w:tcBorders>
            <w:shd w:val="clear" w:color="auto" w:fill="D9D9D9"/>
          </w:tcPr>
          <w:p>
            <w:pPr>
              <w:spacing w:after="0"/>
              <w:rPr>
                <w:sz w:val="9"/>
                <w:szCs w:val="9"/>
                <w:color w:val="auto"/>
              </w:rPr>
            </w:pPr>
          </w:p>
        </w:tc>
        <w:tc>
          <w:tcPr>
            <w:tcW w:w="16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4"/>
              </w:rPr>
              <w:t>August Prospectus</w:t>
            </w:r>
          </w:p>
        </w:tc>
        <w:tc>
          <w:tcPr>
            <w:tcW w:w="1520" w:type="dxa"/>
            <w:vAlign w:val="bottom"/>
            <w:tcBorders>
              <w:right w:val="single" w:sz="8" w:color="auto"/>
            </w:tcBorders>
            <w:vMerge w:val="continue"/>
            <w:shd w:val="clear" w:color="auto" w:fill="D9D9D9"/>
          </w:tcPr>
          <w:p>
            <w:pPr>
              <w:spacing w:after="0"/>
              <w:rPr>
                <w:sz w:val="9"/>
                <w:szCs w:val="9"/>
                <w:color w:val="auto"/>
              </w:rPr>
            </w:pPr>
          </w:p>
        </w:tc>
        <w:tc>
          <w:tcPr>
            <w:tcW w:w="17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80" w:type="dxa"/>
            <w:vAlign w:val="bottom"/>
            <w:tcBorders>
              <w:left w:val="single" w:sz="8" w:color="D9D9D9"/>
            </w:tcBorders>
            <w:shd w:val="clear" w:color="auto" w:fill="D9D9D9"/>
          </w:tcPr>
          <w:p>
            <w:pPr>
              <w:spacing w:after="0"/>
              <w:rPr>
                <w:sz w:val="6"/>
                <w:szCs w:val="6"/>
                <w:color w:val="auto"/>
              </w:rPr>
            </w:pPr>
          </w:p>
        </w:tc>
        <w:tc>
          <w:tcPr>
            <w:tcW w:w="4500" w:type="dxa"/>
            <w:vAlign w:val="bottom"/>
            <w:tcBorders>
              <w:right w:val="single" w:sz="8" w:color="auto"/>
            </w:tcBorders>
            <w:shd w:val="clear" w:color="auto" w:fill="D9D9D9"/>
          </w:tcPr>
          <w:p>
            <w:pPr>
              <w:spacing w:after="0"/>
              <w:rPr>
                <w:sz w:val="6"/>
                <w:szCs w:val="6"/>
                <w:color w:val="auto"/>
              </w:rPr>
            </w:pPr>
          </w:p>
        </w:tc>
        <w:tc>
          <w:tcPr>
            <w:tcW w:w="1620" w:type="dxa"/>
            <w:vAlign w:val="bottom"/>
            <w:tcBorders>
              <w:right w:val="single" w:sz="8" w:color="auto"/>
            </w:tcBorders>
            <w:vMerge w:val="continue"/>
            <w:shd w:val="clear" w:color="auto" w:fill="D9D9D9"/>
          </w:tcPr>
          <w:p>
            <w:pPr>
              <w:spacing w:after="0"/>
              <w:rPr>
                <w:sz w:val="6"/>
                <w:szCs w:val="6"/>
                <w:color w:val="auto"/>
              </w:rPr>
            </w:pPr>
          </w:p>
        </w:tc>
        <w:tc>
          <w:tcPr>
            <w:tcW w:w="1520" w:type="dxa"/>
            <w:vAlign w:val="bottom"/>
            <w:tcBorders>
              <w:right w:val="single" w:sz="8" w:color="auto"/>
            </w:tcBorders>
            <w:shd w:val="clear" w:color="auto" w:fill="D9D9D9"/>
          </w:tcPr>
          <w:p>
            <w:pPr>
              <w:jc w:val="center"/>
              <w:spacing w:after="0" w:line="73" w:lineRule="exact"/>
              <w:rPr>
                <w:sz w:val="20"/>
                <w:szCs w:val="20"/>
                <w:color w:val="auto"/>
              </w:rPr>
            </w:pPr>
            <w:r>
              <w:rPr>
                <w:rFonts w:ascii="Arial" w:cs="Arial" w:eastAsia="Arial" w:hAnsi="Arial"/>
                <w:sz w:val="8"/>
                <w:szCs w:val="8"/>
                <w:b w:val="1"/>
                <w:bCs w:val="1"/>
                <w:color w:val="auto"/>
              </w:rPr>
              <w:t>as at September 30,</w:t>
            </w:r>
          </w:p>
        </w:tc>
        <w:tc>
          <w:tcPr>
            <w:tcW w:w="170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2"/>
              </w:rPr>
              <w:t>Proceeds</w:t>
            </w:r>
          </w:p>
        </w:tc>
        <w:tc>
          <w:tcPr>
            <w:tcW w:w="0" w:type="dxa"/>
            <w:vAlign w:val="bottom"/>
          </w:tcPr>
          <w:p>
            <w:pPr>
              <w:spacing w:after="0"/>
              <w:rPr>
                <w:sz w:val="1"/>
                <w:szCs w:val="1"/>
                <w:color w:val="auto"/>
              </w:rPr>
            </w:pPr>
          </w:p>
        </w:tc>
      </w:tr>
      <w:tr>
        <w:trPr>
          <w:trHeight w:val="115"/>
        </w:trPr>
        <w:tc>
          <w:tcPr>
            <w:tcW w:w="80" w:type="dxa"/>
            <w:vAlign w:val="bottom"/>
            <w:tcBorders>
              <w:left w:val="single" w:sz="8" w:color="D9D9D9"/>
            </w:tcBorders>
            <w:shd w:val="clear" w:color="auto" w:fill="D9D9D9"/>
          </w:tcPr>
          <w:p>
            <w:pPr>
              <w:spacing w:after="0"/>
              <w:rPr>
                <w:sz w:val="9"/>
                <w:szCs w:val="9"/>
                <w:color w:val="auto"/>
              </w:rPr>
            </w:pPr>
          </w:p>
        </w:tc>
        <w:tc>
          <w:tcPr>
            <w:tcW w:w="4500" w:type="dxa"/>
            <w:vAlign w:val="bottom"/>
            <w:tcBorders>
              <w:right w:val="single" w:sz="8" w:color="auto"/>
            </w:tcBorders>
            <w:shd w:val="clear" w:color="auto" w:fill="D9D9D9"/>
          </w:tcPr>
          <w:p>
            <w:pPr>
              <w:spacing w:after="0"/>
              <w:rPr>
                <w:sz w:val="9"/>
                <w:szCs w:val="9"/>
                <w:color w:val="auto"/>
              </w:rPr>
            </w:pPr>
          </w:p>
        </w:tc>
        <w:tc>
          <w:tcPr>
            <w:tcW w:w="16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6"/>
              </w:rPr>
              <w:t>Supplement</w:t>
            </w:r>
          </w:p>
        </w:tc>
        <w:tc>
          <w:tcPr>
            <w:tcW w:w="152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5"/>
                <w:szCs w:val="15"/>
                <w:b w:val="1"/>
                <w:bCs w:val="1"/>
                <w:color w:val="auto"/>
                <w:w w:val="83"/>
              </w:rPr>
              <w:t>2023</w:t>
            </w:r>
          </w:p>
        </w:tc>
        <w:tc>
          <w:tcPr>
            <w:tcW w:w="170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80" w:type="dxa"/>
            <w:vAlign w:val="bottom"/>
            <w:tcBorders>
              <w:left w:val="single" w:sz="8" w:color="D9D9D9"/>
            </w:tcBorders>
            <w:shd w:val="clear" w:color="auto" w:fill="D9D9D9"/>
          </w:tcPr>
          <w:p>
            <w:pPr>
              <w:spacing w:after="0"/>
              <w:rPr>
                <w:sz w:val="6"/>
                <w:szCs w:val="6"/>
                <w:color w:val="auto"/>
              </w:rPr>
            </w:pPr>
          </w:p>
        </w:tc>
        <w:tc>
          <w:tcPr>
            <w:tcW w:w="4500" w:type="dxa"/>
            <w:vAlign w:val="bottom"/>
            <w:tcBorders>
              <w:right w:val="single" w:sz="8" w:color="auto"/>
            </w:tcBorders>
            <w:shd w:val="clear" w:color="auto" w:fill="D9D9D9"/>
          </w:tcPr>
          <w:p>
            <w:pPr>
              <w:spacing w:after="0"/>
              <w:rPr>
                <w:sz w:val="6"/>
                <w:szCs w:val="6"/>
                <w:color w:val="auto"/>
              </w:rPr>
            </w:pPr>
          </w:p>
        </w:tc>
        <w:tc>
          <w:tcPr>
            <w:tcW w:w="1620" w:type="dxa"/>
            <w:vAlign w:val="bottom"/>
            <w:tcBorders>
              <w:right w:val="single" w:sz="8" w:color="auto"/>
            </w:tcBorders>
            <w:vMerge w:val="continue"/>
            <w:shd w:val="clear" w:color="auto" w:fill="D9D9D9"/>
          </w:tcPr>
          <w:p>
            <w:pPr>
              <w:spacing w:after="0"/>
              <w:rPr>
                <w:sz w:val="6"/>
                <w:szCs w:val="6"/>
                <w:color w:val="auto"/>
              </w:rPr>
            </w:pPr>
          </w:p>
        </w:tc>
        <w:tc>
          <w:tcPr>
            <w:tcW w:w="1520" w:type="dxa"/>
            <w:vAlign w:val="bottom"/>
            <w:tcBorders>
              <w:right w:val="single" w:sz="8" w:color="auto"/>
            </w:tcBorders>
            <w:vMerge w:val="continue"/>
            <w:shd w:val="clear" w:color="auto" w:fill="D9D9D9"/>
          </w:tcPr>
          <w:p>
            <w:pPr>
              <w:spacing w:after="0"/>
              <w:rPr>
                <w:sz w:val="6"/>
                <w:szCs w:val="6"/>
                <w:color w:val="auto"/>
              </w:rPr>
            </w:pPr>
          </w:p>
        </w:tc>
        <w:tc>
          <w:tcPr>
            <w:tcW w:w="1700" w:type="dxa"/>
            <w:vAlign w:val="bottom"/>
            <w:tcBorders>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80" w:type="dxa"/>
            <w:vAlign w:val="bottom"/>
            <w:tcBorders>
              <w:left w:val="single" w:sz="8" w:color="D9D9D9"/>
            </w:tcBorders>
            <w:shd w:val="clear" w:color="auto" w:fill="D9D9D9"/>
          </w:tcPr>
          <w:p>
            <w:pPr>
              <w:spacing w:after="0"/>
              <w:rPr>
                <w:sz w:val="5"/>
                <w:szCs w:val="5"/>
                <w:color w:val="auto"/>
              </w:rPr>
            </w:pPr>
          </w:p>
        </w:tc>
        <w:tc>
          <w:tcPr>
            <w:tcW w:w="4500" w:type="dxa"/>
            <w:vAlign w:val="bottom"/>
            <w:tcBorders>
              <w:right w:val="single" w:sz="8" w:color="auto"/>
            </w:tcBorders>
            <w:shd w:val="clear" w:color="auto" w:fill="D9D9D9"/>
          </w:tcPr>
          <w:p>
            <w:pPr>
              <w:spacing w:after="0"/>
              <w:rPr>
                <w:sz w:val="5"/>
                <w:szCs w:val="5"/>
                <w:color w:val="auto"/>
              </w:rPr>
            </w:pPr>
          </w:p>
        </w:tc>
        <w:tc>
          <w:tcPr>
            <w:tcW w:w="1620" w:type="dxa"/>
            <w:vAlign w:val="bottom"/>
            <w:tcBorders>
              <w:right w:val="single" w:sz="8" w:color="auto"/>
            </w:tcBorders>
            <w:vMerge w:val="continue"/>
            <w:shd w:val="clear" w:color="auto" w:fill="D9D9D9"/>
          </w:tcPr>
          <w:p>
            <w:pPr>
              <w:spacing w:after="0"/>
              <w:rPr>
                <w:sz w:val="5"/>
                <w:szCs w:val="5"/>
                <w:color w:val="auto"/>
              </w:rPr>
            </w:pPr>
          </w:p>
        </w:tc>
        <w:tc>
          <w:tcPr>
            <w:tcW w:w="1520" w:type="dxa"/>
            <w:vAlign w:val="bottom"/>
            <w:tcBorders>
              <w:right w:val="single" w:sz="8" w:color="auto"/>
            </w:tcBorders>
            <w:shd w:val="clear" w:color="auto" w:fill="D9D9D9"/>
          </w:tcPr>
          <w:p>
            <w:pPr>
              <w:spacing w:after="0"/>
              <w:rPr>
                <w:sz w:val="5"/>
                <w:szCs w:val="5"/>
                <w:color w:val="auto"/>
              </w:rPr>
            </w:pPr>
          </w:p>
        </w:tc>
        <w:tc>
          <w:tcPr>
            <w:tcW w:w="170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80" w:type="dxa"/>
            <w:vAlign w:val="bottom"/>
            <w:tcBorders>
              <w:left w:val="single" w:sz="8" w:color="D9D9D9"/>
            </w:tcBorders>
            <w:shd w:val="clear" w:color="auto" w:fill="D9D9D9"/>
          </w:tcPr>
          <w:p>
            <w:pPr>
              <w:spacing w:after="0"/>
              <w:rPr>
                <w:sz w:val="17"/>
                <w:szCs w:val="17"/>
                <w:color w:val="auto"/>
              </w:rPr>
            </w:pPr>
          </w:p>
        </w:tc>
        <w:tc>
          <w:tcPr>
            <w:tcW w:w="4500" w:type="dxa"/>
            <w:vAlign w:val="bottom"/>
            <w:tcBorders>
              <w:right w:val="single" w:sz="8" w:color="auto"/>
            </w:tcBorders>
            <w:shd w:val="clear" w:color="auto" w:fill="D9D9D9"/>
          </w:tcPr>
          <w:p>
            <w:pPr>
              <w:spacing w:after="0"/>
              <w:rPr>
                <w:sz w:val="17"/>
                <w:szCs w:val="17"/>
                <w:color w:val="auto"/>
              </w:rPr>
            </w:pPr>
          </w:p>
        </w:tc>
        <w:tc>
          <w:tcPr>
            <w:tcW w:w="16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7"/>
              </w:rPr>
              <w:t>(July 1, 2023 to June 30</w:t>
            </w:r>
          </w:p>
        </w:tc>
        <w:tc>
          <w:tcPr>
            <w:tcW w:w="1520" w:type="dxa"/>
            <w:vAlign w:val="bottom"/>
            <w:tcBorders>
              <w:right w:val="single" w:sz="8" w:color="auto"/>
            </w:tcBorders>
            <w:shd w:val="clear" w:color="auto" w:fill="D9D9D9"/>
          </w:tcPr>
          <w:p>
            <w:pPr>
              <w:spacing w:after="0"/>
              <w:rPr>
                <w:sz w:val="17"/>
                <w:szCs w:val="17"/>
                <w:color w:val="auto"/>
              </w:rPr>
            </w:pPr>
          </w:p>
        </w:tc>
        <w:tc>
          <w:tcPr>
            <w:tcW w:w="17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580" w:type="dxa"/>
            <w:vAlign w:val="bottom"/>
            <w:tcBorders>
              <w:left w:val="single" w:sz="8" w:color="D9D9D9"/>
              <w:bottom w:val="single" w:sz="8" w:color="auto"/>
              <w:right w:val="single" w:sz="8" w:color="auto"/>
            </w:tcBorders>
            <w:gridSpan w:val="2"/>
            <w:shd w:val="clear" w:color="auto" w:fill="D9D9D9"/>
          </w:tcPr>
          <w:p>
            <w:pPr>
              <w:ind w:left="20"/>
              <w:spacing w:after="0"/>
              <w:rPr>
                <w:sz w:val="20"/>
                <w:szCs w:val="20"/>
                <w:color w:val="auto"/>
              </w:rPr>
            </w:pPr>
            <w:r>
              <w:rPr>
                <w:rFonts w:ascii="Arial" w:cs="Arial" w:eastAsia="Arial" w:hAnsi="Arial"/>
                <w:sz w:val="15"/>
                <w:szCs w:val="15"/>
                <w:b w:val="1"/>
                <w:bCs w:val="1"/>
                <w:color w:val="auto"/>
              </w:rPr>
              <w:t>Use of Available Funds ($000’s)</w:t>
            </w:r>
            <w:r>
              <w:rPr>
                <w:rFonts w:ascii="Arial" w:cs="Arial" w:eastAsia="Arial" w:hAnsi="Arial"/>
                <w:sz w:val="18"/>
                <w:szCs w:val="18"/>
                <w:b w:val="1"/>
                <w:bCs w:val="1"/>
                <w:color w:val="auto"/>
                <w:vertAlign w:val="superscript"/>
              </w:rPr>
              <w:t>(1)(2)</w:t>
            </w:r>
          </w:p>
        </w:tc>
        <w:tc>
          <w:tcPr>
            <w:tcW w:w="1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5"/>
                <w:szCs w:val="15"/>
                <w:b w:val="1"/>
                <w:bCs w:val="1"/>
                <w:color w:val="auto"/>
                <w:w w:val="88"/>
              </w:rPr>
              <w:t>2024)</w:t>
            </w:r>
          </w:p>
        </w:tc>
        <w:tc>
          <w:tcPr>
            <w:tcW w:w="1520" w:type="dxa"/>
            <w:vAlign w:val="bottom"/>
            <w:tcBorders>
              <w:bottom w:val="single" w:sz="8" w:color="auto"/>
              <w:right w:val="single" w:sz="8" w:color="auto"/>
            </w:tcBorders>
            <w:shd w:val="clear" w:color="auto" w:fill="D9D9D9"/>
          </w:tcPr>
          <w:p>
            <w:pPr>
              <w:spacing w:after="0"/>
              <w:rPr>
                <w:sz w:val="22"/>
                <w:szCs w:val="22"/>
                <w:color w:val="auto"/>
              </w:rPr>
            </w:pPr>
          </w:p>
        </w:tc>
        <w:tc>
          <w:tcPr>
            <w:tcW w:w="1700" w:type="dxa"/>
            <w:vAlign w:val="bottom"/>
            <w:tcBorders>
              <w:bottom w:val="single" w:sz="8" w:color="auto"/>
              <w:right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D9D9D9"/>
              <w:bottom w:val="single" w:sz="8" w:color="auto"/>
            </w:tcBorders>
            <w:shd w:val="clear" w:color="auto" w:fill="000000"/>
          </w:tcPr>
          <w:p>
            <w:pPr>
              <w:spacing w:after="0"/>
              <w:rPr>
                <w:sz w:val="15"/>
                <w:szCs w:val="15"/>
                <w:color w:val="auto"/>
              </w:rPr>
            </w:pPr>
          </w:p>
        </w:tc>
        <w:tc>
          <w:tcPr>
            <w:tcW w:w="4500" w:type="dxa"/>
            <w:vAlign w:val="bottom"/>
            <w:tcBorders>
              <w:bottom w:val="single" w:sz="8" w:color="auto"/>
              <w:right w:val="single" w:sz="8" w:color="D9D9D9"/>
            </w:tcBorders>
            <w:shd w:val="clear" w:color="auto" w:fill="D9D9D9"/>
          </w:tcPr>
          <w:p>
            <w:pPr>
              <w:ind w:left="20"/>
              <w:spacing w:after="0"/>
              <w:rPr>
                <w:sz w:val="20"/>
                <w:szCs w:val="20"/>
                <w:color w:val="auto"/>
              </w:rPr>
            </w:pPr>
            <w:r>
              <w:rPr>
                <w:rFonts w:ascii="Arial" w:cs="Arial" w:eastAsia="Arial" w:hAnsi="Arial"/>
                <w:sz w:val="15"/>
                <w:szCs w:val="15"/>
                <w:b w:val="1"/>
                <w:bCs w:val="1"/>
                <w:color w:val="auto"/>
              </w:rPr>
              <w:t>Deuterated Psilocybin Analog Program</w:t>
            </w:r>
          </w:p>
        </w:tc>
        <w:tc>
          <w:tcPr>
            <w:tcW w:w="1620" w:type="dxa"/>
            <w:vAlign w:val="bottom"/>
            <w:tcBorders>
              <w:bottom w:val="single" w:sz="8" w:color="auto"/>
              <w:right w:val="single" w:sz="8" w:color="D9D9D9"/>
            </w:tcBorders>
            <w:shd w:val="clear" w:color="auto" w:fill="D9D9D9"/>
          </w:tcPr>
          <w:p>
            <w:pPr>
              <w:spacing w:after="0"/>
              <w:rPr>
                <w:sz w:val="15"/>
                <w:szCs w:val="15"/>
                <w:color w:val="auto"/>
              </w:rPr>
            </w:pPr>
          </w:p>
        </w:tc>
        <w:tc>
          <w:tcPr>
            <w:tcW w:w="1520" w:type="dxa"/>
            <w:vAlign w:val="bottom"/>
            <w:tcBorders>
              <w:bottom w:val="single" w:sz="8" w:color="auto"/>
              <w:right w:val="single" w:sz="8" w:color="D9D9D9"/>
            </w:tcBorders>
            <w:shd w:val="clear" w:color="auto" w:fill="D9D9D9"/>
          </w:tcPr>
          <w:p>
            <w:pPr>
              <w:spacing w:after="0"/>
              <w:rPr>
                <w:sz w:val="15"/>
                <w:szCs w:val="15"/>
                <w:color w:val="auto"/>
              </w:rPr>
            </w:pPr>
          </w:p>
        </w:tc>
        <w:tc>
          <w:tcPr>
            <w:tcW w:w="17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5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Complete FDA submission of Phase 1/2a data</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$2,500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$2,500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$2,500</w:t>
            </w:r>
          </w:p>
        </w:tc>
        <w:tc>
          <w:tcPr>
            <w:tcW w:w="0" w:type="dxa"/>
            <w:vAlign w:val="bottom"/>
          </w:tcPr>
          <w:p>
            <w:pPr>
              <w:spacing w:after="0"/>
              <w:rPr>
                <w:sz w:val="1"/>
                <w:szCs w:val="1"/>
                <w:color w:val="auto"/>
              </w:rPr>
            </w:pPr>
          </w:p>
        </w:tc>
      </w:tr>
      <w:tr>
        <w:trPr>
          <w:trHeight w:val="186"/>
        </w:trPr>
        <w:tc>
          <w:tcPr>
            <w:tcW w:w="80" w:type="dxa"/>
            <w:vAlign w:val="bottom"/>
            <w:tcBorders>
              <w:left w:val="single" w:sz="8" w:color="DBDBDB"/>
              <w:bottom w:val="single" w:sz="8" w:color="auto"/>
            </w:tcBorders>
            <w:shd w:val="clear" w:color="auto" w:fill="000000"/>
          </w:tcPr>
          <w:p>
            <w:pPr>
              <w:spacing w:after="0"/>
              <w:rPr>
                <w:sz w:val="16"/>
                <w:szCs w:val="16"/>
                <w:color w:val="auto"/>
              </w:rPr>
            </w:pPr>
          </w:p>
        </w:tc>
        <w:tc>
          <w:tcPr>
            <w:tcW w:w="4500" w:type="dxa"/>
            <w:vAlign w:val="bottom"/>
            <w:tcBorders>
              <w:bottom w:val="single" w:sz="8" w:color="auto"/>
              <w:right w:val="single" w:sz="8" w:color="DBDBDB"/>
            </w:tcBorders>
            <w:shd w:val="clear" w:color="auto" w:fill="DBDBDB"/>
          </w:tcPr>
          <w:p>
            <w:pPr>
              <w:ind w:left="20"/>
              <w:spacing w:after="0"/>
              <w:rPr>
                <w:sz w:val="20"/>
                <w:szCs w:val="20"/>
                <w:color w:val="auto"/>
              </w:rPr>
            </w:pPr>
            <w:r>
              <w:rPr>
                <w:rFonts w:ascii="Arial" w:cs="Arial" w:eastAsia="Arial" w:hAnsi="Arial"/>
                <w:sz w:val="15"/>
                <w:szCs w:val="15"/>
                <w:b w:val="1"/>
                <w:bCs w:val="1"/>
                <w:color w:val="auto"/>
              </w:rPr>
              <w:t>Deuterated Dimethyltryptamine Program</w:t>
            </w:r>
          </w:p>
        </w:tc>
        <w:tc>
          <w:tcPr>
            <w:tcW w:w="1620" w:type="dxa"/>
            <w:vAlign w:val="bottom"/>
            <w:tcBorders>
              <w:bottom w:val="single" w:sz="8" w:color="auto"/>
              <w:right w:val="single" w:sz="8" w:color="DBDBDB"/>
            </w:tcBorders>
            <w:shd w:val="clear" w:color="auto" w:fill="DBDBDB"/>
          </w:tcPr>
          <w:p>
            <w:pPr>
              <w:spacing w:after="0"/>
              <w:rPr>
                <w:sz w:val="16"/>
                <w:szCs w:val="16"/>
                <w:color w:val="auto"/>
              </w:rPr>
            </w:pPr>
          </w:p>
        </w:tc>
        <w:tc>
          <w:tcPr>
            <w:tcW w:w="1520" w:type="dxa"/>
            <w:vAlign w:val="bottom"/>
            <w:tcBorders>
              <w:bottom w:val="single" w:sz="8" w:color="auto"/>
              <w:right w:val="single" w:sz="8" w:color="DBDBDB"/>
            </w:tcBorders>
            <w:shd w:val="clear" w:color="auto" w:fill="DBDBDB"/>
          </w:tcPr>
          <w:p>
            <w:pPr>
              <w:spacing w:after="0"/>
              <w:rPr>
                <w:sz w:val="16"/>
                <w:szCs w:val="16"/>
                <w:color w:val="auto"/>
              </w:rPr>
            </w:pPr>
          </w:p>
        </w:tc>
        <w:tc>
          <w:tcPr>
            <w:tcW w:w="1700" w:type="dxa"/>
            <w:vAlign w:val="bottom"/>
            <w:tcBorders>
              <w:bottom w:val="single" w:sz="8" w:color="auto"/>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Provide topline data from Phase 1 CYB004-E trial</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$1,269</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$1,129</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$1,269</w:t>
            </w:r>
          </w:p>
        </w:tc>
        <w:tc>
          <w:tcPr>
            <w:tcW w:w="0" w:type="dxa"/>
            <w:vAlign w:val="bottom"/>
          </w:tcPr>
          <w:p>
            <w:pPr>
              <w:spacing w:after="0"/>
              <w:rPr>
                <w:sz w:val="1"/>
                <w:szCs w:val="1"/>
                <w:color w:val="auto"/>
              </w:rPr>
            </w:pPr>
          </w:p>
        </w:tc>
      </w:tr>
      <w:tr>
        <w:trPr>
          <w:trHeight w:val="186"/>
        </w:trPr>
        <w:tc>
          <w:tcPr>
            <w:tcW w:w="45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Complete FDA IND submission</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$1,373</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3"/>
              </w:rPr>
              <w:t>$762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$1,373</w:t>
            </w:r>
          </w:p>
        </w:tc>
        <w:tc>
          <w:tcPr>
            <w:tcW w:w="0" w:type="dxa"/>
            <w:vAlign w:val="bottom"/>
          </w:tcPr>
          <w:p>
            <w:pPr>
              <w:spacing w:after="0"/>
              <w:rPr>
                <w:sz w:val="1"/>
                <w:szCs w:val="1"/>
                <w:color w:val="auto"/>
              </w:rPr>
            </w:pPr>
          </w:p>
        </w:tc>
      </w:tr>
      <w:tr>
        <w:trPr>
          <w:trHeight w:val="188"/>
        </w:trPr>
        <w:tc>
          <w:tcPr>
            <w:tcW w:w="80" w:type="dxa"/>
            <w:vAlign w:val="bottom"/>
            <w:tcBorders>
              <w:left w:val="single" w:sz="8" w:color="DBDBDB"/>
              <w:bottom w:val="single" w:sz="8" w:color="auto"/>
            </w:tcBorders>
            <w:shd w:val="clear" w:color="auto" w:fill="000000"/>
          </w:tcPr>
          <w:p>
            <w:pPr>
              <w:spacing w:after="0"/>
              <w:rPr>
                <w:sz w:val="16"/>
                <w:szCs w:val="16"/>
                <w:color w:val="auto"/>
              </w:rPr>
            </w:pPr>
          </w:p>
        </w:tc>
        <w:tc>
          <w:tcPr>
            <w:tcW w:w="4500" w:type="dxa"/>
            <w:vAlign w:val="bottom"/>
            <w:tcBorders>
              <w:bottom w:val="single" w:sz="8" w:color="auto"/>
              <w:right w:val="single" w:sz="8" w:color="DBDBDB"/>
            </w:tcBorders>
            <w:shd w:val="clear" w:color="auto" w:fill="DBDBDB"/>
          </w:tcPr>
          <w:p>
            <w:pPr>
              <w:ind w:left="20"/>
              <w:spacing w:after="0"/>
              <w:rPr>
                <w:sz w:val="20"/>
                <w:szCs w:val="20"/>
                <w:color w:val="auto"/>
              </w:rPr>
            </w:pPr>
            <w:r>
              <w:rPr>
                <w:rFonts w:ascii="Arial" w:cs="Arial" w:eastAsia="Arial" w:hAnsi="Arial"/>
                <w:sz w:val="15"/>
                <w:szCs w:val="15"/>
                <w:b w:val="1"/>
                <w:bCs w:val="1"/>
                <w:color w:val="auto"/>
              </w:rPr>
              <w:t>Phenethylamine Development Program</w:t>
            </w:r>
          </w:p>
        </w:tc>
        <w:tc>
          <w:tcPr>
            <w:tcW w:w="1620" w:type="dxa"/>
            <w:vAlign w:val="bottom"/>
            <w:tcBorders>
              <w:bottom w:val="single" w:sz="8" w:color="auto"/>
              <w:right w:val="single" w:sz="8" w:color="DBDBDB"/>
            </w:tcBorders>
            <w:shd w:val="clear" w:color="auto" w:fill="DBDBDB"/>
          </w:tcPr>
          <w:p>
            <w:pPr>
              <w:spacing w:after="0"/>
              <w:rPr>
                <w:sz w:val="16"/>
                <w:szCs w:val="16"/>
                <w:color w:val="auto"/>
              </w:rPr>
            </w:pPr>
          </w:p>
        </w:tc>
        <w:tc>
          <w:tcPr>
            <w:tcW w:w="1520" w:type="dxa"/>
            <w:vAlign w:val="bottom"/>
            <w:tcBorders>
              <w:bottom w:val="single" w:sz="8" w:color="auto"/>
              <w:right w:val="single" w:sz="8" w:color="DBDBDB"/>
            </w:tcBorders>
            <w:shd w:val="clear" w:color="auto" w:fill="DBDBDB"/>
          </w:tcPr>
          <w:p>
            <w:pPr>
              <w:spacing w:after="0"/>
              <w:rPr>
                <w:sz w:val="16"/>
                <w:szCs w:val="16"/>
                <w:color w:val="auto"/>
              </w:rPr>
            </w:pPr>
          </w:p>
        </w:tc>
        <w:tc>
          <w:tcPr>
            <w:tcW w:w="1700" w:type="dxa"/>
            <w:vAlign w:val="bottom"/>
            <w:tcBorders>
              <w:bottom w:val="single" w:sz="8" w:color="auto"/>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5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Progression of phenethylamine candidate to clinical studies</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Nil</w:t>
            </w:r>
          </w:p>
        </w:tc>
        <w:tc>
          <w:tcPr>
            <w:tcW w:w="0" w:type="dxa"/>
            <w:vAlign w:val="bottom"/>
          </w:tcPr>
          <w:p>
            <w:pPr>
              <w:spacing w:after="0"/>
              <w:rPr>
                <w:sz w:val="1"/>
                <w:szCs w:val="1"/>
                <w:color w:val="auto"/>
              </w:rPr>
            </w:pPr>
          </w:p>
        </w:tc>
      </w:tr>
      <w:tr>
        <w:trPr>
          <w:trHeight w:val="188"/>
        </w:trPr>
        <w:tc>
          <w:tcPr>
            <w:tcW w:w="80" w:type="dxa"/>
            <w:vAlign w:val="bottom"/>
            <w:tcBorders>
              <w:left w:val="single" w:sz="8" w:color="DBDBDB"/>
              <w:bottom w:val="single" w:sz="8" w:color="auto"/>
            </w:tcBorders>
            <w:shd w:val="clear" w:color="auto" w:fill="000000"/>
          </w:tcPr>
          <w:p>
            <w:pPr>
              <w:spacing w:after="0"/>
              <w:rPr>
                <w:sz w:val="16"/>
                <w:szCs w:val="16"/>
                <w:color w:val="auto"/>
              </w:rPr>
            </w:pPr>
          </w:p>
        </w:tc>
        <w:tc>
          <w:tcPr>
            <w:tcW w:w="4500" w:type="dxa"/>
            <w:vAlign w:val="bottom"/>
            <w:tcBorders>
              <w:bottom w:val="single" w:sz="8" w:color="auto"/>
              <w:right w:val="single" w:sz="8" w:color="DBDBDB"/>
            </w:tcBorders>
            <w:shd w:val="clear" w:color="auto" w:fill="DBDBDB"/>
          </w:tcPr>
          <w:p>
            <w:pPr>
              <w:ind w:left="20"/>
              <w:spacing w:after="0"/>
              <w:rPr>
                <w:sz w:val="20"/>
                <w:szCs w:val="20"/>
                <w:color w:val="auto"/>
              </w:rPr>
            </w:pPr>
            <w:r>
              <w:rPr>
                <w:rFonts w:ascii="Arial" w:cs="Arial" w:eastAsia="Arial" w:hAnsi="Arial"/>
                <w:sz w:val="15"/>
                <w:szCs w:val="15"/>
                <w:b w:val="1"/>
                <w:bCs w:val="1"/>
                <w:color w:val="auto"/>
              </w:rPr>
              <w:t>Other</w:t>
            </w:r>
          </w:p>
        </w:tc>
        <w:tc>
          <w:tcPr>
            <w:tcW w:w="1620" w:type="dxa"/>
            <w:vAlign w:val="bottom"/>
            <w:tcBorders>
              <w:bottom w:val="single" w:sz="8" w:color="auto"/>
              <w:right w:val="single" w:sz="8" w:color="DBDBDB"/>
            </w:tcBorders>
            <w:shd w:val="clear" w:color="auto" w:fill="DBDBDB"/>
          </w:tcPr>
          <w:p>
            <w:pPr>
              <w:spacing w:after="0"/>
              <w:rPr>
                <w:sz w:val="16"/>
                <w:szCs w:val="16"/>
                <w:color w:val="auto"/>
              </w:rPr>
            </w:pPr>
          </w:p>
        </w:tc>
        <w:tc>
          <w:tcPr>
            <w:tcW w:w="1520" w:type="dxa"/>
            <w:vAlign w:val="bottom"/>
            <w:tcBorders>
              <w:bottom w:val="single" w:sz="8" w:color="auto"/>
              <w:right w:val="single" w:sz="8" w:color="DBDBDB"/>
            </w:tcBorders>
            <w:shd w:val="clear" w:color="auto" w:fill="DBDBDB"/>
          </w:tcPr>
          <w:p>
            <w:pPr>
              <w:spacing w:after="0"/>
              <w:rPr>
                <w:sz w:val="16"/>
                <w:szCs w:val="16"/>
                <w:color w:val="auto"/>
              </w:rPr>
            </w:pPr>
          </w:p>
        </w:tc>
        <w:tc>
          <w:tcPr>
            <w:tcW w:w="1700" w:type="dxa"/>
            <w:vAlign w:val="bottom"/>
            <w:tcBorders>
              <w:bottom w:val="single" w:sz="8" w:color="auto"/>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color w:val="auto"/>
              </w:rPr>
              <w:t>Working Capital, and General Corporate Purposes</w:t>
            </w:r>
            <w:r>
              <w:rPr>
                <w:rFonts w:ascii="Arial" w:cs="Arial" w:eastAsia="Arial" w:hAnsi="Arial"/>
                <w:sz w:val="18"/>
                <w:szCs w:val="18"/>
                <w:color w:val="auto"/>
                <w:vertAlign w:val="superscript"/>
              </w:rPr>
              <w:t>(3)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$4,876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$4,876</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7"/>
              </w:rPr>
              <w:t>$4,876</w:t>
            </w:r>
          </w:p>
        </w:tc>
        <w:tc>
          <w:tcPr>
            <w:tcW w:w="0" w:type="dxa"/>
            <w:vAlign w:val="bottom"/>
          </w:tcPr>
          <w:p>
            <w:pPr>
              <w:spacing w:after="0"/>
              <w:rPr>
                <w:sz w:val="1"/>
                <w:szCs w:val="1"/>
                <w:color w:val="auto"/>
              </w:rPr>
            </w:pPr>
          </w:p>
        </w:tc>
      </w:tr>
      <w:tr>
        <w:trPr>
          <w:trHeight w:val="183"/>
        </w:trPr>
        <w:tc>
          <w:tcPr>
            <w:tcW w:w="45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$10,018</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$9,267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$10,018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320" w:top="731" w:right="319" w:bottom="1440" w:gutter="0" w:footer="0" w:header="0"/>
        </w:sectPr>
      </w:pPr>
    </w:p>
    <w:bookmarkStart w:id="44" w:name="page45"/>
    <w:bookmarkEnd w:id="44"/>
    <w:p>
      <w:pPr>
        <w:ind w:left="3"/>
        <w:spacing w:after="0"/>
        <w:rPr>
          <w:sz w:val="20"/>
          <w:szCs w:val="20"/>
          <w:color w:val="auto"/>
        </w:rPr>
      </w:pPr>
      <w:r>
        <w:rPr>
          <w:rFonts w:ascii="Arial" w:cs="Arial" w:eastAsia="Arial" w:hAnsi="Arial"/>
          <w:sz w:val="15"/>
          <w:szCs w:val="15"/>
          <w:b w:val="1"/>
          <w:bCs w:val="1"/>
          <w:u w:val="single" w:color="auto"/>
          <w:color w:val="auto"/>
        </w:rPr>
        <w:t>Notes:</w:t>
      </w:r>
    </w:p>
    <w:p>
      <w:pPr>
        <w:spacing w:after="0" w:line="86" w:lineRule="exact"/>
        <w:rPr>
          <w:sz w:val="20"/>
          <w:szCs w:val="20"/>
          <w:color w:val="auto"/>
        </w:rPr>
      </w:pPr>
    </w:p>
    <w:p>
      <w:pPr>
        <w:ind w:left="323" w:hanging="323"/>
        <w:spacing w:after="0"/>
        <w:tabs>
          <w:tab w:leader="none" w:pos="323"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Certain amounts have been converted from USD to CAD at an exchange rate of 1.35:1.</w:t>
      </w:r>
    </w:p>
    <w:p>
      <w:pPr>
        <w:spacing w:after="0" w:line="21" w:lineRule="exact"/>
        <w:rPr>
          <w:rFonts w:ascii="Arial" w:cs="Arial" w:eastAsia="Arial" w:hAnsi="Arial"/>
          <w:sz w:val="15"/>
          <w:szCs w:val="15"/>
          <w:color w:val="auto"/>
        </w:rPr>
      </w:pPr>
    </w:p>
    <w:p>
      <w:pPr>
        <w:ind w:left="323" w:hanging="323"/>
        <w:spacing w:after="0"/>
        <w:tabs>
          <w:tab w:leader="none" w:pos="323"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Such amounts do not reflect the entire anticipated expenditures or budget related to the listed programs. For further information see “</w:t>
      </w:r>
      <w:r>
        <w:rPr>
          <w:rFonts w:ascii="Arial" w:cs="Arial" w:eastAsia="Arial" w:hAnsi="Arial"/>
          <w:sz w:val="14"/>
          <w:szCs w:val="14"/>
          <w:i w:val="1"/>
          <w:iCs w:val="1"/>
          <w:color w:val="auto"/>
        </w:rPr>
        <w:t>Non-Revenue Generating Projects</w:t>
      </w:r>
      <w:r>
        <w:rPr>
          <w:rFonts w:ascii="Arial" w:cs="Arial" w:eastAsia="Arial" w:hAnsi="Arial"/>
          <w:sz w:val="14"/>
          <w:szCs w:val="14"/>
          <w:color w:val="auto"/>
        </w:rPr>
        <w:t>”.</w:t>
      </w:r>
    </w:p>
    <w:p>
      <w:pPr>
        <w:spacing w:after="0" w:line="45" w:lineRule="exact"/>
        <w:rPr>
          <w:rFonts w:ascii="Arial" w:cs="Arial" w:eastAsia="Arial" w:hAnsi="Arial"/>
          <w:sz w:val="14"/>
          <w:szCs w:val="14"/>
          <w:color w:val="auto"/>
        </w:rPr>
      </w:pPr>
    </w:p>
    <w:p>
      <w:pPr>
        <w:ind w:left="403" w:right="20" w:hanging="403"/>
        <w:spacing w:after="0" w:line="286" w:lineRule="auto"/>
        <w:tabs>
          <w:tab w:leader="none" w:pos="311"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Psilocybin Analog and Deuterated Dimethyltryptamine programs. The allocation between these programs and specific milestones within the programs have not yet been determined.</w:t>
      </w:r>
    </w:p>
    <w:p>
      <w:pPr>
        <w:spacing w:after="0" w:line="214" w:lineRule="exact"/>
        <w:rPr>
          <w:sz w:val="20"/>
          <w:szCs w:val="20"/>
          <w:color w:val="auto"/>
        </w:rPr>
      </w:pPr>
    </w:p>
    <w:p>
      <w:pPr>
        <w:jc w:val="both"/>
        <w:ind w:left="3" w:right="20"/>
        <w:spacing w:after="0" w:line="310"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3" w:lineRule="exact"/>
        <w:rPr>
          <w:sz w:val="20"/>
          <w:szCs w:val="20"/>
          <w:color w:val="auto"/>
        </w:rPr>
      </w:pPr>
    </w:p>
    <w:p>
      <w:pPr>
        <w:jc w:val="both"/>
        <w:ind w:left="3" w:right="20"/>
        <w:spacing w:after="0" w:line="333" w:lineRule="auto"/>
        <w:rPr>
          <w:sz w:val="20"/>
          <w:szCs w:val="20"/>
          <w:color w:val="auto"/>
        </w:rPr>
      </w:pPr>
      <w:r>
        <w:rPr>
          <w:rFonts w:ascii="Arial" w:cs="Arial" w:eastAsia="Arial" w:hAnsi="Arial"/>
          <w:sz w:val="16"/>
          <w:szCs w:val="16"/>
          <w:color w:val="auto"/>
        </w:rPr>
        <w:t>The expected use of net proceeds from the Company’s financing activities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149" w:lineRule="exact"/>
        <w:rPr>
          <w:sz w:val="20"/>
          <w:szCs w:val="20"/>
          <w:color w:val="auto"/>
        </w:rPr>
      </w:pPr>
    </w:p>
    <w:p>
      <w:pPr>
        <w:ind w:left="3"/>
        <w:spacing w:after="0"/>
        <w:rPr>
          <w:sz w:val="20"/>
          <w:szCs w:val="20"/>
          <w:color w:val="auto"/>
        </w:rPr>
      </w:pPr>
      <w:r>
        <w:rPr>
          <w:rFonts w:ascii="Arial" w:cs="Arial" w:eastAsia="Arial" w:hAnsi="Arial"/>
          <w:sz w:val="18"/>
          <w:szCs w:val="18"/>
          <w:b w:val="1"/>
          <w:bCs w:val="1"/>
          <w:u w:val="single" w:color="auto"/>
          <w:color w:val="auto"/>
        </w:rPr>
        <w:t>Relationships with Third Parties</w:t>
      </w:r>
    </w:p>
    <w:p>
      <w:pPr>
        <w:spacing w:after="0" w:line="258" w:lineRule="exact"/>
        <w:rPr>
          <w:sz w:val="20"/>
          <w:szCs w:val="20"/>
          <w:color w:val="auto"/>
        </w:rPr>
      </w:pPr>
    </w:p>
    <w:p>
      <w:pPr>
        <w:jc w:val="both"/>
        <w:ind w:left="3" w:right="20"/>
        <w:spacing w:after="0" w:line="289" w:lineRule="auto"/>
        <w:rPr>
          <w:sz w:val="20"/>
          <w:szCs w:val="20"/>
          <w:color w:val="auto"/>
        </w:rPr>
      </w:pPr>
      <w:r>
        <w:rPr>
          <w:rFonts w:ascii="Arial" w:cs="Arial" w:eastAsia="Arial" w:hAnsi="Arial"/>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9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University of Washington</w:t>
      </w:r>
    </w:p>
    <w:p>
      <w:pPr>
        <w:spacing w:after="0" w:line="34" w:lineRule="exact"/>
        <w:rPr>
          <w:sz w:val="20"/>
          <w:szCs w:val="20"/>
          <w:color w:val="auto"/>
        </w:rPr>
      </w:pPr>
    </w:p>
    <w:p>
      <w:pPr>
        <w:jc w:val="both"/>
        <w:ind w:left="3" w:right="20"/>
        <w:spacing w:after="0" w:line="317" w:lineRule="auto"/>
        <w:rPr>
          <w:sz w:val="20"/>
          <w:szCs w:val="20"/>
          <w:color w:val="auto"/>
        </w:rPr>
      </w:pPr>
      <w:r>
        <w:rPr>
          <w:rFonts w:ascii="Arial" w:cs="Arial" w:eastAsia="Arial" w:hAnsi="Arial"/>
          <w:sz w:val="18"/>
          <w:szCs w:val="18"/>
          <w:color w:val="auto"/>
        </w:rPr>
        <w:t>The Company has licensed the use of its EMBARK psychological support model to the University of Washington for a randomized, placebo-controlled clinical trial of psilocybin for frontline clinicians experiencing COVID-19 related distress.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Greenbrook TMS</w:t>
      </w:r>
    </w:p>
    <w:p>
      <w:pPr>
        <w:spacing w:after="0" w:line="48" w:lineRule="exact"/>
        <w:rPr>
          <w:sz w:val="20"/>
          <w:szCs w:val="20"/>
          <w:color w:val="auto"/>
        </w:rPr>
      </w:pPr>
    </w:p>
    <w:p>
      <w:pPr>
        <w:jc w:val="both"/>
        <w:ind w:left="3" w:right="20"/>
        <w:spacing w:after="0" w:line="335" w:lineRule="auto"/>
        <w:rPr>
          <w:sz w:val="20"/>
          <w:szCs w:val="20"/>
          <w:color w:val="auto"/>
        </w:rPr>
      </w:pPr>
      <w:r>
        <w:rPr>
          <w:rFonts w:ascii="Arial" w:cs="Arial" w:eastAsia="Arial" w:hAnsi="Arial"/>
          <w:sz w:val="17"/>
          <w:szCs w:val="17"/>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Clinilabs Drug Development Corporation</w:t>
      </w:r>
    </w:p>
    <w:p>
      <w:pPr>
        <w:spacing w:after="0" w:line="36" w:lineRule="exact"/>
        <w:rPr>
          <w:sz w:val="20"/>
          <w:szCs w:val="20"/>
          <w:color w:val="auto"/>
        </w:rPr>
      </w:pPr>
    </w:p>
    <w:p>
      <w:pPr>
        <w:jc w:val="both"/>
        <w:ind w:left="3"/>
        <w:spacing w:after="0" w:line="299" w:lineRule="auto"/>
        <w:rPr>
          <w:sz w:val="20"/>
          <w:szCs w:val="20"/>
          <w:color w:val="auto"/>
        </w:rPr>
      </w:pPr>
      <w:r>
        <w:rPr>
          <w:rFonts w:ascii="Arial" w:cs="Arial" w:eastAsia="Arial" w:hAnsi="Arial"/>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 CYB003 is the first psilocybin analog to be evaluated in Phase 1/2a development for the treatment of MDD.</w:t>
      </w:r>
    </w:p>
    <w:p>
      <w:pPr>
        <w:spacing w:after="0" w:line="197"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Entheon Biomedical Corp.</w:t>
      </w:r>
    </w:p>
    <w:p>
      <w:pPr>
        <w:spacing w:after="0" w:line="36" w:lineRule="exact"/>
        <w:rPr>
          <w:sz w:val="20"/>
          <w:szCs w:val="20"/>
          <w:color w:val="auto"/>
        </w:rPr>
      </w:pPr>
    </w:p>
    <w:p>
      <w:pPr>
        <w:jc w:val="both"/>
        <w:ind w:left="3" w:right="20"/>
        <w:spacing w:after="0" w:line="299" w:lineRule="auto"/>
        <w:rPr>
          <w:sz w:val="20"/>
          <w:szCs w:val="20"/>
          <w:color w:val="auto"/>
        </w:rPr>
      </w:pPr>
      <w:r>
        <w:rPr>
          <w:rFonts w:ascii="Arial" w:cs="Arial" w:eastAsia="Arial" w:hAnsi="Arial"/>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Arial" w:cs="Arial" w:eastAsia="Arial" w:hAnsi="Arial"/>
          <w:sz w:val="18"/>
          <w:szCs w:val="18"/>
          <w:b w:val="1"/>
          <w:bCs w:val="1"/>
          <w:color w:val="auto"/>
        </w:rPr>
        <w:t>CHDR</w:t>
      </w:r>
      <w:r>
        <w:rPr>
          <w:rFonts w:ascii="Arial" w:cs="Arial" w:eastAsia="Arial" w:hAnsi="Arial"/>
          <w:sz w:val="18"/>
          <w:szCs w:val="18"/>
          <w:color w:val="auto"/>
        </w:rPr>
        <w:t>”) to the Company. The Company now maintains a direct contractual relationship</w:t>
      </w:r>
    </w:p>
    <w:p>
      <w:pPr>
        <w:spacing w:after="0" w:line="200" w:lineRule="exact"/>
        <w:rPr>
          <w:sz w:val="20"/>
          <w:szCs w:val="20"/>
          <w:color w:val="auto"/>
        </w:rPr>
      </w:pPr>
    </w:p>
    <w:p>
      <w:pPr>
        <w:spacing w:after="0" w:line="360"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3"/>
          </w:cols>
          <w:pgMar w:left="317" w:top="697" w:right="319" w:bottom="1440" w:gutter="0" w:footer="0" w:header="0"/>
        </w:sectPr>
      </w:pPr>
    </w:p>
    <w:bookmarkStart w:id="45" w:name="page46"/>
    <w:bookmarkEnd w:id="45"/>
    <w:p>
      <w:pPr>
        <w:ind w:left="3"/>
        <w:spacing w:after="0"/>
        <w:rPr>
          <w:sz w:val="20"/>
          <w:szCs w:val="20"/>
          <w:color w:val="auto"/>
        </w:rPr>
      </w:pPr>
      <w:r>
        <w:rPr>
          <w:rFonts w:ascii="Arial" w:cs="Arial" w:eastAsia="Arial" w:hAnsi="Arial"/>
          <w:sz w:val="16"/>
          <w:szCs w:val="16"/>
          <w:color w:val="auto"/>
        </w:rPr>
        <w:t>with CHDR to conduct the CYB004-E trial. CHDR is an independent institute in the Netherlands specializing in innovative early-stage clinical drug research.</w:t>
      </w:r>
    </w:p>
    <w:p>
      <w:pPr>
        <w:spacing w:after="0" w:line="287"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Mindset Pharma Inc.</w:t>
      </w:r>
    </w:p>
    <w:p>
      <w:pPr>
        <w:spacing w:after="0" w:line="32" w:lineRule="exact"/>
        <w:rPr>
          <w:sz w:val="20"/>
          <w:szCs w:val="20"/>
          <w:color w:val="auto"/>
        </w:rPr>
      </w:pPr>
    </w:p>
    <w:p>
      <w:pPr>
        <w:jc w:val="both"/>
        <w:ind w:left="3"/>
        <w:spacing w:after="0" w:line="292" w:lineRule="auto"/>
        <w:rPr>
          <w:sz w:val="20"/>
          <w:szCs w:val="20"/>
          <w:color w:val="auto"/>
        </w:rPr>
      </w:pPr>
      <w:r>
        <w:rPr>
          <w:rFonts w:ascii="Arial" w:cs="Arial" w:eastAsia="Arial" w:hAnsi="Arial"/>
          <w:sz w:val="18"/>
          <w:szCs w:val="18"/>
          <w:color w:val="auto"/>
        </w:rPr>
        <w:t>On September 27, 2022, the Company entered into an agreement, as amended, with Mindset Pharma Inc. (“</w:t>
      </w:r>
      <w:r>
        <w:rPr>
          <w:rFonts w:ascii="Arial" w:cs="Arial" w:eastAsia="Arial" w:hAnsi="Arial"/>
          <w:sz w:val="18"/>
          <w:szCs w:val="18"/>
          <w:b w:val="1"/>
          <w:bCs w:val="1"/>
          <w:color w:val="auto"/>
        </w:rPr>
        <w:t>Mindset</w:t>
      </w:r>
      <w:r>
        <w:rPr>
          <w:rFonts w:ascii="Arial" w:cs="Arial" w:eastAsia="Arial" w:hAnsi="Arial"/>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Neo Exchange Inc.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9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Worldwide Clinical Trials</w:t>
      </w:r>
    </w:p>
    <w:p>
      <w:pPr>
        <w:spacing w:after="0" w:line="48" w:lineRule="exact"/>
        <w:rPr>
          <w:sz w:val="20"/>
          <w:szCs w:val="20"/>
          <w:color w:val="auto"/>
        </w:rPr>
      </w:pPr>
    </w:p>
    <w:p>
      <w:pPr>
        <w:jc w:val="both"/>
        <w:ind w:left="3" w:right="20"/>
        <w:spacing w:after="0" w:line="303" w:lineRule="auto"/>
        <w:rPr>
          <w:sz w:val="20"/>
          <w:szCs w:val="20"/>
          <w:color w:val="auto"/>
        </w:rPr>
      </w:pPr>
      <w:r>
        <w:rPr>
          <w:rFonts w:ascii="Arial" w:cs="Arial" w:eastAsia="Arial" w:hAnsi="Arial"/>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217"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Other Third-Party Partners</w:t>
      </w:r>
    </w:p>
    <w:p>
      <w:pPr>
        <w:spacing w:after="0" w:line="38" w:lineRule="exact"/>
        <w:rPr>
          <w:sz w:val="20"/>
          <w:szCs w:val="20"/>
          <w:color w:val="auto"/>
        </w:rPr>
      </w:pPr>
    </w:p>
    <w:p>
      <w:pPr>
        <w:jc w:val="both"/>
        <w:ind w:left="3" w:right="20"/>
        <w:spacing w:after="0" w:line="275" w:lineRule="auto"/>
        <w:rPr>
          <w:sz w:val="20"/>
          <w:szCs w:val="20"/>
          <w:color w:val="auto"/>
        </w:rPr>
      </w:pPr>
      <w:r>
        <w:rPr>
          <w:rFonts w:ascii="Arial" w:cs="Arial" w:eastAsia="Arial" w:hAnsi="Arial"/>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Arial" w:cs="Arial" w:eastAsia="Arial" w:hAnsi="Arial"/>
          <w:sz w:val="23"/>
          <w:szCs w:val="23"/>
          <w:color w:val="auto"/>
          <w:vertAlign w:val="superscript"/>
        </w:rPr>
        <w:t>27</w:t>
      </w:r>
      <w:r>
        <w:rPr>
          <w:rFonts w:ascii="Arial" w:cs="Arial" w:eastAsia="Arial" w:hAnsi="Arial"/>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07" w:lineRule="exact"/>
        <w:rPr>
          <w:sz w:val="20"/>
          <w:szCs w:val="20"/>
          <w:color w:val="auto"/>
        </w:rPr>
      </w:pPr>
    </w:p>
    <w:p>
      <w:pPr>
        <w:jc w:val="both"/>
        <w:ind w:left="3" w:right="20"/>
        <w:spacing w:after="0" w:line="317" w:lineRule="auto"/>
        <w:rPr>
          <w:sz w:val="20"/>
          <w:szCs w:val="20"/>
          <w:color w:val="auto"/>
        </w:rPr>
      </w:pPr>
      <w:r>
        <w:rPr>
          <w:rFonts w:ascii="Arial" w:cs="Arial" w:eastAsia="Arial" w:hAnsi="Arial"/>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44" w:lineRule="exact"/>
        <w:rPr>
          <w:sz w:val="20"/>
          <w:szCs w:val="20"/>
          <w:color w:val="auto"/>
        </w:rPr>
      </w:pPr>
    </w:p>
    <w:p>
      <w:pPr>
        <w:jc w:val="both"/>
        <w:ind w:left="3"/>
        <w:spacing w:after="0" w:line="333" w:lineRule="auto"/>
        <w:rPr>
          <w:sz w:val="20"/>
          <w:szCs w:val="20"/>
          <w:color w:val="auto"/>
        </w:rPr>
      </w:pPr>
      <w:r>
        <w:rPr>
          <w:rFonts w:ascii="Arial" w:cs="Arial" w:eastAsia="Arial" w:hAnsi="Arial"/>
          <w:sz w:val="16"/>
          <w:szCs w:val="16"/>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66" w:lineRule="exact"/>
        <w:rPr>
          <w:sz w:val="20"/>
          <w:szCs w:val="20"/>
          <w:color w:val="auto"/>
        </w:rPr>
      </w:pPr>
    </w:p>
    <w:p>
      <w:pPr>
        <w:jc w:val="both"/>
        <w:ind w:left="3"/>
        <w:spacing w:after="0" w:line="293" w:lineRule="auto"/>
        <w:rPr>
          <w:sz w:val="20"/>
          <w:szCs w:val="20"/>
          <w:color w:val="auto"/>
        </w:rPr>
      </w:pPr>
      <w:r>
        <w:rPr>
          <w:rFonts w:ascii="Arial" w:cs="Arial" w:eastAsia="Arial" w:hAnsi="Arial"/>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53987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53" w:lineRule="exact"/>
        <w:rPr>
          <w:sz w:val="20"/>
          <w:szCs w:val="20"/>
          <w:color w:val="auto"/>
        </w:rPr>
      </w:pPr>
    </w:p>
    <w:p>
      <w:pPr>
        <w:ind w:left="3" w:hanging="3"/>
        <w:spacing w:after="0" w:line="200" w:lineRule="auto"/>
        <w:tabs>
          <w:tab w:leader="none" w:pos="179"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9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3"/>
          </w:cols>
          <w:pgMar w:left="317" w:top="731" w:right="319" w:bottom="1440" w:gutter="0" w:footer="0" w:header="0"/>
        </w:sectPr>
      </w:pPr>
    </w:p>
    <w:bookmarkStart w:id="46" w:name="page47"/>
    <w:bookmarkEnd w:id="46"/>
    <w:p>
      <w:pPr>
        <w:jc w:val="both"/>
        <w:ind w:right="20"/>
        <w:spacing w:after="0" w:line="315" w:lineRule="auto"/>
        <w:rPr>
          <w:sz w:val="20"/>
          <w:szCs w:val="20"/>
          <w:color w:val="auto"/>
        </w:rPr>
      </w:pPr>
      <w:r>
        <w:rPr>
          <w:rFonts w:ascii="Arial" w:cs="Arial" w:eastAsia="Arial" w:hAnsi="Arial"/>
          <w:sz w:val="18"/>
          <w:szCs w:val="18"/>
          <w:color w:val="auto"/>
        </w:rPr>
        <w:t>the premature disclosure of proprietary data would have a material and adverse effect on the Company’s patent and other intellectual property rights and could result in the breach of confidentiality obligations.</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203"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64" w:lineRule="exact"/>
        <w:rPr>
          <w:sz w:val="20"/>
          <w:szCs w:val="20"/>
          <w:color w:val="auto"/>
        </w:rPr>
      </w:pPr>
    </w:p>
    <w:p>
      <w:pPr>
        <w:jc w:val="both"/>
        <w:ind w:right="20"/>
        <w:spacing w:after="0" w:line="310"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3"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30"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Cybin has title to three granted US patents related to the Company’s investigational deuterated tryptamine programs, including composition of matter protection for its CYB004 drug substance, a putative new chemical entity.</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shd w:val="clear" w:color="auto" w:fill="BFBFBF"/>
          </w:tcPr>
          <w:p>
            <w:pPr>
              <w:spacing w:after="0"/>
              <w:rPr>
                <w:sz w:val="18"/>
                <w:szCs w:val="18"/>
                <w:color w:val="auto"/>
              </w:rPr>
            </w:pPr>
          </w:p>
        </w:tc>
        <w:tc>
          <w:tcPr>
            <w:tcW w:w="2020" w:type="dxa"/>
            <w:vAlign w:val="bottom"/>
            <w:tcBorders>
              <w:top w:val="single" w:sz="8" w:color="auto"/>
              <w:bottom w:val="single" w:sz="8" w:color="auto"/>
              <w:right w:val="single" w:sz="8" w:color="auto"/>
            </w:tcBorders>
            <w:shd w:val="clear" w:color="auto" w:fill="BFBFBF"/>
          </w:tcPr>
          <w:p>
            <w:pPr>
              <w:jc w:val="right"/>
              <w:ind w:right="399"/>
              <w:spacing w:after="0"/>
              <w:rPr>
                <w:sz w:val="20"/>
                <w:szCs w:val="20"/>
                <w:color w:val="auto"/>
              </w:rPr>
            </w:pPr>
            <w:r>
              <w:rPr>
                <w:rFonts w:ascii="Arial" w:cs="Arial" w:eastAsia="Arial" w:hAnsi="Arial"/>
                <w:sz w:val="16"/>
                <w:szCs w:val="16"/>
                <w:b w:val="1"/>
                <w:bCs w:val="1"/>
                <w:color w:val="auto"/>
              </w:rPr>
              <w:t>Patent Number</w:t>
            </w:r>
          </w:p>
        </w:tc>
        <w:tc>
          <w:tcPr>
            <w:tcW w:w="1760" w:type="dxa"/>
            <w:vAlign w:val="bottom"/>
            <w:tcBorders>
              <w:top w:val="single" w:sz="8" w:color="auto"/>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Jurisdiction of Filing</w:t>
            </w:r>
          </w:p>
        </w:tc>
        <w:tc>
          <w:tcPr>
            <w:tcW w:w="7140" w:type="dxa"/>
            <w:vAlign w:val="bottom"/>
            <w:tcBorders>
              <w:top w:val="single" w:sz="8" w:color="auto"/>
              <w:bottom w:val="single" w:sz="8" w:color="auto"/>
              <w:right w:val="single" w:sz="8" w:color="auto"/>
            </w:tcBorders>
            <w:shd w:val="clear" w:color="auto" w:fill="BFBFBF"/>
          </w:tcPr>
          <w:p>
            <w:pPr>
              <w:ind w:left="3160"/>
              <w:spacing w:after="0"/>
              <w:rPr>
                <w:sz w:val="20"/>
                <w:szCs w:val="20"/>
                <w:color w:val="auto"/>
              </w:rPr>
            </w:pPr>
            <w:r>
              <w:rPr>
                <w:rFonts w:ascii="Arial" w:cs="Arial" w:eastAsia="Arial" w:hAnsi="Arial"/>
                <w:sz w:val="16"/>
                <w:szCs w:val="16"/>
                <w:b w:val="1"/>
                <w:bCs w:val="1"/>
                <w:color w:val="auto"/>
              </w:rPr>
              <w:t>Description</w:t>
            </w:r>
          </w:p>
        </w:tc>
      </w:tr>
      <w:tr>
        <w:trPr>
          <w:trHeight w:val="198"/>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w:t>
            </w:r>
          </w:p>
        </w:tc>
        <w:tc>
          <w:tcPr>
            <w:tcW w:w="2020" w:type="dxa"/>
            <w:vAlign w:val="bottom"/>
            <w:tcBorders>
              <w:right w:val="single" w:sz="8" w:color="auto"/>
            </w:tcBorders>
          </w:tcPr>
          <w:p>
            <w:pPr>
              <w:jc w:val="right"/>
              <w:ind w:right="1219"/>
              <w:spacing w:after="0"/>
              <w:rPr>
                <w:sz w:val="20"/>
                <w:szCs w:val="20"/>
                <w:color w:val="auto"/>
              </w:rPr>
            </w:pPr>
            <w:r>
              <w:rPr>
                <w:rFonts w:ascii="Arial" w:cs="Arial" w:eastAsia="Arial" w:hAnsi="Arial"/>
                <w:sz w:val="16"/>
                <w:szCs w:val="16"/>
                <w:color w:val="auto"/>
                <w:w w:val="87"/>
              </w:rPr>
              <w:t>11,242,318</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Deuterated Tryptamine Derivatives And Methods Of Use</w:t>
            </w:r>
          </w:p>
        </w:tc>
      </w:tr>
      <w:tr>
        <w:trPr>
          <w:trHeight w:val="206"/>
        </w:trPr>
        <w:tc>
          <w:tcPr>
            <w:tcW w:w="320" w:type="dxa"/>
            <w:vAlign w:val="bottom"/>
          </w:tcPr>
          <w:p>
            <w:pPr>
              <w:ind w:left="20"/>
              <w:spacing w:after="0"/>
              <w:rPr>
                <w:sz w:val="20"/>
                <w:szCs w:val="20"/>
                <w:color w:val="auto"/>
              </w:rPr>
            </w:pPr>
            <w:r>
              <w:rPr>
                <w:rFonts w:ascii="Arial" w:cs="Arial" w:eastAsia="Arial" w:hAnsi="Arial"/>
                <w:sz w:val="16"/>
                <w:szCs w:val="16"/>
                <w:color w:val="auto"/>
              </w:rPr>
              <w:t>2</w:t>
            </w:r>
          </w:p>
        </w:tc>
        <w:tc>
          <w:tcPr>
            <w:tcW w:w="2020" w:type="dxa"/>
            <w:vAlign w:val="bottom"/>
          </w:tcPr>
          <w:p>
            <w:pPr>
              <w:jc w:val="right"/>
              <w:ind w:right="1219"/>
              <w:spacing w:after="0"/>
              <w:rPr>
                <w:sz w:val="20"/>
                <w:szCs w:val="20"/>
                <w:color w:val="auto"/>
              </w:rPr>
            </w:pPr>
            <w:r>
              <w:rPr>
                <w:rFonts w:ascii="Arial" w:cs="Arial" w:eastAsia="Arial" w:hAnsi="Arial"/>
                <w:sz w:val="16"/>
                <w:szCs w:val="16"/>
                <w:color w:val="auto"/>
                <w:w w:val="87"/>
              </w:rPr>
              <w:t>11,724,985</w:t>
            </w:r>
          </w:p>
        </w:tc>
        <w:tc>
          <w:tcPr>
            <w:tcW w:w="1760" w:type="dxa"/>
            <w:vAlign w:val="bottom"/>
          </w:tcPr>
          <w:p>
            <w:pPr>
              <w:spacing w:after="0"/>
              <w:rPr>
                <w:sz w:val="20"/>
                <w:szCs w:val="20"/>
                <w:color w:val="auto"/>
              </w:rPr>
            </w:pPr>
            <w:r>
              <w:rPr>
                <w:rFonts w:ascii="Arial" w:cs="Arial" w:eastAsia="Arial" w:hAnsi="Arial"/>
                <w:sz w:val="16"/>
                <w:szCs w:val="16"/>
                <w:color w:val="auto"/>
              </w:rPr>
              <w:t>United States</w:t>
            </w:r>
          </w:p>
        </w:tc>
        <w:tc>
          <w:tcPr>
            <w:tcW w:w="7140" w:type="dxa"/>
            <w:vAlign w:val="bottom"/>
          </w:tcPr>
          <w:p>
            <w:pPr>
              <w:spacing w:after="0"/>
              <w:rPr>
                <w:sz w:val="20"/>
                <w:szCs w:val="20"/>
                <w:color w:val="auto"/>
              </w:rPr>
            </w:pPr>
            <w:r>
              <w:rPr>
                <w:rFonts w:ascii="Arial" w:cs="Arial" w:eastAsia="Arial" w:hAnsi="Arial"/>
                <w:sz w:val="16"/>
                <w:szCs w:val="16"/>
                <w:color w:val="auto"/>
              </w:rPr>
              <w:t>Deuterated Tryptamine Derivatives And Methods Of Use</w:t>
            </w:r>
          </w:p>
        </w:tc>
      </w:tr>
      <w:tr>
        <w:trPr>
          <w:trHeight w:val="206"/>
        </w:trPr>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3</w:t>
            </w:r>
          </w:p>
        </w:tc>
        <w:tc>
          <w:tcPr>
            <w:tcW w:w="202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color w:val="auto"/>
                <w:w w:val="87"/>
              </w:rPr>
              <w:t>11,746,088</w:t>
            </w:r>
          </w:p>
        </w:tc>
        <w:tc>
          <w:tcPr>
            <w:tcW w:w="1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United States</w:t>
            </w:r>
          </w:p>
        </w:tc>
        <w:tc>
          <w:tcPr>
            <w:tcW w:w="7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Deuterated Tryptamine Derivatives And Methods Of Use</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20" w:top="731" w:right="319" w:bottom="1440" w:gutter="0" w:footer="0" w:header="0"/>
        </w:sectPr>
      </w:pPr>
    </w:p>
    <w:bookmarkStart w:id="47" w:name="page48"/>
    <w:bookmarkEnd w:id="47"/>
    <w:p>
      <w:pPr>
        <w:jc w:val="both"/>
        <w:spacing w:after="0" w:line="350" w:lineRule="auto"/>
        <w:rPr>
          <w:sz w:val="20"/>
          <w:szCs w:val="20"/>
          <w:color w:val="auto"/>
        </w:rPr>
      </w:pPr>
      <w:r>
        <w:rPr>
          <w:rFonts w:ascii="Arial" w:cs="Arial" w:eastAsia="Arial" w:hAnsi="Arial"/>
          <w:sz w:val="16"/>
          <w:szCs w:val="16"/>
          <w:color w:val="auto"/>
        </w:rPr>
        <w:t>As a result of the Arrangement, Cybin has title to nine granted US patents and twenty six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 Hong Kong patents and applications have not been included in the figures below as they are re-registrations of European rights, as opposed to freestanding patent filings.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40" w:type="dxa"/>
            <w:vAlign w:val="bottom"/>
            <w:tcBorders>
              <w:top w:val="single" w:sz="8" w:color="BFBFBF"/>
              <w:left w:val="single" w:sz="8" w:color="BFBFBF"/>
              <w:bottom w:val="single" w:sz="8" w:color="auto"/>
              <w:right w:val="single" w:sz="8" w:color="auto"/>
            </w:tcBorders>
            <w:shd w:val="clear" w:color="auto" w:fill="BFBFBF"/>
          </w:tcPr>
          <w:p>
            <w:pPr>
              <w:spacing w:after="0"/>
              <w:rPr>
                <w:sz w:val="18"/>
                <w:szCs w:val="18"/>
                <w:color w:val="auto"/>
              </w:rPr>
            </w:pPr>
          </w:p>
        </w:tc>
        <w:tc>
          <w:tcPr>
            <w:tcW w:w="2000" w:type="dxa"/>
            <w:vAlign w:val="bottom"/>
            <w:tcBorders>
              <w:top w:val="single" w:sz="8" w:color="auto"/>
              <w:bottom w:val="single" w:sz="8" w:color="auto"/>
              <w:right w:val="single" w:sz="8" w:color="auto"/>
            </w:tcBorders>
            <w:shd w:val="clear" w:color="auto" w:fill="BFBFBF"/>
          </w:tcPr>
          <w:p>
            <w:pPr>
              <w:ind w:left="460"/>
              <w:spacing w:after="0"/>
              <w:rPr>
                <w:sz w:val="20"/>
                <w:szCs w:val="20"/>
                <w:color w:val="auto"/>
              </w:rPr>
            </w:pPr>
            <w:r>
              <w:rPr>
                <w:rFonts w:ascii="Arial" w:cs="Arial" w:eastAsia="Arial" w:hAnsi="Arial"/>
                <w:sz w:val="16"/>
                <w:szCs w:val="16"/>
                <w:b w:val="1"/>
                <w:bCs w:val="1"/>
                <w:color w:val="auto"/>
              </w:rPr>
              <w:t>Patent Number</w:t>
            </w:r>
          </w:p>
        </w:tc>
        <w:tc>
          <w:tcPr>
            <w:tcW w:w="1760" w:type="dxa"/>
            <w:vAlign w:val="bottom"/>
            <w:tcBorders>
              <w:top w:val="single" w:sz="8" w:color="auto"/>
              <w:bottom w:val="single" w:sz="8" w:color="auto"/>
              <w:right w:val="single" w:sz="8" w:color="auto"/>
            </w:tcBorders>
            <w:shd w:val="clear" w:color="auto" w:fill="BFBFBF"/>
          </w:tcPr>
          <w:p>
            <w:pPr>
              <w:ind w:left="140"/>
              <w:spacing w:after="0"/>
              <w:rPr>
                <w:sz w:val="20"/>
                <w:szCs w:val="20"/>
                <w:color w:val="auto"/>
              </w:rPr>
            </w:pPr>
            <w:r>
              <w:rPr>
                <w:rFonts w:ascii="Arial" w:cs="Arial" w:eastAsia="Arial" w:hAnsi="Arial"/>
                <w:sz w:val="16"/>
                <w:szCs w:val="16"/>
                <w:b w:val="1"/>
                <w:bCs w:val="1"/>
                <w:color w:val="auto"/>
              </w:rPr>
              <w:t>Jurisdiction of Filing</w:t>
            </w:r>
          </w:p>
        </w:tc>
        <w:tc>
          <w:tcPr>
            <w:tcW w:w="840" w:type="dxa"/>
            <w:vAlign w:val="bottom"/>
            <w:tcBorders>
              <w:top w:val="single" w:sz="8" w:color="auto"/>
              <w:bottom w:val="single" w:sz="8" w:color="auto"/>
            </w:tcBorders>
            <w:shd w:val="clear" w:color="auto" w:fill="BFBFBF"/>
          </w:tcPr>
          <w:p>
            <w:pPr>
              <w:spacing w:after="0"/>
              <w:rPr>
                <w:sz w:val="18"/>
                <w:szCs w:val="18"/>
                <w:color w:val="auto"/>
              </w:rPr>
            </w:pPr>
          </w:p>
        </w:tc>
        <w:tc>
          <w:tcPr>
            <w:tcW w:w="1040" w:type="dxa"/>
            <w:vAlign w:val="bottom"/>
            <w:tcBorders>
              <w:top w:val="single" w:sz="8" w:color="auto"/>
              <w:bottom w:val="single" w:sz="8" w:color="auto"/>
            </w:tcBorders>
            <w:shd w:val="clear" w:color="auto" w:fill="BFBFBF"/>
          </w:tcPr>
          <w:p>
            <w:pPr>
              <w:spacing w:after="0"/>
              <w:rPr>
                <w:sz w:val="18"/>
                <w:szCs w:val="18"/>
                <w:color w:val="auto"/>
              </w:rPr>
            </w:pPr>
          </w:p>
        </w:tc>
        <w:tc>
          <w:tcPr>
            <w:tcW w:w="920" w:type="dxa"/>
            <w:vAlign w:val="bottom"/>
            <w:tcBorders>
              <w:top w:val="single" w:sz="8" w:color="auto"/>
              <w:bottom w:val="single" w:sz="8" w:color="auto"/>
            </w:tcBorders>
            <w:shd w:val="clear" w:color="auto" w:fill="BFBFBF"/>
          </w:tcPr>
          <w:p>
            <w:pPr>
              <w:spacing w:after="0"/>
              <w:rPr>
                <w:sz w:val="18"/>
                <w:szCs w:val="18"/>
                <w:color w:val="auto"/>
              </w:rPr>
            </w:pPr>
          </w:p>
        </w:tc>
        <w:tc>
          <w:tcPr>
            <w:tcW w:w="1760" w:type="dxa"/>
            <w:vAlign w:val="bottom"/>
            <w:tcBorders>
              <w:top w:val="single" w:sz="8" w:color="auto"/>
              <w:bottom w:val="single" w:sz="8" w:color="auto"/>
            </w:tcBorders>
            <w:gridSpan w:val="3"/>
            <w:shd w:val="clear" w:color="auto" w:fill="BFBFBF"/>
          </w:tcPr>
          <w:p>
            <w:pPr>
              <w:ind w:left="360"/>
              <w:spacing w:after="0"/>
              <w:rPr>
                <w:sz w:val="20"/>
                <w:szCs w:val="20"/>
                <w:color w:val="auto"/>
              </w:rPr>
            </w:pPr>
            <w:r>
              <w:rPr>
                <w:rFonts w:ascii="Arial" w:cs="Arial" w:eastAsia="Arial" w:hAnsi="Arial"/>
                <w:sz w:val="16"/>
                <w:szCs w:val="16"/>
                <w:b w:val="1"/>
                <w:bCs w:val="1"/>
                <w:color w:val="auto"/>
              </w:rPr>
              <w:t>Description</w:t>
            </w:r>
          </w:p>
        </w:tc>
        <w:tc>
          <w:tcPr>
            <w:tcW w:w="900" w:type="dxa"/>
            <w:vAlign w:val="bottom"/>
            <w:tcBorders>
              <w:top w:val="single" w:sz="8" w:color="auto"/>
              <w:bottom w:val="single" w:sz="8" w:color="auto"/>
            </w:tcBorders>
            <w:shd w:val="clear" w:color="auto" w:fill="BFBFBF"/>
          </w:tcPr>
          <w:p>
            <w:pPr>
              <w:spacing w:after="0"/>
              <w:rPr>
                <w:sz w:val="18"/>
                <w:szCs w:val="18"/>
                <w:color w:val="auto"/>
              </w:rPr>
            </w:pPr>
          </w:p>
        </w:tc>
        <w:tc>
          <w:tcPr>
            <w:tcW w:w="1660" w:type="dxa"/>
            <w:vAlign w:val="bottom"/>
            <w:tcBorders>
              <w:top w:val="single" w:sz="8" w:color="auto"/>
              <w:bottom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2018311307</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4"/>
              </w:rPr>
              <w:t>Crystalline Forms of Hydroxynorketamine</w:t>
            </w: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2020378647</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Method of Synthesis</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2020381103</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2021334933</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Injectable Formulation</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2021204158</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Australia</w:t>
            </w:r>
          </w:p>
        </w:tc>
        <w:tc>
          <w:tcPr>
            <w:tcW w:w="840" w:type="dxa"/>
            <w:vAlign w:val="bottom"/>
          </w:tcPr>
          <w:p>
            <w:pPr>
              <w:spacing w:after="0" w:line="150" w:lineRule="exact"/>
              <w:rPr>
                <w:sz w:val="20"/>
                <w:szCs w:val="20"/>
                <w:color w:val="auto"/>
              </w:rPr>
            </w:pPr>
            <w:r>
              <w:rPr>
                <w:rFonts w:ascii="Arial" w:cs="Arial" w:eastAsia="Arial" w:hAnsi="Arial"/>
                <w:sz w:val="16"/>
                <w:szCs w:val="16"/>
                <w:color w:val="auto"/>
                <w:w w:val="97"/>
              </w:rPr>
              <w:t>Therapeutic</w:t>
            </w:r>
          </w:p>
        </w:tc>
        <w:tc>
          <w:tcPr>
            <w:tcW w:w="1040" w:type="dxa"/>
            <w:vAlign w:val="bottom"/>
          </w:tcPr>
          <w:p>
            <w:pPr>
              <w:ind w:left="60"/>
              <w:spacing w:after="0" w:line="150" w:lineRule="exact"/>
              <w:rPr>
                <w:sz w:val="20"/>
                <w:szCs w:val="20"/>
                <w:color w:val="auto"/>
              </w:rPr>
            </w:pPr>
            <w:r>
              <w:rPr>
                <w:rFonts w:ascii="Arial" w:cs="Arial" w:eastAsia="Arial" w:hAnsi="Arial"/>
                <w:sz w:val="16"/>
                <w:szCs w:val="16"/>
                <w:color w:val="auto"/>
                <w:w w:val="99"/>
              </w:rPr>
              <w:t>Compositions</w:t>
            </w:r>
          </w:p>
        </w:tc>
        <w:tc>
          <w:tcPr>
            <w:tcW w:w="920" w:type="dxa"/>
            <w:vAlign w:val="bottom"/>
          </w:tcPr>
          <w:p>
            <w:pPr>
              <w:ind w:left="60"/>
              <w:spacing w:after="0" w:line="150" w:lineRule="exact"/>
              <w:rPr>
                <w:sz w:val="20"/>
                <w:szCs w:val="20"/>
                <w:color w:val="auto"/>
              </w:rPr>
            </w:pPr>
            <w:r>
              <w:rPr>
                <w:rFonts w:ascii="Arial" w:cs="Arial" w:eastAsia="Arial" w:hAnsi="Arial"/>
                <w:sz w:val="16"/>
                <w:szCs w:val="16"/>
                <w:color w:val="auto"/>
              </w:rPr>
              <w:t>Comprising</w:t>
            </w:r>
          </w:p>
        </w:tc>
        <w:tc>
          <w:tcPr>
            <w:tcW w:w="820" w:type="dxa"/>
            <w:vAlign w:val="bottom"/>
          </w:tcPr>
          <w:p>
            <w:pPr>
              <w:ind w:left="40"/>
              <w:spacing w:after="0" w:line="150" w:lineRule="exact"/>
              <w:rPr>
                <w:sz w:val="20"/>
                <w:szCs w:val="20"/>
                <w:color w:val="auto"/>
              </w:rPr>
            </w:pPr>
            <w:r>
              <w:rPr>
                <w:rFonts w:ascii="Arial" w:cs="Arial" w:eastAsia="Arial" w:hAnsi="Arial"/>
                <w:sz w:val="16"/>
                <w:szCs w:val="16"/>
                <w:color w:val="auto"/>
                <w:w w:val="95"/>
              </w:rPr>
              <w:t>Deuterated</w:t>
            </w:r>
          </w:p>
        </w:tc>
        <w:tc>
          <w:tcPr>
            <w:tcW w:w="260" w:type="dxa"/>
            <w:vAlign w:val="bottom"/>
          </w:tcPr>
          <w:p>
            <w:pPr>
              <w:ind w:left="60"/>
              <w:spacing w:after="0" w:line="150" w:lineRule="exact"/>
              <w:rPr>
                <w:sz w:val="20"/>
                <w:szCs w:val="20"/>
                <w:color w:val="auto"/>
              </w:rPr>
            </w:pPr>
            <w:r>
              <w:rPr>
                <w:rFonts w:ascii="Arial" w:cs="Arial" w:eastAsia="Arial" w:hAnsi="Arial"/>
                <w:sz w:val="16"/>
                <w:szCs w:val="16"/>
                <w:color w:val="auto"/>
              </w:rPr>
              <w:t>or</w:t>
            </w:r>
          </w:p>
        </w:tc>
        <w:tc>
          <w:tcPr>
            <w:tcW w:w="680" w:type="dxa"/>
            <w:vAlign w:val="bottom"/>
          </w:tcPr>
          <w:p>
            <w:pPr>
              <w:ind w:left="60"/>
              <w:spacing w:after="0" w:line="150" w:lineRule="exact"/>
              <w:rPr>
                <w:sz w:val="20"/>
                <w:szCs w:val="20"/>
                <w:color w:val="auto"/>
              </w:rPr>
            </w:pPr>
            <w:r>
              <w:rPr>
                <w:rFonts w:ascii="Arial" w:cs="Arial" w:eastAsia="Arial" w:hAnsi="Arial"/>
                <w:sz w:val="16"/>
                <w:szCs w:val="16"/>
                <w:color w:val="auto"/>
              </w:rPr>
              <w:t>Partially</w:t>
            </w:r>
          </w:p>
        </w:tc>
        <w:tc>
          <w:tcPr>
            <w:tcW w:w="900" w:type="dxa"/>
            <w:vAlign w:val="bottom"/>
          </w:tcPr>
          <w:p>
            <w:pPr>
              <w:ind w:left="60"/>
              <w:spacing w:after="0" w:line="150" w:lineRule="exact"/>
              <w:rPr>
                <w:sz w:val="20"/>
                <w:szCs w:val="20"/>
                <w:color w:val="auto"/>
              </w:rPr>
            </w:pPr>
            <w:r>
              <w:rPr>
                <w:rFonts w:ascii="Arial" w:cs="Arial" w:eastAsia="Arial" w:hAnsi="Arial"/>
                <w:sz w:val="16"/>
                <w:szCs w:val="16"/>
                <w:color w:val="auto"/>
              </w:rPr>
              <w:t>Deuterated</w:t>
            </w:r>
          </w:p>
        </w:tc>
        <w:tc>
          <w:tcPr>
            <w:tcW w:w="1660" w:type="dxa"/>
            <w:vAlign w:val="bottom"/>
          </w:tcPr>
          <w:p>
            <w:pPr>
              <w:ind w:left="20"/>
              <w:spacing w:after="0" w:line="150" w:lineRule="exact"/>
              <w:rPr>
                <w:sz w:val="20"/>
                <w:szCs w:val="20"/>
                <w:color w:val="auto"/>
              </w:rPr>
            </w:pPr>
            <w:r>
              <w:rPr>
                <w:rFonts w:ascii="Arial" w:cs="Arial" w:eastAsia="Arial" w:hAnsi="Arial"/>
                <w:sz w:val="16"/>
                <w:szCs w:val="16"/>
                <w:color w:val="auto"/>
                <w:w w:val="95"/>
              </w:rPr>
              <w:t>N,N-Dimethyltryptamine</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0" w:type="dxa"/>
            <w:vAlign w:val="bottom"/>
            <w:tcBorders>
              <w:left w:val="single" w:sz="8" w:color="auto"/>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1120220221983</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Injectable Formulation</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3,104,072</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4560" w:type="dxa"/>
            <w:vAlign w:val="bottom"/>
            <w:tcBorders>
              <w:bottom w:val="single" w:sz="8" w:color="auto"/>
            </w:tcBorders>
            <w:gridSpan w:val="6"/>
          </w:tcPr>
          <w:p>
            <w:pPr>
              <w:spacing w:after="0"/>
              <w:rPr>
                <w:sz w:val="20"/>
                <w:szCs w:val="20"/>
                <w:color w:val="auto"/>
              </w:rPr>
            </w:pPr>
            <w:r>
              <w:rPr>
                <w:rFonts w:ascii="Arial" w:cs="Arial" w:eastAsia="Arial" w:hAnsi="Arial"/>
                <w:sz w:val="16"/>
                <w:szCs w:val="16"/>
                <w:color w:val="auto"/>
                <w:w w:val="95"/>
              </w:rPr>
              <w:t>Drug Substance Compositions Comprising N,N-Dimethyltryptamine</w:t>
            </w: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3,160,337</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Method of Synthesis</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9</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3,179,161</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Canada</w:t>
            </w:r>
          </w:p>
        </w:tc>
        <w:tc>
          <w:tcPr>
            <w:tcW w:w="840" w:type="dxa"/>
            <w:vAlign w:val="bottom"/>
          </w:tcPr>
          <w:p>
            <w:pPr>
              <w:spacing w:after="0" w:line="150" w:lineRule="exact"/>
              <w:rPr>
                <w:sz w:val="20"/>
                <w:szCs w:val="20"/>
                <w:color w:val="auto"/>
              </w:rPr>
            </w:pPr>
            <w:r>
              <w:rPr>
                <w:rFonts w:ascii="Arial" w:cs="Arial" w:eastAsia="Arial" w:hAnsi="Arial"/>
                <w:sz w:val="16"/>
                <w:szCs w:val="16"/>
                <w:color w:val="auto"/>
                <w:w w:val="97"/>
              </w:rPr>
              <w:t>Therapeutic</w:t>
            </w:r>
          </w:p>
        </w:tc>
        <w:tc>
          <w:tcPr>
            <w:tcW w:w="1040" w:type="dxa"/>
            <w:vAlign w:val="bottom"/>
          </w:tcPr>
          <w:p>
            <w:pPr>
              <w:ind w:left="60"/>
              <w:spacing w:after="0" w:line="150" w:lineRule="exact"/>
              <w:rPr>
                <w:sz w:val="20"/>
                <w:szCs w:val="20"/>
                <w:color w:val="auto"/>
              </w:rPr>
            </w:pPr>
            <w:r>
              <w:rPr>
                <w:rFonts w:ascii="Arial" w:cs="Arial" w:eastAsia="Arial" w:hAnsi="Arial"/>
                <w:sz w:val="16"/>
                <w:szCs w:val="16"/>
                <w:color w:val="auto"/>
                <w:w w:val="99"/>
              </w:rPr>
              <w:t>Compositions</w:t>
            </w:r>
          </w:p>
        </w:tc>
        <w:tc>
          <w:tcPr>
            <w:tcW w:w="920" w:type="dxa"/>
            <w:vAlign w:val="bottom"/>
          </w:tcPr>
          <w:p>
            <w:pPr>
              <w:ind w:left="60"/>
              <w:spacing w:after="0" w:line="150" w:lineRule="exact"/>
              <w:rPr>
                <w:sz w:val="20"/>
                <w:szCs w:val="20"/>
                <w:color w:val="auto"/>
              </w:rPr>
            </w:pPr>
            <w:r>
              <w:rPr>
                <w:rFonts w:ascii="Arial" w:cs="Arial" w:eastAsia="Arial" w:hAnsi="Arial"/>
                <w:sz w:val="16"/>
                <w:szCs w:val="16"/>
                <w:color w:val="auto"/>
              </w:rPr>
              <w:t>Comprising</w:t>
            </w:r>
          </w:p>
        </w:tc>
        <w:tc>
          <w:tcPr>
            <w:tcW w:w="820" w:type="dxa"/>
            <w:vAlign w:val="bottom"/>
          </w:tcPr>
          <w:p>
            <w:pPr>
              <w:ind w:left="40"/>
              <w:spacing w:after="0" w:line="150" w:lineRule="exact"/>
              <w:rPr>
                <w:sz w:val="20"/>
                <w:szCs w:val="20"/>
                <w:color w:val="auto"/>
              </w:rPr>
            </w:pPr>
            <w:r>
              <w:rPr>
                <w:rFonts w:ascii="Arial" w:cs="Arial" w:eastAsia="Arial" w:hAnsi="Arial"/>
                <w:sz w:val="16"/>
                <w:szCs w:val="16"/>
                <w:color w:val="auto"/>
                <w:w w:val="95"/>
              </w:rPr>
              <w:t>Deuterated</w:t>
            </w:r>
          </w:p>
        </w:tc>
        <w:tc>
          <w:tcPr>
            <w:tcW w:w="260" w:type="dxa"/>
            <w:vAlign w:val="bottom"/>
          </w:tcPr>
          <w:p>
            <w:pPr>
              <w:ind w:left="60"/>
              <w:spacing w:after="0" w:line="150" w:lineRule="exact"/>
              <w:rPr>
                <w:sz w:val="20"/>
                <w:szCs w:val="20"/>
                <w:color w:val="auto"/>
              </w:rPr>
            </w:pPr>
            <w:r>
              <w:rPr>
                <w:rFonts w:ascii="Arial" w:cs="Arial" w:eastAsia="Arial" w:hAnsi="Arial"/>
                <w:sz w:val="16"/>
                <w:szCs w:val="16"/>
                <w:color w:val="auto"/>
              </w:rPr>
              <w:t>or</w:t>
            </w:r>
          </w:p>
        </w:tc>
        <w:tc>
          <w:tcPr>
            <w:tcW w:w="680" w:type="dxa"/>
            <w:vAlign w:val="bottom"/>
          </w:tcPr>
          <w:p>
            <w:pPr>
              <w:ind w:left="60"/>
              <w:spacing w:after="0" w:line="150" w:lineRule="exact"/>
              <w:rPr>
                <w:sz w:val="20"/>
                <w:szCs w:val="20"/>
                <w:color w:val="auto"/>
              </w:rPr>
            </w:pPr>
            <w:r>
              <w:rPr>
                <w:rFonts w:ascii="Arial" w:cs="Arial" w:eastAsia="Arial" w:hAnsi="Arial"/>
                <w:sz w:val="16"/>
                <w:szCs w:val="16"/>
                <w:color w:val="auto"/>
              </w:rPr>
              <w:t>Partially</w:t>
            </w:r>
          </w:p>
        </w:tc>
        <w:tc>
          <w:tcPr>
            <w:tcW w:w="900" w:type="dxa"/>
            <w:vAlign w:val="bottom"/>
          </w:tcPr>
          <w:p>
            <w:pPr>
              <w:ind w:left="60"/>
              <w:spacing w:after="0" w:line="150" w:lineRule="exact"/>
              <w:rPr>
                <w:sz w:val="20"/>
                <w:szCs w:val="20"/>
                <w:color w:val="auto"/>
              </w:rPr>
            </w:pPr>
            <w:r>
              <w:rPr>
                <w:rFonts w:ascii="Arial" w:cs="Arial" w:eastAsia="Arial" w:hAnsi="Arial"/>
                <w:sz w:val="16"/>
                <w:szCs w:val="16"/>
                <w:color w:val="auto"/>
              </w:rPr>
              <w:t>Deuterated</w:t>
            </w:r>
          </w:p>
        </w:tc>
        <w:tc>
          <w:tcPr>
            <w:tcW w:w="1660" w:type="dxa"/>
            <w:vAlign w:val="bottom"/>
          </w:tcPr>
          <w:p>
            <w:pPr>
              <w:ind w:left="20"/>
              <w:spacing w:after="0" w:line="150" w:lineRule="exact"/>
              <w:rPr>
                <w:sz w:val="20"/>
                <w:szCs w:val="20"/>
                <w:color w:val="auto"/>
              </w:rPr>
            </w:pPr>
            <w:r>
              <w:rPr>
                <w:rFonts w:ascii="Arial" w:cs="Arial" w:eastAsia="Arial" w:hAnsi="Arial"/>
                <w:sz w:val="16"/>
                <w:szCs w:val="16"/>
                <w:color w:val="auto"/>
                <w:w w:val="95"/>
              </w:rPr>
              <w:t>N,N-Dimethyltryptamine</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0" w:type="dxa"/>
            <w:vAlign w:val="bottom"/>
            <w:tcBorders>
              <w:left w:val="single" w:sz="8" w:color="auto"/>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3 463 323</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546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w w:val="96"/>
              </w:rPr>
              <w:t>Solid Oral Dosage Forms of 2R,6R-Hydroxynorketamine or Derivatives Thereof</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3 687 515</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36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Solid Oral Dosage Forms of Ketamine Derivatives</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3 532 457</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4"/>
              </w:rPr>
              <w:t>Crystalline Forms of Hydroxynorketamine</w:t>
            </w: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13</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3 826 632</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European Patent Office</w:t>
            </w:r>
          </w:p>
        </w:tc>
        <w:tc>
          <w:tcPr>
            <w:tcW w:w="840" w:type="dxa"/>
            <w:vAlign w:val="bottom"/>
          </w:tcPr>
          <w:p>
            <w:pPr>
              <w:spacing w:after="0" w:line="150" w:lineRule="exact"/>
              <w:rPr>
                <w:sz w:val="20"/>
                <w:szCs w:val="20"/>
                <w:color w:val="auto"/>
              </w:rPr>
            </w:pPr>
            <w:r>
              <w:rPr>
                <w:rFonts w:ascii="Arial" w:cs="Arial" w:eastAsia="Arial" w:hAnsi="Arial"/>
                <w:sz w:val="16"/>
                <w:szCs w:val="16"/>
                <w:color w:val="auto"/>
                <w:w w:val="97"/>
              </w:rPr>
              <w:t>Therapeutic</w:t>
            </w:r>
          </w:p>
        </w:tc>
        <w:tc>
          <w:tcPr>
            <w:tcW w:w="1040" w:type="dxa"/>
            <w:vAlign w:val="bottom"/>
          </w:tcPr>
          <w:p>
            <w:pPr>
              <w:ind w:left="60"/>
              <w:spacing w:after="0" w:line="150" w:lineRule="exact"/>
              <w:rPr>
                <w:sz w:val="20"/>
                <w:szCs w:val="20"/>
                <w:color w:val="auto"/>
              </w:rPr>
            </w:pPr>
            <w:r>
              <w:rPr>
                <w:rFonts w:ascii="Arial" w:cs="Arial" w:eastAsia="Arial" w:hAnsi="Arial"/>
                <w:sz w:val="16"/>
                <w:szCs w:val="16"/>
                <w:color w:val="auto"/>
                <w:w w:val="99"/>
              </w:rPr>
              <w:t>Compositions</w:t>
            </w:r>
          </w:p>
        </w:tc>
        <w:tc>
          <w:tcPr>
            <w:tcW w:w="920" w:type="dxa"/>
            <w:vAlign w:val="bottom"/>
          </w:tcPr>
          <w:p>
            <w:pPr>
              <w:ind w:left="60"/>
              <w:spacing w:after="0" w:line="150" w:lineRule="exact"/>
              <w:rPr>
                <w:sz w:val="20"/>
                <w:szCs w:val="20"/>
                <w:color w:val="auto"/>
              </w:rPr>
            </w:pPr>
            <w:r>
              <w:rPr>
                <w:rFonts w:ascii="Arial" w:cs="Arial" w:eastAsia="Arial" w:hAnsi="Arial"/>
                <w:sz w:val="16"/>
                <w:szCs w:val="16"/>
                <w:color w:val="auto"/>
              </w:rPr>
              <w:t>Comprising</w:t>
            </w:r>
          </w:p>
        </w:tc>
        <w:tc>
          <w:tcPr>
            <w:tcW w:w="820" w:type="dxa"/>
            <w:vAlign w:val="bottom"/>
          </w:tcPr>
          <w:p>
            <w:pPr>
              <w:ind w:left="40"/>
              <w:spacing w:after="0" w:line="150" w:lineRule="exact"/>
              <w:rPr>
                <w:sz w:val="20"/>
                <w:szCs w:val="20"/>
                <w:color w:val="auto"/>
              </w:rPr>
            </w:pPr>
            <w:r>
              <w:rPr>
                <w:rFonts w:ascii="Arial" w:cs="Arial" w:eastAsia="Arial" w:hAnsi="Arial"/>
                <w:sz w:val="16"/>
                <w:szCs w:val="16"/>
                <w:color w:val="auto"/>
                <w:w w:val="95"/>
              </w:rPr>
              <w:t>Deuterated</w:t>
            </w:r>
          </w:p>
        </w:tc>
        <w:tc>
          <w:tcPr>
            <w:tcW w:w="260" w:type="dxa"/>
            <w:vAlign w:val="bottom"/>
          </w:tcPr>
          <w:p>
            <w:pPr>
              <w:ind w:left="60"/>
              <w:spacing w:after="0" w:line="150" w:lineRule="exact"/>
              <w:rPr>
                <w:sz w:val="20"/>
                <w:szCs w:val="20"/>
                <w:color w:val="auto"/>
              </w:rPr>
            </w:pPr>
            <w:r>
              <w:rPr>
                <w:rFonts w:ascii="Arial" w:cs="Arial" w:eastAsia="Arial" w:hAnsi="Arial"/>
                <w:sz w:val="16"/>
                <w:szCs w:val="16"/>
                <w:color w:val="auto"/>
              </w:rPr>
              <w:t>or</w:t>
            </w:r>
          </w:p>
        </w:tc>
        <w:tc>
          <w:tcPr>
            <w:tcW w:w="680" w:type="dxa"/>
            <w:vAlign w:val="bottom"/>
          </w:tcPr>
          <w:p>
            <w:pPr>
              <w:ind w:left="60"/>
              <w:spacing w:after="0" w:line="150" w:lineRule="exact"/>
              <w:rPr>
                <w:sz w:val="20"/>
                <w:szCs w:val="20"/>
                <w:color w:val="auto"/>
              </w:rPr>
            </w:pPr>
            <w:r>
              <w:rPr>
                <w:rFonts w:ascii="Arial" w:cs="Arial" w:eastAsia="Arial" w:hAnsi="Arial"/>
                <w:sz w:val="16"/>
                <w:szCs w:val="16"/>
                <w:color w:val="auto"/>
              </w:rPr>
              <w:t>Partially</w:t>
            </w:r>
          </w:p>
        </w:tc>
        <w:tc>
          <w:tcPr>
            <w:tcW w:w="900" w:type="dxa"/>
            <w:vAlign w:val="bottom"/>
          </w:tcPr>
          <w:p>
            <w:pPr>
              <w:ind w:left="60"/>
              <w:spacing w:after="0" w:line="150" w:lineRule="exact"/>
              <w:rPr>
                <w:sz w:val="20"/>
                <w:szCs w:val="20"/>
                <w:color w:val="auto"/>
              </w:rPr>
            </w:pPr>
            <w:r>
              <w:rPr>
                <w:rFonts w:ascii="Arial" w:cs="Arial" w:eastAsia="Arial" w:hAnsi="Arial"/>
                <w:sz w:val="16"/>
                <w:szCs w:val="16"/>
                <w:color w:val="auto"/>
              </w:rPr>
              <w:t>Deuterated</w:t>
            </w:r>
          </w:p>
        </w:tc>
        <w:tc>
          <w:tcPr>
            <w:tcW w:w="1660" w:type="dxa"/>
            <w:vAlign w:val="bottom"/>
          </w:tcPr>
          <w:p>
            <w:pPr>
              <w:ind w:left="20"/>
              <w:spacing w:after="0" w:line="150" w:lineRule="exact"/>
              <w:rPr>
                <w:sz w:val="20"/>
                <w:szCs w:val="20"/>
                <w:color w:val="auto"/>
              </w:rPr>
            </w:pPr>
            <w:r>
              <w:rPr>
                <w:rFonts w:ascii="Arial" w:cs="Arial" w:eastAsia="Arial" w:hAnsi="Arial"/>
                <w:sz w:val="16"/>
                <w:szCs w:val="16"/>
                <w:color w:val="auto"/>
                <w:w w:val="95"/>
              </w:rPr>
              <w:t>N,N-Dimethyltryptamine</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0" w:type="dxa"/>
            <w:vAlign w:val="bottom"/>
            <w:tcBorders>
              <w:left w:val="single" w:sz="8" w:color="auto"/>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14</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3 844 147</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3 873 883</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Method of Synthesis</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16</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3 902 541</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European Patent Office</w:t>
            </w:r>
          </w:p>
        </w:tc>
        <w:tc>
          <w:tcPr>
            <w:tcW w:w="840" w:type="dxa"/>
            <w:vAlign w:val="bottom"/>
          </w:tcPr>
          <w:p>
            <w:pPr>
              <w:spacing w:after="0" w:line="150" w:lineRule="exact"/>
              <w:rPr>
                <w:sz w:val="20"/>
                <w:szCs w:val="20"/>
                <w:color w:val="auto"/>
              </w:rPr>
            </w:pPr>
            <w:r>
              <w:rPr>
                <w:rFonts w:ascii="Arial" w:cs="Arial" w:eastAsia="Arial" w:hAnsi="Arial"/>
                <w:sz w:val="16"/>
                <w:szCs w:val="16"/>
                <w:color w:val="auto"/>
                <w:w w:val="97"/>
              </w:rPr>
              <w:t>Therapeutic</w:t>
            </w:r>
          </w:p>
        </w:tc>
        <w:tc>
          <w:tcPr>
            <w:tcW w:w="1040" w:type="dxa"/>
            <w:vAlign w:val="bottom"/>
          </w:tcPr>
          <w:p>
            <w:pPr>
              <w:ind w:left="60"/>
              <w:spacing w:after="0" w:line="150" w:lineRule="exact"/>
              <w:rPr>
                <w:sz w:val="20"/>
                <w:szCs w:val="20"/>
                <w:color w:val="auto"/>
              </w:rPr>
            </w:pPr>
            <w:r>
              <w:rPr>
                <w:rFonts w:ascii="Arial" w:cs="Arial" w:eastAsia="Arial" w:hAnsi="Arial"/>
                <w:sz w:val="16"/>
                <w:szCs w:val="16"/>
                <w:color w:val="auto"/>
                <w:w w:val="99"/>
              </w:rPr>
              <w:t>Compositions</w:t>
            </w:r>
          </w:p>
        </w:tc>
        <w:tc>
          <w:tcPr>
            <w:tcW w:w="920" w:type="dxa"/>
            <w:vAlign w:val="bottom"/>
          </w:tcPr>
          <w:p>
            <w:pPr>
              <w:ind w:left="60"/>
              <w:spacing w:after="0" w:line="150" w:lineRule="exact"/>
              <w:rPr>
                <w:sz w:val="20"/>
                <w:szCs w:val="20"/>
                <w:color w:val="auto"/>
              </w:rPr>
            </w:pPr>
            <w:r>
              <w:rPr>
                <w:rFonts w:ascii="Arial" w:cs="Arial" w:eastAsia="Arial" w:hAnsi="Arial"/>
                <w:sz w:val="16"/>
                <w:szCs w:val="16"/>
                <w:color w:val="auto"/>
              </w:rPr>
              <w:t>Comprising</w:t>
            </w:r>
          </w:p>
        </w:tc>
        <w:tc>
          <w:tcPr>
            <w:tcW w:w="820" w:type="dxa"/>
            <w:vAlign w:val="bottom"/>
          </w:tcPr>
          <w:p>
            <w:pPr>
              <w:ind w:left="40"/>
              <w:spacing w:after="0" w:line="150" w:lineRule="exact"/>
              <w:rPr>
                <w:sz w:val="20"/>
                <w:szCs w:val="20"/>
                <w:color w:val="auto"/>
              </w:rPr>
            </w:pPr>
            <w:r>
              <w:rPr>
                <w:rFonts w:ascii="Arial" w:cs="Arial" w:eastAsia="Arial" w:hAnsi="Arial"/>
                <w:sz w:val="16"/>
                <w:szCs w:val="16"/>
                <w:color w:val="auto"/>
                <w:w w:val="95"/>
              </w:rPr>
              <w:t>Deuterated</w:t>
            </w:r>
          </w:p>
        </w:tc>
        <w:tc>
          <w:tcPr>
            <w:tcW w:w="260" w:type="dxa"/>
            <w:vAlign w:val="bottom"/>
          </w:tcPr>
          <w:p>
            <w:pPr>
              <w:ind w:left="60"/>
              <w:spacing w:after="0" w:line="150" w:lineRule="exact"/>
              <w:rPr>
                <w:sz w:val="20"/>
                <w:szCs w:val="20"/>
                <w:color w:val="auto"/>
              </w:rPr>
            </w:pPr>
            <w:r>
              <w:rPr>
                <w:rFonts w:ascii="Arial" w:cs="Arial" w:eastAsia="Arial" w:hAnsi="Arial"/>
                <w:sz w:val="16"/>
                <w:szCs w:val="16"/>
                <w:color w:val="auto"/>
              </w:rPr>
              <w:t>or</w:t>
            </w:r>
          </w:p>
        </w:tc>
        <w:tc>
          <w:tcPr>
            <w:tcW w:w="680" w:type="dxa"/>
            <w:vAlign w:val="bottom"/>
          </w:tcPr>
          <w:p>
            <w:pPr>
              <w:ind w:left="60"/>
              <w:spacing w:after="0" w:line="150" w:lineRule="exact"/>
              <w:rPr>
                <w:sz w:val="20"/>
                <w:szCs w:val="20"/>
                <w:color w:val="auto"/>
              </w:rPr>
            </w:pPr>
            <w:r>
              <w:rPr>
                <w:rFonts w:ascii="Arial" w:cs="Arial" w:eastAsia="Arial" w:hAnsi="Arial"/>
                <w:sz w:val="16"/>
                <w:szCs w:val="16"/>
                <w:color w:val="auto"/>
              </w:rPr>
              <w:t>Partially</w:t>
            </w:r>
          </w:p>
        </w:tc>
        <w:tc>
          <w:tcPr>
            <w:tcW w:w="900" w:type="dxa"/>
            <w:vAlign w:val="bottom"/>
          </w:tcPr>
          <w:p>
            <w:pPr>
              <w:ind w:left="60"/>
              <w:spacing w:after="0" w:line="150" w:lineRule="exact"/>
              <w:rPr>
                <w:sz w:val="20"/>
                <w:szCs w:val="20"/>
                <w:color w:val="auto"/>
              </w:rPr>
            </w:pPr>
            <w:r>
              <w:rPr>
                <w:rFonts w:ascii="Arial" w:cs="Arial" w:eastAsia="Arial" w:hAnsi="Arial"/>
                <w:sz w:val="16"/>
                <w:szCs w:val="16"/>
                <w:color w:val="auto"/>
              </w:rPr>
              <w:t>Deuterated</w:t>
            </w:r>
          </w:p>
        </w:tc>
        <w:tc>
          <w:tcPr>
            <w:tcW w:w="1660" w:type="dxa"/>
            <w:vAlign w:val="bottom"/>
          </w:tcPr>
          <w:p>
            <w:pPr>
              <w:ind w:left="20"/>
              <w:spacing w:after="0" w:line="150" w:lineRule="exact"/>
              <w:rPr>
                <w:sz w:val="20"/>
                <w:szCs w:val="20"/>
                <w:color w:val="auto"/>
              </w:rPr>
            </w:pPr>
            <w:r>
              <w:rPr>
                <w:rFonts w:ascii="Arial" w:cs="Arial" w:eastAsia="Arial" w:hAnsi="Arial"/>
                <w:sz w:val="16"/>
                <w:szCs w:val="16"/>
                <w:color w:val="auto"/>
                <w:w w:val="95"/>
              </w:rPr>
              <w:t>N,N-Dimethyltryptamine</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0" w:type="dxa"/>
            <w:vAlign w:val="bottom"/>
            <w:tcBorders>
              <w:left w:val="single" w:sz="8" w:color="auto"/>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17</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4 031 529</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European Patent Office</w:t>
            </w:r>
          </w:p>
        </w:tc>
        <w:tc>
          <w:tcPr>
            <w:tcW w:w="546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rPr>
              <w:t>Deuterated or Partially Deuterated N,N-Dimethyltryptamine Compounds</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18</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7288154</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Japan</w:t>
            </w:r>
          </w:p>
        </w:tc>
        <w:tc>
          <w:tcPr>
            <w:tcW w:w="840" w:type="dxa"/>
            <w:vAlign w:val="bottom"/>
          </w:tcPr>
          <w:p>
            <w:pPr>
              <w:spacing w:after="0" w:line="150" w:lineRule="exact"/>
              <w:rPr>
                <w:sz w:val="20"/>
                <w:szCs w:val="20"/>
                <w:color w:val="auto"/>
              </w:rPr>
            </w:pPr>
            <w:r>
              <w:rPr>
                <w:rFonts w:ascii="Arial" w:cs="Arial" w:eastAsia="Arial" w:hAnsi="Arial"/>
                <w:sz w:val="16"/>
                <w:szCs w:val="16"/>
                <w:color w:val="auto"/>
                <w:w w:val="97"/>
              </w:rPr>
              <w:t>Therapeutic</w:t>
            </w:r>
          </w:p>
        </w:tc>
        <w:tc>
          <w:tcPr>
            <w:tcW w:w="1040" w:type="dxa"/>
            <w:vAlign w:val="bottom"/>
          </w:tcPr>
          <w:p>
            <w:pPr>
              <w:ind w:left="60"/>
              <w:spacing w:after="0" w:line="150" w:lineRule="exact"/>
              <w:rPr>
                <w:sz w:val="20"/>
                <w:szCs w:val="20"/>
                <w:color w:val="auto"/>
              </w:rPr>
            </w:pPr>
            <w:r>
              <w:rPr>
                <w:rFonts w:ascii="Arial" w:cs="Arial" w:eastAsia="Arial" w:hAnsi="Arial"/>
                <w:sz w:val="16"/>
                <w:szCs w:val="16"/>
                <w:color w:val="auto"/>
                <w:w w:val="99"/>
              </w:rPr>
              <w:t>Compositions</w:t>
            </w:r>
          </w:p>
        </w:tc>
        <w:tc>
          <w:tcPr>
            <w:tcW w:w="920" w:type="dxa"/>
            <w:vAlign w:val="bottom"/>
          </w:tcPr>
          <w:p>
            <w:pPr>
              <w:ind w:left="60"/>
              <w:spacing w:after="0" w:line="150" w:lineRule="exact"/>
              <w:rPr>
                <w:sz w:val="20"/>
                <w:szCs w:val="20"/>
                <w:color w:val="auto"/>
              </w:rPr>
            </w:pPr>
            <w:r>
              <w:rPr>
                <w:rFonts w:ascii="Arial" w:cs="Arial" w:eastAsia="Arial" w:hAnsi="Arial"/>
                <w:sz w:val="16"/>
                <w:szCs w:val="16"/>
                <w:color w:val="auto"/>
              </w:rPr>
              <w:t>Comprising</w:t>
            </w:r>
          </w:p>
        </w:tc>
        <w:tc>
          <w:tcPr>
            <w:tcW w:w="820" w:type="dxa"/>
            <w:vAlign w:val="bottom"/>
          </w:tcPr>
          <w:p>
            <w:pPr>
              <w:ind w:left="40"/>
              <w:spacing w:after="0" w:line="150" w:lineRule="exact"/>
              <w:rPr>
                <w:sz w:val="20"/>
                <w:szCs w:val="20"/>
                <w:color w:val="auto"/>
              </w:rPr>
            </w:pPr>
            <w:r>
              <w:rPr>
                <w:rFonts w:ascii="Arial" w:cs="Arial" w:eastAsia="Arial" w:hAnsi="Arial"/>
                <w:sz w:val="16"/>
                <w:szCs w:val="16"/>
                <w:color w:val="auto"/>
                <w:w w:val="95"/>
              </w:rPr>
              <w:t>Deuterated</w:t>
            </w:r>
          </w:p>
        </w:tc>
        <w:tc>
          <w:tcPr>
            <w:tcW w:w="260" w:type="dxa"/>
            <w:vAlign w:val="bottom"/>
          </w:tcPr>
          <w:p>
            <w:pPr>
              <w:ind w:left="60"/>
              <w:spacing w:after="0" w:line="150" w:lineRule="exact"/>
              <w:rPr>
                <w:sz w:val="20"/>
                <w:szCs w:val="20"/>
                <w:color w:val="auto"/>
              </w:rPr>
            </w:pPr>
            <w:r>
              <w:rPr>
                <w:rFonts w:ascii="Arial" w:cs="Arial" w:eastAsia="Arial" w:hAnsi="Arial"/>
                <w:sz w:val="16"/>
                <w:szCs w:val="16"/>
                <w:color w:val="auto"/>
              </w:rPr>
              <w:t>or</w:t>
            </w:r>
          </w:p>
        </w:tc>
        <w:tc>
          <w:tcPr>
            <w:tcW w:w="680" w:type="dxa"/>
            <w:vAlign w:val="bottom"/>
          </w:tcPr>
          <w:p>
            <w:pPr>
              <w:ind w:left="60"/>
              <w:spacing w:after="0" w:line="150" w:lineRule="exact"/>
              <w:rPr>
                <w:sz w:val="20"/>
                <w:szCs w:val="20"/>
                <w:color w:val="auto"/>
              </w:rPr>
            </w:pPr>
            <w:r>
              <w:rPr>
                <w:rFonts w:ascii="Arial" w:cs="Arial" w:eastAsia="Arial" w:hAnsi="Arial"/>
                <w:sz w:val="16"/>
                <w:szCs w:val="16"/>
                <w:color w:val="auto"/>
              </w:rPr>
              <w:t>Partially</w:t>
            </w:r>
          </w:p>
        </w:tc>
        <w:tc>
          <w:tcPr>
            <w:tcW w:w="900" w:type="dxa"/>
            <w:vAlign w:val="bottom"/>
          </w:tcPr>
          <w:p>
            <w:pPr>
              <w:ind w:left="60"/>
              <w:spacing w:after="0" w:line="150" w:lineRule="exact"/>
              <w:rPr>
                <w:sz w:val="20"/>
                <w:szCs w:val="20"/>
                <w:color w:val="auto"/>
              </w:rPr>
            </w:pPr>
            <w:r>
              <w:rPr>
                <w:rFonts w:ascii="Arial" w:cs="Arial" w:eastAsia="Arial" w:hAnsi="Arial"/>
                <w:sz w:val="16"/>
                <w:szCs w:val="16"/>
                <w:color w:val="auto"/>
              </w:rPr>
              <w:t>Deuterated</w:t>
            </w:r>
          </w:p>
        </w:tc>
        <w:tc>
          <w:tcPr>
            <w:tcW w:w="1660" w:type="dxa"/>
            <w:vAlign w:val="bottom"/>
          </w:tcPr>
          <w:p>
            <w:pPr>
              <w:ind w:left="20"/>
              <w:spacing w:after="0" w:line="150" w:lineRule="exact"/>
              <w:rPr>
                <w:sz w:val="20"/>
                <w:szCs w:val="20"/>
                <w:color w:val="auto"/>
              </w:rPr>
            </w:pPr>
            <w:r>
              <w:rPr>
                <w:rFonts w:ascii="Arial" w:cs="Arial" w:eastAsia="Arial" w:hAnsi="Arial"/>
                <w:sz w:val="16"/>
                <w:szCs w:val="16"/>
                <w:color w:val="auto"/>
                <w:w w:val="95"/>
              </w:rPr>
              <w:t>N,N-Dimethyltryptamine</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0" w:type="dxa"/>
            <w:vAlign w:val="bottom"/>
            <w:tcBorders>
              <w:left w:val="single" w:sz="8" w:color="auto"/>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404310</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Mexico</w:t>
            </w:r>
          </w:p>
        </w:tc>
        <w:tc>
          <w:tcPr>
            <w:tcW w:w="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788543</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New Zealand</w:t>
            </w:r>
          </w:p>
        </w:tc>
        <w:tc>
          <w:tcPr>
            <w:tcW w:w="546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w w:val="91"/>
              </w:rPr>
              <w:t>Dimethyltryptamine derivatives and their use in psychedelic-assisted psychotherapy</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21</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794833</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New Zealand</w:t>
            </w:r>
          </w:p>
        </w:tc>
        <w:tc>
          <w:tcPr>
            <w:tcW w:w="840" w:type="dxa"/>
            <w:vAlign w:val="bottom"/>
          </w:tcPr>
          <w:p>
            <w:pPr>
              <w:spacing w:after="0" w:line="150" w:lineRule="exact"/>
              <w:rPr>
                <w:sz w:val="20"/>
                <w:szCs w:val="20"/>
                <w:color w:val="auto"/>
              </w:rPr>
            </w:pPr>
            <w:r>
              <w:rPr>
                <w:rFonts w:ascii="Arial" w:cs="Arial" w:eastAsia="Arial" w:hAnsi="Arial"/>
                <w:sz w:val="16"/>
                <w:szCs w:val="16"/>
                <w:color w:val="auto"/>
                <w:w w:val="97"/>
              </w:rPr>
              <w:t>Therapeutic</w:t>
            </w:r>
          </w:p>
        </w:tc>
        <w:tc>
          <w:tcPr>
            <w:tcW w:w="1040" w:type="dxa"/>
            <w:vAlign w:val="bottom"/>
          </w:tcPr>
          <w:p>
            <w:pPr>
              <w:ind w:left="60"/>
              <w:spacing w:after="0" w:line="150" w:lineRule="exact"/>
              <w:rPr>
                <w:sz w:val="20"/>
                <w:szCs w:val="20"/>
                <w:color w:val="auto"/>
              </w:rPr>
            </w:pPr>
            <w:r>
              <w:rPr>
                <w:rFonts w:ascii="Arial" w:cs="Arial" w:eastAsia="Arial" w:hAnsi="Arial"/>
                <w:sz w:val="16"/>
                <w:szCs w:val="16"/>
                <w:color w:val="auto"/>
                <w:w w:val="99"/>
              </w:rPr>
              <w:t>Compositions</w:t>
            </w:r>
          </w:p>
        </w:tc>
        <w:tc>
          <w:tcPr>
            <w:tcW w:w="920" w:type="dxa"/>
            <w:vAlign w:val="bottom"/>
          </w:tcPr>
          <w:p>
            <w:pPr>
              <w:ind w:left="60"/>
              <w:spacing w:after="0" w:line="150" w:lineRule="exact"/>
              <w:rPr>
                <w:sz w:val="20"/>
                <w:szCs w:val="20"/>
                <w:color w:val="auto"/>
              </w:rPr>
            </w:pPr>
            <w:r>
              <w:rPr>
                <w:rFonts w:ascii="Arial" w:cs="Arial" w:eastAsia="Arial" w:hAnsi="Arial"/>
                <w:sz w:val="16"/>
                <w:szCs w:val="16"/>
                <w:color w:val="auto"/>
              </w:rPr>
              <w:t>Comprising</w:t>
            </w:r>
          </w:p>
        </w:tc>
        <w:tc>
          <w:tcPr>
            <w:tcW w:w="820" w:type="dxa"/>
            <w:vAlign w:val="bottom"/>
          </w:tcPr>
          <w:p>
            <w:pPr>
              <w:ind w:left="40"/>
              <w:spacing w:after="0" w:line="150" w:lineRule="exact"/>
              <w:rPr>
                <w:sz w:val="20"/>
                <w:szCs w:val="20"/>
                <w:color w:val="auto"/>
              </w:rPr>
            </w:pPr>
            <w:r>
              <w:rPr>
                <w:rFonts w:ascii="Arial" w:cs="Arial" w:eastAsia="Arial" w:hAnsi="Arial"/>
                <w:sz w:val="16"/>
                <w:szCs w:val="16"/>
                <w:color w:val="auto"/>
                <w:w w:val="95"/>
              </w:rPr>
              <w:t>Deuterated</w:t>
            </w:r>
          </w:p>
        </w:tc>
        <w:tc>
          <w:tcPr>
            <w:tcW w:w="260" w:type="dxa"/>
            <w:vAlign w:val="bottom"/>
          </w:tcPr>
          <w:p>
            <w:pPr>
              <w:ind w:left="60"/>
              <w:spacing w:after="0" w:line="150" w:lineRule="exact"/>
              <w:rPr>
                <w:sz w:val="20"/>
                <w:szCs w:val="20"/>
                <w:color w:val="auto"/>
              </w:rPr>
            </w:pPr>
            <w:r>
              <w:rPr>
                <w:rFonts w:ascii="Arial" w:cs="Arial" w:eastAsia="Arial" w:hAnsi="Arial"/>
                <w:sz w:val="16"/>
                <w:szCs w:val="16"/>
                <w:color w:val="auto"/>
              </w:rPr>
              <w:t>or</w:t>
            </w:r>
          </w:p>
        </w:tc>
        <w:tc>
          <w:tcPr>
            <w:tcW w:w="680" w:type="dxa"/>
            <w:vAlign w:val="bottom"/>
          </w:tcPr>
          <w:p>
            <w:pPr>
              <w:ind w:left="60"/>
              <w:spacing w:after="0" w:line="150" w:lineRule="exact"/>
              <w:rPr>
                <w:sz w:val="20"/>
                <w:szCs w:val="20"/>
                <w:color w:val="auto"/>
              </w:rPr>
            </w:pPr>
            <w:r>
              <w:rPr>
                <w:rFonts w:ascii="Arial" w:cs="Arial" w:eastAsia="Arial" w:hAnsi="Arial"/>
                <w:sz w:val="16"/>
                <w:szCs w:val="16"/>
                <w:color w:val="auto"/>
              </w:rPr>
              <w:t>Partially</w:t>
            </w:r>
          </w:p>
        </w:tc>
        <w:tc>
          <w:tcPr>
            <w:tcW w:w="900" w:type="dxa"/>
            <w:vAlign w:val="bottom"/>
          </w:tcPr>
          <w:p>
            <w:pPr>
              <w:ind w:left="60"/>
              <w:spacing w:after="0" w:line="150" w:lineRule="exact"/>
              <w:rPr>
                <w:sz w:val="20"/>
                <w:szCs w:val="20"/>
                <w:color w:val="auto"/>
              </w:rPr>
            </w:pPr>
            <w:r>
              <w:rPr>
                <w:rFonts w:ascii="Arial" w:cs="Arial" w:eastAsia="Arial" w:hAnsi="Arial"/>
                <w:sz w:val="16"/>
                <w:szCs w:val="16"/>
                <w:color w:val="auto"/>
              </w:rPr>
              <w:t>Deuterated</w:t>
            </w:r>
          </w:p>
        </w:tc>
        <w:tc>
          <w:tcPr>
            <w:tcW w:w="1660" w:type="dxa"/>
            <w:vAlign w:val="bottom"/>
          </w:tcPr>
          <w:p>
            <w:pPr>
              <w:ind w:left="20"/>
              <w:spacing w:after="0" w:line="150" w:lineRule="exact"/>
              <w:rPr>
                <w:sz w:val="20"/>
                <w:szCs w:val="20"/>
                <w:color w:val="auto"/>
              </w:rPr>
            </w:pPr>
            <w:r>
              <w:rPr>
                <w:rFonts w:ascii="Arial" w:cs="Arial" w:eastAsia="Arial" w:hAnsi="Arial"/>
                <w:sz w:val="16"/>
                <w:szCs w:val="16"/>
                <w:color w:val="auto"/>
                <w:w w:val="95"/>
              </w:rPr>
              <w:t>N,N-Dimethyltryptamine</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0" w:type="dxa"/>
            <w:vAlign w:val="bottom"/>
            <w:tcBorders>
              <w:left w:val="single" w:sz="8" w:color="auto"/>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22</w:t>
            </w:r>
          </w:p>
        </w:tc>
        <w:tc>
          <w:tcPr>
            <w:tcW w:w="20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2589605</w:t>
            </w:r>
          </w:p>
        </w:tc>
        <w:tc>
          <w:tcPr>
            <w:tcW w:w="1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Republic of Korea</w:t>
            </w:r>
          </w:p>
        </w:tc>
        <w:tc>
          <w:tcPr>
            <w:tcW w:w="840" w:type="dxa"/>
            <w:vAlign w:val="bottom"/>
          </w:tcPr>
          <w:p>
            <w:pPr>
              <w:spacing w:after="0" w:line="156" w:lineRule="exact"/>
              <w:rPr>
                <w:sz w:val="20"/>
                <w:szCs w:val="20"/>
                <w:color w:val="auto"/>
              </w:rPr>
            </w:pPr>
            <w:r>
              <w:rPr>
                <w:rFonts w:ascii="Arial" w:cs="Arial" w:eastAsia="Arial" w:hAnsi="Arial"/>
                <w:sz w:val="16"/>
                <w:szCs w:val="16"/>
                <w:color w:val="auto"/>
                <w:w w:val="97"/>
              </w:rPr>
              <w:t>Therapeutic</w:t>
            </w:r>
          </w:p>
        </w:tc>
        <w:tc>
          <w:tcPr>
            <w:tcW w:w="1040" w:type="dxa"/>
            <w:vAlign w:val="bottom"/>
          </w:tcPr>
          <w:p>
            <w:pPr>
              <w:ind w:left="60"/>
              <w:spacing w:after="0" w:line="156" w:lineRule="exact"/>
              <w:rPr>
                <w:sz w:val="20"/>
                <w:szCs w:val="20"/>
                <w:color w:val="auto"/>
              </w:rPr>
            </w:pPr>
            <w:r>
              <w:rPr>
                <w:rFonts w:ascii="Arial" w:cs="Arial" w:eastAsia="Arial" w:hAnsi="Arial"/>
                <w:sz w:val="16"/>
                <w:szCs w:val="16"/>
                <w:color w:val="auto"/>
                <w:w w:val="99"/>
              </w:rPr>
              <w:t>Compositions</w:t>
            </w:r>
          </w:p>
        </w:tc>
        <w:tc>
          <w:tcPr>
            <w:tcW w:w="920" w:type="dxa"/>
            <w:vAlign w:val="bottom"/>
          </w:tcPr>
          <w:p>
            <w:pPr>
              <w:ind w:left="60"/>
              <w:spacing w:after="0" w:line="156" w:lineRule="exact"/>
              <w:rPr>
                <w:sz w:val="20"/>
                <w:szCs w:val="20"/>
                <w:color w:val="auto"/>
              </w:rPr>
            </w:pPr>
            <w:r>
              <w:rPr>
                <w:rFonts w:ascii="Arial" w:cs="Arial" w:eastAsia="Arial" w:hAnsi="Arial"/>
                <w:sz w:val="16"/>
                <w:szCs w:val="16"/>
                <w:color w:val="auto"/>
              </w:rPr>
              <w:t>Comprising</w:t>
            </w:r>
          </w:p>
        </w:tc>
        <w:tc>
          <w:tcPr>
            <w:tcW w:w="820" w:type="dxa"/>
            <w:vAlign w:val="bottom"/>
          </w:tcPr>
          <w:p>
            <w:pPr>
              <w:ind w:left="40"/>
              <w:spacing w:after="0" w:line="156" w:lineRule="exact"/>
              <w:rPr>
                <w:sz w:val="20"/>
                <w:szCs w:val="20"/>
                <w:color w:val="auto"/>
              </w:rPr>
            </w:pPr>
            <w:r>
              <w:rPr>
                <w:rFonts w:ascii="Arial" w:cs="Arial" w:eastAsia="Arial" w:hAnsi="Arial"/>
                <w:sz w:val="16"/>
                <w:szCs w:val="16"/>
                <w:color w:val="auto"/>
                <w:w w:val="95"/>
              </w:rPr>
              <w:t>Deuterated</w:t>
            </w:r>
          </w:p>
        </w:tc>
        <w:tc>
          <w:tcPr>
            <w:tcW w:w="260" w:type="dxa"/>
            <w:vAlign w:val="bottom"/>
          </w:tcPr>
          <w:p>
            <w:pPr>
              <w:ind w:left="60"/>
              <w:spacing w:after="0" w:line="156" w:lineRule="exact"/>
              <w:rPr>
                <w:sz w:val="20"/>
                <w:szCs w:val="20"/>
                <w:color w:val="auto"/>
              </w:rPr>
            </w:pPr>
            <w:r>
              <w:rPr>
                <w:rFonts w:ascii="Arial" w:cs="Arial" w:eastAsia="Arial" w:hAnsi="Arial"/>
                <w:sz w:val="16"/>
                <w:szCs w:val="16"/>
                <w:color w:val="auto"/>
              </w:rPr>
              <w:t>or</w:t>
            </w:r>
          </w:p>
        </w:tc>
        <w:tc>
          <w:tcPr>
            <w:tcW w:w="680" w:type="dxa"/>
            <w:vAlign w:val="bottom"/>
          </w:tcPr>
          <w:p>
            <w:pPr>
              <w:ind w:left="60"/>
              <w:spacing w:after="0" w:line="156" w:lineRule="exact"/>
              <w:rPr>
                <w:sz w:val="20"/>
                <w:szCs w:val="20"/>
                <w:color w:val="auto"/>
              </w:rPr>
            </w:pPr>
            <w:r>
              <w:rPr>
                <w:rFonts w:ascii="Arial" w:cs="Arial" w:eastAsia="Arial" w:hAnsi="Arial"/>
                <w:sz w:val="16"/>
                <w:szCs w:val="16"/>
                <w:color w:val="auto"/>
              </w:rPr>
              <w:t>Partially</w:t>
            </w:r>
          </w:p>
        </w:tc>
        <w:tc>
          <w:tcPr>
            <w:tcW w:w="900" w:type="dxa"/>
            <w:vAlign w:val="bottom"/>
          </w:tcPr>
          <w:p>
            <w:pPr>
              <w:ind w:left="60"/>
              <w:spacing w:after="0" w:line="156" w:lineRule="exact"/>
              <w:rPr>
                <w:sz w:val="20"/>
                <w:szCs w:val="20"/>
                <w:color w:val="auto"/>
              </w:rPr>
            </w:pPr>
            <w:r>
              <w:rPr>
                <w:rFonts w:ascii="Arial" w:cs="Arial" w:eastAsia="Arial" w:hAnsi="Arial"/>
                <w:sz w:val="16"/>
                <w:szCs w:val="16"/>
                <w:color w:val="auto"/>
              </w:rPr>
              <w:t>Deuterated</w:t>
            </w:r>
          </w:p>
        </w:tc>
        <w:tc>
          <w:tcPr>
            <w:tcW w:w="1660" w:type="dxa"/>
            <w:vAlign w:val="bottom"/>
          </w:tcPr>
          <w:p>
            <w:pPr>
              <w:ind w:left="20"/>
              <w:spacing w:after="0" w:line="156" w:lineRule="exact"/>
              <w:rPr>
                <w:sz w:val="20"/>
                <w:szCs w:val="20"/>
                <w:color w:val="auto"/>
              </w:rPr>
            </w:pPr>
            <w:r>
              <w:rPr>
                <w:rFonts w:ascii="Arial" w:cs="Arial" w:eastAsia="Arial" w:hAnsi="Arial"/>
                <w:sz w:val="16"/>
                <w:szCs w:val="16"/>
                <w:color w:val="auto"/>
                <w:w w:val="95"/>
              </w:rPr>
              <w:t>N,N-Dimethyltryptamine</w:t>
            </w:r>
          </w:p>
        </w:tc>
        <w:tc>
          <w:tcPr>
            <w:tcW w:w="0" w:type="dxa"/>
            <w:vAlign w:val="bottom"/>
          </w:tcPr>
          <w:p>
            <w:pPr>
              <w:spacing w:after="0"/>
              <w:rPr>
                <w:sz w:val="1"/>
                <w:szCs w:val="1"/>
                <w:color w:val="auto"/>
              </w:rPr>
            </w:pPr>
          </w:p>
        </w:tc>
      </w:tr>
      <w:tr>
        <w:trPr>
          <w:trHeight w:val="133"/>
        </w:trPr>
        <w:tc>
          <w:tcPr>
            <w:tcW w:w="340" w:type="dxa"/>
            <w:vAlign w:val="bottom"/>
            <w:tcBorders>
              <w:left w:val="single" w:sz="8" w:color="auto"/>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6"/>
                <w:szCs w:val="16"/>
                <w:color w:val="auto"/>
                <w:w w:val="95"/>
              </w:rPr>
              <w:t>Compounds</w:t>
            </w: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0" w:type="dxa"/>
            <w:vAlign w:val="bottom"/>
            <w:tcBorders>
              <w:left w:val="single" w:sz="8" w:color="auto"/>
              <w:bottom w:val="single" w:sz="8" w:color="auto"/>
              <w:right w:val="single" w:sz="8" w:color="auto"/>
            </w:tcBorders>
          </w:tcPr>
          <w:p>
            <w:pPr>
              <w:spacing w:after="0"/>
              <w:rPr>
                <w:sz w:val="6"/>
                <w:szCs w:val="6"/>
                <w:color w:val="auto"/>
              </w:rPr>
            </w:pPr>
          </w:p>
        </w:tc>
        <w:tc>
          <w:tcPr>
            <w:tcW w:w="200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23</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2 585 978</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Therapeutic Compositions</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24</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2 586 940</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Therapeutic Compositions</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2 592 822</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Therapeutic Compositions</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26</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2 595 776</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Therapeutic Solid Dosage Forms</w:t>
            </w: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27</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11,377,416</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2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4"/>
              </w:rPr>
              <w:t>Crystalline Forms of Hydroxynorketamine</w:t>
            </w: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28</w:t>
            </w:r>
          </w:p>
        </w:tc>
        <w:tc>
          <w:tcPr>
            <w:tcW w:w="2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11,771,681</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Therapeutic Compositions</w:t>
            </w:r>
          </w:p>
        </w:tc>
        <w:tc>
          <w:tcPr>
            <w:tcW w:w="9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47" w:right="3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218"/>
        </w:trPr>
        <w:tc>
          <w:tcPr>
            <w:tcW w:w="340" w:type="dxa"/>
            <w:vAlign w:val="bottom"/>
            <w:tcBorders>
              <w:top w:val="single" w:sz="8" w:color="auto"/>
              <w:left w:val="single" w:sz="8" w:color="auto"/>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w w:val="89"/>
              </w:rPr>
              <w:t>29</w:t>
            </w:r>
          </w:p>
        </w:tc>
        <w:tc>
          <w:tcPr>
            <w:tcW w:w="2000" w:type="dxa"/>
            <w:vAlign w:val="bottom"/>
            <w:tcBorders>
              <w:top w:val="single" w:sz="8" w:color="auto"/>
              <w:bottom w:val="single" w:sz="8" w:color="auto"/>
              <w:right w:val="single" w:sz="8" w:color="auto"/>
            </w:tcBorders>
          </w:tcPr>
          <w:p>
            <w:pPr>
              <w:jc w:val="right"/>
              <w:ind w:right="1199"/>
              <w:spacing w:after="0"/>
              <w:rPr>
                <w:sz w:val="20"/>
                <w:szCs w:val="20"/>
                <w:color w:val="auto"/>
              </w:rPr>
            </w:pPr>
            <w:r>
              <w:rPr>
                <w:rFonts w:ascii="Arial" w:cs="Arial" w:eastAsia="Arial" w:hAnsi="Arial"/>
                <w:sz w:val="16"/>
                <w:szCs w:val="16"/>
                <w:color w:val="auto"/>
                <w:w w:val="87"/>
              </w:rPr>
              <w:t>11,773,062</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Deuterated Compounds</w:t>
            </w:r>
          </w:p>
        </w:tc>
      </w:tr>
      <w:tr>
        <w:trPr>
          <w:trHeight w:val="198"/>
        </w:trPr>
        <w:tc>
          <w:tcPr>
            <w:tcW w:w="340" w:type="dxa"/>
            <w:vAlign w:val="bottom"/>
            <w:tcBorders>
              <w:left w:val="single" w:sz="8" w:color="auto"/>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w w:val="89"/>
              </w:rPr>
              <w:t>30</w:t>
            </w:r>
          </w:p>
        </w:tc>
        <w:tc>
          <w:tcPr>
            <w:tcW w:w="2000" w:type="dxa"/>
            <w:vAlign w:val="bottom"/>
            <w:tcBorders>
              <w:bottom w:val="single" w:sz="8" w:color="auto"/>
              <w:right w:val="single" w:sz="8" w:color="auto"/>
            </w:tcBorders>
          </w:tcPr>
          <w:p>
            <w:pPr>
              <w:jc w:val="right"/>
              <w:ind w:right="1199"/>
              <w:spacing w:after="0"/>
              <w:rPr>
                <w:sz w:val="20"/>
                <w:szCs w:val="20"/>
                <w:color w:val="auto"/>
              </w:rPr>
            </w:pPr>
            <w:r>
              <w:rPr>
                <w:rFonts w:ascii="Arial" w:cs="Arial" w:eastAsia="Arial" w:hAnsi="Arial"/>
                <w:sz w:val="16"/>
                <w:szCs w:val="16"/>
                <w:color w:val="auto"/>
                <w:w w:val="87"/>
              </w:rPr>
              <w:t>11,643,390</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Synthesis of N,N-Dimethyltryptamine-Type Compounds, Methods, and Uses</w:t>
            </w:r>
          </w:p>
        </w:tc>
      </w:tr>
      <w:tr>
        <w:trPr>
          <w:trHeight w:val="198"/>
        </w:trPr>
        <w:tc>
          <w:tcPr>
            <w:tcW w:w="340" w:type="dxa"/>
            <w:vAlign w:val="bottom"/>
            <w:tcBorders>
              <w:left w:val="single" w:sz="8" w:color="auto"/>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w w:val="89"/>
              </w:rPr>
              <w:t>31</w:t>
            </w:r>
          </w:p>
        </w:tc>
        <w:tc>
          <w:tcPr>
            <w:tcW w:w="2000" w:type="dxa"/>
            <w:vAlign w:val="bottom"/>
            <w:tcBorders>
              <w:bottom w:val="single" w:sz="8" w:color="auto"/>
              <w:right w:val="single" w:sz="8" w:color="auto"/>
            </w:tcBorders>
          </w:tcPr>
          <w:p>
            <w:pPr>
              <w:jc w:val="right"/>
              <w:ind w:right="1199"/>
              <w:spacing w:after="0"/>
              <w:rPr>
                <w:sz w:val="20"/>
                <w:szCs w:val="20"/>
                <w:color w:val="auto"/>
              </w:rPr>
            </w:pPr>
            <w:r>
              <w:rPr>
                <w:rFonts w:ascii="Arial" w:cs="Arial" w:eastAsia="Arial" w:hAnsi="Arial"/>
                <w:sz w:val="16"/>
                <w:szCs w:val="16"/>
                <w:color w:val="auto"/>
                <w:w w:val="87"/>
              </w:rPr>
              <w:t>11,471,417</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Deuterated N,N-Dimethyltryptamine Compounds</w:t>
            </w:r>
          </w:p>
        </w:tc>
      </w:tr>
      <w:tr>
        <w:trPr>
          <w:trHeight w:val="198"/>
        </w:trPr>
        <w:tc>
          <w:tcPr>
            <w:tcW w:w="340" w:type="dxa"/>
            <w:vAlign w:val="bottom"/>
            <w:tcBorders>
              <w:left w:val="single" w:sz="8" w:color="auto"/>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w w:val="89"/>
              </w:rPr>
              <w:t>32</w:t>
            </w:r>
          </w:p>
        </w:tc>
        <w:tc>
          <w:tcPr>
            <w:tcW w:w="2000" w:type="dxa"/>
            <w:vAlign w:val="bottom"/>
            <w:tcBorders>
              <w:bottom w:val="single" w:sz="8" w:color="auto"/>
              <w:right w:val="single" w:sz="8" w:color="auto"/>
            </w:tcBorders>
          </w:tcPr>
          <w:p>
            <w:pPr>
              <w:jc w:val="right"/>
              <w:ind w:right="1199"/>
              <w:spacing w:after="0"/>
              <w:rPr>
                <w:sz w:val="20"/>
                <w:szCs w:val="20"/>
                <w:color w:val="auto"/>
              </w:rPr>
            </w:pPr>
            <w:r>
              <w:rPr>
                <w:rFonts w:ascii="Arial" w:cs="Arial" w:eastAsia="Arial" w:hAnsi="Arial"/>
                <w:sz w:val="16"/>
                <w:szCs w:val="16"/>
                <w:color w:val="auto"/>
                <w:w w:val="87"/>
              </w:rPr>
              <w:t>11,406,619</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Injectable Formulations</w:t>
            </w:r>
          </w:p>
        </w:tc>
      </w:tr>
      <w:tr>
        <w:trPr>
          <w:trHeight w:val="198"/>
        </w:trPr>
        <w:tc>
          <w:tcPr>
            <w:tcW w:w="340" w:type="dxa"/>
            <w:vAlign w:val="bottom"/>
            <w:tcBorders>
              <w:left w:val="single" w:sz="8" w:color="auto"/>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w w:val="89"/>
              </w:rPr>
              <w:t>33</w:t>
            </w:r>
          </w:p>
        </w:tc>
        <w:tc>
          <w:tcPr>
            <w:tcW w:w="2000" w:type="dxa"/>
            <w:vAlign w:val="bottom"/>
            <w:tcBorders>
              <w:bottom w:val="single" w:sz="8" w:color="auto"/>
              <w:right w:val="single" w:sz="8" w:color="auto"/>
            </w:tcBorders>
          </w:tcPr>
          <w:p>
            <w:pPr>
              <w:jc w:val="right"/>
              <w:ind w:right="1199"/>
              <w:spacing w:after="0"/>
              <w:rPr>
                <w:sz w:val="20"/>
                <w:szCs w:val="20"/>
                <w:color w:val="auto"/>
              </w:rPr>
            </w:pPr>
            <w:r>
              <w:rPr>
                <w:rFonts w:ascii="Arial" w:cs="Arial" w:eastAsia="Arial" w:hAnsi="Arial"/>
                <w:sz w:val="16"/>
                <w:szCs w:val="16"/>
                <w:color w:val="auto"/>
                <w:w w:val="87"/>
              </w:rPr>
              <w:t>11,697,638</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5-Methoxy-N,N-Dimethyltryptamine Crystalline Forms</w:t>
            </w:r>
          </w:p>
        </w:tc>
      </w:tr>
      <w:tr>
        <w:trPr>
          <w:trHeight w:val="198"/>
        </w:trPr>
        <w:tc>
          <w:tcPr>
            <w:tcW w:w="340" w:type="dxa"/>
            <w:vAlign w:val="bottom"/>
            <w:tcBorders>
              <w:left w:val="single" w:sz="8" w:color="auto"/>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w w:val="89"/>
              </w:rPr>
              <w:t>34</w:t>
            </w:r>
          </w:p>
        </w:tc>
        <w:tc>
          <w:tcPr>
            <w:tcW w:w="2000" w:type="dxa"/>
            <w:vAlign w:val="bottom"/>
            <w:tcBorders>
              <w:bottom w:val="single" w:sz="8" w:color="auto"/>
              <w:right w:val="single" w:sz="8" w:color="auto"/>
            </w:tcBorders>
          </w:tcPr>
          <w:p>
            <w:pPr>
              <w:jc w:val="right"/>
              <w:ind w:right="1199"/>
              <w:spacing w:after="0"/>
              <w:rPr>
                <w:sz w:val="20"/>
                <w:szCs w:val="20"/>
                <w:color w:val="auto"/>
              </w:rPr>
            </w:pPr>
            <w:r>
              <w:rPr>
                <w:rFonts w:ascii="Arial" w:cs="Arial" w:eastAsia="Arial" w:hAnsi="Arial"/>
                <w:sz w:val="16"/>
                <w:szCs w:val="16"/>
                <w:color w:val="auto"/>
                <w:w w:val="87"/>
              </w:rPr>
              <w:t>11,660,289</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Deuterated or Partially Deuterated N,N-Dimethyltryptamine Compounds</w:t>
            </w:r>
          </w:p>
        </w:tc>
      </w:tr>
      <w:tr>
        <w:trPr>
          <w:trHeight w:val="198"/>
        </w:trPr>
        <w:tc>
          <w:tcPr>
            <w:tcW w:w="340" w:type="dxa"/>
            <w:vAlign w:val="bottom"/>
            <w:tcBorders>
              <w:left w:val="single" w:sz="8" w:color="auto"/>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color w:val="auto"/>
                <w:w w:val="89"/>
              </w:rPr>
              <w:t>35</w:t>
            </w:r>
          </w:p>
        </w:tc>
        <w:tc>
          <w:tcPr>
            <w:tcW w:w="2000" w:type="dxa"/>
            <w:vAlign w:val="bottom"/>
            <w:tcBorders>
              <w:right w:val="single" w:sz="8" w:color="auto"/>
            </w:tcBorders>
          </w:tcPr>
          <w:p>
            <w:pPr>
              <w:jc w:val="right"/>
              <w:ind w:right="1199"/>
              <w:spacing w:after="0"/>
              <w:rPr>
                <w:sz w:val="20"/>
                <w:szCs w:val="20"/>
                <w:color w:val="auto"/>
              </w:rPr>
            </w:pPr>
            <w:r>
              <w:rPr>
                <w:rFonts w:ascii="Arial" w:cs="Arial" w:eastAsia="Arial" w:hAnsi="Arial"/>
                <w:sz w:val="16"/>
                <w:szCs w:val="16"/>
                <w:color w:val="auto"/>
                <w:w w:val="87"/>
              </w:rPr>
              <w:t>11,578,039</w:t>
            </w:r>
          </w:p>
        </w:tc>
        <w:tc>
          <w:tcPr>
            <w:tcW w:w="1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7120" w:type="dxa"/>
            <w:vAlign w:val="bottom"/>
          </w:tcPr>
          <w:p>
            <w:pPr>
              <w:spacing w:after="0"/>
              <w:rPr>
                <w:sz w:val="20"/>
                <w:szCs w:val="20"/>
                <w:color w:val="auto"/>
              </w:rPr>
            </w:pPr>
            <w:r>
              <w:rPr>
                <w:rFonts w:ascii="Arial" w:cs="Arial" w:eastAsia="Arial" w:hAnsi="Arial"/>
                <w:sz w:val="16"/>
                <w:szCs w:val="16"/>
                <w:color w:val="auto"/>
              </w:rPr>
              <w:t>Compounds</w:t>
            </w:r>
          </w:p>
        </w:tc>
      </w:tr>
    </w:tbl>
    <w:p>
      <w:pPr>
        <w:spacing w:after="0" w:line="311"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addition, Cybin has title to nine provisional patent applications, nine US non-provisional patent applications, fifty five national (non-US) patent applications, and twelve Patent Cooperation Treaty (“PCT”) applications, including claims directed to compositions of matter and methods of use in support of its research and development and preclinical and clinical trial programs.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0" w:type="dxa"/>
            <w:vAlign w:val="bottom"/>
            <w:tcBorders>
              <w:top w:val="single" w:sz="8" w:color="auto"/>
              <w:left w:val="single" w:sz="8" w:color="auto"/>
              <w:right w:val="single" w:sz="8" w:color="auto"/>
            </w:tcBorders>
            <w:shd w:val="clear" w:color="auto" w:fill="BFBFBF"/>
          </w:tcPr>
          <w:p>
            <w:pPr>
              <w:spacing w:after="0"/>
              <w:rPr>
                <w:sz w:val="14"/>
                <w:szCs w:val="14"/>
                <w:color w:val="auto"/>
              </w:rPr>
            </w:pPr>
          </w:p>
        </w:tc>
        <w:tc>
          <w:tcPr>
            <w:tcW w:w="142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Arial" w:cs="Arial" w:eastAsia="Arial" w:hAnsi="Arial"/>
                <w:sz w:val="16"/>
                <w:szCs w:val="16"/>
                <w:b w:val="1"/>
                <w:bCs w:val="1"/>
                <w:color w:val="auto"/>
                <w:w w:val="95"/>
              </w:rPr>
              <w:t>Patent Application</w:t>
            </w:r>
          </w:p>
        </w:tc>
        <w:tc>
          <w:tcPr>
            <w:tcW w:w="1100" w:type="dxa"/>
            <w:vAlign w:val="bottom"/>
            <w:tcBorders>
              <w:top w:val="single" w:sz="8" w:color="auto"/>
              <w:right w:val="single" w:sz="8" w:color="auto"/>
            </w:tcBorders>
            <w:shd w:val="clear" w:color="auto" w:fill="BFBFBF"/>
          </w:tcPr>
          <w:p>
            <w:pPr>
              <w:ind w:left="40"/>
              <w:spacing w:after="0" w:line="170" w:lineRule="exact"/>
              <w:rPr>
                <w:sz w:val="20"/>
                <w:szCs w:val="20"/>
                <w:color w:val="auto"/>
              </w:rPr>
            </w:pPr>
            <w:r>
              <w:rPr>
                <w:rFonts w:ascii="Arial" w:cs="Arial" w:eastAsia="Arial" w:hAnsi="Arial"/>
                <w:sz w:val="16"/>
                <w:szCs w:val="16"/>
                <w:b w:val="1"/>
                <w:bCs w:val="1"/>
                <w:color w:val="auto"/>
                <w:w w:val="92"/>
              </w:rPr>
              <w:t>Jurisdiction of</w:t>
            </w:r>
          </w:p>
        </w:tc>
        <w:tc>
          <w:tcPr>
            <w:tcW w:w="1280" w:type="dxa"/>
            <w:vAlign w:val="bottom"/>
            <w:tcBorders>
              <w:top w:val="single" w:sz="8" w:color="auto"/>
              <w:right w:val="single" w:sz="8" w:color="auto"/>
            </w:tcBorders>
            <w:vMerge w:val="restart"/>
            <w:shd w:val="clear" w:color="auto" w:fill="BFBFBF"/>
          </w:tcPr>
          <w:p>
            <w:pPr>
              <w:ind w:left="420"/>
              <w:spacing w:after="0"/>
              <w:rPr>
                <w:sz w:val="20"/>
                <w:szCs w:val="20"/>
                <w:color w:val="auto"/>
              </w:rPr>
            </w:pPr>
            <w:r>
              <w:rPr>
                <w:rFonts w:ascii="Arial" w:cs="Arial" w:eastAsia="Arial" w:hAnsi="Arial"/>
                <w:sz w:val="16"/>
                <w:szCs w:val="16"/>
                <w:b w:val="1"/>
                <w:bCs w:val="1"/>
                <w:color w:val="auto"/>
              </w:rPr>
              <w:t>Status</w:t>
            </w:r>
          </w:p>
        </w:tc>
        <w:tc>
          <w:tcPr>
            <w:tcW w:w="920" w:type="dxa"/>
            <w:vAlign w:val="bottom"/>
            <w:tcBorders>
              <w:top w:val="single" w:sz="8" w:color="auto"/>
            </w:tcBorders>
            <w:shd w:val="clear" w:color="auto" w:fill="BFBFBF"/>
          </w:tcPr>
          <w:p>
            <w:pPr>
              <w:spacing w:after="0"/>
              <w:rPr>
                <w:sz w:val="14"/>
                <w:szCs w:val="14"/>
                <w:color w:val="auto"/>
              </w:rPr>
            </w:pPr>
          </w:p>
        </w:tc>
        <w:tc>
          <w:tcPr>
            <w:tcW w:w="1920" w:type="dxa"/>
            <w:vAlign w:val="bottom"/>
            <w:tcBorders>
              <w:top w:val="single" w:sz="8" w:color="auto"/>
            </w:tcBorders>
            <w:gridSpan w:val="2"/>
            <w:vMerge w:val="restart"/>
            <w:shd w:val="clear" w:color="auto" w:fill="BFBFBF"/>
          </w:tcPr>
          <w:p>
            <w:pPr>
              <w:ind w:left="280"/>
              <w:spacing w:after="0"/>
              <w:rPr>
                <w:sz w:val="20"/>
                <w:szCs w:val="20"/>
                <w:color w:val="auto"/>
              </w:rPr>
            </w:pPr>
            <w:r>
              <w:rPr>
                <w:rFonts w:ascii="Arial" w:cs="Arial" w:eastAsia="Arial" w:hAnsi="Arial"/>
                <w:sz w:val="16"/>
                <w:szCs w:val="16"/>
                <w:b w:val="1"/>
                <w:bCs w:val="1"/>
                <w:color w:val="auto"/>
              </w:rPr>
              <w:t>Description</w:t>
            </w:r>
          </w:p>
        </w:tc>
        <w:tc>
          <w:tcPr>
            <w:tcW w:w="360" w:type="dxa"/>
            <w:vAlign w:val="bottom"/>
            <w:tcBorders>
              <w:top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shd w:val="clear" w:color="auto" w:fill="BFBFBF"/>
          </w:tcPr>
          <w:p>
            <w:pPr>
              <w:spacing w:after="0"/>
              <w:rPr>
                <w:sz w:val="11"/>
                <w:szCs w:val="11"/>
                <w:color w:val="auto"/>
              </w:rPr>
            </w:pPr>
          </w:p>
        </w:tc>
        <w:tc>
          <w:tcPr>
            <w:tcW w:w="1420" w:type="dxa"/>
            <w:vAlign w:val="bottom"/>
            <w:tcBorders>
              <w:right w:val="single" w:sz="8" w:color="auto"/>
            </w:tcBorders>
            <w:vMerge w:val="restart"/>
            <w:shd w:val="clear" w:color="auto" w:fill="BFBFBF"/>
          </w:tcPr>
          <w:p>
            <w:pPr>
              <w:ind w:left="400"/>
              <w:spacing w:after="0"/>
              <w:rPr>
                <w:sz w:val="20"/>
                <w:szCs w:val="20"/>
                <w:color w:val="auto"/>
              </w:rPr>
            </w:pPr>
            <w:r>
              <w:rPr>
                <w:rFonts w:ascii="Arial" w:cs="Arial" w:eastAsia="Arial" w:hAnsi="Arial"/>
                <w:sz w:val="16"/>
                <w:szCs w:val="16"/>
                <w:b w:val="1"/>
                <w:bCs w:val="1"/>
                <w:color w:val="auto"/>
              </w:rPr>
              <w:t>Number</w:t>
            </w:r>
          </w:p>
        </w:tc>
        <w:tc>
          <w:tcPr>
            <w:tcW w:w="1100" w:type="dxa"/>
            <w:vAlign w:val="bottom"/>
            <w:tcBorders>
              <w:right w:val="single" w:sz="8" w:color="auto"/>
            </w:tcBorders>
            <w:vMerge w:val="restart"/>
            <w:shd w:val="clear" w:color="auto" w:fill="BFBFBF"/>
          </w:tcPr>
          <w:p>
            <w:pPr>
              <w:ind w:left="340"/>
              <w:spacing w:after="0"/>
              <w:rPr>
                <w:sz w:val="20"/>
                <w:szCs w:val="20"/>
                <w:color w:val="auto"/>
              </w:rPr>
            </w:pPr>
            <w:r>
              <w:rPr>
                <w:rFonts w:ascii="Arial" w:cs="Arial" w:eastAsia="Arial" w:hAnsi="Arial"/>
                <w:sz w:val="16"/>
                <w:szCs w:val="16"/>
                <w:b w:val="1"/>
                <w:bCs w:val="1"/>
                <w:color w:val="auto"/>
              </w:rPr>
              <w:t>Filing</w:t>
            </w:r>
          </w:p>
        </w:tc>
        <w:tc>
          <w:tcPr>
            <w:tcW w:w="1280" w:type="dxa"/>
            <w:vAlign w:val="bottom"/>
            <w:tcBorders>
              <w:right w:val="single" w:sz="8" w:color="auto"/>
            </w:tcBorders>
            <w:vMerge w:val="continue"/>
            <w:shd w:val="clear" w:color="auto" w:fill="BFBFBF"/>
          </w:tcPr>
          <w:p>
            <w:pPr>
              <w:spacing w:after="0"/>
              <w:rPr>
                <w:sz w:val="11"/>
                <w:szCs w:val="11"/>
                <w:color w:val="auto"/>
              </w:rPr>
            </w:pPr>
          </w:p>
        </w:tc>
        <w:tc>
          <w:tcPr>
            <w:tcW w:w="920" w:type="dxa"/>
            <w:vAlign w:val="bottom"/>
            <w:shd w:val="clear" w:color="auto" w:fill="BFBFBF"/>
          </w:tcPr>
          <w:p>
            <w:pPr>
              <w:spacing w:after="0"/>
              <w:rPr>
                <w:sz w:val="11"/>
                <w:szCs w:val="11"/>
                <w:color w:val="auto"/>
              </w:rPr>
            </w:pPr>
          </w:p>
        </w:tc>
        <w:tc>
          <w:tcPr>
            <w:tcW w:w="1920" w:type="dxa"/>
            <w:vAlign w:val="bottom"/>
            <w:gridSpan w:val="2"/>
            <w:vMerge w:val="continue"/>
            <w:shd w:val="clear" w:color="auto" w:fill="BFBFBF"/>
          </w:tcPr>
          <w:p>
            <w:pPr>
              <w:spacing w:after="0"/>
              <w:rPr>
                <w:sz w:val="11"/>
                <w:szCs w:val="11"/>
                <w:color w:val="auto"/>
              </w:rPr>
            </w:pPr>
          </w:p>
        </w:tc>
        <w:tc>
          <w:tcPr>
            <w:tcW w:w="36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bottom w:val="single" w:sz="8" w:color="auto"/>
              <w:right w:val="single" w:sz="8" w:color="auto"/>
            </w:tcBorders>
            <w:shd w:val="clear" w:color="auto" w:fill="BFBFBF"/>
          </w:tcPr>
          <w:p>
            <w:pPr>
              <w:spacing w:after="0"/>
              <w:rPr>
                <w:sz w:val="7"/>
                <w:szCs w:val="7"/>
                <w:color w:val="auto"/>
              </w:rPr>
            </w:pPr>
          </w:p>
        </w:tc>
        <w:tc>
          <w:tcPr>
            <w:tcW w:w="142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100" w:type="dxa"/>
            <w:vAlign w:val="bottom"/>
            <w:tcBorders>
              <w:bottom w:val="single" w:sz="8" w:color="auto"/>
              <w:right w:val="single" w:sz="8" w:color="auto"/>
            </w:tcBorders>
            <w:vMerge w:val="continue"/>
            <w:shd w:val="clear" w:color="auto" w:fill="BFBFBF"/>
          </w:tcPr>
          <w:p>
            <w:pPr>
              <w:spacing w:after="0"/>
              <w:rPr>
                <w:sz w:val="7"/>
                <w:szCs w:val="7"/>
                <w:color w:val="auto"/>
              </w:rPr>
            </w:pPr>
          </w:p>
        </w:tc>
        <w:tc>
          <w:tcPr>
            <w:tcW w:w="1280" w:type="dxa"/>
            <w:vAlign w:val="bottom"/>
            <w:tcBorders>
              <w:bottom w:val="single" w:sz="8" w:color="auto"/>
              <w:right w:val="single" w:sz="8" w:color="auto"/>
            </w:tcBorders>
            <w:shd w:val="clear" w:color="auto" w:fill="BFBFBF"/>
          </w:tcPr>
          <w:p>
            <w:pPr>
              <w:spacing w:after="0"/>
              <w:rPr>
                <w:sz w:val="7"/>
                <w:szCs w:val="7"/>
                <w:color w:val="auto"/>
              </w:rPr>
            </w:pPr>
          </w:p>
        </w:tc>
        <w:tc>
          <w:tcPr>
            <w:tcW w:w="920" w:type="dxa"/>
            <w:vAlign w:val="bottom"/>
            <w:tcBorders>
              <w:bottom w:val="single" w:sz="8" w:color="auto"/>
            </w:tcBorders>
            <w:shd w:val="clear" w:color="auto" w:fill="BFBFBF"/>
          </w:tcPr>
          <w:p>
            <w:pPr>
              <w:spacing w:after="0"/>
              <w:rPr>
                <w:sz w:val="7"/>
                <w:szCs w:val="7"/>
                <w:color w:val="auto"/>
              </w:rPr>
            </w:pPr>
          </w:p>
        </w:tc>
        <w:tc>
          <w:tcPr>
            <w:tcW w:w="1000" w:type="dxa"/>
            <w:vAlign w:val="bottom"/>
            <w:tcBorders>
              <w:bottom w:val="single" w:sz="8" w:color="auto"/>
            </w:tcBorders>
            <w:shd w:val="clear" w:color="auto" w:fill="BFBFBF"/>
          </w:tcPr>
          <w:p>
            <w:pPr>
              <w:spacing w:after="0"/>
              <w:rPr>
                <w:sz w:val="7"/>
                <w:szCs w:val="7"/>
                <w:color w:val="auto"/>
              </w:rPr>
            </w:pPr>
          </w:p>
        </w:tc>
        <w:tc>
          <w:tcPr>
            <w:tcW w:w="920" w:type="dxa"/>
            <w:vAlign w:val="bottom"/>
            <w:tcBorders>
              <w:bottom w:val="single" w:sz="8" w:color="auto"/>
            </w:tcBorders>
            <w:shd w:val="clear" w:color="auto" w:fill="BFBFBF"/>
          </w:tcPr>
          <w:p>
            <w:pPr>
              <w:spacing w:after="0"/>
              <w:rPr>
                <w:sz w:val="7"/>
                <w:szCs w:val="7"/>
                <w:color w:val="auto"/>
              </w:rPr>
            </w:pPr>
          </w:p>
        </w:tc>
        <w:tc>
          <w:tcPr>
            <w:tcW w:w="360" w:type="dxa"/>
            <w:vAlign w:val="bottom"/>
            <w:tcBorders>
              <w:bottom w:val="single" w:sz="8" w:color="auto"/>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PCT/EP2022/069109</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4" w:lineRule="exact"/>
              <w:rPr>
                <w:sz w:val="20"/>
                <w:szCs w:val="20"/>
                <w:color w:val="auto"/>
              </w:rPr>
            </w:pPr>
            <w:r>
              <w:rPr>
                <w:rFonts w:ascii="Arial" w:cs="Arial" w:eastAsia="Arial" w:hAnsi="Arial"/>
                <w:sz w:val="16"/>
                <w:szCs w:val="16"/>
                <w:color w:val="auto"/>
                <w:w w:val="98"/>
              </w:rPr>
              <w:t>Integrated Data Collection Devices for Use in</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6"/>
                <w:szCs w:val="16"/>
                <w:color w:val="auto"/>
                <w:w w:val="93"/>
              </w:rPr>
              <w:t>Various Therapeutic and Wellness Applications</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1"/>
              </w:rPr>
              <w:t>PCT/EP2022/058574</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1"/>
              </w:rPr>
              <w:t>Combination Drug Therapies</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1"/>
              </w:rPr>
              <w:t>PCT/EP2022/063269</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Formulations of Psilocybin</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PCT/EP2022/076073</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920" w:type="dxa"/>
            <w:vAlign w:val="bottom"/>
          </w:tcPr>
          <w:p>
            <w:pPr>
              <w:ind w:left="20"/>
              <w:spacing w:after="0" w:line="150" w:lineRule="exact"/>
              <w:rPr>
                <w:sz w:val="20"/>
                <w:szCs w:val="20"/>
                <w:color w:val="auto"/>
              </w:rPr>
            </w:pPr>
            <w:r>
              <w:rPr>
                <w:rFonts w:ascii="Arial" w:cs="Arial" w:eastAsia="Arial" w:hAnsi="Arial"/>
                <w:sz w:val="16"/>
                <w:szCs w:val="16"/>
                <w:color w:val="auto"/>
                <w:w w:val="95"/>
              </w:rPr>
              <w:t>Formulations</w:t>
            </w:r>
          </w:p>
        </w:tc>
        <w:tc>
          <w:tcPr>
            <w:tcW w:w="1920" w:type="dxa"/>
            <w:vAlign w:val="bottom"/>
            <w:gridSpan w:val="2"/>
          </w:tcPr>
          <w:p>
            <w:pPr>
              <w:ind w:left="120"/>
              <w:spacing w:after="0" w:line="150" w:lineRule="exact"/>
              <w:rPr>
                <w:sz w:val="20"/>
                <w:szCs w:val="20"/>
                <w:color w:val="auto"/>
              </w:rPr>
            </w:pPr>
            <w:r>
              <w:rPr>
                <w:rFonts w:ascii="Arial" w:cs="Arial" w:eastAsia="Arial" w:hAnsi="Arial"/>
                <w:sz w:val="16"/>
                <w:szCs w:val="16"/>
                <w:color w:val="auto"/>
              </w:rPr>
              <w:t>Of  Psilocybin  Analogs</w:t>
            </w:r>
          </w:p>
        </w:tc>
        <w:tc>
          <w:tcPr>
            <w:tcW w:w="360" w:type="dxa"/>
            <w:vAlign w:val="bottom"/>
            <w:tcBorders>
              <w:right w:val="single" w:sz="8" w:color="auto"/>
            </w:tcBorders>
          </w:tcPr>
          <w:p>
            <w:pPr>
              <w:ind w:left="80"/>
              <w:spacing w:after="0" w:line="150" w:lineRule="exact"/>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18/056,958</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920" w:type="dxa"/>
            <w:vAlign w:val="bottom"/>
          </w:tcPr>
          <w:p>
            <w:pPr>
              <w:ind w:left="20"/>
              <w:spacing w:after="0" w:line="156" w:lineRule="exact"/>
              <w:rPr>
                <w:sz w:val="20"/>
                <w:szCs w:val="20"/>
                <w:color w:val="auto"/>
              </w:rPr>
            </w:pPr>
            <w:r>
              <w:rPr>
                <w:rFonts w:ascii="Arial" w:cs="Arial" w:eastAsia="Arial" w:hAnsi="Arial"/>
                <w:sz w:val="16"/>
                <w:szCs w:val="16"/>
                <w:color w:val="auto"/>
              </w:rPr>
              <w:t>Deuterated</w:t>
            </w:r>
          </w:p>
        </w:tc>
        <w:tc>
          <w:tcPr>
            <w:tcW w:w="1000" w:type="dxa"/>
            <w:vAlign w:val="bottom"/>
          </w:tcPr>
          <w:p>
            <w:pPr>
              <w:ind w:left="40"/>
              <w:spacing w:after="0" w:line="156" w:lineRule="exact"/>
              <w:rPr>
                <w:sz w:val="20"/>
                <w:szCs w:val="20"/>
                <w:color w:val="auto"/>
              </w:rPr>
            </w:pPr>
            <w:r>
              <w:rPr>
                <w:rFonts w:ascii="Arial" w:cs="Arial" w:eastAsia="Arial" w:hAnsi="Arial"/>
                <w:sz w:val="16"/>
                <w:szCs w:val="16"/>
                <w:color w:val="auto"/>
              </w:rPr>
              <w:t>Tryptamine</w:t>
            </w:r>
          </w:p>
        </w:tc>
        <w:tc>
          <w:tcPr>
            <w:tcW w:w="920" w:type="dxa"/>
            <w:vAlign w:val="bottom"/>
          </w:tcPr>
          <w:p>
            <w:pPr>
              <w:ind w:left="20"/>
              <w:spacing w:after="0" w:line="156" w:lineRule="exact"/>
              <w:rPr>
                <w:sz w:val="20"/>
                <w:szCs w:val="20"/>
                <w:color w:val="auto"/>
              </w:rPr>
            </w:pPr>
            <w:r>
              <w:rPr>
                <w:rFonts w:ascii="Arial" w:cs="Arial" w:eastAsia="Arial" w:hAnsi="Arial"/>
                <w:sz w:val="16"/>
                <w:szCs w:val="16"/>
                <w:color w:val="auto"/>
              </w:rPr>
              <w:t>Derivatives</w:t>
            </w:r>
          </w:p>
        </w:tc>
        <w:tc>
          <w:tcPr>
            <w:tcW w:w="3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6</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17/999,310</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920" w:type="dxa"/>
            <w:vAlign w:val="bottom"/>
          </w:tcPr>
          <w:p>
            <w:pPr>
              <w:ind w:left="20"/>
              <w:spacing w:after="0" w:line="156" w:lineRule="exact"/>
              <w:rPr>
                <w:sz w:val="20"/>
                <w:szCs w:val="20"/>
                <w:color w:val="auto"/>
              </w:rPr>
            </w:pPr>
            <w:r>
              <w:rPr>
                <w:rFonts w:ascii="Arial" w:cs="Arial" w:eastAsia="Arial" w:hAnsi="Arial"/>
                <w:sz w:val="16"/>
                <w:szCs w:val="16"/>
                <w:color w:val="auto"/>
              </w:rPr>
              <w:t>Deuterated</w:t>
            </w:r>
          </w:p>
        </w:tc>
        <w:tc>
          <w:tcPr>
            <w:tcW w:w="1000" w:type="dxa"/>
            <w:vAlign w:val="bottom"/>
          </w:tcPr>
          <w:p>
            <w:pPr>
              <w:ind w:left="40"/>
              <w:spacing w:after="0" w:line="156" w:lineRule="exact"/>
              <w:rPr>
                <w:sz w:val="20"/>
                <w:szCs w:val="20"/>
                <w:color w:val="auto"/>
              </w:rPr>
            </w:pPr>
            <w:r>
              <w:rPr>
                <w:rFonts w:ascii="Arial" w:cs="Arial" w:eastAsia="Arial" w:hAnsi="Arial"/>
                <w:sz w:val="16"/>
                <w:szCs w:val="16"/>
                <w:color w:val="auto"/>
              </w:rPr>
              <w:t>Tryptamine</w:t>
            </w:r>
          </w:p>
        </w:tc>
        <w:tc>
          <w:tcPr>
            <w:tcW w:w="920" w:type="dxa"/>
            <w:vAlign w:val="bottom"/>
          </w:tcPr>
          <w:p>
            <w:pPr>
              <w:ind w:left="20"/>
              <w:spacing w:after="0" w:line="156" w:lineRule="exact"/>
              <w:rPr>
                <w:sz w:val="20"/>
                <w:szCs w:val="20"/>
                <w:color w:val="auto"/>
              </w:rPr>
            </w:pPr>
            <w:r>
              <w:rPr>
                <w:rFonts w:ascii="Arial" w:cs="Arial" w:eastAsia="Arial" w:hAnsi="Arial"/>
                <w:sz w:val="16"/>
                <w:szCs w:val="16"/>
                <w:color w:val="auto"/>
              </w:rPr>
              <w:t>Derivatives</w:t>
            </w:r>
          </w:p>
        </w:tc>
        <w:tc>
          <w:tcPr>
            <w:tcW w:w="3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40" w:type="dxa"/>
            <w:vAlign w:val="bottom"/>
            <w:tcBorders>
              <w:left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63/384,704</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Tryptamine Compositions and Methods</w:t>
            </w: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8</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63/386,375</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0"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1"/>
              </w:rPr>
              <w:t>PCT/EP2023/050702</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Tryptamine Compositions and Methods</w:t>
            </w: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10</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PCT/EP2023/053744</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0"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11</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PCT/EP2023/053752</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6" w:lineRule="exact"/>
              <w:rPr>
                <w:sz w:val="20"/>
                <w:szCs w:val="20"/>
                <w:color w:val="auto"/>
              </w:rPr>
            </w:pPr>
            <w:r>
              <w:rPr>
                <w:rFonts w:ascii="Arial" w:cs="Arial" w:eastAsia="Arial" w:hAnsi="Arial"/>
                <w:sz w:val="16"/>
                <w:szCs w:val="16"/>
                <w:color w:val="auto"/>
                <w:w w:val="92"/>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12</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18/041,731</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6"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13</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18/041,728</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6" w:lineRule="exact"/>
              <w:rPr>
                <w:sz w:val="20"/>
                <w:szCs w:val="20"/>
                <w:color w:val="auto"/>
              </w:rPr>
            </w:pPr>
            <w:r>
              <w:rPr>
                <w:rFonts w:ascii="Arial" w:cs="Arial" w:eastAsia="Arial" w:hAnsi="Arial"/>
                <w:sz w:val="16"/>
                <w:szCs w:val="16"/>
                <w:color w:val="auto"/>
                <w:w w:val="92"/>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14</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18/172,691</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920" w:type="dxa"/>
            <w:vAlign w:val="bottom"/>
          </w:tcPr>
          <w:p>
            <w:pPr>
              <w:ind w:left="20"/>
              <w:spacing w:after="0" w:line="156" w:lineRule="exact"/>
              <w:rPr>
                <w:sz w:val="20"/>
                <w:szCs w:val="20"/>
                <w:color w:val="auto"/>
              </w:rPr>
            </w:pPr>
            <w:r>
              <w:rPr>
                <w:rFonts w:ascii="Arial" w:cs="Arial" w:eastAsia="Arial" w:hAnsi="Arial"/>
                <w:sz w:val="16"/>
                <w:szCs w:val="16"/>
                <w:color w:val="auto"/>
              </w:rPr>
              <w:t>Deuterated</w:t>
            </w:r>
          </w:p>
        </w:tc>
        <w:tc>
          <w:tcPr>
            <w:tcW w:w="1000" w:type="dxa"/>
            <w:vAlign w:val="bottom"/>
          </w:tcPr>
          <w:p>
            <w:pPr>
              <w:ind w:left="40"/>
              <w:spacing w:after="0" w:line="156" w:lineRule="exact"/>
              <w:rPr>
                <w:sz w:val="20"/>
                <w:szCs w:val="20"/>
                <w:color w:val="auto"/>
              </w:rPr>
            </w:pPr>
            <w:r>
              <w:rPr>
                <w:rFonts w:ascii="Arial" w:cs="Arial" w:eastAsia="Arial" w:hAnsi="Arial"/>
                <w:sz w:val="16"/>
                <w:szCs w:val="16"/>
                <w:color w:val="auto"/>
              </w:rPr>
              <w:t>Tryptamine</w:t>
            </w:r>
          </w:p>
        </w:tc>
        <w:tc>
          <w:tcPr>
            <w:tcW w:w="920" w:type="dxa"/>
            <w:vAlign w:val="bottom"/>
          </w:tcPr>
          <w:p>
            <w:pPr>
              <w:ind w:left="20"/>
              <w:spacing w:after="0" w:line="156" w:lineRule="exact"/>
              <w:rPr>
                <w:sz w:val="20"/>
                <w:szCs w:val="20"/>
                <w:color w:val="auto"/>
              </w:rPr>
            </w:pPr>
            <w:r>
              <w:rPr>
                <w:rFonts w:ascii="Arial" w:cs="Arial" w:eastAsia="Arial" w:hAnsi="Arial"/>
                <w:sz w:val="16"/>
                <w:szCs w:val="16"/>
                <w:color w:val="auto"/>
              </w:rPr>
              <w:t>Derivatives</w:t>
            </w:r>
          </w:p>
        </w:tc>
        <w:tc>
          <w:tcPr>
            <w:tcW w:w="36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6"/>
                <w:szCs w:val="16"/>
                <w:color w:val="auto"/>
                <w:w w:val="89"/>
              </w:rPr>
              <w:t>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6"/>
                <w:szCs w:val="16"/>
                <w:color w:val="auto"/>
              </w:rPr>
              <w:t>Methods of Use</w:t>
            </w:r>
          </w:p>
        </w:tc>
        <w:tc>
          <w:tcPr>
            <w:tcW w:w="92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tcBorders>
            <w:gridSpan w:val="2"/>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63/487,078</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Methods of Treating Disorders</w:t>
            </w: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16</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18/027,810</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0" w:lineRule="exact"/>
              <w:rPr>
                <w:sz w:val="20"/>
                <w:szCs w:val="20"/>
                <w:color w:val="auto"/>
              </w:rPr>
            </w:pPr>
            <w:r>
              <w:rPr>
                <w:rFonts w:ascii="Arial" w:cs="Arial" w:eastAsia="Arial" w:hAnsi="Arial"/>
                <w:sz w:val="16"/>
                <w:szCs w:val="16"/>
                <w:color w:val="auto"/>
              </w:rPr>
              <w:t>Methods   For   Delivery   of   Psychedelic</w:t>
            </w:r>
          </w:p>
        </w:tc>
        <w:tc>
          <w:tcPr>
            <w:tcW w:w="0" w:type="dxa"/>
            <w:vAlign w:val="bottom"/>
          </w:tcPr>
          <w:p>
            <w:pPr>
              <w:spacing w:after="0"/>
              <w:rPr>
                <w:sz w:val="1"/>
                <w:szCs w:val="1"/>
                <w:color w:val="auto"/>
              </w:rPr>
            </w:pPr>
          </w:p>
        </w:tc>
      </w:tr>
      <w:tr>
        <w:trPr>
          <w:trHeight w:val="169"/>
        </w:trPr>
        <w:tc>
          <w:tcPr>
            <w:tcW w:w="24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3200" w:type="dxa"/>
            <w:vAlign w:val="bottom"/>
            <w:tcBorders>
              <w:right w:val="single" w:sz="8" w:color="auto"/>
            </w:tcBorders>
            <w:gridSpan w:val="4"/>
          </w:tcPr>
          <w:p>
            <w:pPr>
              <w:ind w:left="20"/>
              <w:spacing w:after="0" w:line="169" w:lineRule="exact"/>
              <w:rPr>
                <w:sz w:val="20"/>
                <w:szCs w:val="20"/>
                <w:color w:val="auto"/>
              </w:rPr>
            </w:pPr>
            <w:r>
              <w:rPr>
                <w:rFonts w:ascii="Arial" w:cs="Arial" w:eastAsia="Arial" w:hAnsi="Arial"/>
                <w:sz w:val="16"/>
                <w:szCs w:val="16"/>
                <w:color w:val="auto"/>
              </w:rPr>
              <w:t>Medications By Inhalation and Systems For</w:t>
            </w: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Performing the Methods</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17</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PCT/EP2023/057939</w:t>
            </w:r>
          </w:p>
        </w:tc>
        <w:tc>
          <w:tcPr>
            <w:tcW w:w="1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4"/>
          </w:tcPr>
          <w:p>
            <w:pPr>
              <w:ind w:left="20"/>
              <w:spacing w:after="0" w:line="150" w:lineRule="exact"/>
              <w:rPr>
                <w:sz w:val="20"/>
                <w:szCs w:val="20"/>
                <w:color w:val="auto"/>
              </w:rPr>
            </w:pPr>
            <w:r>
              <w:rPr>
                <w:rFonts w:ascii="Arial" w:cs="Arial" w:eastAsia="Arial" w:hAnsi="Arial"/>
                <w:sz w:val="16"/>
                <w:szCs w:val="16"/>
                <w:color w:val="auto"/>
              </w:rPr>
              <w:t>Methods   For   Delivery   of   Psychedelic</w:t>
            </w:r>
          </w:p>
        </w:tc>
        <w:tc>
          <w:tcPr>
            <w:tcW w:w="0" w:type="dxa"/>
            <w:vAlign w:val="bottom"/>
          </w:tcPr>
          <w:p>
            <w:pPr>
              <w:spacing w:after="0"/>
              <w:rPr>
                <w:sz w:val="1"/>
                <w:szCs w:val="1"/>
                <w:color w:val="auto"/>
              </w:rPr>
            </w:pPr>
          </w:p>
        </w:tc>
      </w:tr>
      <w:tr>
        <w:trPr>
          <w:trHeight w:val="169"/>
        </w:trPr>
        <w:tc>
          <w:tcPr>
            <w:tcW w:w="24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3200" w:type="dxa"/>
            <w:vAlign w:val="bottom"/>
            <w:tcBorders>
              <w:right w:val="single" w:sz="8" w:color="auto"/>
            </w:tcBorders>
            <w:gridSpan w:val="4"/>
          </w:tcPr>
          <w:p>
            <w:pPr>
              <w:ind w:left="20"/>
              <w:spacing w:after="0" w:line="169" w:lineRule="exact"/>
              <w:rPr>
                <w:sz w:val="20"/>
                <w:szCs w:val="20"/>
                <w:color w:val="auto"/>
              </w:rPr>
            </w:pPr>
            <w:r>
              <w:rPr>
                <w:rFonts w:ascii="Arial" w:cs="Arial" w:eastAsia="Arial" w:hAnsi="Arial"/>
                <w:sz w:val="16"/>
                <w:szCs w:val="16"/>
                <w:color w:val="auto"/>
              </w:rPr>
              <w:t>Medications By Inhalation and Systems For</w:t>
            </w: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Performing the Methods</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18</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1"/>
              </w:rPr>
              <w:t>PCT/EP2023/058107</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w w:val="91"/>
              </w:rPr>
              <w:t>Combination Drug Therapies</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63/464,265</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99"/>
              </w:rPr>
              <w:t>Injectable Pharmaceutical Formulations</w:t>
            </w: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63/507,059</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Companion Animal Treatments</w:t>
            </w: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21</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63/507,062</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99"/>
              </w:rPr>
              <w:t>Injectable Pharmaceutical Formulations</w:t>
            </w: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22</w:t>
            </w:r>
          </w:p>
        </w:tc>
        <w:tc>
          <w:tcPr>
            <w:tcW w:w="1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w w:val="91"/>
              </w:rPr>
              <w:t>PCT/EP2023/066900</w:t>
            </w:r>
          </w:p>
        </w:tc>
        <w:tc>
          <w:tcPr>
            <w:tcW w:w="1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Ireland</w:t>
            </w:r>
          </w:p>
        </w:tc>
        <w:tc>
          <w:tcPr>
            <w:tcW w:w="1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Pending</w:t>
            </w:r>
          </w:p>
        </w:tc>
        <w:tc>
          <w:tcPr>
            <w:tcW w:w="1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Formulations of Psilocybin</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320" w:top="726" w:right="31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170"/>
        </w:trPr>
        <w:tc>
          <w:tcPr>
            <w:tcW w:w="2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23</w:t>
            </w:r>
          </w:p>
        </w:tc>
        <w:tc>
          <w:tcPr>
            <w:tcW w:w="14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63/510,089</w:t>
            </w:r>
          </w:p>
        </w:tc>
        <w:tc>
          <w:tcPr>
            <w:tcW w:w="90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w w:val="89"/>
              </w:rPr>
              <w:t>United States</w:t>
            </w:r>
          </w:p>
        </w:tc>
        <w:tc>
          <w:tcPr>
            <w:tcW w:w="200" w:type="dxa"/>
            <w:vAlign w:val="bottom"/>
            <w:tcBorders>
              <w:top w:val="single" w:sz="8" w:color="auto"/>
              <w:right w:val="single" w:sz="8" w:color="auto"/>
            </w:tcBorders>
          </w:tcPr>
          <w:p>
            <w:pPr>
              <w:spacing w:after="0"/>
              <w:rPr>
                <w:sz w:val="14"/>
                <w:szCs w:val="14"/>
                <w:color w:val="auto"/>
              </w:rPr>
            </w:pPr>
          </w:p>
        </w:tc>
        <w:tc>
          <w:tcPr>
            <w:tcW w:w="128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20" w:type="dxa"/>
            <w:vAlign w:val="bottom"/>
            <w:tcBorders>
              <w:top w:val="single" w:sz="8" w:color="auto"/>
            </w:tcBorders>
          </w:tcPr>
          <w:p>
            <w:pPr>
              <w:spacing w:after="0" w:line="170" w:lineRule="exact"/>
              <w:rPr>
                <w:sz w:val="20"/>
                <w:szCs w:val="20"/>
                <w:color w:val="auto"/>
              </w:rPr>
            </w:pPr>
            <w:r>
              <w:rPr>
                <w:rFonts w:ascii="Arial" w:cs="Arial" w:eastAsia="Arial" w:hAnsi="Arial"/>
                <w:sz w:val="16"/>
                <w:szCs w:val="16"/>
                <w:color w:val="auto"/>
              </w:rPr>
              <w:t>Processes</w:t>
            </w:r>
          </w:p>
        </w:tc>
        <w:tc>
          <w:tcPr>
            <w:tcW w:w="2380" w:type="dxa"/>
            <w:vAlign w:val="bottom"/>
            <w:tcBorders>
              <w:top w:val="single" w:sz="8" w:color="auto"/>
              <w:right w:val="single" w:sz="8" w:color="auto"/>
            </w:tcBorders>
          </w:tcPr>
          <w:p>
            <w:pPr>
              <w:jc w:val="right"/>
              <w:spacing w:after="0" w:line="170" w:lineRule="exact"/>
              <w:rPr>
                <w:sz w:val="20"/>
                <w:szCs w:val="20"/>
                <w:color w:val="auto"/>
              </w:rPr>
            </w:pPr>
            <w:r>
              <w:rPr>
                <w:rFonts w:ascii="Arial" w:cs="Arial" w:eastAsia="Arial" w:hAnsi="Arial"/>
                <w:sz w:val="16"/>
                <w:szCs w:val="16"/>
                <w:color w:val="auto"/>
              </w:rPr>
              <w:t>for   Preparing   Phenethylamine</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w w:val="92"/>
              </w:rPr>
              <w:t>Compounds</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24</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63/512,466</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89"/>
              </w:rPr>
              <w:t>United States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Methods of Treating Disorders with a Psilocybin</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Analog</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25</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18/353,492</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89"/>
              </w:rPr>
              <w:t>United States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26</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63/519,992</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89"/>
              </w:rPr>
              <w:t>United States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Methods of Treating Disorders with a Psilocybin</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Analog</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27</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18/547,100</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89"/>
              </w:rPr>
              <w:t>United States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8"/>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28</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1"/>
              </w:rPr>
              <w:t>PCT/EP2023/073122</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Ireland</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20" w:type="dxa"/>
            <w:vAlign w:val="bottom"/>
          </w:tcPr>
          <w:p>
            <w:pPr>
              <w:spacing w:after="0" w:line="156" w:lineRule="exact"/>
              <w:rPr>
                <w:sz w:val="20"/>
                <w:szCs w:val="20"/>
                <w:color w:val="auto"/>
              </w:rPr>
            </w:pPr>
            <w:r>
              <w:rPr>
                <w:rFonts w:ascii="Arial" w:cs="Arial" w:eastAsia="Arial" w:hAnsi="Arial"/>
                <w:sz w:val="16"/>
                <w:szCs w:val="16"/>
                <w:color w:val="auto"/>
                <w:w w:val="99"/>
              </w:rPr>
              <w:t>Tryptamine</w:t>
            </w:r>
          </w:p>
        </w:tc>
        <w:tc>
          <w:tcPr>
            <w:tcW w:w="2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w w:val="98"/>
              </w:rPr>
              <w:t>Compounds,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29</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18/493,231</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89"/>
              </w:rPr>
              <w:t>United States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142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820" w:type="dxa"/>
            <w:vAlign w:val="bottom"/>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560" w:type="dxa"/>
            <w:vAlign w:val="bottom"/>
            <w:tcBorders>
              <w:left w:val="single" w:sz="8" w:color="auto"/>
            </w:tcBorders>
            <w:gridSpan w:val="3"/>
            <w:vMerge w:val="restart"/>
          </w:tcPr>
          <w:p>
            <w:pPr>
              <w:ind w:left="20"/>
              <w:spacing w:after="0"/>
              <w:rPr>
                <w:sz w:val="20"/>
                <w:szCs w:val="20"/>
                <w:color w:val="auto"/>
              </w:rPr>
            </w:pPr>
            <w:r>
              <w:rPr>
                <w:rFonts w:ascii="Arial" w:cs="Arial" w:eastAsia="Arial" w:hAnsi="Arial"/>
                <w:sz w:val="16"/>
                <w:szCs w:val="16"/>
                <w:color w:val="auto"/>
              </w:rPr>
              <w:t>30 PCT/EP2023/080027 Ireland</w:t>
            </w:r>
          </w:p>
        </w:tc>
        <w:tc>
          <w:tcPr>
            <w:tcW w:w="200" w:type="dxa"/>
            <w:vAlign w:val="bottom"/>
          </w:tcPr>
          <w:p>
            <w:pPr>
              <w:spacing w:after="0"/>
              <w:rPr>
                <w:sz w:val="11"/>
                <w:szCs w:val="11"/>
                <w:color w:val="auto"/>
              </w:rPr>
            </w:pPr>
          </w:p>
        </w:tc>
        <w:tc>
          <w:tcPr>
            <w:tcW w:w="1280" w:type="dxa"/>
            <w:vAlign w:val="bottom"/>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gridSpan w:val="2"/>
          </w:tcPr>
          <w:p>
            <w:pPr>
              <w:spacing w:after="0" w:line="138" w:lineRule="exact"/>
              <w:rPr>
                <w:sz w:val="20"/>
                <w:szCs w:val="20"/>
                <w:color w:val="auto"/>
              </w:rPr>
            </w:pPr>
            <w:r>
              <w:rPr>
                <w:rFonts w:ascii="Arial" w:cs="Arial" w:eastAsia="Arial" w:hAnsi="Arial"/>
                <w:sz w:val="15"/>
                <w:szCs w:val="15"/>
                <w:color w:val="auto"/>
                <w:w w:val="97"/>
              </w:rPr>
              <w:t>Phenethylamine Compounds, Compositions, and</w:t>
            </w:r>
          </w:p>
        </w:tc>
        <w:tc>
          <w:tcPr>
            <w:tcW w:w="0" w:type="dxa"/>
            <w:vAlign w:val="bottom"/>
          </w:tcPr>
          <w:p>
            <w:pPr>
              <w:spacing w:after="0"/>
              <w:rPr>
                <w:sz w:val="1"/>
                <w:szCs w:val="1"/>
                <w:color w:val="auto"/>
              </w:rPr>
            </w:pPr>
          </w:p>
        </w:tc>
      </w:tr>
      <w:tr>
        <w:trPr>
          <w:trHeight w:val="133"/>
        </w:trPr>
        <w:tc>
          <w:tcPr>
            <w:tcW w:w="2560" w:type="dxa"/>
            <w:vAlign w:val="bottom"/>
            <w:tcBorders>
              <w:lef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200" w:type="dxa"/>
            <w:vAlign w:val="bottom"/>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20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31</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793553</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91"/>
              </w:rPr>
              <w:t>New Zealand</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32</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297492</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Israel</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33</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3177454</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34</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NC2022/0016662</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Colombia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35</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MX/a/2022/014605</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Mexico</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36</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202203191</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Chile</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37</w:t>
            </w:r>
          </w:p>
        </w:tc>
        <w:tc>
          <w:tcPr>
            <w:tcW w:w="14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10-2022-7040243</w:t>
            </w:r>
          </w:p>
        </w:tc>
        <w:tc>
          <w:tcPr>
            <w:tcW w:w="900" w:type="dxa"/>
            <w:vAlign w:val="bottom"/>
          </w:tcPr>
          <w:p>
            <w:pPr>
              <w:ind w:left="20"/>
              <w:spacing w:after="0"/>
              <w:rPr>
                <w:sz w:val="20"/>
                <w:szCs w:val="20"/>
                <w:color w:val="auto"/>
              </w:rPr>
            </w:pPr>
            <w:r>
              <w:rPr>
                <w:rFonts w:ascii="Arial" w:cs="Arial" w:eastAsia="Arial" w:hAnsi="Arial"/>
                <w:sz w:val="16"/>
                <w:szCs w:val="16"/>
                <w:color w:val="auto"/>
              </w:rPr>
              <w:t>Republic</w:t>
            </w:r>
          </w:p>
        </w:tc>
        <w:tc>
          <w:tcPr>
            <w:tcW w:w="2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of</w:t>
            </w:r>
          </w:p>
        </w:tc>
        <w:tc>
          <w:tcPr>
            <w:tcW w:w="12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90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5"/>
                <w:szCs w:val="15"/>
                <w:color w:val="auto"/>
              </w:rPr>
              <w:t>Korea</w:t>
            </w:r>
          </w:p>
        </w:tc>
        <w:tc>
          <w:tcPr>
            <w:tcW w:w="200" w:type="dxa"/>
            <w:vAlign w:val="bottom"/>
            <w:tcBorders>
              <w:bottom w:val="single" w:sz="8" w:color="auto"/>
              <w:right w:val="single" w:sz="8" w:color="auto"/>
            </w:tcBorders>
          </w:tcPr>
          <w:p>
            <w:pPr>
              <w:spacing w:after="0"/>
              <w:rPr>
                <w:sz w:val="11"/>
                <w:szCs w:val="11"/>
                <w:color w:val="auto"/>
              </w:rPr>
            </w:pPr>
          </w:p>
        </w:tc>
        <w:tc>
          <w:tcPr>
            <w:tcW w:w="1280" w:type="dxa"/>
            <w:vAlign w:val="bottom"/>
            <w:tcBorders>
              <w:bottom w:val="single" w:sz="8" w:color="auto"/>
              <w:right w:val="single" w:sz="8" w:color="auto"/>
            </w:tcBorders>
          </w:tcPr>
          <w:p>
            <w:pPr>
              <w:spacing w:after="0"/>
              <w:rPr>
                <w:sz w:val="11"/>
                <w:szCs w:val="11"/>
                <w:color w:val="auto"/>
              </w:rPr>
            </w:pPr>
          </w:p>
        </w:tc>
        <w:tc>
          <w:tcPr>
            <w:tcW w:w="820" w:type="dxa"/>
            <w:vAlign w:val="bottom"/>
            <w:tcBorders>
              <w:bottom w:val="single" w:sz="8" w:color="auto"/>
            </w:tcBorders>
          </w:tcPr>
          <w:p>
            <w:pPr>
              <w:spacing w:after="0" w:line="133" w:lineRule="exact"/>
              <w:rPr>
                <w:sz w:val="20"/>
                <w:szCs w:val="20"/>
                <w:color w:val="auto"/>
              </w:rPr>
            </w:pPr>
            <w:r>
              <w:rPr>
                <w:rFonts w:ascii="Arial" w:cs="Arial" w:eastAsia="Arial" w:hAnsi="Arial"/>
                <w:sz w:val="15"/>
                <w:szCs w:val="15"/>
                <w:color w:val="auto"/>
              </w:rPr>
              <w:t>of Use</w:t>
            </w:r>
          </w:p>
        </w:tc>
        <w:tc>
          <w:tcPr>
            <w:tcW w:w="23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38</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EP21808464.8</w:t>
            </w:r>
          </w:p>
        </w:tc>
        <w:tc>
          <w:tcPr>
            <w:tcW w:w="900" w:type="dxa"/>
            <w:vAlign w:val="bottom"/>
          </w:tcPr>
          <w:p>
            <w:pPr>
              <w:ind w:left="20"/>
              <w:spacing w:after="0" w:line="150" w:lineRule="exact"/>
              <w:rPr>
                <w:sz w:val="20"/>
                <w:szCs w:val="20"/>
                <w:color w:val="auto"/>
              </w:rPr>
            </w:pPr>
            <w:r>
              <w:rPr>
                <w:rFonts w:ascii="Arial" w:cs="Arial" w:eastAsia="Arial" w:hAnsi="Arial"/>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0"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92"/>
              </w:rPr>
              <w:t>Patent Office</w:t>
            </w: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39</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202180036163.3</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China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40</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1120220235658</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Brazil</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41</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2021276656</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42</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11202254530T</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Singapore</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43</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202213256</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98"/>
              </w:rPr>
              <w:t>South Africa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44</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2201007493</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Thailand</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45</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1-2022-553135</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Philippines</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46</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202227065770</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India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47</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2022-571175</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48</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62023078320.6</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1"/>
              </w:rPr>
              <w:t>Deuterated Tryptamine Derivatives and Methods</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6"/>
                <w:szCs w:val="16"/>
                <w:color w:val="auto"/>
              </w:rPr>
              <w:t>of Use</w:t>
            </w: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49</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3186357</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Canada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50</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10-2023-7003815</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Korea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51</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2021327136</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Australia</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52</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2023-512063</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Japan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53</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21766581.9</w:t>
            </w:r>
          </w:p>
        </w:tc>
        <w:tc>
          <w:tcPr>
            <w:tcW w:w="900" w:type="dxa"/>
            <w:vAlign w:val="bottom"/>
          </w:tcPr>
          <w:p>
            <w:pPr>
              <w:ind w:left="20"/>
              <w:spacing w:after="0" w:line="156" w:lineRule="exact"/>
              <w:rPr>
                <w:sz w:val="20"/>
                <w:szCs w:val="20"/>
                <w:color w:val="auto"/>
              </w:rPr>
            </w:pPr>
            <w:r>
              <w:rPr>
                <w:rFonts w:ascii="Arial" w:cs="Arial" w:eastAsia="Arial" w:hAnsi="Arial"/>
                <w:sz w:val="16"/>
                <w:szCs w:val="16"/>
                <w:color w:val="auto"/>
              </w:rPr>
              <w:t>European</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w w:val="92"/>
              </w:rPr>
              <w:t>Patent Office</w:t>
            </w: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rPr>
              <w:t>54</w:t>
            </w:r>
          </w:p>
        </w:tc>
        <w:tc>
          <w:tcPr>
            <w:tcW w:w="14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62023079716.4</w:t>
            </w:r>
          </w:p>
        </w:tc>
        <w:tc>
          <w:tcPr>
            <w:tcW w:w="900" w:type="dxa"/>
            <w:vAlign w:val="bottom"/>
            <w:vMerge w:val="restart"/>
          </w:tcPr>
          <w:p>
            <w:pPr>
              <w:ind w:left="20"/>
              <w:spacing w:after="0"/>
              <w:rPr>
                <w:sz w:val="20"/>
                <w:szCs w:val="20"/>
                <w:color w:val="auto"/>
              </w:rPr>
            </w:pPr>
            <w:r>
              <w:rPr>
                <w:rFonts w:ascii="Arial" w:cs="Arial" w:eastAsia="Arial" w:hAnsi="Arial"/>
                <w:sz w:val="16"/>
                <w:szCs w:val="16"/>
                <w:color w:val="auto"/>
              </w:rPr>
              <w:t>Hong Kong</w:t>
            </w:r>
          </w:p>
        </w:tc>
        <w:tc>
          <w:tcPr>
            <w:tcW w:w="20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0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6"/>
                <w:szCs w:val="16"/>
                <w:color w:val="auto"/>
                <w:w w:val="93"/>
              </w:rPr>
              <w:t>Therapeutic Phenethylamine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Methods of Use</w:t>
            </w: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320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726"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139"/>
          </w:cols>
          <w:pgMar w:left="320" w:top="726" w:right="1440" w:bottom="1440" w:gutter="0" w:footer="0" w:header="0"/>
          <w:type w:val="continuous"/>
        </w:sectPr>
      </w:pPr>
    </w:p>
    <w:bookmarkStart w:id="50" w:name="page51"/>
    <w:bookmarkEnd w:id="50"/>
    <w:tbl>
      <w:tblPr>
        <w:tblLayout w:type="fixed"/>
        <w:tblInd w:w="10" w:type="dxa"/>
        <w:tblCellMar>
          <w:top w:w="0" w:type="dxa"/>
          <w:left w:w="0" w:type="dxa"/>
          <w:bottom w:w="0" w:type="dxa"/>
          <w:right w:w="0" w:type="dxa"/>
        </w:tblCellMar>
      </w:tblPr>
      <w:tr>
        <w:trPr>
          <w:trHeight w:val="170"/>
        </w:trPr>
        <w:tc>
          <w:tcPr>
            <w:tcW w:w="240" w:type="dxa"/>
            <w:vAlign w:val="bottom"/>
            <w:tcBorders>
              <w:top w:val="single" w:sz="8" w:color="auto"/>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55</w:t>
            </w:r>
          </w:p>
        </w:tc>
        <w:tc>
          <w:tcPr>
            <w:tcW w:w="13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3186359</w:t>
            </w:r>
          </w:p>
        </w:tc>
        <w:tc>
          <w:tcPr>
            <w:tcW w:w="11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Canada</w:t>
            </w:r>
          </w:p>
        </w:tc>
        <w:tc>
          <w:tcPr>
            <w:tcW w:w="128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top w:val="single" w:sz="8" w:color="auto"/>
              <w:right w:val="single" w:sz="8" w:color="auto"/>
            </w:tcBorders>
            <w:gridSpan w:val="5"/>
          </w:tcPr>
          <w:p>
            <w:pPr>
              <w:ind w:left="20"/>
              <w:spacing w:after="0" w:line="170" w:lineRule="exact"/>
              <w:rPr>
                <w:sz w:val="20"/>
                <w:szCs w:val="20"/>
                <w:color w:val="auto"/>
              </w:rPr>
            </w:pPr>
            <w:r>
              <w:rPr>
                <w:rFonts w:ascii="Arial" w:cs="Arial" w:eastAsia="Arial" w:hAnsi="Arial"/>
                <w:sz w:val="16"/>
                <w:szCs w:val="16"/>
                <w:color w:val="auto"/>
                <w:w w:val="93"/>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56</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10-2023-7006128</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3"/>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57</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2021328671</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3"/>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58</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2023-512107</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3"/>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59</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21763068.0</w:t>
            </w:r>
          </w:p>
        </w:tc>
        <w:tc>
          <w:tcPr>
            <w:tcW w:w="11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3"/>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Patent Office</w:t>
            </w: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60</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62023079718.0</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3"/>
              </w:rPr>
              <w:t>Phenethylamine Derivatives,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European</w:t>
            </w:r>
          </w:p>
        </w:tc>
        <w:tc>
          <w:tcPr>
            <w:tcW w:w="1280" w:type="dxa"/>
            <w:vAlign w:val="bottom"/>
            <w:tcBorders>
              <w:right w:val="single" w:sz="8" w:color="auto"/>
            </w:tcBorders>
          </w:tcPr>
          <w:p>
            <w:pPr>
              <w:spacing w:after="0"/>
              <w:rPr>
                <w:sz w:val="13"/>
                <w:szCs w:val="13"/>
                <w:color w:val="auto"/>
              </w:rPr>
            </w:pPr>
          </w:p>
        </w:tc>
        <w:tc>
          <w:tcPr>
            <w:tcW w:w="820" w:type="dxa"/>
            <w:vAlign w:val="bottom"/>
          </w:tcPr>
          <w:p>
            <w:pPr>
              <w:ind w:left="20"/>
              <w:spacing w:after="0" w:line="156" w:lineRule="exact"/>
              <w:rPr>
                <w:sz w:val="20"/>
                <w:szCs w:val="20"/>
                <w:color w:val="auto"/>
              </w:rPr>
            </w:pPr>
            <w:r>
              <w:rPr>
                <w:rFonts w:ascii="Arial" w:cs="Arial" w:eastAsia="Arial" w:hAnsi="Arial"/>
                <w:sz w:val="16"/>
                <w:szCs w:val="16"/>
                <w:color w:val="auto"/>
              </w:rPr>
              <w:t>Methods</w:t>
            </w:r>
          </w:p>
        </w:tc>
        <w:tc>
          <w:tcPr>
            <w:tcW w:w="340" w:type="dxa"/>
            <w:vAlign w:val="bottom"/>
          </w:tcPr>
          <w:p>
            <w:pPr>
              <w:spacing w:after="0" w:line="156" w:lineRule="exact"/>
              <w:rPr>
                <w:sz w:val="20"/>
                <w:szCs w:val="20"/>
                <w:color w:val="auto"/>
              </w:rPr>
            </w:pPr>
            <w:r>
              <w:rPr>
                <w:rFonts w:ascii="Arial" w:cs="Arial" w:eastAsia="Arial" w:hAnsi="Arial"/>
                <w:sz w:val="16"/>
                <w:szCs w:val="16"/>
                <w:color w:val="auto"/>
              </w:rPr>
              <w:t>For</w:t>
            </w:r>
          </w:p>
        </w:tc>
        <w:tc>
          <w:tcPr>
            <w:tcW w:w="780" w:type="dxa"/>
            <w:vAlign w:val="bottom"/>
          </w:tcPr>
          <w:p>
            <w:pPr>
              <w:jc w:val="center"/>
              <w:spacing w:after="0" w:line="156" w:lineRule="exact"/>
              <w:rPr>
                <w:sz w:val="20"/>
                <w:szCs w:val="20"/>
                <w:color w:val="auto"/>
              </w:rPr>
            </w:pPr>
            <w:r>
              <w:rPr>
                <w:rFonts w:ascii="Arial" w:cs="Arial" w:eastAsia="Arial" w:hAnsi="Arial"/>
                <w:sz w:val="16"/>
                <w:szCs w:val="16"/>
                <w:color w:val="auto"/>
              </w:rPr>
              <w:t>Delivery</w:t>
            </w:r>
          </w:p>
        </w:tc>
        <w:tc>
          <w:tcPr>
            <w:tcW w:w="340" w:type="dxa"/>
            <w:vAlign w:val="bottom"/>
          </w:tcPr>
          <w:p>
            <w:pPr>
              <w:ind w:left="120"/>
              <w:spacing w:after="0" w:line="156" w:lineRule="exact"/>
              <w:rPr>
                <w:sz w:val="20"/>
                <w:szCs w:val="20"/>
                <w:color w:val="auto"/>
              </w:rPr>
            </w:pPr>
            <w:r>
              <w:rPr>
                <w:rFonts w:ascii="Arial" w:cs="Arial" w:eastAsia="Arial" w:hAnsi="Arial"/>
                <w:sz w:val="16"/>
                <w:szCs w:val="16"/>
                <w:color w:val="auto"/>
              </w:rPr>
              <w:t>of</w:t>
            </w:r>
          </w:p>
        </w:tc>
        <w:tc>
          <w:tcPr>
            <w:tcW w:w="96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Psychedelic</w:t>
            </w:r>
          </w:p>
        </w:tc>
        <w:tc>
          <w:tcPr>
            <w:tcW w:w="0" w:type="dxa"/>
            <w:vAlign w:val="bottom"/>
          </w:tcPr>
          <w:p>
            <w:pPr>
              <w:spacing w:after="0"/>
              <w:rPr>
                <w:sz w:val="1"/>
                <w:szCs w:val="1"/>
                <w:color w:val="auto"/>
              </w:rPr>
            </w:pPr>
          </w:p>
        </w:tc>
      </w:tr>
      <w:tr>
        <w:trPr>
          <w:trHeight w:val="73"/>
        </w:trPr>
        <w:tc>
          <w:tcPr>
            <w:tcW w:w="240" w:type="dxa"/>
            <w:vAlign w:val="bottom"/>
            <w:tcBorders>
              <w:left w:val="single" w:sz="8" w:color="auto"/>
              <w:right w:val="single" w:sz="8" w:color="auto"/>
            </w:tcBorders>
            <w:vMerge w:val="restart"/>
          </w:tcPr>
          <w:p>
            <w:pPr>
              <w:jc w:val="right"/>
              <w:spacing w:after="0" w:line="169" w:lineRule="exact"/>
              <w:rPr>
                <w:sz w:val="20"/>
                <w:szCs w:val="20"/>
                <w:color w:val="auto"/>
              </w:rPr>
            </w:pPr>
            <w:r>
              <w:rPr>
                <w:rFonts w:ascii="Arial" w:cs="Arial" w:eastAsia="Arial" w:hAnsi="Arial"/>
                <w:sz w:val="16"/>
                <w:szCs w:val="16"/>
                <w:color w:val="auto"/>
                <w:w w:val="89"/>
              </w:rPr>
              <w:t>61</w:t>
            </w:r>
          </w:p>
        </w:tc>
        <w:tc>
          <w:tcPr>
            <w:tcW w:w="1320" w:type="dxa"/>
            <w:vAlign w:val="bottom"/>
            <w:tcBorders>
              <w:right w:val="single" w:sz="8" w:color="auto"/>
            </w:tcBorders>
            <w:vMerge w:val="restart"/>
          </w:tcPr>
          <w:p>
            <w:pPr>
              <w:spacing w:after="0" w:line="169" w:lineRule="exact"/>
              <w:rPr>
                <w:sz w:val="20"/>
                <w:szCs w:val="20"/>
                <w:color w:val="auto"/>
              </w:rPr>
            </w:pPr>
            <w:r>
              <w:rPr>
                <w:rFonts w:ascii="Arial" w:cs="Arial" w:eastAsia="Arial" w:hAnsi="Arial"/>
                <w:sz w:val="16"/>
                <w:szCs w:val="16"/>
                <w:color w:val="auto"/>
              </w:rPr>
              <w:t>21786852.0</w:t>
            </w:r>
          </w:p>
        </w:tc>
        <w:tc>
          <w:tcPr>
            <w:tcW w:w="1100" w:type="dxa"/>
            <w:vAlign w:val="bottom"/>
            <w:tcBorders>
              <w:right w:val="single" w:sz="8" w:color="auto"/>
            </w:tcBorders>
            <w:vMerge w:val="continue"/>
          </w:tcPr>
          <w:p>
            <w:pPr>
              <w:spacing w:after="0"/>
              <w:rPr>
                <w:sz w:val="6"/>
                <w:szCs w:val="6"/>
                <w:color w:val="auto"/>
              </w:rPr>
            </w:pPr>
          </w:p>
        </w:tc>
        <w:tc>
          <w:tcPr>
            <w:tcW w:w="1280" w:type="dxa"/>
            <w:vAlign w:val="bottom"/>
            <w:tcBorders>
              <w:right w:val="single" w:sz="8" w:color="auto"/>
            </w:tcBorders>
            <w:vMerge w:val="restart"/>
          </w:tcPr>
          <w:p>
            <w:pPr>
              <w:spacing w:after="0" w:line="169" w:lineRule="exact"/>
              <w:rPr>
                <w:sz w:val="20"/>
                <w:szCs w:val="20"/>
                <w:color w:val="auto"/>
              </w:rPr>
            </w:pPr>
            <w:r>
              <w:rPr>
                <w:rFonts w:ascii="Arial" w:cs="Arial" w:eastAsia="Arial" w:hAnsi="Arial"/>
                <w:sz w:val="16"/>
                <w:szCs w:val="16"/>
                <w:color w:val="auto"/>
              </w:rPr>
              <w:t>Pending</w:t>
            </w:r>
          </w:p>
        </w:tc>
        <w:tc>
          <w:tcPr>
            <w:tcW w:w="820" w:type="dxa"/>
            <w:vAlign w:val="bottom"/>
            <w:vMerge w:val="restart"/>
          </w:tcPr>
          <w:p>
            <w:pPr>
              <w:ind w:left="20"/>
              <w:spacing w:after="0" w:line="169" w:lineRule="exact"/>
              <w:rPr>
                <w:sz w:val="20"/>
                <w:szCs w:val="20"/>
                <w:color w:val="auto"/>
              </w:rPr>
            </w:pPr>
            <w:r>
              <w:rPr>
                <w:rFonts w:ascii="Arial" w:cs="Arial" w:eastAsia="Arial" w:hAnsi="Arial"/>
                <w:sz w:val="16"/>
                <w:szCs w:val="16"/>
                <w:color w:val="auto"/>
                <w:w w:val="91"/>
              </w:rPr>
              <w:t>Medications</w:t>
            </w:r>
          </w:p>
        </w:tc>
        <w:tc>
          <w:tcPr>
            <w:tcW w:w="340" w:type="dxa"/>
            <w:vAlign w:val="bottom"/>
            <w:vMerge w:val="restart"/>
          </w:tcPr>
          <w:p>
            <w:pPr>
              <w:ind w:left="100"/>
              <w:spacing w:after="0" w:line="169" w:lineRule="exact"/>
              <w:rPr>
                <w:sz w:val="20"/>
                <w:szCs w:val="20"/>
                <w:color w:val="auto"/>
              </w:rPr>
            </w:pPr>
            <w:r>
              <w:rPr>
                <w:rFonts w:ascii="Arial" w:cs="Arial" w:eastAsia="Arial" w:hAnsi="Arial"/>
                <w:sz w:val="16"/>
                <w:szCs w:val="16"/>
                <w:color w:val="auto"/>
              </w:rPr>
              <w:t>By</w:t>
            </w:r>
          </w:p>
        </w:tc>
        <w:tc>
          <w:tcPr>
            <w:tcW w:w="780" w:type="dxa"/>
            <w:vAlign w:val="bottom"/>
            <w:vMerge w:val="restart"/>
          </w:tcPr>
          <w:p>
            <w:pPr>
              <w:jc w:val="center"/>
              <w:spacing w:after="0" w:line="169" w:lineRule="exact"/>
              <w:rPr>
                <w:sz w:val="20"/>
                <w:szCs w:val="20"/>
                <w:color w:val="auto"/>
              </w:rPr>
            </w:pPr>
            <w:r>
              <w:rPr>
                <w:rFonts w:ascii="Arial" w:cs="Arial" w:eastAsia="Arial" w:hAnsi="Arial"/>
                <w:sz w:val="16"/>
                <w:szCs w:val="16"/>
                <w:color w:val="auto"/>
                <w:w w:val="95"/>
              </w:rPr>
              <w:t>Inhalation</w:t>
            </w:r>
          </w:p>
        </w:tc>
        <w:tc>
          <w:tcPr>
            <w:tcW w:w="340" w:type="dxa"/>
            <w:vAlign w:val="bottom"/>
            <w:vMerge w:val="restart"/>
          </w:tcPr>
          <w:p>
            <w:pPr>
              <w:ind w:left="40"/>
              <w:spacing w:after="0" w:line="169" w:lineRule="exact"/>
              <w:rPr>
                <w:sz w:val="20"/>
                <w:szCs w:val="20"/>
                <w:color w:val="auto"/>
              </w:rPr>
            </w:pPr>
            <w:r>
              <w:rPr>
                <w:rFonts w:ascii="Arial" w:cs="Arial" w:eastAsia="Arial" w:hAnsi="Arial"/>
                <w:sz w:val="16"/>
                <w:szCs w:val="16"/>
                <w:color w:val="auto"/>
              </w:rPr>
              <w:t>and</w:t>
            </w:r>
          </w:p>
        </w:tc>
        <w:tc>
          <w:tcPr>
            <w:tcW w:w="960" w:type="dxa"/>
            <w:vAlign w:val="bottom"/>
            <w:tcBorders>
              <w:right w:val="single" w:sz="8" w:color="auto"/>
            </w:tcBorders>
            <w:vMerge w:val="restart"/>
          </w:tcPr>
          <w:p>
            <w:pPr>
              <w:jc w:val="right"/>
              <w:spacing w:after="0" w:line="169" w:lineRule="exact"/>
              <w:rPr>
                <w:sz w:val="20"/>
                <w:szCs w:val="20"/>
                <w:color w:val="auto"/>
              </w:rPr>
            </w:pPr>
            <w:r>
              <w:rPr>
                <w:rFonts w:ascii="Arial" w:cs="Arial" w:eastAsia="Arial" w:hAnsi="Arial"/>
                <w:sz w:val="16"/>
                <w:szCs w:val="16"/>
                <w:color w:val="auto"/>
                <w:w w:val="95"/>
              </w:rPr>
              <w:t>Systems  For</w:t>
            </w:r>
          </w:p>
        </w:tc>
        <w:tc>
          <w:tcPr>
            <w:tcW w:w="0" w:type="dxa"/>
            <w:vAlign w:val="bottom"/>
          </w:tcPr>
          <w:p>
            <w:pPr>
              <w:spacing w:after="0"/>
              <w:rPr>
                <w:sz w:val="1"/>
                <w:szCs w:val="1"/>
                <w:color w:val="auto"/>
              </w:rPr>
            </w:pPr>
          </w:p>
        </w:tc>
      </w:tr>
      <w:tr>
        <w:trPr>
          <w:trHeight w:val="97"/>
        </w:trPr>
        <w:tc>
          <w:tcPr>
            <w:tcW w:w="24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Patent Office</w:t>
            </w:r>
          </w:p>
        </w:tc>
        <w:tc>
          <w:tcPr>
            <w:tcW w:w="1280" w:type="dxa"/>
            <w:vAlign w:val="bottom"/>
            <w:tcBorders>
              <w:right w:val="single" w:sz="8" w:color="auto"/>
            </w:tcBorders>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40" w:type="dxa"/>
            <w:vAlign w:val="bottom"/>
            <w:tcBorders>
              <w:left w:val="single" w:sz="8" w:color="auto"/>
              <w:right w:val="single" w:sz="8" w:color="auto"/>
            </w:tcBorders>
          </w:tcPr>
          <w:p>
            <w:pPr>
              <w:spacing w:after="0"/>
              <w:rPr>
                <w:sz w:val="9"/>
                <w:szCs w:val="9"/>
                <w:color w:val="auto"/>
              </w:rPr>
            </w:pPr>
          </w:p>
        </w:tc>
        <w:tc>
          <w:tcPr>
            <w:tcW w:w="132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940" w:type="dxa"/>
            <w:vAlign w:val="bottom"/>
            <w:gridSpan w:val="3"/>
            <w:vMerge w:val="restart"/>
          </w:tcPr>
          <w:p>
            <w:pPr>
              <w:ind w:left="20"/>
              <w:spacing w:after="0"/>
              <w:rPr>
                <w:sz w:val="20"/>
                <w:szCs w:val="20"/>
                <w:color w:val="auto"/>
              </w:rPr>
            </w:pPr>
            <w:r>
              <w:rPr>
                <w:rFonts w:ascii="Arial" w:cs="Arial" w:eastAsia="Arial" w:hAnsi="Arial"/>
                <w:sz w:val="16"/>
                <w:szCs w:val="16"/>
                <w:color w:val="auto"/>
              </w:rPr>
              <w:t>Performing the Methods</w:t>
            </w:r>
          </w:p>
        </w:tc>
        <w:tc>
          <w:tcPr>
            <w:tcW w:w="34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40" w:type="dxa"/>
            <w:vAlign w:val="bottom"/>
            <w:tcBorders>
              <w:left w:val="single" w:sz="8" w:color="auto"/>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194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62</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10-2023-7007858</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20" w:type="dxa"/>
            <w:vAlign w:val="bottom"/>
          </w:tcPr>
          <w:p>
            <w:pPr>
              <w:ind w:left="20"/>
              <w:spacing w:after="0" w:line="150" w:lineRule="exact"/>
              <w:rPr>
                <w:sz w:val="20"/>
                <w:szCs w:val="20"/>
                <w:color w:val="auto"/>
              </w:rPr>
            </w:pPr>
            <w:r>
              <w:rPr>
                <w:rFonts w:ascii="Arial" w:cs="Arial" w:eastAsia="Arial" w:hAnsi="Arial"/>
                <w:sz w:val="16"/>
                <w:szCs w:val="16"/>
                <w:color w:val="auto"/>
              </w:rPr>
              <w:t>Methods</w:t>
            </w:r>
          </w:p>
        </w:tc>
        <w:tc>
          <w:tcPr>
            <w:tcW w:w="340" w:type="dxa"/>
            <w:vAlign w:val="bottom"/>
          </w:tcPr>
          <w:p>
            <w:pPr>
              <w:spacing w:after="0" w:line="150" w:lineRule="exact"/>
              <w:rPr>
                <w:sz w:val="20"/>
                <w:szCs w:val="20"/>
                <w:color w:val="auto"/>
              </w:rPr>
            </w:pPr>
            <w:r>
              <w:rPr>
                <w:rFonts w:ascii="Arial" w:cs="Arial" w:eastAsia="Arial" w:hAnsi="Arial"/>
                <w:sz w:val="16"/>
                <w:szCs w:val="16"/>
                <w:color w:val="auto"/>
              </w:rPr>
              <w:t>For</w:t>
            </w:r>
          </w:p>
        </w:tc>
        <w:tc>
          <w:tcPr>
            <w:tcW w:w="780" w:type="dxa"/>
            <w:vAlign w:val="bottom"/>
          </w:tcPr>
          <w:p>
            <w:pPr>
              <w:jc w:val="center"/>
              <w:spacing w:after="0" w:line="150" w:lineRule="exact"/>
              <w:rPr>
                <w:sz w:val="20"/>
                <w:szCs w:val="20"/>
                <w:color w:val="auto"/>
              </w:rPr>
            </w:pPr>
            <w:r>
              <w:rPr>
                <w:rFonts w:ascii="Arial" w:cs="Arial" w:eastAsia="Arial" w:hAnsi="Arial"/>
                <w:sz w:val="16"/>
                <w:szCs w:val="16"/>
                <w:color w:val="auto"/>
              </w:rPr>
              <w:t>Delivery</w:t>
            </w:r>
          </w:p>
        </w:tc>
        <w:tc>
          <w:tcPr>
            <w:tcW w:w="340" w:type="dxa"/>
            <w:vAlign w:val="bottom"/>
          </w:tcPr>
          <w:p>
            <w:pPr>
              <w:ind w:left="120"/>
              <w:spacing w:after="0" w:line="150" w:lineRule="exact"/>
              <w:rPr>
                <w:sz w:val="20"/>
                <w:szCs w:val="20"/>
                <w:color w:val="auto"/>
              </w:rPr>
            </w:pPr>
            <w:r>
              <w:rPr>
                <w:rFonts w:ascii="Arial" w:cs="Arial" w:eastAsia="Arial" w:hAnsi="Arial"/>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Psychedelic</w:t>
            </w:r>
          </w:p>
        </w:tc>
        <w:tc>
          <w:tcPr>
            <w:tcW w:w="0" w:type="dxa"/>
            <w:vAlign w:val="bottom"/>
          </w:tcPr>
          <w:p>
            <w:pPr>
              <w:spacing w:after="0"/>
              <w:rPr>
                <w:sz w:val="1"/>
                <w:szCs w:val="1"/>
                <w:color w:val="auto"/>
              </w:rPr>
            </w:pPr>
          </w:p>
        </w:tc>
      </w:tr>
      <w:tr>
        <w:trPr>
          <w:trHeight w:val="169"/>
        </w:trPr>
        <w:tc>
          <w:tcPr>
            <w:tcW w:w="24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9" w:lineRule="exact"/>
              <w:rPr>
                <w:sz w:val="20"/>
                <w:szCs w:val="20"/>
                <w:color w:val="auto"/>
              </w:rPr>
            </w:pPr>
            <w:r>
              <w:rPr>
                <w:rFonts w:ascii="Arial" w:cs="Arial" w:eastAsia="Arial" w:hAnsi="Arial"/>
                <w:sz w:val="16"/>
                <w:szCs w:val="16"/>
                <w:color w:val="auto"/>
                <w:w w:val="91"/>
              </w:rPr>
              <w:t>Medications</w:t>
            </w:r>
          </w:p>
        </w:tc>
        <w:tc>
          <w:tcPr>
            <w:tcW w:w="340" w:type="dxa"/>
            <w:vAlign w:val="bottom"/>
          </w:tcPr>
          <w:p>
            <w:pPr>
              <w:ind w:left="100"/>
              <w:spacing w:after="0" w:line="169" w:lineRule="exact"/>
              <w:rPr>
                <w:sz w:val="20"/>
                <w:szCs w:val="20"/>
                <w:color w:val="auto"/>
              </w:rPr>
            </w:pPr>
            <w:r>
              <w:rPr>
                <w:rFonts w:ascii="Arial" w:cs="Arial" w:eastAsia="Arial" w:hAnsi="Arial"/>
                <w:sz w:val="16"/>
                <w:szCs w:val="16"/>
                <w:color w:val="auto"/>
              </w:rPr>
              <w:t>By</w:t>
            </w: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95"/>
              </w:rPr>
              <w:t>Inhalation</w:t>
            </w:r>
          </w:p>
        </w:tc>
        <w:tc>
          <w:tcPr>
            <w:tcW w:w="340" w:type="dxa"/>
            <w:vAlign w:val="bottom"/>
          </w:tcPr>
          <w:p>
            <w:pPr>
              <w:ind w:left="40"/>
              <w:spacing w:after="0" w:line="169" w:lineRule="exact"/>
              <w:rPr>
                <w:sz w:val="20"/>
                <w:szCs w:val="20"/>
                <w:color w:val="auto"/>
              </w:rPr>
            </w:pPr>
            <w:r>
              <w:rPr>
                <w:rFonts w:ascii="Arial" w:cs="Arial" w:eastAsia="Arial" w:hAnsi="Arial"/>
                <w:sz w:val="16"/>
                <w:szCs w:val="16"/>
                <w:color w:val="auto"/>
              </w:rPr>
              <w:t>and</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w w:val="95"/>
              </w:rPr>
              <w:t>Systems  For</w:t>
            </w: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63</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2021354006</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20" w:type="dxa"/>
            <w:vAlign w:val="bottom"/>
          </w:tcPr>
          <w:p>
            <w:pPr>
              <w:ind w:left="20"/>
              <w:spacing w:after="0" w:line="150" w:lineRule="exact"/>
              <w:rPr>
                <w:sz w:val="20"/>
                <w:szCs w:val="20"/>
                <w:color w:val="auto"/>
              </w:rPr>
            </w:pPr>
            <w:r>
              <w:rPr>
                <w:rFonts w:ascii="Arial" w:cs="Arial" w:eastAsia="Arial" w:hAnsi="Arial"/>
                <w:sz w:val="16"/>
                <w:szCs w:val="16"/>
                <w:color w:val="auto"/>
              </w:rPr>
              <w:t>Methods</w:t>
            </w:r>
          </w:p>
        </w:tc>
        <w:tc>
          <w:tcPr>
            <w:tcW w:w="340" w:type="dxa"/>
            <w:vAlign w:val="bottom"/>
          </w:tcPr>
          <w:p>
            <w:pPr>
              <w:spacing w:after="0" w:line="150" w:lineRule="exact"/>
              <w:rPr>
                <w:sz w:val="20"/>
                <w:szCs w:val="20"/>
                <w:color w:val="auto"/>
              </w:rPr>
            </w:pPr>
            <w:r>
              <w:rPr>
                <w:rFonts w:ascii="Arial" w:cs="Arial" w:eastAsia="Arial" w:hAnsi="Arial"/>
                <w:sz w:val="16"/>
                <w:szCs w:val="16"/>
                <w:color w:val="auto"/>
              </w:rPr>
              <w:t>For</w:t>
            </w:r>
          </w:p>
        </w:tc>
        <w:tc>
          <w:tcPr>
            <w:tcW w:w="780" w:type="dxa"/>
            <w:vAlign w:val="bottom"/>
          </w:tcPr>
          <w:p>
            <w:pPr>
              <w:jc w:val="center"/>
              <w:spacing w:after="0" w:line="150" w:lineRule="exact"/>
              <w:rPr>
                <w:sz w:val="20"/>
                <w:szCs w:val="20"/>
                <w:color w:val="auto"/>
              </w:rPr>
            </w:pPr>
            <w:r>
              <w:rPr>
                <w:rFonts w:ascii="Arial" w:cs="Arial" w:eastAsia="Arial" w:hAnsi="Arial"/>
                <w:sz w:val="16"/>
                <w:szCs w:val="16"/>
                <w:color w:val="auto"/>
              </w:rPr>
              <w:t>Delivery</w:t>
            </w:r>
          </w:p>
        </w:tc>
        <w:tc>
          <w:tcPr>
            <w:tcW w:w="340" w:type="dxa"/>
            <w:vAlign w:val="bottom"/>
          </w:tcPr>
          <w:p>
            <w:pPr>
              <w:ind w:left="120"/>
              <w:spacing w:after="0" w:line="150" w:lineRule="exact"/>
              <w:rPr>
                <w:sz w:val="20"/>
                <w:szCs w:val="20"/>
                <w:color w:val="auto"/>
              </w:rPr>
            </w:pPr>
            <w:r>
              <w:rPr>
                <w:rFonts w:ascii="Arial" w:cs="Arial" w:eastAsia="Arial" w:hAnsi="Arial"/>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Psychedelic</w:t>
            </w:r>
          </w:p>
        </w:tc>
        <w:tc>
          <w:tcPr>
            <w:tcW w:w="0" w:type="dxa"/>
            <w:vAlign w:val="bottom"/>
          </w:tcPr>
          <w:p>
            <w:pPr>
              <w:spacing w:after="0"/>
              <w:rPr>
                <w:sz w:val="1"/>
                <w:szCs w:val="1"/>
                <w:color w:val="auto"/>
              </w:rPr>
            </w:pPr>
          </w:p>
        </w:tc>
      </w:tr>
      <w:tr>
        <w:trPr>
          <w:trHeight w:val="169"/>
        </w:trPr>
        <w:tc>
          <w:tcPr>
            <w:tcW w:w="24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9" w:lineRule="exact"/>
              <w:rPr>
                <w:sz w:val="20"/>
                <w:szCs w:val="20"/>
                <w:color w:val="auto"/>
              </w:rPr>
            </w:pPr>
            <w:r>
              <w:rPr>
                <w:rFonts w:ascii="Arial" w:cs="Arial" w:eastAsia="Arial" w:hAnsi="Arial"/>
                <w:sz w:val="16"/>
                <w:szCs w:val="16"/>
                <w:color w:val="auto"/>
                <w:w w:val="91"/>
              </w:rPr>
              <w:t>Medications</w:t>
            </w:r>
          </w:p>
        </w:tc>
        <w:tc>
          <w:tcPr>
            <w:tcW w:w="340" w:type="dxa"/>
            <w:vAlign w:val="bottom"/>
          </w:tcPr>
          <w:p>
            <w:pPr>
              <w:ind w:left="100"/>
              <w:spacing w:after="0" w:line="169" w:lineRule="exact"/>
              <w:rPr>
                <w:sz w:val="20"/>
                <w:szCs w:val="20"/>
                <w:color w:val="auto"/>
              </w:rPr>
            </w:pPr>
            <w:r>
              <w:rPr>
                <w:rFonts w:ascii="Arial" w:cs="Arial" w:eastAsia="Arial" w:hAnsi="Arial"/>
                <w:sz w:val="16"/>
                <w:szCs w:val="16"/>
                <w:color w:val="auto"/>
              </w:rPr>
              <w:t>By</w:t>
            </w: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95"/>
              </w:rPr>
              <w:t>Inhalation</w:t>
            </w:r>
          </w:p>
        </w:tc>
        <w:tc>
          <w:tcPr>
            <w:tcW w:w="340" w:type="dxa"/>
            <w:vAlign w:val="bottom"/>
          </w:tcPr>
          <w:p>
            <w:pPr>
              <w:ind w:left="40"/>
              <w:spacing w:after="0" w:line="169" w:lineRule="exact"/>
              <w:rPr>
                <w:sz w:val="20"/>
                <w:szCs w:val="20"/>
                <w:color w:val="auto"/>
              </w:rPr>
            </w:pPr>
            <w:r>
              <w:rPr>
                <w:rFonts w:ascii="Arial" w:cs="Arial" w:eastAsia="Arial" w:hAnsi="Arial"/>
                <w:sz w:val="16"/>
                <w:szCs w:val="16"/>
                <w:color w:val="auto"/>
              </w:rPr>
              <w:t>and</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w w:val="95"/>
              </w:rPr>
              <w:t>Systems  For</w:t>
            </w: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64</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2023-519831</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20" w:type="dxa"/>
            <w:vAlign w:val="bottom"/>
          </w:tcPr>
          <w:p>
            <w:pPr>
              <w:ind w:left="20"/>
              <w:spacing w:after="0" w:line="150" w:lineRule="exact"/>
              <w:rPr>
                <w:sz w:val="20"/>
                <w:szCs w:val="20"/>
                <w:color w:val="auto"/>
              </w:rPr>
            </w:pPr>
            <w:r>
              <w:rPr>
                <w:rFonts w:ascii="Arial" w:cs="Arial" w:eastAsia="Arial" w:hAnsi="Arial"/>
                <w:sz w:val="16"/>
                <w:szCs w:val="16"/>
                <w:color w:val="auto"/>
              </w:rPr>
              <w:t>Methods</w:t>
            </w:r>
          </w:p>
        </w:tc>
        <w:tc>
          <w:tcPr>
            <w:tcW w:w="340" w:type="dxa"/>
            <w:vAlign w:val="bottom"/>
          </w:tcPr>
          <w:p>
            <w:pPr>
              <w:spacing w:after="0" w:line="150" w:lineRule="exact"/>
              <w:rPr>
                <w:sz w:val="20"/>
                <w:szCs w:val="20"/>
                <w:color w:val="auto"/>
              </w:rPr>
            </w:pPr>
            <w:r>
              <w:rPr>
                <w:rFonts w:ascii="Arial" w:cs="Arial" w:eastAsia="Arial" w:hAnsi="Arial"/>
                <w:sz w:val="16"/>
                <w:szCs w:val="16"/>
                <w:color w:val="auto"/>
              </w:rPr>
              <w:t>For</w:t>
            </w:r>
          </w:p>
        </w:tc>
        <w:tc>
          <w:tcPr>
            <w:tcW w:w="780" w:type="dxa"/>
            <w:vAlign w:val="bottom"/>
          </w:tcPr>
          <w:p>
            <w:pPr>
              <w:jc w:val="center"/>
              <w:spacing w:after="0" w:line="150" w:lineRule="exact"/>
              <w:rPr>
                <w:sz w:val="20"/>
                <w:szCs w:val="20"/>
                <w:color w:val="auto"/>
              </w:rPr>
            </w:pPr>
            <w:r>
              <w:rPr>
                <w:rFonts w:ascii="Arial" w:cs="Arial" w:eastAsia="Arial" w:hAnsi="Arial"/>
                <w:sz w:val="16"/>
                <w:szCs w:val="16"/>
                <w:color w:val="auto"/>
              </w:rPr>
              <w:t>Delivery</w:t>
            </w:r>
          </w:p>
        </w:tc>
        <w:tc>
          <w:tcPr>
            <w:tcW w:w="340" w:type="dxa"/>
            <w:vAlign w:val="bottom"/>
          </w:tcPr>
          <w:p>
            <w:pPr>
              <w:ind w:left="120"/>
              <w:spacing w:after="0" w:line="150" w:lineRule="exact"/>
              <w:rPr>
                <w:sz w:val="20"/>
                <w:szCs w:val="20"/>
                <w:color w:val="auto"/>
              </w:rPr>
            </w:pPr>
            <w:r>
              <w:rPr>
                <w:rFonts w:ascii="Arial" w:cs="Arial" w:eastAsia="Arial" w:hAnsi="Arial"/>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Psychedelic</w:t>
            </w:r>
          </w:p>
        </w:tc>
        <w:tc>
          <w:tcPr>
            <w:tcW w:w="0" w:type="dxa"/>
            <w:vAlign w:val="bottom"/>
          </w:tcPr>
          <w:p>
            <w:pPr>
              <w:spacing w:after="0"/>
              <w:rPr>
                <w:sz w:val="1"/>
                <w:szCs w:val="1"/>
                <w:color w:val="auto"/>
              </w:rPr>
            </w:pPr>
          </w:p>
        </w:tc>
      </w:tr>
      <w:tr>
        <w:trPr>
          <w:trHeight w:val="169"/>
        </w:trPr>
        <w:tc>
          <w:tcPr>
            <w:tcW w:w="24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9" w:lineRule="exact"/>
              <w:rPr>
                <w:sz w:val="20"/>
                <w:szCs w:val="20"/>
                <w:color w:val="auto"/>
              </w:rPr>
            </w:pPr>
            <w:r>
              <w:rPr>
                <w:rFonts w:ascii="Arial" w:cs="Arial" w:eastAsia="Arial" w:hAnsi="Arial"/>
                <w:sz w:val="16"/>
                <w:szCs w:val="16"/>
                <w:color w:val="auto"/>
                <w:w w:val="91"/>
              </w:rPr>
              <w:t>Medications</w:t>
            </w:r>
          </w:p>
        </w:tc>
        <w:tc>
          <w:tcPr>
            <w:tcW w:w="340" w:type="dxa"/>
            <w:vAlign w:val="bottom"/>
          </w:tcPr>
          <w:p>
            <w:pPr>
              <w:ind w:left="100"/>
              <w:spacing w:after="0" w:line="169" w:lineRule="exact"/>
              <w:rPr>
                <w:sz w:val="20"/>
                <w:szCs w:val="20"/>
                <w:color w:val="auto"/>
              </w:rPr>
            </w:pPr>
            <w:r>
              <w:rPr>
                <w:rFonts w:ascii="Arial" w:cs="Arial" w:eastAsia="Arial" w:hAnsi="Arial"/>
                <w:sz w:val="16"/>
                <w:szCs w:val="16"/>
                <w:color w:val="auto"/>
              </w:rPr>
              <w:t>By</w:t>
            </w: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95"/>
              </w:rPr>
              <w:t>Inhalation</w:t>
            </w:r>
          </w:p>
        </w:tc>
        <w:tc>
          <w:tcPr>
            <w:tcW w:w="340" w:type="dxa"/>
            <w:vAlign w:val="bottom"/>
          </w:tcPr>
          <w:p>
            <w:pPr>
              <w:ind w:left="40"/>
              <w:spacing w:after="0" w:line="169" w:lineRule="exact"/>
              <w:rPr>
                <w:sz w:val="20"/>
                <w:szCs w:val="20"/>
                <w:color w:val="auto"/>
              </w:rPr>
            </w:pPr>
            <w:r>
              <w:rPr>
                <w:rFonts w:ascii="Arial" w:cs="Arial" w:eastAsia="Arial" w:hAnsi="Arial"/>
                <w:sz w:val="16"/>
                <w:szCs w:val="16"/>
                <w:color w:val="auto"/>
              </w:rPr>
              <w:t>and</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w w:val="95"/>
              </w:rPr>
              <w:t>Systems  For</w:t>
            </w: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65</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3194558</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20" w:type="dxa"/>
            <w:vAlign w:val="bottom"/>
          </w:tcPr>
          <w:p>
            <w:pPr>
              <w:ind w:left="20"/>
              <w:spacing w:after="0" w:line="150" w:lineRule="exact"/>
              <w:rPr>
                <w:sz w:val="20"/>
                <w:szCs w:val="20"/>
                <w:color w:val="auto"/>
              </w:rPr>
            </w:pPr>
            <w:r>
              <w:rPr>
                <w:rFonts w:ascii="Arial" w:cs="Arial" w:eastAsia="Arial" w:hAnsi="Arial"/>
                <w:sz w:val="16"/>
                <w:szCs w:val="16"/>
                <w:color w:val="auto"/>
              </w:rPr>
              <w:t>Methods</w:t>
            </w:r>
          </w:p>
        </w:tc>
        <w:tc>
          <w:tcPr>
            <w:tcW w:w="340" w:type="dxa"/>
            <w:vAlign w:val="bottom"/>
          </w:tcPr>
          <w:p>
            <w:pPr>
              <w:spacing w:after="0" w:line="150" w:lineRule="exact"/>
              <w:rPr>
                <w:sz w:val="20"/>
                <w:szCs w:val="20"/>
                <w:color w:val="auto"/>
              </w:rPr>
            </w:pPr>
            <w:r>
              <w:rPr>
                <w:rFonts w:ascii="Arial" w:cs="Arial" w:eastAsia="Arial" w:hAnsi="Arial"/>
                <w:sz w:val="16"/>
                <w:szCs w:val="16"/>
                <w:color w:val="auto"/>
              </w:rPr>
              <w:t>For</w:t>
            </w:r>
          </w:p>
        </w:tc>
        <w:tc>
          <w:tcPr>
            <w:tcW w:w="780" w:type="dxa"/>
            <w:vAlign w:val="bottom"/>
          </w:tcPr>
          <w:p>
            <w:pPr>
              <w:jc w:val="center"/>
              <w:spacing w:after="0" w:line="150" w:lineRule="exact"/>
              <w:rPr>
                <w:sz w:val="20"/>
                <w:szCs w:val="20"/>
                <w:color w:val="auto"/>
              </w:rPr>
            </w:pPr>
            <w:r>
              <w:rPr>
                <w:rFonts w:ascii="Arial" w:cs="Arial" w:eastAsia="Arial" w:hAnsi="Arial"/>
                <w:sz w:val="16"/>
                <w:szCs w:val="16"/>
                <w:color w:val="auto"/>
              </w:rPr>
              <w:t>Delivery</w:t>
            </w:r>
          </w:p>
        </w:tc>
        <w:tc>
          <w:tcPr>
            <w:tcW w:w="340" w:type="dxa"/>
            <w:vAlign w:val="bottom"/>
          </w:tcPr>
          <w:p>
            <w:pPr>
              <w:ind w:left="120"/>
              <w:spacing w:after="0" w:line="150" w:lineRule="exact"/>
              <w:rPr>
                <w:sz w:val="20"/>
                <w:szCs w:val="20"/>
                <w:color w:val="auto"/>
              </w:rPr>
            </w:pPr>
            <w:r>
              <w:rPr>
                <w:rFonts w:ascii="Arial" w:cs="Arial" w:eastAsia="Arial" w:hAnsi="Arial"/>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Psychedelic</w:t>
            </w:r>
          </w:p>
        </w:tc>
        <w:tc>
          <w:tcPr>
            <w:tcW w:w="0" w:type="dxa"/>
            <w:vAlign w:val="bottom"/>
          </w:tcPr>
          <w:p>
            <w:pPr>
              <w:spacing w:after="0"/>
              <w:rPr>
                <w:sz w:val="1"/>
                <w:szCs w:val="1"/>
                <w:color w:val="auto"/>
              </w:rPr>
            </w:pPr>
          </w:p>
        </w:tc>
      </w:tr>
      <w:tr>
        <w:trPr>
          <w:trHeight w:val="169"/>
        </w:trPr>
        <w:tc>
          <w:tcPr>
            <w:tcW w:w="24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9" w:lineRule="exact"/>
              <w:rPr>
                <w:sz w:val="20"/>
                <w:szCs w:val="20"/>
                <w:color w:val="auto"/>
              </w:rPr>
            </w:pPr>
            <w:r>
              <w:rPr>
                <w:rFonts w:ascii="Arial" w:cs="Arial" w:eastAsia="Arial" w:hAnsi="Arial"/>
                <w:sz w:val="16"/>
                <w:szCs w:val="16"/>
                <w:color w:val="auto"/>
                <w:w w:val="91"/>
              </w:rPr>
              <w:t>Medications</w:t>
            </w:r>
          </w:p>
        </w:tc>
        <w:tc>
          <w:tcPr>
            <w:tcW w:w="340" w:type="dxa"/>
            <w:vAlign w:val="bottom"/>
          </w:tcPr>
          <w:p>
            <w:pPr>
              <w:ind w:left="100"/>
              <w:spacing w:after="0" w:line="169" w:lineRule="exact"/>
              <w:rPr>
                <w:sz w:val="20"/>
                <w:szCs w:val="20"/>
                <w:color w:val="auto"/>
              </w:rPr>
            </w:pPr>
            <w:r>
              <w:rPr>
                <w:rFonts w:ascii="Arial" w:cs="Arial" w:eastAsia="Arial" w:hAnsi="Arial"/>
                <w:sz w:val="16"/>
                <w:szCs w:val="16"/>
                <w:color w:val="auto"/>
              </w:rPr>
              <w:t>By</w:t>
            </w: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95"/>
              </w:rPr>
              <w:t>Inhalation</w:t>
            </w:r>
          </w:p>
        </w:tc>
        <w:tc>
          <w:tcPr>
            <w:tcW w:w="340" w:type="dxa"/>
            <w:vAlign w:val="bottom"/>
          </w:tcPr>
          <w:p>
            <w:pPr>
              <w:ind w:left="40"/>
              <w:spacing w:after="0" w:line="169" w:lineRule="exact"/>
              <w:rPr>
                <w:sz w:val="20"/>
                <w:szCs w:val="20"/>
                <w:color w:val="auto"/>
              </w:rPr>
            </w:pPr>
            <w:r>
              <w:rPr>
                <w:rFonts w:ascii="Arial" w:cs="Arial" w:eastAsia="Arial" w:hAnsi="Arial"/>
                <w:sz w:val="16"/>
                <w:szCs w:val="16"/>
                <w:color w:val="auto"/>
              </w:rPr>
              <w:t>and</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w w:val="95"/>
              </w:rPr>
              <w:t>Systems  For</w:t>
            </w: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66</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62023079720.6</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Hong Kong</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20" w:type="dxa"/>
            <w:vAlign w:val="bottom"/>
          </w:tcPr>
          <w:p>
            <w:pPr>
              <w:ind w:left="20"/>
              <w:spacing w:after="0" w:line="150" w:lineRule="exact"/>
              <w:rPr>
                <w:sz w:val="20"/>
                <w:szCs w:val="20"/>
                <w:color w:val="auto"/>
              </w:rPr>
            </w:pPr>
            <w:r>
              <w:rPr>
                <w:rFonts w:ascii="Arial" w:cs="Arial" w:eastAsia="Arial" w:hAnsi="Arial"/>
                <w:sz w:val="16"/>
                <w:szCs w:val="16"/>
                <w:color w:val="auto"/>
              </w:rPr>
              <w:t>Methods</w:t>
            </w:r>
          </w:p>
        </w:tc>
        <w:tc>
          <w:tcPr>
            <w:tcW w:w="340" w:type="dxa"/>
            <w:vAlign w:val="bottom"/>
          </w:tcPr>
          <w:p>
            <w:pPr>
              <w:spacing w:after="0" w:line="150" w:lineRule="exact"/>
              <w:rPr>
                <w:sz w:val="20"/>
                <w:szCs w:val="20"/>
                <w:color w:val="auto"/>
              </w:rPr>
            </w:pPr>
            <w:r>
              <w:rPr>
                <w:rFonts w:ascii="Arial" w:cs="Arial" w:eastAsia="Arial" w:hAnsi="Arial"/>
                <w:sz w:val="16"/>
                <w:szCs w:val="16"/>
                <w:color w:val="auto"/>
              </w:rPr>
              <w:t>For</w:t>
            </w:r>
          </w:p>
        </w:tc>
        <w:tc>
          <w:tcPr>
            <w:tcW w:w="780" w:type="dxa"/>
            <w:vAlign w:val="bottom"/>
          </w:tcPr>
          <w:p>
            <w:pPr>
              <w:jc w:val="center"/>
              <w:spacing w:after="0" w:line="150" w:lineRule="exact"/>
              <w:rPr>
                <w:sz w:val="20"/>
                <w:szCs w:val="20"/>
                <w:color w:val="auto"/>
              </w:rPr>
            </w:pPr>
            <w:r>
              <w:rPr>
                <w:rFonts w:ascii="Arial" w:cs="Arial" w:eastAsia="Arial" w:hAnsi="Arial"/>
                <w:sz w:val="16"/>
                <w:szCs w:val="16"/>
                <w:color w:val="auto"/>
              </w:rPr>
              <w:t>Delivery</w:t>
            </w:r>
          </w:p>
        </w:tc>
        <w:tc>
          <w:tcPr>
            <w:tcW w:w="340" w:type="dxa"/>
            <w:vAlign w:val="bottom"/>
          </w:tcPr>
          <w:p>
            <w:pPr>
              <w:ind w:left="120"/>
              <w:spacing w:after="0" w:line="150" w:lineRule="exact"/>
              <w:rPr>
                <w:sz w:val="20"/>
                <w:szCs w:val="20"/>
                <w:color w:val="auto"/>
              </w:rPr>
            </w:pPr>
            <w:r>
              <w:rPr>
                <w:rFonts w:ascii="Arial" w:cs="Arial" w:eastAsia="Arial" w:hAnsi="Arial"/>
                <w:sz w:val="16"/>
                <w:szCs w:val="16"/>
                <w:color w:val="auto"/>
              </w:rPr>
              <w:t>of</w:t>
            </w:r>
          </w:p>
        </w:tc>
        <w:tc>
          <w:tcPr>
            <w:tcW w:w="9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Psychedelic</w:t>
            </w:r>
          </w:p>
        </w:tc>
        <w:tc>
          <w:tcPr>
            <w:tcW w:w="0" w:type="dxa"/>
            <w:vAlign w:val="bottom"/>
          </w:tcPr>
          <w:p>
            <w:pPr>
              <w:spacing w:after="0"/>
              <w:rPr>
                <w:sz w:val="1"/>
                <w:szCs w:val="1"/>
                <w:color w:val="auto"/>
              </w:rPr>
            </w:pPr>
          </w:p>
        </w:tc>
      </w:tr>
      <w:tr>
        <w:trPr>
          <w:trHeight w:val="169"/>
        </w:trPr>
        <w:tc>
          <w:tcPr>
            <w:tcW w:w="240" w:type="dxa"/>
            <w:vAlign w:val="bottom"/>
            <w:tcBorders>
              <w:left w:val="single" w:sz="8" w:color="auto"/>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280" w:type="dxa"/>
            <w:vAlign w:val="bottom"/>
            <w:tcBorders>
              <w:right w:val="single" w:sz="8" w:color="auto"/>
            </w:tcBorders>
            <w:vMerge w:val="continue"/>
          </w:tcPr>
          <w:p>
            <w:pPr>
              <w:spacing w:after="0"/>
              <w:rPr>
                <w:sz w:val="14"/>
                <w:szCs w:val="14"/>
                <w:color w:val="auto"/>
              </w:rPr>
            </w:pPr>
          </w:p>
        </w:tc>
        <w:tc>
          <w:tcPr>
            <w:tcW w:w="820" w:type="dxa"/>
            <w:vAlign w:val="bottom"/>
          </w:tcPr>
          <w:p>
            <w:pPr>
              <w:ind w:left="20"/>
              <w:spacing w:after="0" w:line="169" w:lineRule="exact"/>
              <w:rPr>
                <w:sz w:val="20"/>
                <w:szCs w:val="20"/>
                <w:color w:val="auto"/>
              </w:rPr>
            </w:pPr>
            <w:r>
              <w:rPr>
                <w:rFonts w:ascii="Arial" w:cs="Arial" w:eastAsia="Arial" w:hAnsi="Arial"/>
                <w:sz w:val="16"/>
                <w:szCs w:val="16"/>
                <w:color w:val="auto"/>
                <w:w w:val="91"/>
              </w:rPr>
              <w:t>Medications</w:t>
            </w:r>
          </w:p>
        </w:tc>
        <w:tc>
          <w:tcPr>
            <w:tcW w:w="340" w:type="dxa"/>
            <w:vAlign w:val="bottom"/>
          </w:tcPr>
          <w:p>
            <w:pPr>
              <w:ind w:left="100"/>
              <w:spacing w:after="0" w:line="169" w:lineRule="exact"/>
              <w:rPr>
                <w:sz w:val="20"/>
                <w:szCs w:val="20"/>
                <w:color w:val="auto"/>
              </w:rPr>
            </w:pPr>
            <w:r>
              <w:rPr>
                <w:rFonts w:ascii="Arial" w:cs="Arial" w:eastAsia="Arial" w:hAnsi="Arial"/>
                <w:sz w:val="16"/>
                <w:szCs w:val="16"/>
                <w:color w:val="auto"/>
              </w:rPr>
              <w:t>By</w:t>
            </w: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95"/>
              </w:rPr>
              <w:t>Inhalation</w:t>
            </w:r>
          </w:p>
        </w:tc>
        <w:tc>
          <w:tcPr>
            <w:tcW w:w="340" w:type="dxa"/>
            <w:vAlign w:val="bottom"/>
          </w:tcPr>
          <w:p>
            <w:pPr>
              <w:ind w:left="40"/>
              <w:spacing w:after="0" w:line="169" w:lineRule="exact"/>
              <w:rPr>
                <w:sz w:val="20"/>
                <w:szCs w:val="20"/>
                <w:color w:val="auto"/>
              </w:rPr>
            </w:pPr>
            <w:r>
              <w:rPr>
                <w:rFonts w:ascii="Arial" w:cs="Arial" w:eastAsia="Arial" w:hAnsi="Arial"/>
                <w:sz w:val="16"/>
                <w:szCs w:val="16"/>
                <w:color w:val="auto"/>
              </w:rPr>
              <w:t>and</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w w:val="95"/>
              </w:rPr>
              <w:t>Systems  For</w:t>
            </w:r>
          </w:p>
        </w:tc>
        <w:tc>
          <w:tcPr>
            <w:tcW w:w="0" w:type="dxa"/>
            <w:vAlign w:val="bottom"/>
          </w:tcPr>
          <w:p>
            <w:pPr>
              <w:spacing w:after="0"/>
              <w:rPr>
                <w:sz w:val="1"/>
                <w:szCs w:val="1"/>
                <w:color w:val="auto"/>
              </w:rPr>
            </w:pPr>
          </w:p>
        </w:tc>
      </w:tr>
      <w:tr>
        <w:trPr>
          <w:trHeight w:val="206"/>
        </w:trPr>
        <w:tc>
          <w:tcPr>
            <w:tcW w:w="240" w:type="dxa"/>
            <w:vAlign w:val="bottom"/>
            <w:tcBorders>
              <w:left w:val="single" w:sz="8" w:color="auto"/>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Performing the Methods</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67</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802136</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New Zealand</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0"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68</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305457</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Israel</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69</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3212563</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Canada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70</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NC2023/0013714</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Columbia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71</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4"/>
              </w:rPr>
              <w:t>MX/a/2023/010843</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Mexico</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72</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202302731</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Chile</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73</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10-2023-7032581</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Korea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74</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22716857.2</w:t>
            </w:r>
          </w:p>
        </w:tc>
        <w:tc>
          <w:tcPr>
            <w:tcW w:w="11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European</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Patent Office</w:t>
            </w: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vMerge w:val="continue"/>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75</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202280022029.2</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China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76</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1120230188946</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Brazil</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77</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2022239825</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Australia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78</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11202305618U</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Singapore</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79</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202309486</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South Africa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80</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2301005753</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Thailand</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81</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1-2023-552572</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Philippines</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82</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202327063524</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India</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40" w:type="dxa"/>
            <w:vAlign w:val="bottom"/>
            <w:tcBorders>
              <w:left w:val="single" w:sz="8" w:color="auto"/>
              <w:right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83</w:t>
            </w:r>
          </w:p>
        </w:tc>
        <w:tc>
          <w:tcPr>
            <w:tcW w:w="13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2023-556906</w:t>
            </w:r>
          </w:p>
        </w:tc>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Japan</w:t>
            </w:r>
          </w:p>
        </w:tc>
        <w:tc>
          <w:tcPr>
            <w:tcW w:w="128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3240" w:type="dxa"/>
            <w:vAlign w:val="bottom"/>
            <w:tcBorders>
              <w:right w:val="single" w:sz="8" w:color="auto"/>
            </w:tcBorders>
            <w:gridSpan w:val="5"/>
          </w:tcPr>
          <w:p>
            <w:pPr>
              <w:ind w:left="20"/>
              <w:spacing w:after="0" w:line="156" w:lineRule="exact"/>
              <w:rPr>
                <w:sz w:val="20"/>
                <w:szCs w:val="20"/>
                <w:color w:val="auto"/>
              </w:rPr>
            </w:pPr>
            <w:r>
              <w:rPr>
                <w:rFonts w:ascii="Arial" w:cs="Arial" w:eastAsia="Arial" w:hAnsi="Arial"/>
                <w:sz w:val="16"/>
                <w:szCs w:val="16"/>
                <w:color w:val="auto"/>
                <w:w w:val="99"/>
              </w:rPr>
              <w:t>Psilocybin Analogs, Salts, Compositions, and</w:t>
            </w:r>
          </w:p>
        </w:tc>
        <w:tc>
          <w:tcPr>
            <w:tcW w:w="0" w:type="dxa"/>
            <w:vAlign w:val="bottom"/>
          </w:tcPr>
          <w:p>
            <w:pPr>
              <w:spacing w:after="0"/>
              <w:rPr>
                <w:sz w:val="1"/>
                <w:szCs w:val="1"/>
                <w:color w:val="auto"/>
              </w:rPr>
            </w:pPr>
          </w:p>
        </w:tc>
      </w:tr>
      <w:tr>
        <w:trPr>
          <w:trHeight w:val="133"/>
        </w:trPr>
        <w:tc>
          <w:tcPr>
            <w:tcW w:w="240" w:type="dxa"/>
            <w:vAlign w:val="bottom"/>
            <w:tcBorders>
              <w:left w:val="single" w:sz="8" w:color="auto"/>
              <w:right w:val="single" w:sz="8" w:color="auto"/>
            </w:tcBorders>
            <w:vMerge w:val="continue"/>
          </w:tcPr>
          <w:p>
            <w:pPr>
              <w:spacing w:after="0"/>
              <w:rPr>
                <w:sz w:val="11"/>
                <w:szCs w:val="11"/>
                <w:color w:val="auto"/>
              </w:rPr>
            </w:pPr>
          </w:p>
        </w:tc>
        <w:tc>
          <w:tcPr>
            <w:tcW w:w="1320" w:type="dxa"/>
            <w:vAlign w:val="bottom"/>
            <w:tcBorders>
              <w:right w:val="single" w:sz="8" w:color="auto"/>
            </w:tcBorders>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Methods of Use</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4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tcBorders>
            <w:gridSpan w:val="2"/>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89"/>
              </w:rPr>
              <w:t>84</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2022277515</w:t>
            </w:r>
          </w:p>
        </w:tc>
        <w:tc>
          <w:tcPr>
            <w:tcW w:w="1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Australia</w:t>
            </w:r>
          </w:p>
        </w:tc>
        <w:tc>
          <w:tcPr>
            <w:tcW w:w="1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Formulations of Psilocybin</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89"/>
              </w:rPr>
              <w:t>85</w:t>
            </w:r>
          </w:p>
        </w:tc>
        <w:tc>
          <w:tcPr>
            <w:tcW w:w="1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3216799</w:t>
            </w:r>
          </w:p>
        </w:tc>
        <w:tc>
          <w:tcPr>
            <w:tcW w:w="1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Canada</w:t>
            </w:r>
          </w:p>
        </w:tc>
        <w:tc>
          <w:tcPr>
            <w:tcW w:w="1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Formulations of Psilocybin</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726"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139"/>
          </w:cols>
          <w:pgMar w:left="320" w:top="726" w:right="1440" w:bottom="1440" w:gutter="0" w:footer="0" w:header="0"/>
          <w:type w:val="continuous"/>
        </w:sectPr>
      </w:pPr>
    </w:p>
    <w:bookmarkStart w:id="51" w:name="page52"/>
    <w:bookmarkEnd w:id="51"/>
    <w:p>
      <w:pPr>
        <w:jc w:val="both"/>
        <w:spacing w:after="0" w:line="299" w:lineRule="auto"/>
        <w:rPr>
          <w:sz w:val="20"/>
          <w:szCs w:val="20"/>
          <w:color w:val="auto"/>
        </w:rPr>
      </w:pPr>
      <w:r>
        <w:rPr>
          <w:rFonts w:ascii="Arial" w:cs="Arial" w:eastAsia="Arial" w:hAnsi="Arial"/>
          <w:sz w:val="18"/>
          <w:szCs w:val="18"/>
          <w:color w:val="auto"/>
        </w:rPr>
        <w:t>In addition, as a result of the Arrangement, the Company has title to seven provisional patent applications, nine US non-provisional patent applications, sixty nine national (non-US) patent applications, and two PCT applications, including claims directed to compositions of matter and methods of use in support of its research and development and preclinical and clinical trial programs.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shd w:val="clear" w:color="auto" w:fill="BFBFBF"/>
          </w:tcPr>
          <w:p>
            <w:pPr>
              <w:spacing w:after="0"/>
              <w:rPr>
                <w:sz w:val="18"/>
                <w:szCs w:val="18"/>
                <w:color w:val="auto"/>
              </w:rPr>
            </w:pPr>
          </w:p>
        </w:tc>
        <w:tc>
          <w:tcPr>
            <w:tcW w:w="2040" w:type="dxa"/>
            <w:vAlign w:val="bottom"/>
            <w:tcBorders>
              <w:top w:val="single" w:sz="8" w:color="auto"/>
              <w:bottom w:val="single" w:sz="8" w:color="auto"/>
              <w:right w:val="single" w:sz="8" w:color="auto"/>
            </w:tcBorders>
            <w:shd w:val="clear" w:color="auto" w:fill="BFBFBF"/>
          </w:tcPr>
          <w:p>
            <w:pPr>
              <w:ind w:left="40"/>
              <w:spacing w:after="0"/>
              <w:rPr>
                <w:sz w:val="20"/>
                <w:szCs w:val="20"/>
                <w:color w:val="auto"/>
              </w:rPr>
            </w:pPr>
            <w:r>
              <w:rPr>
                <w:rFonts w:ascii="Arial" w:cs="Arial" w:eastAsia="Arial" w:hAnsi="Arial"/>
                <w:sz w:val="16"/>
                <w:szCs w:val="16"/>
                <w:b w:val="1"/>
                <w:bCs w:val="1"/>
                <w:color w:val="auto"/>
                <w:w w:val="95"/>
              </w:rPr>
              <w:t>Patent Application Number</w:t>
            </w:r>
          </w:p>
        </w:tc>
        <w:tc>
          <w:tcPr>
            <w:tcW w:w="1740" w:type="dxa"/>
            <w:vAlign w:val="bottom"/>
            <w:tcBorders>
              <w:top w:val="single" w:sz="8" w:color="auto"/>
              <w:bottom w:val="single" w:sz="8" w:color="auto"/>
              <w:right w:val="single" w:sz="8" w:color="auto"/>
            </w:tcBorders>
            <w:gridSpan w:val="2"/>
            <w:shd w:val="clear" w:color="auto" w:fill="BFBFBF"/>
          </w:tcPr>
          <w:p>
            <w:pPr>
              <w:ind w:left="120"/>
              <w:spacing w:after="0"/>
              <w:rPr>
                <w:sz w:val="20"/>
                <w:szCs w:val="20"/>
                <w:color w:val="auto"/>
              </w:rPr>
            </w:pPr>
            <w:r>
              <w:rPr>
                <w:rFonts w:ascii="Arial" w:cs="Arial" w:eastAsia="Arial" w:hAnsi="Arial"/>
                <w:sz w:val="16"/>
                <w:szCs w:val="16"/>
                <w:b w:val="1"/>
                <w:bCs w:val="1"/>
                <w:color w:val="auto"/>
              </w:rPr>
              <w:t>Jurisdiction of Filing</w:t>
            </w:r>
          </w:p>
        </w:tc>
        <w:tc>
          <w:tcPr>
            <w:tcW w:w="2020" w:type="dxa"/>
            <w:vAlign w:val="bottom"/>
            <w:tcBorders>
              <w:top w:val="single" w:sz="8" w:color="auto"/>
              <w:bottom w:val="single" w:sz="8" w:color="auto"/>
              <w:right w:val="single" w:sz="8" w:color="auto"/>
            </w:tcBorders>
            <w:shd w:val="clear" w:color="auto" w:fill="BFBFBF"/>
          </w:tcPr>
          <w:p>
            <w:pPr>
              <w:ind w:left="780"/>
              <w:spacing w:after="0"/>
              <w:rPr>
                <w:sz w:val="20"/>
                <w:szCs w:val="20"/>
                <w:color w:val="auto"/>
              </w:rPr>
            </w:pPr>
            <w:r>
              <w:rPr>
                <w:rFonts w:ascii="Arial" w:cs="Arial" w:eastAsia="Arial" w:hAnsi="Arial"/>
                <w:sz w:val="16"/>
                <w:szCs w:val="16"/>
                <w:b w:val="1"/>
                <w:bCs w:val="1"/>
                <w:color w:val="auto"/>
              </w:rPr>
              <w:t>Status</w:t>
            </w:r>
          </w:p>
        </w:tc>
        <w:tc>
          <w:tcPr>
            <w:tcW w:w="5120" w:type="dxa"/>
            <w:vAlign w:val="bottom"/>
            <w:tcBorders>
              <w:top w:val="single" w:sz="8" w:color="auto"/>
              <w:bottom w:val="single" w:sz="8" w:color="auto"/>
              <w:right w:val="single" w:sz="8" w:color="auto"/>
            </w:tcBorders>
            <w:shd w:val="clear" w:color="auto" w:fill="BFBFBF"/>
          </w:tcPr>
          <w:p>
            <w:pPr>
              <w:ind w:left="2140"/>
              <w:spacing w:after="0"/>
              <w:rPr>
                <w:sz w:val="20"/>
                <w:szCs w:val="20"/>
                <w:color w:val="auto"/>
              </w:rPr>
            </w:pPr>
            <w:r>
              <w:rPr>
                <w:rFonts w:ascii="Arial" w:cs="Arial" w:eastAsia="Arial" w:hAnsi="Arial"/>
                <w:sz w:val="16"/>
                <w:szCs w:val="16"/>
                <w:b w:val="1"/>
                <w:bCs w:val="1"/>
                <w:color w:val="auto"/>
              </w:rPr>
              <w:t>Description</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1120220089198</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Brazil</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3,160,334</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202080087091.0</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202291378</w:t>
            </w:r>
          </w:p>
        </w:tc>
        <w:tc>
          <w:tcPr>
            <w:tcW w:w="1240" w:type="dxa"/>
            <w:vAlign w:val="bottom"/>
          </w:tcPr>
          <w:p>
            <w:pPr>
              <w:spacing w:after="0"/>
              <w:rPr>
                <w:sz w:val="20"/>
                <w:szCs w:val="20"/>
                <w:color w:val="auto"/>
              </w:rPr>
            </w:pPr>
            <w:r>
              <w:rPr>
                <w:rFonts w:ascii="Arial" w:cs="Arial" w:eastAsia="Arial" w:hAnsi="Arial"/>
                <w:sz w:val="16"/>
                <w:szCs w:val="16"/>
                <w:color w:val="auto"/>
              </w:rPr>
              <w:t>Eurasian</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86"/>
              </w:rPr>
              <w:t>Patent</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tcBorders>
          </w:tcPr>
          <w:p>
            <w:pPr>
              <w:spacing w:after="0" w:line="133" w:lineRule="exact"/>
              <w:rPr>
                <w:sz w:val="20"/>
                <w:szCs w:val="20"/>
                <w:color w:val="auto"/>
              </w:rPr>
            </w:pPr>
            <w:r>
              <w:rPr>
                <w:rFonts w:ascii="Arial" w:cs="Arial" w:eastAsia="Arial" w:hAnsi="Arial"/>
                <w:sz w:val="15"/>
                <w:szCs w:val="15"/>
                <w:color w:val="auto"/>
              </w:rPr>
              <w:t>Organization</w:t>
            </w:r>
          </w:p>
        </w:tc>
        <w:tc>
          <w:tcPr>
            <w:tcW w:w="50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5120" w:type="dxa"/>
            <w:vAlign w:val="bottom"/>
            <w:tcBorders>
              <w:bottom w:val="single" w:sz="8" w:color="auto"/>
              <w:right w:val="single" w:sz="8" w:color="auto"/>
            </w:tcBorders>
          </w:tcPr>
          <w:p>
            <w:pPr>
              <w:spacing w:after="0"/>
              <w:rPr>
                <w:sz w:val="11"/>
                <w:szCs w:val="11"/>
                <w:color w:val="auto"/>
              </w:rPr>
            </w:pP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5</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202217028822</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India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98"/>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292753</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Israel</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7</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2022-526074</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Japan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8</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10-2023-7033500</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Republic of Korea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9</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18/152,465</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10</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3,071,491</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Crystalline Forms of Hydroxynorketamine</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11</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201880063777.9</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Crystalline Forms of Hydroxynorketamine</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17/804,338</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Crystalline Forms of Hydroxynorketamine</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13</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110143066</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Taiwan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Deuterated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14</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2103981.3</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United Kingdom</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Deuterated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2021391581</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Australia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16</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3,203,020</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17</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202180090269.1</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18</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23198784.3</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19</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202317043169</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India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20</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303288</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Israel</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21</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2023-533243</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Japan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22</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800961</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New Zealand</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23</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18/163,388</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Deuterated or Partially Deuterated N,N-Dimethyltryptamine Compounds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24</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21 816489.5</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Inhalable Formulations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25</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18/252,949</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Inhalable Formulations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26</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18/056,771</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Injectable and Inhalable Formulations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27</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PCT/EP2022/082486</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WIPO</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Injectable and Inhalable Formulations</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28</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3,179,335</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r>
      <w:tr>
        <w:trPr>
          <w:trHeight w:val="198"/>
        </w:trPr>
        <w:tc>
          <w:tcPr>
            <w:tcW w:w="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29</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202180044031.5</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r>
      <w:tr>
        <w:trPr>
          <w:trHeight w:val="235"/>
        </w:trPr>
        <w:tc>
          <w:tcPr>
            <w:tcW w:w="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30</w:t>
            </w:r>
          </w:p>
        </w:tc>
        <w:tc>
          <w:tcPr>
            <w:tcW w:w="20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202390295</w:t>
            </w:r>
          </w:p>
        </w:tc>
        <w:tc>
          <w:tcPr>
            <w:tcW w:w="1240" w:type="dxa"/>
            <w:vAlign w:val="bottom"/>
          </w:tcPr>
          <w:p>
            <w:pPr>
              <w:spacing w:after="0"/>
              <w:rPr>
                <w:sz w:val="20"/>
                <w:szCs w:val="20"/>
                <w:color w:val="auto"/>
              </w:rPr>
            </w:pPr>
            <w:r>
              <w:rPr>
                <w:rFonts w:ascii="Arial" w:cs="Arial" w:eastAsia="Arial" w:hAnsi="Arial"/>
                <w:sz w:val="16"/>
                <w:szCs w:val="16"/>
                <w:color w:val="auto"/>
              </w:rPr>
              <w:t>Eurasian</w:t>
            </w:r>
          </w:p>
        </w:tc>
        <w:tc>
          <w:tcPr>
            <w:tcW w:w="50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86"/>
              </w:rPr>
              <w:t>Patent</w:t>
            </w:r>
          </w:p>
        </w:tc>
        <w:tc>
          <w:tcPr>
            <w:tcW w:w="20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r>
      <w:tr>
        <w:trPr>
          <w:trHeight w:val="133"/>
        </w:trPr>
        <w:tc>
          <w:tcPr>
            <w:tcW w:w="320" w:type="dxa"/>
            <w:vAlign w:val="bottom"/>
            <w:tcBorders>
              <w:left w:val="single" w:sz="8" w:color="auto"/>
              <w:bottom w:val="single" w:sz="8" w:color="auto"/>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tcBorders>
          </w:tcPr>
          <w:p>
            <w:pPr>
              <w:spacing w:after="0" w:line="133" w:lineRule="exact"/>
              <w:rPr>
                <w:sz w:val="20"/>
                <w:szCs w:val="20"/>
                <w:color w:val="auto"/>
              </w:rPr>
            </w:pPr>
            <w:r>
              <w:rPr>
                <w:rFonts w:ascii="Arial" w:cs="Arial" w:eastAsia="Arial" w:hAnsi="Arial"/>
                <w:sz w:val="15"/>
                <w:szCs w:val="15"/>
                <w:color w:val="auto"/>
              </w:rPr>
              <w:t>Organization</w:t>
            </w:r>
          </w:p>
        </w:tc>
        <w:tc>
          <w:tcPr>
            <w:tcW w:w="500" w:type="dxa"/>
            <w:vAlign w:val="bottom"/>
            <w:tcBorders>
              <w:bottom w:val="single" w:sz="8" w:color="auto"/>
              <w:right w:val="single" w:sz="8" w:color="auto"/>
            </w:tcBorders>
          </w:tcPr>
          <w:p>
            <w:pPr>
              <w:spacing w:after="0"/>
              <w:rPr>
                <w:sz w:val="11"/>
                <w:szCs w:val="11"/>
                <w:color w:val="auto"/>
              </w:rPr>
            </w:pPr>
          </w:p>
        </w:tc>
        <w:tc>
          <w:tcPr>
            <w:tcW w:w="2020" w:type="dxa"/>
            <w:vAlign w:val="bottom"/>
            <w:tcBorders>
              <w:bottom w:val="single" w:sz="8" w:color="auto"/>
              <w:right w:val="single" w:sz="8" w:color="auto"/>
            </w:tcBorders>
          </w:tcPr>
          <w:p>
            <w:pPr>
              <w:spacing w:after="0"/>
              <w:rPr>
                <w:sz w:val="11"/>
                <w:szCs w:val="11"/>
                <w:color w:val="auto"/>
              </w:rPr>
            </w:pPr>
          </w:p>
        </w:tc>
        <w:tc>
          <w:tcPr>
            <w:tcW w:w="512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826"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31</w:t>
            </w:r>
          </w:p>
        </w:tc>
        <w:tc>
          <w:tcPr>
            <w:tcW w:w="20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21769080.9</w:t>
            </w:r>
          </w:p>
        </w:tc>
        <w:tc>
          <w:tcPr>
            <w:tcW w:w="174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32</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202317008543</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India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33</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298129</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Israel</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34</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2022-577123</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Japan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35</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PI 2023000584</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Malaysia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36</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MX/a/2022/014128</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Mexico</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37</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793361</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New Zealand</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38</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10-2022-7042030</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Republic of Korea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39</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11202300697X</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Singapore</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40</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2023/01086</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South Africa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41</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17/806,526</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Injectable Formulations</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42</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63/481,040</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43</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63/481,046</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44</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63/488,613</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45</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63/488,628</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46</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63/493,428</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47</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63/513,140</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48</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63/585,000</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49</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PCT/EP2023/078480</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WIPO</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Administration</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50</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202080087092.5</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Synthesis</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51</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22214748.0</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Synthesis</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52</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202217028688</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India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Synthesis</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53</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292754</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Israel</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Synthesis</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54</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2022-526073</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Japan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Method of Synthesis</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55</w:t>
            </w: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21203394.8</w:t>
            </w:r>
          </w:p>
        </w:tc>
        <w:tc>
          <w:tcPr>
            <w:tcW w:w="17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1840" w:type="dxa"/>
            <w:vAlign w:val="bottom"/>
          </w:tcPr>
          <w:p>
            <w:pPr>
              <w:ind w:left="20"/>
              <w:spacing w:after="0" w:line="150" w:lineRule="exact"/>
              <w:rPr>
                <w:sz w:val="20"/>
                <w:szCs w:val="20"/>
                <w:color w:val="auto"/>
              </w:rPr>
            </w:pPr>
            <w:r>
              <w:rPr>
                <w:rFonts w:ascii="Arial" w:cs="Arial" w:eastAsia="Arial" w:hAnsi="Arial"/>
                <w:sz w:val="16"/>
                <w:szCs w:val="16"/>
                <w:color w:val="auto"/>
              </w:rPr>
              <w:t>Solid Oral Dosage Forms</w:t>
            </w:r>
          </w:p>
        </w:tc>
        <w:tc>
          <w:tcPr>
            <w:tcW w:w="2460" w:type="dxa"/>
            <w:vAlign w:val="bottom"/>
            <w:gridSpan w:val="4"/>
          </w:tcPr>
          <w:p>
            <w:pPr>
              <w:jc w:val="center"/>
              <w:spacing w:after="0" w:line="150" w:lineRule="exact"/>
              <w:rPr>
                <w:sz w:val="20"/>
                <w:szCs w:val="20"/>
                <w:color w:val="auto"/>
              </w:rPr>
            </w:pPr>
            <w:r>
              <w:rPr>
                <w:rFonts w:ascii="Arial" w:cs="Arial" w:eastAsia="Arial" w:hAnsi="Arial"/>
                <w:sz w:val="16"/>
                <w:szCs w:val="16"/>
                <w:color w:val="auto"/>
                <w:w w:val="99"/>
              </w:rPr>
              <w:t>of 2R,6R-Hydroxynorketamine or</w:t>
            </w:r>
          </w:p>
        </w:tc>
        <w:tc>
          <w:tcPr>
            <w:tcW w:w="82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w w:val="95"/>
              </w:rPr>
              <w:t>Derivatives</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40" w:type="dxa"/>
            <w:vAlign w:val="bottom"/>
            <w:tcBorders>
              <w:right w:val="single" w:sz="8" w:color="auto"/>
            </w:tcBorders>
            <w:vMerge w:val="continue"/>
          </w:tcPr>
          <w:p>
            <w:pPr>
              <w:spacing w:after="0"/>
              <w:rPr>
                <w:sz w:val="11"/>
                <w:szCs w:val="11"/>
                <w:color w:val="auto"/>
              </w:rPr>
            </w:pPr>
          </w:p>
        </w:tc>
        <w:tc>
          <w:tcPr>
            <w:tcW w:w="1740" w:type="dxa"/>
            <w:vAlign w:val="bottom"/>
            <w:tcBorders>
              <w:right w:val="single" w:sz="8" w:color="auto"/>
            </w:tcBorders>
            <w:gridSpan w:val="2"/>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840" w:type="dxa"/>
            <w:vAlign w:val="bottom"/>
            <w:vMerge w:val="restart"/>
          </w:tcPr>
          <w:p>
            <w:pPr>
              <w:ind w:left="20"/>
              <w:spacing w:after="0"/>
              <w:rPr>
                <w:sz w:val="20"/>
                <w:szCs w:val="20"/>
                <w:color w:val="auto"/>
              </w:rPr>
            </w:pPr>
            <w:r>
              <w:rPr>
                <w:rFonts w:ascii="Arial" w:cs="Arial" w:eastAsia="Arial" w:hAnsi="Arial"/>
                <w:sz w:val="16"/>
                <w:szCs w:val="16"/>
                <w:color w:val="auto"/>
              </w:rPr>
              <w:t>Thereof</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840" w:type="dxa"/>
            <w:vAlign w:val="bottom"/>
            <w:tcBorders>
              <w:bottom w:val="single" w:sz="8" w:color="auto"/>
            </w:tcBorders>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56</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3,076,103</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3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96"/>
              </w:rPr>
              <w:t>Solid Oral Dosage Forms of Ketamine Derivatives</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57</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18/193,866</w:t>
            </w: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gridSpan w:val="6"/>
          </w:tcPr>
          <w:p>
            <w:pPr>
              <w:ind w:left="20"/>
              <w:spacing w:after="0"/>
              <w:rPr>
                <w:sz w:val="20"/>
                <w:szCs w:val="20"/>
                <w:color w:val="auto"/>
              </w:rPr>
            </w:pPr>
            <w:r>
              <w:rPr>
                <w:rFonts w:ascii="Arial" w:cs="Arial" w:eastAsia="Arial" w:hAnsi="Arial"/>
                <w:sz w:val="16"/>
                <w:szCs w:val="16"/>
                <w:color w:val="auto"/>
                <w:w w:val="93"/>
              </w:rPr>
              <w:t>Synthesis of N,N-Dimethyltryptamine-Type Compounds, Methods, and Uses</w:t>
            </w: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58</w:t>
            </w:r>
          </w:p>
        </w:tc>
        <w:tc>
          <w:tcPr>
            <w:tcW w:w="2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110119792</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Taiwan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6"/>
              </w:rPr>
              <w:t>Therapeutic Compositions</w:t>
            </w: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59</w:t>
            </w: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1120220245661</w:t>
            </w:r>
          </w:p>
        </w:tc>
        <w:tc>
          <w:tcPr>
            <w:tcW w:w="1240" w:type="dxa"/>
            <w:vAlign w:val="bottom"/>
            <w:vMerge w:val="restart"/>
          </w:tcPr>
          <w:p>
            <w:pPr>
              <w:spacing w:after="0"/>
              <w:rPr>
                <w:sz w:val="20"/>
                <w:szCs w:val="20"/>
                <w:color w:val="auto"/>
              </w:rPr>
            </w:pPr>
            <w:r>
              <w:rPr>
                <w:rFonts w:ascii="Arial" w:cs="Arial" w:eastAsia="Arial" w:hAnsi="Arial"/>
                <w:sz w:val="16"/>
                <w:szCs w:val="16"/>
                <w:color w:val="auto"/>
              </w:rPr>
              <w:t>Brazil</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1840" w:type="dxa"/>
            <w:vAlign w:val="bottom"/>
          </w:tcPr>
          <w:p>
            <w:pPr>
              <w:ind w:left="20"/>
              <w:spacing w:after="0" w:line="150" w:lineRule="exact"/>
              <w:rPr>
                <w:sz w:val="20"/>
                <w:szCs w:val="20"/>
                <w:color w:val="auto"/>
              </w:rPr>
            </w:pPr>
            <w:r>
              <w:rPr>
                <w:rFonts w:ascii="Arial" w:cs="Arial" w:eastAsia="Arial" w:hAnsi="Arial"/>
                <w:sz w:val="16"/>
                <w:szCs w:val="16"/>
                <w:color w:val="auto"/>
                <w:w w:val="96"/>
              </w:rPr>
              <w:t>Therapeutic Compositions</w:t>
            </w:r>
          </w:p>
        </w:tc>
        <w:tc>
          <w:tcPr>
            <w:tcW w:w="820" w:type="dxa"/>
            <w:vAlign w:val="bottom"/>
          </w:tcPr>
          <w:p>
            <w:pPr>
              <w:ind w:left="20"/>
              <w:spacing w:after="0" w:line="150" w:lineRule="exact"/>
              <w:rPr>
                <w:sz w:val="20"/>
                <w:szCs w:val="20"/>
                <w:color w:val="auto"/>
              </w:rPr>
            </w:pPr>
            <w:r>
              <w:rPr>
                <w:rFonts w:ascii="Arial" w:cs="Arial" w:eastAsia="Arial" w:hAnsi="Arial"/>
                <w:sz w:val="16"/>
                <w:szCs w:val="16"/>
                <w:color w:val="auto"/>
                <w:w w:val="96"/>
              </w:rPr>
              <w:t>Comprising</w:t>
            </w:r>
          </w:p>
        </w:tc>
        <w:tc>
          <w:tcPr>
            <w:tcW w:w="800" w:type="dxa"/>
            <w:vAlign w:val="bottom"/>
          </w:tcPr>
          <w:p>
            <w:pPr>
              <w:jc w:val="center"/>
              <w:spacing w:after="0" w:line="150" w:lineRule="exact"/>
              <w:rPr>
                <w:sz w:val="20"/>
                <w:szCs w:val="20"/>
                <w:color w:val="auto"/>
              </w:rPr>
            </w:pPr>
            <w:r>
              <w:rPr>
                <w:rFonts w:ascii="Arial" w:cs="Arial" w:eastAsia="Arial" w:hAnsi="Arial"/>
                <w:sz w:val="16"/>
                <w:szCs w:val="16"/>
                <w:color w:val="auto"/>
                <w:w w:val="88"/>
              </w:rPr>
              <w:t>Deuterated</w:t>
            </w:r>
          </w:p>
        </w:tc>
        <w:tc>
          <w:tcPr>
            <w:tcW w:w="220" w:type="dxa"/>
            <w:vAlign w:val="bottom"/>
          </w:tcPr>
          <w:p>
            <w:pPr>
              <w:ind w:left="40"/>
              <w:spacing w:after="0" w:line="150" w:lineRule="exact"/>
              <w:rPr>
                <w:sz w:val="20"/>
                <w:szCs w:val="20"/>
                <w:color w:val="auto"/>
              </w:rPr>
            </w:pPr>
            <w:r>
              <w:rPr>
                <w:rFonts w:ascii="Arial" w:cs="Arial" w:eastAsia="Arial" w:hAnsi="Arial"/>
                <w:sz w:val="16"/>
                <w:szCs w:val="16"/>
                <w:color w:val="auto"/>
              </w:rPr>
              <w:t>or</w:t>
            </w:r>
          </w:p>
        </w:tc>
        <w:tc>
          <w:tcPr>
            <w:tcW w:w="620" w:type="dxa"/>
            <w:vAlign w:val="bottom"/>
          </w:tcPr>
          <w:p>
            <w:pPr>
              <w:ind w:left="40"/>
              <w:spacing w:after="0" w:line="150" w:lineRule="exact"/>
              <w:rPr>
                <w:sz w:val="20"/>
                <w:szCs w:val="20"/>
                <w:color w:val="auto"/>
              </w:rPr>
            </w:pPr>
            <w:r>
              <w:rPr>
                <w:rFonts w:ascii="Arial" w:cs="Arial" w:eastAsia="Arial" w:hAnsi="Arial"/>
                <w:sz w:val="16"/>
                <w:szCs w:val="16"/>
                <w:color w:val="auto"/>
                <w:w w:val="98"/>
              </w:rPr>
              <w:t>Partially</w:t>
            </w:r>
          </w:p>
        </w:tc>
        <w:tc>
          <w:tcPr>
            <w:tcW w:w="82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w w:val="95"/>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40" w:type="dxa"/>
            <w:vAlign w:val="bottom"/>
            <w:tcBorders>
              <w:right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2"/>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60</w:t>
            </w: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202180046463.X</w:t>
            </w:r>
          </w:p>
        </w:tc>
        <w:tc>
          <w:tcPr>
            <w:tcW w:w="1240" w:type="dxa"/>
            <w:vAlign w:val="bottom"/>
            <w:vMerge w:val="restart"/>
          </w:tcPr>
          <w:p>
            <w:pPr>
              <w:spacing w:after="0"/>
              <w:rPr>
                <w:sz w:val="20"/>
                <w:szCs w:val="20"/>
                <w:color w:val="auto"/>
              </w:rPr>
            </w:pPr>
            <w:r>
              <w:rPr>
                <w:rFonts w:ascii="Arial" w:cs="Arial" w:eastAsia="Arial" w:hAnsi="Arial"/>
                <w:sz w:val="16"/>
                <w:szCs w:val="16"/>
                <w:color w:val="auto"/>
              </w:rPr>
              <w:t>China</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1840" w:type="dxa"/>
            <w:vAlign w:val="bottom"/>
          </w:tcPr>
          <w:p>
            <w:pPr>
              <w:ind w:left="20"/>
              <w:spacing w:after="0" w:line="156" w:lineRule="exact"/>
              <w:rPr>
                <w:sz w:val="20"/>
                <w:szCs w:val="20"/>
                <w:color w:val="auto"/>
              </w:rPr>
            </w:pPr>
            <w:r>
              <w:rPr>
                <w:rFonts w:ascii="Arial" w:cs="Arial" w:eastAsia="Arial" w:hAnsi="Arial"/>
                <w:sz w:val="16"/>
                <w:szCs w:val="16"/>
                <w:color w:val="auto"/>
                <w:w w:val="96"/>
              </w:rPr>
              <w:t>Therapeutic Compositions</w:t>
            </w:r>
          </w:p>
        </w:tc>
        <w:tc>
          <w:tcPr>
            <w:tcW w:w="820" w:type="dxa"/>
            <w:vAlign w:val="bottom"/>
          </w:tcPr>
          <w:p>
            <w:pPr>
              <w:ind w:left="2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jc w:val="center"/>
              <w:spacing w:after="0" w:line="156" w:lineRule="exact"/>
              <w:rPr>
                <w:sz w:val="20"/>
                <w:szCs w:val="20"/>
                <w:color w:val="auto"/>
              </w:rPr>
            </w:pPr>
            <w:r>
              <w:rPr>
                <w:rFonts w:ascii="Arial" w:cs="Arial" w:eastAsia="Arial" w:hAnsi="Arial"/>
                <w:sz w:val="16"/>
                <w:szCs w:val="16"/>
                <w:color w:val="auto"/>
                <w:w w:val="88"/>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20" w:type="dxa"/>
            <w:vAlign w:val="bottom"/>
          </w:tcPr>
          <w:p>
            <w:pPr>
              <w:ind w:left="40"/>
              <w:spacing w:after="0" w:line="156" w:lineRule="exact"/>
              <w:rPr>
                <w:sz w:val="20"/>
                <w:szCs w:val="20"/>
                <w:color w:val="auto"/>
              </w:rPr>
            </w:pPr>
            <w:r>
              <w:rPr>
                <w:rFonts w:ascii="Arial" w:cs="Arial" w:eastAsia="Arial" w:hAnsi="Arial"/>
                <w:sz w:val="16"/>
                <w:szCs w:val="16"/>
                <w:color w:val="auto"/>
                <w:w w:val="98"/>
              </w:rPr>
              <w:t>Partially</w:t>
            </w:r>
          </w:p>
        </w:tc>
        <w:tc>
          <w:tcPr>
            <w:tcW w:w="8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w w:val="95"/>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40" w:type="dxa"/>
            <w:vAlign w:val="bottom"/>
            <w:tcBorders>
              <w:right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2"/>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w w:val="89"/>
              </w:rPr>
              <w:t>61</w:t>
            </w:r>
          </w:p>
        </w:tc>
        <w:tc>
          <w:tcPr>
            <w:tcW w:w="2040" w:type="dxa"/>
            <w:vAlign w:val="bottom"/>
            <w:tcBorders>
              <w:right w:val="single" w:sz="8" w:color="auto"/>
            </w:tcBorders>
          </w:tcPr>
          <w:p>
            <w:pPr>
              <w:spacing w:after="0" w:line="170" w:lineRule="exact"/>
              <w:rPr>
                <w:sz w:val="20"/>
                <w:szCs w:val="20"/>
                <w:color w:val="auto"/>
              </w:rPr>
            </w:pPr>
            <w:r>
              <w:rPr>
                <w:rFonts w:ascii="Arial" w:cs="Arial" w:eastAsia="Arial" w:hAnsi="Arial"/>
                <w:sz w:val="16"/>
                <w:szCs w:val="16"/>
                <w:color w:val="auto"/>
              </w:rPr>
              <w:t>202293451</w:t>
            </w:r>
          </w:p>
        </w:tc>
        <w:tc>
          <w:tcPr>
            <w:tcW w:w="1240" w:type="dxa"/>
            <w:vAlign w:val="bottom"/>
          </w:tcPr>
          <w:p>
            <w:pPr>
              <w:spacing w:after="0" w:line="170" w:lineRule="exact"/>
              <w:rPr>
                <w:sz w:val="20"/>
                <w:szCs w:val="20"/>
                <w:color w:val="auto"/>
              </w:rPr>
            </w:pPr>
            <w:r>
              <w:rPr>
                <w:rFonts w:ascii="Arial" w:cs="Arial" w:eastAsia="Arial" w:hAnsi="Arial"/>
                <w:sz w:val="16"/>
                <w:szCs w:val="16"/>
                <w:color w:val="auto"/>
              </w:rPr>
              <w:t>Eurasian</w:t>
            </w:r>
          </w:p>
        </w:tc>
        <w:tc>
          <w:tcPr>
            <w:tcW w:w="500" w:type="dxa"/>
            <w:vAlign w:val="bottom"/>
            <w:tcBorders>
              <w:right w:val="single" w:sz="8" w:color="auto"/>
            </w:tcBorders>
          </w:tcPr>
          <w:p>
            <w:pPr>
              <w:ind w:left="60"/>
              <w:spacing w:after="0" w:line="170" w:lineRule="exact"/>
              <w:rPr>
                <w:sz w:val="20"/>
                <w:szCs w:val="20"/>
                <w:color w:val="auto"/>
              </w:rPr>
            </w:pPr>
            <w:r>
              <w:rPr>
                <w:rFonts w:ascii="Arial" w:cs="Arial" w:eastAsia="Arial" w:hAnsi="Arial"/>
                <w:sz w:val="16"/>
                <w:szCs w:val="16"/>
                <w:color w:val="auto"/>
                <w:w w:val="86"/>
              </w:rPr>
              <w:t>Patent</w:t>
            </w:r>
          </w:p>
        </w:tc>
        <w:tc>
          <w:tcPr>
            <w:tcW w:w="2020" w:type="dxa"/>
            <w:vAlign w:val="bottom"/>
            <w:tcBorders>
              <w:right w:val="single" w:sz="8" w:color="auto"/>
            </w:tcBorders>
          </w:tcPr>
          <w:p>
            <w:pPr>
              <w:spacing w:after="0" w:line="170" w:lineRule="exact"/>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gridSpan w:val="6"/>
          </w:tcPr>
          <w:p>
            <w:pPr>
              <w:ind w:left="20"/>
              <w:spacing w:after="0" w:line="170" w:lineRule="exact"/>
              <w:rPr>
                <w:sz w:val="20"/>
                <w:szCs w:val="20"/>
                <w:color w:val="auto"/>
              </w:rPr>
            </w:pPr>
            <w:r>
              <w:rPr>
                <w:rFonts w:ascii="Arial" w:cs="Arial" w:eastAsia="Arial" w:hAnsi="Arial"/>
                <w:sz w:val="16"/>
                <w:szCs w:val="16"/>
                <w:color w:val="auto"/>
                <w:w w:val="97"/>
              </w:rPr>
              <w:t>Therapeutic Compositions Comprising Deuterated or Partially Deuterated</w:t>
            </w:r>
          </w:p>
        </w:tc>
        <w:tc>
          <w:tcPr>
            <w:tcW w:w="0" w:type="dxa"/>
            <w:vAlign w:val="bottom"/>
          </w:tcPr>
          <w:p>
            <w:pPr>
              <w:spacing w:after="0"/>
              <w:rPr>
                <w:sz w:val="1"/>
                <w:szCs w:val="1"/>
                <w:color w:val="auto"/>
              </w:rPr>
            </w:pPr>
          </w:p>
        </w:tc>
      </w:tr>
      <w:tr>
        <w:trPr>
          <w:trHeight w:val="205"/>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Organization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726" w:right="35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170"/>
        </w:trPr>
        <w:tc>
          <w:tcPr>
            <w:tcW w:w="320" w:type="dxa"/>
            <w:vAlign w:val="bottom"/>
            <w:tcBorders>
              <w:top w:val="single" w:sz="8" w:color="auto"/>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62</w:t>
            </w:r>
          </w:p>
        </w:tc>
        <w:tc>
          <w:tcPr>
            <w:tcW w:w="20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202217076779</w:t>
            </w:r>
          </w:p>
        </w:tc>
        <w:tc>
          <w:tcPr>
            <w:tcW w:w="12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India</w:t>
            </w:r>
          </w:p>
        </w:tc>
        <w:tc>
          <w:tcPr>
            <w:tcW w:w="500" w:type="dxa"/>
            <w:vAlign w:val="bottom"/>
            <w:tcBorders>
              <w:top w:val="single" w:sz="8" w:color="auto"/>
              <w:right w:val="single" w:sz="8" w:color="auto"/>
            </w:tcBorders>
          </w:tcPr>
          <w:p>
            <w:pPr>
              <w:spacing w:after="0"/>
              <w:rPr>
                <w:sz w:val="14"/>
                <w:szCs w:val="14"/>
                <w:color w:val="auto"/>
              </w:rPr>
            </w:pPr>
          </w:p>
        </w:tc>
        <w:tc>
          <w:tcPr>
            <w:tcW w:w="202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6"/>
                <w:szCs w:val="16"/>
                <w:color w:val="auto"/>
                <w:w w:val="94"/>
              </w:rPr>
              <w:t>Therapeutic</w:t>
            </w:r>
          </w:p>
        </w:tc>
        <w:tc>
          <w:tcPr>
            <w:tcW w:w="98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6"/>
                <w:szCs w:val="16"/>
                <w:color w:val="auto"/>
                <w:w w:val="94"/>
              </w:rPr>
              <w:t>Compositions</w:t>
            </w:r>
          </w:p>
        </w:tc>
        <w:tc>
          <w:tcPr>
            <w:tcW w:w="84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6"/>
                <w:szCs w:val="16"/>
                <w:color w:val="auto"/>
                <w:w w:val="96"/>
              </w:rPr>
              <w:t>Comprising</w:t>
            </w:r>
          </w:p>
        </w:tc>
        <w:tc>
          <w:tcPr>
            <w:tcW w:w="80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6"/>
                <w:szCs w:val="16"/>
                <w:color w:val="auto"/>
                <w:w w:val="90"/>
              </w:rPr>
              <w:t>Deuterated</w:t>
            </w:r>
          </w:p>
        </w:tc>
        <w:tc>
          <w:tcPr>
            <w:tcW w:w="22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6"/>
                <w:szCs w:val="16"/>
                <w:color w:val="auto"/>
              </w:rPr>
              <w:t>or</w:t>
            </w:r>
          </w:p>
        </w:tc>
        <w:tc>
          <w:tcPr>
            <w:tcW w:w="64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6"/>
                <w:szCs w:val="16"/>
                <w:color w:val="auto"/>
              </w:rPr>
              <w:t>Partially</w:t>
            </w:r>
          </w:p>
        </w:tc>
        <w:tc>
          <w:tcPr>
            <w:tcW w:w="800" w:type="dxa"/>
            <w:vAlign w:val="bottom"/>
            <w:tcBorders>
              <w:top w:val="single" w:sz="8" w:color="auto"/>
              <w:right w:val="single" w:sz="8" w:color="auto"/>
            </w:tcBorders>
          </w:tcPr>
          <w:p>
            <w:pPr>
              <w:ind w:left="40"/>
              <w:spacing w:after="0" w:line="170"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63</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298541</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Israel</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64</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MX/a/2022/014900</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Mexico</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65</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2020286709</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Australia</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66</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1120210243330</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Brazil</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67</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3,142,290</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Canada</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68</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202080050439.9</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China</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20" w:type="dxa"/>
            <w:vAlign w:val="bottom"/>
            <w:tcBorders>
              <w:left w:val="single" w:sz="8" w:color="auto"/>
              <w:right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w w:val="89"/>
              </w:rPr>
              <w:t>69</w:t>
            </w:r>
          </w:p>
        </w:tc>
        <w:tc>
          <w:tcPr>
            <w:tcW w:w="2020" w:type="dxa"/>
            <w:vAlign w:val="bottom"/>
            <w:tcBorders>
              <w:right w:val="single" w:sz="8" w:color="auto"/>
            </w:tcBorders>
          </w:tcPr>
          <w:p>
            <w:pPr>
              <w:spacing w:after="0" w:line="170" w:lineRule="exact"/>
              <w:rPr>
                <w:sz w:val="20"/>
                <w:szCs w:val="20"/>
                <w:color w:val="auto"/>
              </w:rPr>
            </w:pPr>
            <w:r>
              <w:rPr>
                <w:rFonts w:ascii="Arial" w:cs="Arial" w:eastAsia="Arial" w:hAnsi="Arial"/>
                <w:sz w:val="16"/>
                <w:szCs w:val="16"/>
                <w:color w:val="auto"/>
              </w:rPr>
              <w:t>202193338</w:t>
            </w:r>
          </w:p>
        </w:tc>
        <w:tc>
          <w:tcPr>
            <w:tcW w:w="1260" w:type="dxa"/>
            <w:vAlign w:val="bottom"/>
          </w:tcPr>
          <w:p>
            <w:pPr>
              <w:ind w:left="20"/>
              <w:spacing w:after="0" w:line="170" w:lineRule="exact"/>
              <w:rPr>
                <w:sz w:val="20"/>
                <w:szCs w:val="20"/>
                <w:color w:val="auto"/>
              </w:rPr>
            </w:pPr>
            <w:r>
              <w:rPr>
                <w:rFonts w:ascii="Arial" w:cs="Arial" w:eastAsia="Arial" w:hAnsi="Arial"/>
                <w:sz w:val="16"/>
                <w:szCs w:val="16"/>
                <w:color w:val="auto"/>
              </w:rPr>
              <w:t>Eurasian</w:t>
            </w:r>
          </w:p>
        </w:tc>
        <w:tc>
          <w:tcPr>
            <w:tcW w:w="500" w:type="dxa"/>
            <w:vAlign w:val="bottom"/>
            <w:tcBorders>
              <w:right w:val="single" w:sz="8" w:color="auto"/>
            </w:tcBorders>
          </w:tcPr>
          <w:p>
            <w:pPr>
              <w:ind w:left="60"/>
              <w:spacing w:after="0" w:line="170" w:lineRule="exact"/>
              <w:rPr>
                <w:sz w:val="20"/>
                <w:szCs w:val="20"/>
                <w:color w:val="auto"/>
              </w:rPr>
            </w:pPr>
            <w:r>
              <w:rPr>
                <w:rFonts w:ascii="Arial" w:cs="Arial" w:eastAsia="Arial" w:hAnsi="Arial"/>
                <w:sz w:val="16"/>
                <w:szCs w:val="16"/>
                <w:color w:val="auto"/>
                <w:w w:val="86"/>
              </w:rPr>
              <w:t>Patent</w:t>
            </w:r>
          </w:p>
        </w:tc>
        <w:tc>
          <w:tcPr>
            <w:tcW w:w="2020" w:type="dxa"/>
            <w:vAlign w:val="bottom"/>
            <w:tcBorders>
              <w:right w:val="single" w:sz="8" w:color="auto"/>
            </w:tcBorders>
          </w:tcPr>
          <w:p>
            <w:pPr>
              <w:spacing w:after="0" w:line="170" w:lineRule="exact"/>
              <w:rPr>
                <w:sz w:val="20"/>
                <w:szCs w:val="20"/>
                <w:color w:val="auto"/>
              </w:rPr>
            </w:pPr>
            <w:r>
              <w:rPr>
                <w:rFonts w:ascii="Arial" w:cs="Arial" w:eastAsia="Arial" w:hAnsi="Arial"/>
                <w:sz w:val="16"/>
                <w:szCs w:val="16"/>
                <w:color w:val="auto"/>
              </w:rPr>
              <w:t>Pending</w:t>
            </w:r>
          </w:p>
        </w:tc>
        <w:tc>
          <w:tcPr>
            <w:tcW w:w="5120" w:type="dxa"/>
            <w:vAlign w:val="bottom"/>
            <w:tcBorders>
              <w:right w:val="single" w:sz="8" w:color="auto"/>
            </w:tcBorders>
            <w:gridSpan w:val="7"/>
          </w:tcPr>
          <w:p>
            <w:pPr>
              <w:ind w:left="20"/>
              <w:spacing w:after="0" w:line="170" w:lineRule="exact"/>
              <w:rPr>
                <w:sz w:val="20"/>
                <w:szCs w:val="20"/>
                <w:color w:val="auto"/>
              </w:rPr>
            </w:pPr>
            <w:r>
              <w:rPr>
                <w:rFonts w:ascii="Arial" w:cs="Arial" w:eastAsia="Arial" w:hAnsi="Arial"/>
                <w:sz w:val="16"/>
                <w:szCs w:val="16"/>
                <w:color w:val="auto"/>
                <w:w w:val="97"/>
              </w:rPr>
              <w:t>Therapeutic Compositions Comprising Deuterated or Partially Deuterated</w:t>
            </w:r>
          </w:p>
        </w:tc>
        <w:tc>
          <w:tcPr>
            <w:tcW w:w="0" w:type="dxa"/>
            <w:vAlign w:val="bottom"/>
          </w:tcPr>
          <w:p>
            <w:pPr>
              <w:spacing w:after="0"/>
              <w:rPr>
                <w:sz w:val="1"/>
                <w:szCs w:val="1"/>
                <w:color w:val="auto"/>
              </w:rPr>
            </w:pPr>
          </w:p>
        </w:tc>
      </w:tr>
      <w:tr>
        <w:trPr>
          <w:trHeight w:val="205"/>
        </w:trPr>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Organization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70</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22173907.1</w:t>
            </w:r>
          </w:p>
        </w:tc>
        <w:tc>
          <w:tcPr>
            <w:tcW w:w="17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0"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0"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0"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0"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0"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0"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0"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gridSpan w:val="2"/>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71</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202117056219</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India</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72</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288617</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Israel</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73</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2021-571882</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Japan</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74</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MX/a/2021/014728</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Mexico</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75</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783166</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rPr>
              <w:t>New Zealand</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76</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10-2021-7043410</w:t>
            </w:r>
          </w:p>
        </w:tc>
        <w:tc>
          <w:tcPr>
            <w:tcW w:w="1260" w:type="dxa"/>
            <w:vAlign w:val="bottom"/>
            <w:vMerge w:val="restart"/>
          </w:tcPr>
          <w:p>
            <w:pPr>
              <w:ind w:left="20"/>
              <w:spacing w:after="0"/>
              <w:rPr>
                <w:sz w:val="20"/>
                <w:szCs w:val="20"/>
                <w:color w:val="auto"/>
              </w:rPr>
            </w:pPr>
            <w:r>
              <w:rPr>
                <w:rFonts w:ascii="Arial" w:cs="Arial" w:eastAsia="Arial" w:hAnsi="Arial"/>
                <w:sz w:val="16"/>
                <w:szCs w:val="16"/>
                <w:color w:val="auto"/>
                <w:w w:val="95"/>
              </w:rPr>
              <w:t>Republic of Korea</w:t>
            </w:r>
          </w:p>
        </w:tc>
        <w:tc>
          <w:tcPr>
            <w:tcW w:w="50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89"/>
              </w:rPr>
              <w:t>77</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17/616,345</w:t>
            </w:r>
          </w:p>
        </w:tc>
        <w:tc>
          <w:tcPr>
            <w:tcW w:w="17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Pending</w:t>
            </w:r>
          </w:p>
        </w:tc>
        <w:tc>
          <w:tcPr>
            <w:tcW w:w="840" w:type="dxa"/>
            <w:vAlign w:val="bottom"/>
          </w:tcPr>
          <w:p>
            <w:pPr>
              <w:ind w:left="20"/>
              <w:spacing w:after="0" w:line="156" w:lineRule="exact"/>
              <w:rPr>
                <w:sz w:val="20"/>
                <w:szCs w:val="20"/>
                <w:color w:val="auto"/>
              </w:rPr>
            </w:pPr>
            <w:r>
              <w:rPr>
                <w:rFonts w:ascii="Arial" w:cs="Arial" w:eastAsia="Arial" w:hAnsi="Arial"/>
                <w:sz w:val="16"/>
                <w:szCs w:val="16"/>
                <w:color w:val="auto"/>
                <w:w w:val="94"/>
              </w:rPr>
              <w:t>Therapeutic</w:t>
            </w:r>
          </w:p>
        </w:tc>
        <w:tc>
          <w:tcPr>
            <w:tcW w:w="980" w:type="dxa"/>
            <w:vAlign w:val="bottom"/>
          </w:tcPr>
          <w:p>
            <w:pPr>
              <w:ind w:left="40"/>
              <w:spacing w:after="0" w:line="156" w:lineRule="exact"/>
              <w:rPr>
                <w:sz w:val="20"/>
                <w:szCs w:val="20"/>
                <w:color w:val="auto"/>
              </w:rPr>
            </w:pPr>
            <w:r>
              <w:rPr>
                <w:rFonts w:ascii="Arial" w:cs="Arial" w:eastAsia="Arial" w:hAnsi="Arial"/>
                <w:sz w:val="16"/>
                <w:szCs w:val="16"/>
                <w:color w:val="auto"/>
                <w:w w:val="94"/>
              </w:rPr>
              <w:t>Compositions</w:t>
            </w:r>
          </w:p>
        </w:tc>
        <w:tc>
          <w:tcPr>
            <w:tcW w:w="840" w:type="dxa"/>
            <w:vAlign w:val="bottom"/>
          </w:tcPr>
          <w:p>
            <w:pPr>
              <w:ind w:left="40"/>
              <w:spacing w:after="0" w:line="156" w:lineRule="exact"/>
              <w:rPr>
                <w:sz w:val="20"/>
                <w:szCs w:val="20"/>
                <w:color w:val="auto"/>
              </w:rPr>
            </w:pPr>
            <w:r>
              <w:rPr>
                <w:rFonts w:ascii="Arial" w:cs="Arial" w:eastAsia="Arial" w:hAnsi="Arial"/>
                <w:sz w:val="16"/>
                <w:szCs w:val="16"/>
                <w:color w:val="auto"/>
                <w:w w:val="96"/>
              </w:rPr>
              <w:t>Comprising</w:t>
            </w:r>
          </w:p>
        </w:tc>
        <w:tc>
          <w:tcPr>
            <w:tcW w:w="800" w:type="dxa"/>
            <w:vAlign w:val="bottom"/>
          </w:tcPr>
          <w:p>
            <w:pPr>
              <w:ind w:left="60"/>
              <w:spacing w:after="0" w:line="156" w:lineRule="exact"/>
              <w:rPr>
                <w:sz w:val="20"/>
                <w:szCs w:val="20"/>
                <w:color w:val="auto"/>
              </w:rPr>
            </w:pPr>
            <w:r>
              <w:rPr>
                <w:rFonts w:ascii="Arial" w:cs="Arial" w:eastAsia="Arial" w:hAnsi="Arial"/>
                <w:sz w:val="16"/>
                <w:szCs w:val="16"/>
                <w:color w:val="auto"/>
                <w:w w:val="90"/>
              </w:rPr>
              <w:t>Deuterated</w:t>
            </w:r>
          </w:p>
        </w:tc>
        <w:tc>
          <w:tcPr>
            <w:tcW w:w="220" w:type="dxa"/>
            <w:vAlign w:val="bottom"/>
          </w:tcPr>
          <w:p>
            <w:pPr>
              <w:ind w:left="40"/>
              <w:spacing w:after="0" w:line="156" w:lineRule="exact"/>
              <w:rPr>
                <w:sz w:val="20"/>
                <w:szCs w:val="20"/>
                <w:color w:val="auto"/>
              </w:rPr>
            </w:pPr>
            <w:r>
              <w:rPr>
                <w:rFonts w:ascii="Arial" w:cs="Arial" w:eastAsia="Arial" w:hAnsi="Arial"/>
                <w:sz w:val="16"/>
                <w:szCs w:val="16"/>
                <w:color w:val="auto"/>
              </w:rPr>
              <w:t>or</w:t>
            </w:r>
          </w:p>
        </w:tc>
        <w:tc>
          <w:tcPr>
            <w:tcW w:w="640" w:type="dxa"/>
            <w:vAlign w:val="bottom"/>
          </w:tcPr>
          <w:p>
            <w:pPr>
              <w:ind w:left="40"/>
              <w:spacing w:after="0" w:line="156" w:lineRule="exact"/>
              <w:rPr>
                <w:sz w:val="20"/>
                <w:szCs w:val="20"/>
                <w:color w:val="auto"/>
              </w:rPr>
            </w:pPr>
            <w:r>
              <w:rPr>
                <w:rFonts w:ascii="Arial" w:cs="Arial" w:eastAsia="Arial" w:hAnsi="Arial"/>
                <w:sz w:val="16"/>
                <w:szCs w:val="16"/>
                <w:color w:val="auto"/>
              </w:rPr>
              <w:t>Partially</w:t>
            </w:r>
          </w:p>
        </w:tc>
        <w:tc>
          <w:tcPr>
            <w:tcW w:w="800" w:type="dxa"/>
            <w:vAlign w:val="bottom"/>
            <w:tcBorders>
              <w:right w:val="single" w:sz="8" w:color="auto"/>
            </w:tcBorders>
          </w:tcPr>
          <w:p>
            <w:pPr>
              <w:ind w:left="40"/>
              <w:spacing w:after="0" w:line="156" w:lineRule="exact"/>
              <w:rPr>
                <w:sz w:val="20"/>
                <w:szCs w:val="20"/>
                <w:color w:val="auto"/>
              </w:rPr>
            </w:pPr>
            <w:r>
              <w:rPr>
                <w:rFonts w:ascii="Arial" w:cs="Arial" w:eastAsia="Arial" w:hAnsi="Arial"/>
                <w:sz w:val="16"/>
                <w:szCs w:val="16"/>
                <w:color w:val="auto"/>
                <w:w w:val="90"/>
              </w:rPr>
              <w:t>Deuterated</w:t>
            </w:r>
          </w:p>
        </w:tc>
        <w:tc>
          <w:tcPr>
            <w:tcW w:w="0" w:type="dxa"/>
            <w:vAlign w:val="bottom"/>
          </w:tcPr>
          <w:p>
            <w:pPr>
              <w:spacing w:after="0"/>
              <w:rPr>
                <w:sz w:val="1"/>
                <w:szCs w:val="1"/>
                <w:color w:val="auto"/>
              </w:rPr>
            </w:pPr>
          </w:p>
        </w:tc>
      </w:tr>
      <w:tr>
        <w:trPr>
          <w:trHeight w:val="133"/>
        </w:trPr>
        <w:tc>
          <w:tcPr>
            <w:tcW w:w="320" w:type="dxa"/>
            <w:vAlign w:val="bottom"/>
            <w:tcBorders>
              <w:left w:val="single" w:sz="8" w:color="auto"/>
              <w:right w:val="single" w:sz="8" w:color="auto"/>
            </w:tcBorders>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gridSpan w:val="2"/>
            <w:vMerge w:val="continue"/>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660" w:type="dxa"/>
            <w:vAlign w:val="bottom"/>
            <w:gridSpan w:val="3"/>
            <w:vMerge w:val="restart"/>
          </w:tcPr>
          <w:p>
            <w:pPr>
              <w:ind w:left="20"/>
              <w:spacing w:after="0"/>
              <w:rPr>
                <w:sz w:val="20"/>
                <w:szCs w:val="20"/>
                <w:color w:val="auto"/>
              </w:rPr>
            </w:pPr>
            <w:r>
              <w:rPr>
                <w:rFonts w:ascii="Arial" w:cs="Arial" w:eastAsia="Arial" w:hAnsi="Arial"/>
                <w:sz w:val="16"/>
                <w:szCs w:val="16"/>
                <w:color w:val="auto"/>
              </w:rPr>
              <w:t>N,N-Dimethyltryptamine Compounds</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20" w:type="dxa"/>
            <w:vAlign w:val="bottom"/>
            <w:tcBorders>
              <w:left w:val="single" w:sz="8" w:color="auto"/>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0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2660" w:type="dxa"/>
            <w:vAlign w:val="bottom"/>
            <w:tcBorders>
              <w:bottom w:val="single" w:sz="8" w:color="auto"/>
            </w:tcBorders>
            <w:gridSpan w:val="3"/>
            <w:vMerge w:val="continue"/>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78</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2021284861</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Australia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79</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21725377.2</w:t>
            </w:r>
          </w:p>
        </w:tc>
        <w:tc>
          <w:tcPr>
            <w:tcW w:w="17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European Patent Office</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80</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202217076899</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India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81</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298542</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Israel</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82</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2022-574098</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Japan</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83</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794813</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New Zealand</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84</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3,118,556</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Canada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85</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202180046533.1</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China</w:t>
            </w:r>
          </w:p>
        </w:tc>
        <w:tc>
          <w:tcPr>
            <w:tcW w:w="50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26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Therapeutic Solid Dosage Forms</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726" w:right="35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18"/>
        </w:trPr>
        <w:tc>
          <w:tcPr>
            <w:tcW w:w="320" w:type="dxa"/>
            <w:vAlign w:val="bottom"/>
            <w:tcBorders>
              <w:top w:val="single" w:sz="8" w:color="auto"/>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86</w:t>
            </w:r>
          </w:p>
        </w:tc>
        <w:tc>
          <w:tcPr>
            <w:tcW w:w="20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17/320,155</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6"/>
              </w:rPr>
              <w:t>United States of America</w:t>
            </w:r>
          </w:p>
        </w:tc>
        <w:tc>
          <w:tcPr>
            <w:tcW w:w="20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Therapeutic Solid Dosage Forms</w:t>
            </w:r>
          </w:p>
        </w:tc>
      </w:tr>
      <w:tr>
        <w:trPr>
          <w:trHeight w:val="198"/>
        </w:trPr>
        <w:tc>
          <w:tcPr>
            <w:tcW w:w="320" w:type="dxa"/>
            <w:vAlign w:val="bottom"/>
            <w:tcBorders>
              <w:left w:val="single" w:sz="8" w:color="auto"/>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w w:val="89"/>
              </w:rPr>
              <w:t>87</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2302237.9</w:t>
            </w:r>
          </w:p>
        </w:tc>
        <w:tc>
          <w:tcPr>
            <w:tcW w:w="1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United Kingdom</w:t>
            </w:r>
          </w:p>
        </w:tc>
        <w:tc>
          <w:tcPr>
            <w:tcW w:w="2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Pending</w:t>
            </w:r>
          </w:p>
        </w:tc>
        <w:tc>
          <w:tcPr>
            <w:tcW w:w="5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Tryptophan-Based Compounds</w:t>
            </w:r>
          </w:p>
        </w:tc>
      </w:tr>
    </w:tbl>
    <w:p>
      <w:pPr>
        <w:spacing w:after="0" w:line="313" w:lineRule="exact"/>
        <w:rPr>
          <w:sz w:val="20"/>
          <w:szCs w:val="20"/>
          <w:color w:val="auto"/>
        </w:rPr>
      </w:pPr>
    </w:p>
    <w:p>
      <w:pPr>
        <w:jc w:val="both"/>
        <w:spacing w:after="0" w:line="314" w:lineRule="auto"/>
        <w:rPr>
          <w:sz w:val="20"/>
          <w:szCs w:val="20"/>
          <w:color w:val="auto"/>
        </w:rPr>
      </w:pPr>
      <w:r>
        <w:rPr>
          <w:rFonts w:ascii="Arial" w:cs="Arial" w:eastAsia="Arial" w:hAnsi="Arial"/>
          <w:sz w:val="17"/>
          <w:szCs w:val="17"/>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drug delivery platforms for administration of the psychedelic drugs with faster onset of action, higher bioavailability by way of bypassing liver metabolism, more controlled delivery for better patient experience, and optimized therapeutic outcomes.</w:t>
      </w:r>
    </w:p>
    <w:p>
      <w:pPr>
        <w:spacing w:after="0" w:line="18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Additionally, the Company has entered into multiple licensing agreements that provide the Company with additional access to IP from over 20 more patents or patent applications,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 xml:space="preserve">The Company has also filed applications for registration of twenty-six trademarks, including Changing Minds®, Cybin®, Embark®It’s not magic. It’s mushrooms™, It’s not magic, its science™, Journey™, Mushroom &amp; Friends™, Psilotonin™, Psychedelics to Therapeutics®, MindClef™, CYB™, and Revolutionizing Mental Healthcare™. The Company has registered the CYBIN trademark in the </w:t>
      </w:r>
      <w:r>
        <w:rPr>
          <w:rFonts w:ascii="Arial" w:cs="Arial" w:eastAsia="Arial" w:hAnsi="Arial"/>
          <w:sz w:val="19"/>
          <w:szCs w:val="19"/>
          <w:color w:val="auto"/>
        </w:rPr>
        <w:t>EU</w:t>
      </w:r>
      <w:r>
        <w:rPr>
          <w:rFonts w:ascii="Arial" w:cs="Arial" w:eastAsia="Arial" w:hAnsi="Arial"/>
          <w:sz w:val="18"/>
          <w:szCs w:val="18"/>
          <w:color w:val="auto"/>
        </w:rPr>
        <w:t xml:space="preserve"> (reg. 18495520), the UK (reg. UK00003656496), and the US (reg. 6,852,975) the mark PSYCHEDELICS TO THERAPEUTICS in the UK (reg. UK00003717706), the mark CHANGING MINDS in Canada (TMA1195700), and the mark EMBARK in Canada (TMA1196747).</w:t>
      </w:r>
    </w:p>
    <w:p>
      <w:pPr>
        <w:spacing w:after="0" w:line="202" w:lineRule="exact"/>
        <w:rPr>
          <w:sz w:val="20"/>
          <w:szCs w:val="20"/>
          <w:color w:val="auto"/>
        </w:rPr>
      </w:pPr>
    </w:p>
    <w:p>
      <w:pPr>
        <w:jc w:val="both"/>
        <w:ind w:right="20"/>
        <w:spacing w:after="0" w:line="306" w:lineRule="auto"/>
        <w:rPr>
          <w:sz w:val="20"/>
          <w:szCs w:val="20"/>
          <w:color w:val="auto"/>
        </w:rPr>
      </w:pPr>
      <w:r>
        <w:rPr>
          <w:rFonts w:ascii="Arial" w:cs="Arial" w:eastAsia="Arial" w:hAnsi="Arial"/>
          <w:sz w:val="18"/>
          <w:szCs w:val="18"/>
          <w:color w:val="auto"/>
        </w:rPr>
        <w:t>As a result of the Arrangement, the Company has registered trademarks with the United Kingdom Intellectual Property Office (registration no. UK00003244617) and the United States Patent and Trademark Office (the “</w:t>
      </w:r>
      <w:r>
        <w:rPr>
          <w:rFonts w:ascii="Arial" w:cs="Arial" w:eastAsia="Arial" w:hAnsi="Arial"/>
          <w:sz w:val="19"/>
          <w:szCs w:val="19"/>
          <w:b w:val="1"/>
          <w:bCs w:val="1"/>
          <w:color w:val="auto"/>
        </w:rPr>
        <w:t>USPTO</w:t>
      </w:r>
      <w:r>
        <w:rPr>
          <w:rFonts w:ascii="Arial" w:cs="Arial" w:eastAsia="Arial" w:hAnsi="Arial"/>
          <w:sz w:val="18"/>
          <w:szCs w:val="18"/>
          <w:color w:val="auto"/>
        </w:rPr>
        <w:t>”) (registration no. 3244617), and has filed an application for registration with the Canadian Intellectual Property Office (application no 2084387).</w:t>
      </w:r>
    </w:p>
    <w:p>
      <w:pPr>
        <w:spacing w:after="0" w:line="176"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60" w:lineRule="exact"/>
        <w:rPr>
          <w:sz w:val="20"/>
          <w:szCs w:val="20"/>
          <w:color w:val="auto"/>
        </w:rPr>
      </w:pPr>
    </w:p>
    <w:p>
      <w:pPr>
        <w:jc w:val="both"/>
        <w:ind w:right="20"/>
        <w:spacing w:after="0" w:line="335" w:lineRule="auto"/>
        <w:rPr>
          <w:sz w:val="20"/>
          <w:szCs w:val="20"/>
          <w:color w:val="auto"/>
        </w:rPr>
      </w:pPr>
      <w:r>
        <w:rPr>
          <w:rFonts w:ascii="Arial" w:cs="Arial" w:eastAsia="Arial" w:hAnsi="Arial"/>
          <w:sz w:val="17"/>
          <w:szCs w:val="17"/>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Framework and Licensing Regime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266"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320" w:top="726" w:right="319" w:bottom="1440" w:gutter="0" w:footer="0" w:header="0"/>
        </w:sectPr>
      </w:pPr>
    </w:p>
    <w:bookmarkStart w:id="55" w:name="page56"/>
    <w:bookmarkEnd w:id="55"/>
    <w:p>
      <w:pPr>
        <w:jc w:val="both"/>
        <w:spacing w:after="0" w:line="317" w:lineRule="auto"/>
        <w:rPr>
          <w:sz w:val="20"/>
          <w:szCs w:val="20"/>
          <w:color w:val="auto"/>
        </w:rPr>
      </w:pPr>
      <w:r>
        <w:rPr>
          <w:rFonts w:ascii="Arial" w:cs="Arial" w:eastAsia="Arial" w:hAnsi="Arial"/>
          <w:sz w:val="18"/>
          <w:szCs w:val="18"/>
          <w:color w:val="auto"/>
        </w:rPr>
        <w:t>health professionals such as doctors, psychologists, psychotherapists and nurse practitioners. Regulation is generally overseen by various colleges formed for that purpose, such as the College of Physicians and Surgeons of Ontario.</w:t>
      </w:r>
    </w:p>
    <w:p>
      <w:pPr>
        <w:spacing w:after="0" w:line="144"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 xml:space="preserve">Certain psychoactive compounds, such as psilocybin, are considered controlled substances under Schedule III of the </w:t>
      </w:r>
      <w:r>
        <w:rPr>
          <w:rFonts w:ascii="Arial" w:cs="Arial" w:eastAsia="Arial" w:hAnsi="Arial"/>
          <w:sz w:val="17"/>
          <w:szCs w:val="17"/>
          <w:i w:val="1"/>
          <w:iCs w:val="1"/>
          <w:color w:val="auto"/>
        </w:rPr>
        <w:t>Controlled Drugs and Substances Act</w:t>
      </w:r>
      <w:r>
        <w:rPr>
          <w:rFonts w:ascii="Arial" w:cs="Arial" w:eastAsia="Arial" w:hAnsi="Arial"/>
          <w:sz w:val="17"/>
          <w:szCs w:val="17"/>
          <w:color w:val="auto"/>
        </w:rPr>
        <w:t xml:space="preserve"> (Canada) (the “</w:t>
      </w:r>
      <w:r>
        <w:rPr>
          <w:rFonts w:ascii="Arial" w:cs="Arial" w:eastAsia="Arial" w:hAnsi="Arial"/>
          <w:sz w:val="17"/>
          <w:szCs w:val="17"/>
          <w:b w:val="1"/>
          <w:bCs w:val="1"/>
          <w:color w:val="auto"/>
        </w:rPr>
        <w:t>CDSA</w:t>
      </w:r>
      <w:r>
        <w:rPr>
          <w:rFonts w:ascii="Arial" w:cs="Arial" w:eastAsia="Arial" w:hAnsi="Arial"/>
          <w:sz w:val="17"/>
          <w:szCs w:val="17"/>
          <w:color w:val="auto"/>
        </w:rPr>
        <w:t>”). In order to conduct any scientific research, including preclinical and clinical trials, using psychoactive compounds listed as controlled substances under the CDSA, an exemption under Section 56 of the CDSA (“</w:t>
      </w:r>
      <w:r>
        <w:rPr>
          <w:rFonts w:ascii="Arial" w:cs="Arial" w:eastAsia="Arial" w:hAnsi="Arial"/>
          <w:sz w:val="17"/>
          <w:szCs w:val="17"/>
          <w:b w:val="1"/>
          <w:bCs w:val="1"/>
          <w:color w:val="auto"/>
        </w:rPr>
        <w:t>Section 56 Exemption</w:t>
      </w:r>
      <w:r>
        <w:rPr>
          <w:rFonts w:ascii="Arial" w:cs="Arial" w:eastAsia="Arial" w:hAnsi="Arial"/>
          <w:sz w:val="17"/>
          <w:szCs w:val="17"/>
          <w:color w:val="auto"/>
        </w:rPr>
        <w:t>”) is required.</w:t>
      </w:r>
    </w:p>
    <w:p>
      <w:pPr>
        <w:spacing w:after="0" w:line="130"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Health Canada has not approved psilocybin as a drug for any indication. However, there are legal routes through which psilocybin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Arial" w:cs="Arial" w:eastAsia="Arial" w:hAnsi="Arial"/>
          <w:sz w:val="18"/>
          <w:szCs w:val="18"/>
          <w:b w:val="1"/>
          <w:bCs w:val="1"/>
          <w:color w:val="auto"/>
        </w:rPr>
        <w:t>SAP</w:t>
      </w:r>
      <w:r>
        <w:rPr>
          <w:rFonts w:ascii="Arial" w:cs="Arial" w:eastAsia="Arial" w:hAnsi="Arial"/>
          <w:sz w:val="17"/>
          <w:szCs w:val="17"/>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200" w:lineRule="exact"/>
        <w:rPr>
          <w:sz w:val="20"/>
          <w:szCs w:val="20"/>
          <w:color w:val="auto"/>
        </w:rPr>
      </w:pPr>
    </w:p>
    <w:p>
      <w:pPr>
        <w:jc w:val="both"/>
        <w:spacing w:after="0" w:line="387" w:lineRule="auto"/>
        <w:rPr>
          <w:sz w:val="20"/>
          <w:szCs w:val="20"/>
          <w:color w:val="auto"/>
        </w:rPr>
      </w:pPr>
      <w:r>
        <w:rPr>
          <w:rFonts w:ascii="Arial" w:cs="Arial" w:eastAsia="Arial" w:hAnsi="Arial"/>
          <w:sz w:val="16"/>
          <w:szCs w:val="16"/>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4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29" w:right="339" w:bottom="1440" w:gutter="0" w:footer="0" w:header="0"/>
        </w:sectPr>
      </w:pPr>
    </w:p>
    <w:bookmarkStart w:id="56" w:name="page57"/>
    <w:bookmarkEnd w:id="56"/>
    <w:p>
      <w:pPr>
        <w:jc w:val="both"/>
        <w:ind w:left="3" w:right="20"/>
        <w:spacing w:after="0" w:line="251" w:lineRule="auto"/>
        <w:rPr>
          <w:sz w:val="20"/>
          <w:szCs w:val="20"/>
          <w:color w:val="auto"/>
        </w:rPr>
      </w:pPr>
      <w:r>
        <w:rPr>
          <w:rFonts w:ascii="Arial" w:cs="Arial" w:eastAsia="Arial" w:hAnsi="Arial"/>
          <w:sz w:val="18"/>
          <w:szCs w:val="18"/>
          <w:color w:val="auto"/>
        </w:rPr>
        <w:t>development</w:t>
      </w:r>
      <w:r>
        <w:rPr>
          <w:rFonts w:ascii="Arial" w:cs="Arial" w:eastAsia="Arial" w:hAnsi="Arial"/>
          <w:sz w:val="23"/>
          <w:szCs w:val="23"/>
          <w:color w:val="auto"/>
          <w:vertAlign w:val="superscript"/>
        </w:rPr>
        <w:t>28</w:t>
      </w:r>
      <w:r>
        <w:rPr>
          <w:rFonts w:ascii="Arial" w:cs="Arial" w:eastAsia="Arial" w:hAnsi="Arial"/>
          <w:sz w:val="18"/>
          <w:szCs w:val="18"/>
          <w:color w:val="auto"/>
        </w:rPr>
        <w:t>. Anticipated timelines related to regulatory filings are based on reasonable assumptions informed by current knowledge and information available to the Company.</w:t>
      </w:r>
    </w:p>
    <w:p>
      <w:pPr>
        <w:spacing w:after="0" w:line="218" w:lineRule="exact"/>
        <w:rPr>
          <w:sz w:val="20"/>
          <w:szCs w:val="20"/>
          <w:color w:val="auto"/>
        </w:rPr>
      </w:pPr>
    </w:p>
    <w:p>
      <w:pPr>
        <w:jc w:val="both"/>
        <w:ind w:left="3"/>
        <w:spacing w:after="0" w:line="331" w:lineRule="auto"/>
        <w:rPr>
          <w:sz w:val="20"/>
          <w:szCs w:val="20"/>
          <w:color w:val="auto"/>
        </w:rPr>
      </w:pPr>
      <w:r>
        <w:rPr>
          <w:rFonts w:ascii="Arial" w:cs="Arial" w:eastAsia="Arial" w:hAnsi="Arial"/>
          <w:sz w:val="16"/>
          <w:szCs w:val="16"/>
          <w:color w:val="auto"/>
        </w:rPr>
        <w:t>Psilocybin, psilocin, DMT, and 5-Methoxy-DMT are strictly controlled under the federal Controlled Substances Act, 21 U.S.C. §801, et. seq. (“</w:t>
      </w:r>
      <w:r>
        <w:rPr>
          <w:rFonts w:ascii="Arial" w:cs="Arial" w:eastAsia="Arial" w:hAnsi="Arial"/>
          <w:sz w:val="16"/>
          <w:szCs w:val="16"/>
          <w:b w:val="1"/>
          <w:bCs w:val="1"/>
          <w:color w:val="auto"/>
        </w:rPr>
        <w:t>CSA</w:t>
      </w:r>
      <w:r>
        <w:rPr>
          <w:rFonts w:ascii="Arial" w:cs="Arial" w:eastAsia="Arial" w:hAnsi="Arial"/>
          <w:sz w:val="16"/>
          <w:szCs w:val="16"/>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Europe/Netherlands</w:t>
      </w:r>
    </w:p>
    <w:p>
      <w:pPr>
        <w:spacing w:after="0" w:line="262" w:lineRule="exact"/>
        <w:rPr>
          <w:sz w:val="20"/>
          <w:szCs w:val="20"/>
          <w:color w:val="auto"/>
        </w:rPr>
      </w:pPr>
    </w:p>
    <w:p>
      <w:pPr>
        <w:jc w:val="both"/>
        <w:ind w:left="3" w:right="20"/>
        <w:spacing w:after="0" w:line="335" w:lineRule="auto"/>
        <w:rPr>
          <w:sz w:val="20"/>
          <w:szCs w:val="20"/>
          <w:color w:val="auto"/>
        </w:rPr>
      </w:pPr>
      <w:r>
        <w:rPr>
          <w:rFonts w:ascii="Arial" w:cs="Arial" w:eastAsia="Arial" w:hAnsi="Arial"/>
          <w:sz w:val="16"/>
          <w:szCs w:val="16"/>
          <w:color w:val="auto"/>
        </w:rPr>
        <w:t>The International Narcotics Control Board (“</w:t>
      </w:r>
      <w:r>
        <w:rPr>
          <w:rFonts w:ascii="Arial" w:cs="Arial" w:eastAsia="Arial" w:hAnsi="Arial"/>
          <w:sz w:val="16"/>
          <w:szCs w:val="16"/>
          <w:b w:val="1"/>
          <w:bCs w:val="1"/>
          <w:color w:val="auto"/>
        </w:rPr>
        <w:t>INCB</w:t>
      </w:r>
      <w:r>
        <w:rPr>
          <w:rFonts w:ascii="Arial" w:cs="Arial" w:eastAsia="Arial" w:hAnsi="Arial"/>
          <w:sz w:val="16"/>
          <w:szCs w:val="16"/>
          <w:color w:val="auto"/>
        </w:rPr>
        <w:t>”), a United Nations (“</w:t>
      </w:r>
      <w:r>
        <w:rPr>
          <w:rFonts w:ascii="Arial" w:cs="Arial" w:eastAsia="Arial" w:hAnsi="Arial"/>
          <w:sz w:val="16"/>
          <w:szCs w:val="16"/>
          <w:b w:val="1"/>
          <w:bCs w:val="1"/>
          <w:color w:val="auto"/>
        </w:rPr>
        <w:t>UN</w:t>
      </w:r>
      <w:r>
        <w:rPr>
          <w:rFonts w:ascii="Arial" w:cs="Arial" w:eastAsia="Arial" w:hAnsi="Arial"/>
          <w:sz w:val="16"/>
          <w:szCs w:val="16"/>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75" w:lineRule="exact"/>
        <w:rPr>
          <w:sz w:val="20"/>
          <w:szCs w:val="20"/>
          <w:color w:val="auto"/>
        </w:rPr>
      </w:pPr>
    </w:p>
    <w:p>
      <w:pPr>
        <w:jc w:val="both"/>
        <w:ind w:left="3" w:right="20"/>
        <w:spacing w:after="0" w:line="333" w:lineRule="auto"/>
        <w:rPr>
          <w:sz w:val="20"/>
          <w:szCs w:val="20"/>
          <w:color w:val="auto"/>
        </w:rPr>
      </w:pPr>
      <w:r>
        <w:rPr>
          <w:rFonts w:ascii="Arial" w:cs="Arial" w:eastAsia="Arial" w:hAnsi="Arial"/>
          <w:sz w:val="16"/>
          <w:szCs w:val="16"/>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66" w:lineRule="exact"/>
        <w:rPr>
          <w:sz w:val="20"/>
          <w:szCs w:val="20"/>
          <w:color w:val="auto"/>
        </w:rPr>
      </w:pPr>
    </w:p>
    <w:p>
      <w:pPr>
        <w:ind w:left="583" w:hanging="292"/>
        <w:spacing w:after="0" w:line="288" w:lineRule="auto"/>
        <w:tabs>
          <w:tab w:leader="none" w:pos="5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43" w:hanging="252"/>
        <w:spacing w:after="0"/>
        <w:tabs>
          <w:tab w:leader="none" w:pos="5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manufacture, trade, distribution and possession be under a special licence or prior authorization;</w:t>
      </w:r>
    </w:p>
    <w:p>
      <w:pPr>
        <w:spacing w:after="0" w:line="35" w:lineRule="exact"/>
        <w:rPr>
          <w:rFonts w:ascii="Arial" w:cs="Arial" w:eastAsia="Arial" w:hAnsi="Arial"/>
          <w:sz w:val="18"/>
          <w:szCs w:val="18"/>
          <w:color w:val="auto"/>
        </w:rPr>
      </w:pPr>
    </w:p>
    <w:p>
      <w:pPr>
        <w:ind w:left="543" w:hanging="252"/>
        <w:spacing w:after="0"/>
        <w:tabs>
          <w:tab w:leader="none" w:pos="5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close supervision of the activities and acts mentioned in paragraphs (a) and (b);</w:t>
      </w:r>
    </w:p>
    <w:p>
      <w:pPr>
        <w:spacing w:after="0" w:line="47" w:lineRule="exact"/>
        <w:rPr>
          <w:rFonts w:ascii="Arial" w:cs="Arial" w:eastAsia="Arial" w:hAnsi="Arial"/>
          <w:sz w:val="18"/>
          <w:szCs w:val="18"/>
          <w:color w:val="auto"/>
        </w:rPr>
      </w:pPr>
    </w:p>
    <w:p>
      <w:pPr>
        <w:ind w:left="543" w:hanging="252"/>
        <w:spacing w:after="0"/>
        <w:tabs>
          <w:tab w:leader="none" w:pos="5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 the amount supplied to a duly authorized person to the quantity required for his authorized purpose;</w:t>
      </w:r>
    </w:p>
    <w:p>
      <w:pPr>
        <w:spacing w:after="0" w:line="35" w:lineRule="exact"/>
        <w:rPr>
          <w:rFonts w:ascii="Arial" w:cs="Arial" w:eastAsia="Arial" w:hAnsi="Arial"/>
          <w:sz w:val="18"/>
          <w:szCs w:val="18"/>
          <w:color w:val="auto"/>
        </w:rPr>
      </w:pPr>
    </w:p>
    <w:p>
      <w:pPr>
        <w:ind w:left="583" w:hanging="292"/>
        <w:spacing w:after="0" w:line="303" w:lineRule="auto"/>
        <w:tabs>
          <w:tab w:leader="none" w:pos="5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153987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3" w:lineRule="exact"/>
        <w:rPr>
          <w:sz w:val="20"/>
          <w:szCs w:val="20"/>
          <w:color w:val="auto"/>
        </w:rPr>
      </w:pPr>
    </w:p>
    <w:p>
      <w:pPr>
        <w:jc w:val="both"/>
        <w:ind w:left="3" w:right="20" w:hanging="3"/>
        <w:spacing w:after="0" w:line="256" w:lineRule="auto"/>
        <w:tabs>
          <w:tab w:leader="none" w:pos="135"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Arial" w:cs="Arial" w:eastAsia="Arial" w:hAnsi="Arial"/>
          <w:sz w:val="14"/>
          <w:szCs w:val="14"/>
          <w:i w:val="1"/>
          <w:iCs w:val="1"/>
          <w:color w:val="auto"/>
        </w:rPr>
        <w:t>Risk Factors”.</w:t>
      </w:r>
    </w:p>
    <w:p>
      <w:pPr>
        <w:spacing w:after="0" w:line="200" w:lineRule="exact"/>
        <w:rPr>
          <w:sz w:val="20"/>
          <w:szCs w:val="20"/>
          <w:color w:val="auto"/>
        </w:rPr>
      </w:pPr>
    </w:p>
    <w:p>
      <w:pPr>
        <w:spacing w:after="0" w:line="388" w:lineRule="exact"/>
        <w:rPr>
          <w:sz w:val="20"/>
          <w:szCs w:val="20"/>
          <w:color w:val="auto"/>
        </w:rPr>
      </w:pPr>
    </w:p>
    <w:p>
      <w:pPr>
        <w:jc w:val="center"/>
        <w:ind w:right="-2"/>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3"/>
          </w:cols>
          <w:pgMar w:left="317" w:top="729" w:right="319" w:bottom="1440" w:gutter="0" w:footer="0" w:header="0"/>
        </w:sectPr>
      </w:pPr>
    </w:p>
    <w:bookmarkStart w:id="57" w:name="page58"/>
    <w:bookmarkEnd w:id="57"/>
    <w:p>
      <w:pPr>
        <w:ind w:left="620" w:hanging="332"/>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prohibit export and import except when both the exporter and importer are the competent authorities or agencies of the exporting and importing</w:t>
      </w:r>
    </w:p>
    <w:p>
      <w:pPr>
        <w:spacing w:after="0" w:line="70" w:lineRule="exact"/>
        <w:rPr>
          <w:rFonts w:ascii="Arial" w:cs="Arial" w:eastAsia="Arial" w:hAnsi="Arial"/>
          <w:sz w:val="16"/>
          <w:szCs w:val="16"/>
          <w:color w:val="auto"/>
        </w:rPr>
      </w:pPr>
    </w:p>
    <w:p>
      <w:pPr>
        <w:ind w:left="580" w:right="20"/>
        <w:spacing w:after="0" w:line="303" w:lineRule="auto"/>
        <w:rPr>
          <w:rFonts w:ascii="Arial" w:cs="Arial" w:eastAsia="Arial" w:hAnsi="Arial"/>
          <w:sz w:val="16"/>
          <w:szCs w:val="16"/>
          <w:color w:val="auto"/>
        </w:rPr>
      </w:pPr>
      <w:r>
        <w:rPr>
          <w:rFonts w:ascii="Arial" w:cs="Arial" w:eastAsia="Arial" w:hAnsi="Arial"/>
          <w:sz w:val="18"/>
          <w:szCs w:val="18"/>
          <w:color w:val="auto"/>
        </w:rPr>
        <w:t>country or region, respectively, or other persons or enterprises which are specifically authorized by the competent authorities of their country or region for the purpose.</w:t>
      </w:r>
    </w:p>
    <w:p>
      <w:pPr>
        <w:spacing w:after="0" w:line="181"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7"/>
          <w:szCs w:val="17"/>
          <w:b w:val="1"/>
          <w:bCs w:val="1"/>
          <w:color w:val="auto"/>
        </w:rPr>
        <w:t>Dutch Opium Act</w:t>
      </w:r>
      <w:r>
        <w:rPr>
          <w:rFonts w:ascii="Arial" w:cs="Arial" w:eastAsia="Arial" w:hAnsi="Arial"/>
          <w:sz w:val="17"/>
          <w:szCs w:val="17"/>
          <w:color w:val="auto"/>
        </w:rPr>
        <w:t>”) and as such, subject to express authorization being obtained, the production, trade and possession of DMT are prohibited.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Dutch Opium Act, two other Dutch Acts may be relevant when it comes to drugs: the Medicines Act and the Commodities Act.</w:t>
      </w:r>
    </w:p>
    <w:p>
      <w:pPr>
        <w:spacing w:after="0" w:line="265" w:lineRule="exact"/>
        <w:rPr>
          <w:sz w:val="20"/>
          <w:szCs w:val="20"/>
          <w:color w:val="auto"/>
        </w:rPr>
      </w:pPr>
    </w:p>
    <w:p>
      <w:pPr>
        <w:jc w:val="both"/>
        <w:ind w:right="20"/>
        <w:spacing w:after="0" w:line="310" w:lineRule="auto"/>
        <w:rPr>
          <w:sz w:val="20"/>
          <w:szCs w:val="20"/>
          <w:color w:val="auto"/>
        </w:rPr>
      </w:pPr>
      <w:r>
        <w:rPr>
          <w:rFonts w:ascii="Arial" w:cs="Arial" w:eastAsia="Arial" w:hAnsi="Arial"/>
          <w:sz w:val="17"/>
          <w:szCs w:val="17"/>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17"/>
          <w:szCs w:val="17"/>
          <w:b w:val="1"/>
          <w:bCs w:val="1"/>
          <w:color w:val="auto"/>
        </w:rPr>
        <w:t>CCMO</w:t>
      </w:r>
      <w:r>
        <w:rPr>
          <w:rFonts w:ascii="Arial" w:cs="Arial" w:eastAsia="Arial" w:hAnsi="Arial"/>
          <w:sz w:val="17"/>
          <w:szCs w:val="17"/>
          <w:color w:val="auto"/>
        </w:rPr>
        <w:t>"), which is also known as the Competent Authority in The Netherlands. In Dutch, the CCMO is called the ‘</w:t>
      </w:r>
      <w:r>
        <w:rPr>
          <w:rFonts w:ascii="Arial" w:cs="Arial" w:eastAsia="Arial" w:hAnsi="Arial"/>
          <w:sz w:val="17"/>
          <w:szCs w:val="17"/>
          <w:i w:val="1"/>
          <w:iCs w:val="1"/>
          <w:color w:val="auto"/>
        </w:rPr>
        <w:t>Centrale Commissie Mensgebonden Onderzoek</w:t>
      </w:r>
      <w:r>
        <w:rPr>
          <w:rFonts w:ascii="Arial" w:cs="Arial" w:eastAsia="Arial" w:hAnsi="Arial"/>
          <w:sz w:val="17"/>
          <w:szCs w:val="17"/>
          <w:color w:val="auto"/>
        </w:rPr>
        <w:t>’. In cases where the study involves a substance subject to the Dutch Opium Act (such as DMT), an official exemption by Farmatec is needed, which needs to be included in the CTA.</w:t>
      </w:r>
    </w:p>
    <w:p>
      <w:pPr>
        <w:spacing w:after="0" w:line="183"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4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74"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color w:val="auto"/>
        </w:rPr>
        <w:t>The main UK controlled drugs legislation is the Misuse of Drugs Act 1971 (the “</w:t>
      </w:r>
      <w:r>
        <w:rPr>
          <w:rFonts w:ascii="Arial" w:cs="Arial" w:eastAsia="Arial" w:hAnsi="Arial"/>
          <w:sz w:val="18"/>
          <w:szCs w:val="18"/>
          <w:b w:val="1"/>
          <w:bCs w:val="1"/>
          <w:color w:val="auto"/>
        </w:rPr>
        <w:t>MDA</w:t>
      </w:r>
      <w:r>
        <w:rPr>
          <w:rFonts w:ascii="Arial" w:cs="Arial" w:eastAsia="Arial" w:hAnsi="Arial"/>
          <w:sz w:val="18"/>
          <w:szCs w:val="18"/>
          <w:color w:val="auto"/>
        </w:rPr>
        <w:t>”) and the Misuse of Drugs Regulations 2001 (the “</w:t>
      </w:r>
      <w:r>
        <w:rPr>
          <w:rFonts w:ascii="Arial" w:cs="Arial" w:eastAsia="Arial" w:hAnsi="Arial"/>
          <w:sz w:val="18"/>
          <w:szCs w:val="18"/>
          <w:b w:val="1"/>
          <w:bCs w:val="1"/>
          <w:color w:val="auto"/>
        </w:rPr>
        <w:t>MDR</w:t>
      </w:r>
      <w:r>
        <w:rPr>
          <w:rFonts w:ascii="Arial" w:cs="Arial" w:eastAsia="Arial" w:hAnsi="Arial"/>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59"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729" w:right="319" w:bottom="1440" w:gutter="0" w:footer="0" w:header="0"/>
        </w:sectPr>
      </w:pPr>
    </w:p>
    <w:bookmarkStart w:id="58" w:name="page59"/>
    <w:bookmarkEnd w:id="58"/>
    <w:p>
      <w:pPr>
        <w:jc w:val="both"/>
        <w:ind w:left="3" w:right="100"/>
        <w:spacing w:after="0" w:line="315" w:lineRule="auto"/>
        <w:rPr>
          <w:sz w:val="20"/>
          <w:szCs w:val="20"/>
          <w:color w:val="auto"/>
        </w:rPr>
      </w:pPr>
      <w:r>
        <w:rPr>
          <w:rFonts w:ascii="Arial" w:cs="Arial" w:eastAsia="Arial" w:hAnsi="Arial"/>
          <w:sz w:val="17"/>
          <w:szCs w:val="17"/>
          <w:color w:val="auto"/>
        </w:rPr>
        <w:t>The Company previously mentioned that it intended to file a clinical trial application with the U.K. Medicines and Healthcare products Regulatory Agency (the “</w:t>
      </w:r>
      <w:r>
        <w:rPr>
          <w:rFonts w:ascii="Arial" w:cs="Arial" w:eastAsia="Arial" w:hAnsi="Arial"/>
          <w:sz w:val="17"/>
          <w:szCs w:val="17"/>
          <w:b w:val="1"/>
          <w:bCs w:val="1"/>
          <w:color w:val="auto"/>
        </w:rPr>
        <w:t>MHRA</w:t>
      </w:r>
      <w:r>
        <w:rPr>
          <w:rFonts w:ascii="Arial" w:cs="Arial" w:eastAsia="Arial" w:hAnsi="Arial"/>
          <w:sz w:val="17"/>
          <w:szCs w:val="17"/>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w:t>
      </w:r>
    </w:p>
    <w:p>
      <w:pPr>
        <w:spacing w:after="0" w:line="188"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Licensing Requirements</w:t>
      </w:r>
    </w:p>
    <w:p>
      <w:pPr>
        <w:spacing w:after="0" w:line="215" w:lineRule="exact"/>
        <w:rPr>
          <w:sz w:val="20"/>
          <w:szCs w:val="20"/>
          <w:color w:val="auto"/>
        </w:rPr>
      </w:pPr>
    </w:p>
    <w:p>
      <w:pPr>
        <w:jc w:val="both"/>
        <w:ind w:left="3" w:right="80"/>
        <w:spacing w:after="0" w:line="333" w:lineRule="auto"/>
        <w:rPr>
          <w:sz w:val="20"/>
          <w:szCs w:val="20"/>
          <w:color w:val="auto"/>
        </w:rPr>
      </w:pPr>
      <w:r>
        <w:rPr>
          <w:rFonts w:ascii="Arial" w:cs="Arial" w:eastAsia="Arial" w:hAnsi="Arial"/>
          <w:sz w:val="16"/>
          <w:szCs w:val="16"/>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Arial" w:cs="Arial" w:eastAsia="Arial" w:hAnsi="Arial"/>
          <w:sz w:val="21"/>
          <w:szCs w:val="21"/>
          <w:color w:val="auto"/>
          <w:vertAlign w:val="superscript"/>
        </w:rPr>
        <w:t>29</w:t>
      </w:r>
      <w:r>
        <w:rPr>
          <w:rFonts w:ascii="Arial" w:cs="Arial" w:eastAsia="Arial" w:hAnsi="Arial"/>
          <w:sz w:val="16"/>
          <w:szCs w:val="16"/>
          <w:color w:val="auto"/>
        </w:rPr>
        <w:t>.</w:t>
      </w:r>
    </w:p>
    <w:p>
      <w:pPr>
        <w:spacing w:after="0" w:line="100" w:lineRule="exact"/>
        <w:rPr>
          <w:sz w:val="20"/>
          <w:szCs w:val="20"/>
          <w:color w:val="auto"/>
        </w:rPr>
      </w:pPr>
    </w:p>
    <w:p>
      <w:pPr>
        <w:jc w:val="both"/>
        <w:ind w:left="3" w:right="80"/>
        <w:spacing w:after="0" w:line="333"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30" w:lineRule="exact"/>
        <w:rPr>
          <w:sz w:val="20"/>
          <w:szCs w:val="20"/>
          <w:color w:val="auto"/>
        </w:rPr>
      </w:pPr>
    </w:p>
    <w:p>
      <w:pPr>
        <w:jc w:val="both"/>
        <w:ind w:left="3" w:right="100"/>
        <w:spacing w:after="0" w:line="295" w:lineRule="auto"/>
        <w:rPr>
          <w:sz w:val="20"/>
          <w:szCs w:val="20"/>
          <w:color w:val="auto"/>
        </w:rPr>
      </w:pPr>
      <w:r>
        <w:rPr>
          <w:rFonts w:ascii="Arial" w:cs="Arial" w:eastAsia="Arial" w:hAnsi="Arial"/>
          <w:sz w:val="18"/>
          <w:szCs w:val="18"/>
          <w:color w:val="auto"/>
        </w:rPr>
        <w:t>All premises that are licensed, or are intending to be licensed, in connection with the possession, and/or supply and/or production of controlled drugs should consider certain security measures.</w:t>
      </w:r>
      <w:r>
        <w:rPr>
          <w:rFonts w:ascii="Arial" w:cs="Arial" w:eastAsia="Arial" w:hAnsi="Arial"/>
          <w:sz w:val="23"/>
          <w:szCs w:val="23"/>
          <w:color w:val="auto"/>
          <w:vertAlign w:val="superscript"/>
        </w:rPr>
        <w:t>30</w:t>
      </w:r>
    </w:p>
    <w:p>
      <w:pPr>
        <w:spacing w:after="0" w:line="114" w:lineRule="exact"/>
        <w:rPr>
          <w:sz w:val="20"/>
          <w:szCs w:val="20"/>
          <w:color w:val="auto"/>
        </w:rPr>
      </w:pPr>
    </w:p>
    <w:p>
      <w:pPr>
        <w:jc w:val="both"/>
        <w:ind w:left="3" w:right="100"/>
        <w:spacing w:after="0" w:line="314" w:lineRule="auto"/>
        <w:rPr>
          <w:sz w:val="20"/>
          <w:szCs w:val="20"/>
          <w:color w:val="auto"/>
        </w:rPr>
      </w:pPr>
      <w:r>
        <w:rPr>
          <w:rFonts w:ascii="Arial" w:cs="Arial" w:eastAsia="Arial" w:hAnsi="Arial"/>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Arial" w:cs="Arial" w:eastAsia="Arial" w:hAnsi="Arial"/>
          <w:sz w:val="22"/>
          <w:szCs w:val="22"/>
          <w:color w:val="auto"/>
          <w:vertAlign w:val="superscript"/>
        </w:rPr>
        <w:t>31</w:t>
      </w:r>
    </w:p>
    <w:p>
      <w:pPr>
        <w:spacing w:after="0" w:line="75"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auto"/>
        </w:rPr>
        <w:t>Pharmaceutical Products</w:t>
      </w:r>
    </w:p>
    <w:p>
      <w:pPr>
        <w:spacing w:after="0" w:line="230" w:lineRule="exact"/>
        <w:rPr>
          <w:sz w:val="20"/>
          <w:szCs w:val="20"/>
          <w:color w:val="auto"/>
        </w:rPr>
      </w:pPr>
    </w:p>
    <w:p>
      <w:pPr>
        <w:jc w:val="both"/>
        <w:ind w:left="3" w:right="100"/>
        <w:spacing w:after="0" w:line="298" w:lineRule="auto"/>
        <w:rPr>
          <w:sz w:val="20"/>
          <w:szCs w:val="20"/>
          <w:color w:val="auto"/>
        </w:rPr>
      </w:pPr>
      <w:r>
        <w:rPr>
          <w:rFonts w:ascii="Arial" w:cs="Arial" w:eastAsia="Arial" w:hAnsi="Arial"/>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153987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3" w:right="80" w:hanging="3"/>
        <w:spacing w:after="0" w:line="237" w:lineRule="auto"/>
        <w:tabs>
          <w:tab w:leader="none" w:pos="146"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spacing w:after="0" w:line="1" w:lineRule="exact"/>
        <w:rPr>
          <w:rFonts w:ascii="Arial" w:cs="Arial" w:eastAsia="Arial" w:hAnsi="Arial"/>
          <w:sz w:val="19"/>
          <w:szCs w:val="19"/>
          <w:color w:val="auto"/>
          <w:vertAlign w:val="superscript"/>
        </w:rPr>
      </w:pPr>
    </w:p>
    <w:p>
      <w:pPr>
        <w:ind w:left="3" w:hanging="3"/>
        <w:spacing w:after="0" w:line="307" w:lineRule="auto"/>
        <w:tabs>
          <w:tab w:leader="none" w:pos="172" w:val="left"/>
        </w:tabs>
        <w:numPr>
          <w:ilvl w:val="0"/>
          <w:numId w:val="44"/>
        </w:numPr>
        <w:rPr>
          <w:rFonts w:ascii="Arial" w:cs="Arial" w:eastAsia="Arial" w:hAnsi="Arial"/>
          <w:sz w:val="7"/>
          <w:szCs w:val="7"/>
          <w:color w:val="auto"/>
        </w:rPr>
      </w:pPr>
      <w:r>
        <w:rPr>
          <w:rFonts w:ascii="Arial" w:cs="Arial" w:eastAsia="Arial" w:hAnsi="Arial"/>
          <w:sz w:val="12"/>
          <w:szCs w:val="12"/>
          <w:color w:val="auto"/>
        </w:rPr>
        <w:t>Home Office guidance; Security guidance for all existing or prospective Home Office Controlled Drug Licensees and/or Precursor Chemical Licensees or Registrants; 2022</w:t>
      </w:r>
      <w:r>
        <w:rPr>
          <w:rFonts w:ascii="Arial" w:cs="Arial" w:eastAsia="Arial" w:hAnsi="Arial"/>
          <w:sz w:val="12"/>
          <w:szCs w:val="12"/>
          <w:u w:val="single" w:color="auto"/>
          <w:color w:val="3051F2"/>
        </w:rPr>
        <w:t>;</w:t>
      </w:r>
      <w:r>
        <w:rPr>
          <w:rFonts w:ascii="Arial" w:cs="Arial" w:eastAsia="Arial" w:hAnsi="Arial"/>
          <w:sz w:val="12"/>
          <w:szCs w:val="12"/>
          <w:color w:val="auto"/>
        </w:rPr>
        <w:t xml:space="preserve"> </w:t>
      </w:r>
      <w:r>
        <w:rPr>
          <w:rFonts w:ascii="Arial" w:cs="Arial" w:eastAsia="Arial" w:hAnsi="Arial"/>
          <w:sz w:val="12"/>
          <w:szCs w:val="12"/>
          <w:u w:val="single" w:color="auto"/>
          <w:color w:val="3051F2"/>
        </w:rPr>
        <w:t>https://assets.publishing.service.gov.uk/government/uploads/system/uploads/attachment_data/file/1125889/Security_Guidance_for_all_Businesses_and_Other_Organisations_v1.5_Nov_2022.pdf</w:t>
      </w:r>
    </w:p>
    <w:p>
      <w:pPr>
        <w:ind w:left="123" w:hanging="123"/>
        <w:spacing w:after="0"/>
        <w:tabs>
          <w:tab w:leader="none" w:pos="123" w:val="left"/>
        </w:tabs>
        <w:numPr>
          <w:ilvl w:val="0"/>
          <w:numId w:val="44"/>
        </w:numPr>
        <w:rPr>
          <w:rFonts w:ascii="Arial" w:cs="Arial" w:eastAsia="Arial" w:hAnsi="Arial"/>
          <w:sz w:val="8"/>
          <w:szCs w:val="8"/>
          <w:color w:val="auto"/>
        </w:rPr>
      </w:pPr>
      <w:r>
        <w:rPr>
          <w:rFonts w:ascii="Arial" w:cs="Arial" w:eastAsia="Arial" w:hAnsi="Arial"/>
          <w:sz w:val="15"/>
          <w:szCs w:val="15"/>
          <w:color w:val="auto"/>
        </w:rPr>
        <w:t>Home Office guidance; Guidelines for Standard Operating Procedures (SOPs);</w:t>
      </w:r>
    </w:p>
    <w:p>
      <w:pPr>
        <w:spacing w:after="0" w:line="7" w:lineRule="exact"/>
        <w:rPr>
          <w:sz w:val="20"/>
          <w:szCs w:val="20"/>
          <w:color w:val="auto"/>
        </w:rPr>
      </w:pPr>
    </w:p>
    <w:p>
      <w:pPr>
        <w:ind w:left="3"/>
        <w:spacing w:after="0"/>
        <w:rPr>
          <w:sz w:val="20"/>
          <w:szCs w:val="20"/>
          <w:color w:val="auto"/>
        </w:rPr>
      </w:pPr>
      <w:r>
        <w:rPr>
          <w:rFonts w:ascii="Arial" w:cs="Arial" w:eastAsia="Arial" w:hAnsi="Arial"/>
          <w:sz w:val="15"/>
          <w:szCs w:val="15"/>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3"/>
          </w:cols>
          <w:pgMar w:left="317" w:top="729" w:right="239" w:bottom="1440" w:gutter="0" w:footer="0" w:header="0"/>
        </w:sectPr>
      </w:pPr>
    </w:p>
    <w:bookmarkStart w:id="59" w:name="page60"/>
    <w:bookmarkEnd w:id="59"/>
    <w:p>
      <w:pPr>
        <w:jc w:val="both"/>
        <w:ind w:right="20"/>
        <w:spacing w:after="0" w:line="299" w:lineRule="auto"/>
        <w:rPr>
          <w:sz w:val="20"/>
          <w:szCs w:val="20"/>
          <w:color w:val="auto"/>
        </w:rPr>
      </w:pPr>
      <w:r>
        <w:rPr>
          <w:rFonts w:ascii="Arial" w:cs="Arial" w:eastAsia="Arial" w:hAnsi="Arial"/>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Arial" w:cs="Arial" w:eastAsia="Arial" w:hAnsi="Arial"/>
          <w:sz w:val="18"/>
          <w:szCs w:val="18"/>
          <w:b w:val="1"/>
          <w:bCs w:val="1"/>
          <w:color w:val="auto"/>
        </w:rPr>
        <w:t>GMP</w:t>
      </w:r>
      <w:r>
        <w:rPr>
          <w:rFonts w:ascii="Arial" w:cs="Arial" w:eastAsia="Arial" w:hAnsi="Arial"/>
          <w:sz w:val="18"/>
          <w:szCs w:val="18"/>
          <w:color w:val="auto"/>
        </w:rPr>
        <w:t>”)) and/or Good Distribution Practice (“</w:t>
      </w:r>
      <w:r>
        <w:rPr>
          <w:rFonts w:ascii="Arial" w:cs="Arial" w:eastAsia="Arial" w:hAnsi="Arial"/>
          <w:sz w:val="18"/>
          <w:szCs w:val="18"/>
          <w:b w:val="1"/>
          <w:bCs w:val="1"/>
          <w:color w:val="auto"/>
        </w:rPr>
        <w:t>GDP</w:t>
      </w:r>
      <w:r>
        <w:rPr>
          <w:rFonts w:ascii="Arial" w:cs="Arial" w:eastAsia="Arial" w:hAnsi="Arial"/>
          <w:sz w:val="18"/>
          <w:szCs w:val="18"/>
          <w:color w:val="auto"/>
        </w:rPr>
        <w:t>”) and to hold a related licence from the MHRA.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How the API is subsequently processed will determine the licences that the UK-based facility must hold. In particular:</w:t>
      </w:r>
    </w:p>
    <w:p>
      <w:pPr>
        <w:spacing w:after="0" w:line="238" w:lineRule="exact"/>
        <w:rPr>
          <w:sz w:val="20"/>
          <w:szCs w:val="20"/>
          <w:color w:val="auto"/>
        </w:rPr>
      </w:pPr>
    </w:p>
    <w:p>
      <w:pPr>
        <w:jc w:val="both"/>
        <w:ind w:left="580" w:right="20" w:hanging="292"/>
        <w:spacing w:after="0" w:line="288" w:lineRule="auto"/>
        <w:tabs>
          <w:tab w:leader="none" w:pos="5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API is just one ‘ingredient’ of the investigational medicinal product (the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jc w:val="both"/>
        <w:ind w:left="580" w:right="20" w:hanging="292"/>
        <w:spacing w:after="0" w:line="291"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conversely, if the API will itself constitute the IMP, the manufacturer must, except in certain limited circumstances, hold a Manufacturer’s Authorizations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 EEA Member State or a third country (such as the United States or Canada).</w:t>
      </w:r>
    </w:p>
    <w:p>
      <w:pPr>
        <w:spacing w:after="0" w:line="205" w:lineRule="exact"/>
        <w:rPr>
          <w:sz w:val="20"/>
          <w:szCs w:val="20"/>
          <w:color w:val="auto"/>
        </w:rPr>
      </w:pPr>
    </w:p>
    <w:p>
      <w:pPr>
        <w:jc w:val="both"/>
        <w:ind w:right="20"/>
        <w:spacing w:after="0" w:line="350" w:lineRule="auto"/>
        <w:rPr>
          <w:sz w:val="20"/>
          <w:szCs w:val="20"/>
          <w:color w:val="auto"/>
        </w:rPr>
      </w:pPr>
      <w:r>
        <w:rPr>
          <w:rFonts w:ascii="Arial" w:cs="Arial" w:eastAsia="Arial" w:hAnsi="Arial"/>
          <w:sz w:val="16"/>
          <w:szCs w:val="16"/>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66"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6"/>
          <w:szCs w:val="16"/>
          <w:i w:val="1"/>
          <w:iCs w:val="1"/>
          <w:color w:val="auto"/>
        </w:rPr>
        <w:t>Psilocybe</w:t>
      </w:r>
      <w:r>
        <w:rPr>
          <w:rFonts w:ascii="Arial" w:cs="Arial" w:eastAsia="Arial" w:hAnsi="Arial"/>
          <w:sz w:val="16"/>
          <w:szCs w:val="16"/>
          <w:color w:val="auto"/>
        </w:rPr>
        <w:t xml:space="preserve">, such as </w:t>
      </w:r>
      <w:r>
        <w:rPr>
          <w:rFonts w:ascii="Arial" w:cs="Arial" w:eastAsia="Arial" w:hAnsi="Arial"/>
          <w:sz w:val="16"/>
          <w:szCs w:val="16"/>
          <w:i w:val="1"/>
          <w:iCs w:val="1"/>
          <w:color w:val="auto"/>
        </w:rPr>
        <w:t>P. azurescens</w:t>
      </w:r>
      <w:r>
        <w:rPr>
          <w:rFonts w:ascii="Arial" w:cs="Arial" w:eastAsia="Arial" w:hAnsi="Arial"/>
          <w:sz w:val="16"/>
          <w:szCs w:val="16"/>
          <w:color w:val="auto"/>
        </w:rPr>
        <w:t xml:space="preserve">, </w:t>
      </w:r>
      <w:r>
        <w:rPr>
          <w:rFonts w:ascii="Arial" w:cs="Arial" w:eastAsia="Arial" w:hAnsi="Arial"/>
          <w:sz w:val="16"/>
          <w:szCs w:val="16"/>
          <w:i w:val="1"/>
          <w:iCs w:val="1"/>
          <w:color w:val="auto"/>
        </w:rPr>
        <w:t>P. semilanceata</w:t>
      </w:r>
      <w:r>
        <w:rPr>
          <w:rFonts w:ascii="Arial" w:cs="Arial" w:eastAsia="Arial" w:hAnsi="Arial"/>
          <w:sz w:val="16"/>
          <w:szCs w:val="16"/>
          <w:color w:val="auto"/>
        </w:rPr>
        <w:t xml:space="preserve">, and </w:t>
      </w:r>
      <w:r>
        <w:rPr>
          <w:rFonts w:ascii="Arial" w:cs="Arial" w:eastAsia="Arial" w:hAnsi="Arial"/>
          <w:sz w:val="16"/>
          <w:szCs w:val="16"/>
          <w:i w:val="1"/>
          <w:iCs w:val="1"/>
          <w:color w:val="auto"/>
        </w:rPr>
        <w:t>P. cyanescens</w:t>
      </w:r>
      <w:r>
        <w:rPr>
          <w:rFonts w:ascii="Arial" w:cs="Arial" w:eastAsia="Arial" w:hAnsi="Arial"/>
          <w:sz w:val="16"/>
          <w:szCs w:val="16"/>
          <w:color w:val="auto"/>
        </w:rPr>
        <w:t>, but psilocybin has also been isolated from about a dozen other genera. As a prodrug, psilocybin is quickly converted by the body to psilocin, which has mind-altering effects.</w:t>
      </w:r>
    </w:p>
    <w:p>
      <w:pPr>
        <w:spacing w:after="0" w:line="139"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320" w:top="729" w:right="319" w:bottom="1440" w:gutter="0" w:footer="0" w:header="0"/>
        </w:sectPr>
      </w:pPr>
    </w:p>
    <w:bookmarkStart w:id="60" w:name="page61"/>
    <w:bookmarkEnd w:id="60"/>
    <w:p>
      <w:pPr>
        <w:jc w:val="both"/>
        <w:ind w:right="20"/>
        <w:spacing w:after="0" w:line="315"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36"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IV, and by way of inhalation.</w:t>
      </w:r>
    </w:p>
    <w:p>
      <w:pPr>
        <w:spacing w:after="0" w:line="194"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4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230" w:lineRule="exact"/>
        <w:rPr>
          <w:sz w:val="20"/>
          <w:szCs w:val="20"/>
          <w:color w:val="auto"/>
        </w:rPr>
      </w:pPr>
    </w:p>
    <w:p>
      <w:pPr>
        <w:ind w:left="580" w:hanging="292"/>
        <w:spacing w:after="0" w:line="317" w:lineRule="auto"/>
        <w:tabs>
          <w:tab w:leader="none" w:pos="54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drug. If the results are promising, the manufacturer will proceed to the next step of development.</w:t>
      </w:r>
    </w:p>
    <w:p>
      <w:pPr>
        <w:spacing w:after="0" w:line="170" w:lineRule="exact"/>
        <w:rPr>
          <w:rFonts w:ascii="Arial" w:cs="Arial" w:eastAsia="Arial" w:hAnsi="Arial"/>
          <w:sz w:val="18"/>
          <w:szCs w:val="18"/>
          <w:color w:val="auto"/>
        </w:rPr>
      </w:pPr>
    </w:p>
    <w:p>
      <w:pPr>
        <w:ind w:left="580" w:right="20" w:hanging="292"/>
        <w:spacing w:after="0" w:line="301" w:lineRule="auto"/>
        <w:tabs>
          <w:tab w:leader="none" w:pos="55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Preclinical Development – </w:t>
      </w:r>
      <w:r>
        <w:rPr>
          <w:rFonts w:ascii="Arial" w:cs="Arial" w:eastAsia="Arial" w:hAnsi="Arial"/>
          <w:sz w:val="18"/>
          <w:szCs w:val="18"/>
          <w:color w:val="auto"/>
        </w:rPr>
        <w:t>Animals are given the drug in varying amounts over differing periods of time. If it can be shown that the drug causes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or unexpected harm at the doses required to have an effect, the manufacturer will proceed to clinical trials.</w:t>
      </w:r>
    </w:p>
    <w:p>
      <w:pPr>
        <w:spacing w:after="0" w:line="194" w:lineRule="exact"/>
        <w:rPr>
          <w:rFonts w:ascii="Arial" w:cs="Arial" w:eastAsia="Arial" w:hAnsi="Arial"/>
          <w:sz w:val="18"/>
          <w:szCs w:val="18"/>
          <w:color w:val="auto"/>
        </w:rPr>
      </w:pPr>
    </w:p>
    <w:p>
      <w:pPr>
        <w:jc w:val="both"/>
        <w:ind w:left="580" w:right="20" w:hanging="292"/>
        <w:spacing w:after="0" w:line="324" w:lineRule="auto"/>
        <w:tabs>
          <w:tab w:leader="none" w:pos="565"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1 - </w:t>
      </w:r>
      <w:r>
        <w:rPr>
          <w:rFonts w:ascii="Arial" w:cs="Arial" w:eastAsia="Arial" w:hAnsi="Arial"/>
          <w:sz w:val="16"/>
          <w:szCs w:val="16"/>
          <w:color w:val="auto"/>
        </w:rPr>
        <w:t>The first administration in humans is to test if people can tolerate the drug. If this testing is to take place in Canada, the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must prepare a clinical trial application for the Therapeutic Products Directorate of Health Canada (the “</w:t>
      </w:r>
      <w:r>
        <w:rPr>
          <w:rFonts w:ascii="Arial" w:cs="Arial" w:eastAsia="Arial" w:hAnsi="Arial"/>
          <w:sz w:val="16"/>
          <w:szCs w:val="16"/>
          <w:b w:val="1"/>
          <w:bCs w:val="1"/>
          <w:color w:val="auto"/>
        </w:rPr>
        <w:t>TPD</w:t>
      </w:r>
      <w:r>
        <w:rPr>
          <w:rFonts w:ascii="Arial" w:cs="Arial" w:eastAsia="Arial" w:hAnsi="Arial"/>
          <w:sz w:val="16"/>
          <w:szCs w:val="16"/>
          <w:color w:val="auto"/>
        </w:rPr>
        <w:t>”). This includes the</w:t>
      </w:r>
    </w:p>
    <w:p>
      <w:pPr>
        <w:ind w:left="580" w:right="20"/>
        <w:spacing w:after="0" w:line="303" w:lineRule="auto"/>
        <w:rPr>
          <w:rFonts w:ascii="Arial" w:cs="Arial" w:eastAsia="Arial" w:hAnsi="Arial"/>
          <w:sz w:val="16"/>
          <w:szCs w:val="16"/>
          <w:color w:val="auto"/>
        </w:rPr>
      </w:pPr>
      <w:r>
        <w:rPr>
          <w:rFonts w:ascii="Arial" w:cs="Arial" w:eastAsia="Arial" w:hAnsi="Arial"/>
          <w:sz w:val="18"/>
          <w:szCs w:val="18"/>
          <w:color w:val="auto"/>
        </w:rPr>
        <w:t>results of the first two steps and a proposal for testing in humans. If the information is sufficient, the Health Products and Food Branch of Health Canada (the “</w:t>
      </w:r>
      <w:r>
        <w:rPr>
          <w:rFonts w:ascii="Arial" w:cs="Arial" w:eastAsia="Arial" w:hAnsi="Arial"/>
          <w:sz w:val="18"/>
          <w:szCs w:val="18"/>
          <w:b w:val="1"/>
          <w:bCs w:val="1"/>
          <w:color w:val="auto"/>
        </w:rPr>
        <w:t>HPFB</w:t>
      </w:r>
      <w:r>
        <w:rPr>
          <w:rFonts w:ascii="Arial" w:cs="Arial" w:eastAsia="Arial" w:hAnsi="Arial"/>
          <w:sz w:val="18"/>
          <w:szCs w:val="18"/>
          <w:color w:val="auto"/>
        </w:rPr>
        <w:t>”) grants permission to start testing the drug, generally first on healthy volunteers.</w:t>
      </w:r>
    </w:p>
    <w:p>
      <w:pPr>
        <w:spacing w:after="0" w:line="180" w:lineRule="exact"/>
        <w:rPr>
          <w:rFonts w:ascii="Arial" w:cs="Arial" w:eastAsia="Arial" w:hAnsi="Arial"/>
          <w:sz w:val="16"/>
          <w:szCs w:val="16"/>
          <w:color w:val="auto"/>
        </w:rPr>
      </w:pPr>
    </w:p>
    <w:p>
      <w:pPr>
        <w:ind w:left="520" w:hanging="232"/>
        <w:spacing w:after="0"/>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2 - Phase 2 </w:t>
      </w:r>
      <w:r>
        <w:rPr>
          <w:rFonts w:ascii="Arial" w:cs="Arial" w:eastAsia="Arial" w:hAnsi="Arial"/>
          <w:sz w:val="16"/>
          <w:szCs w:val="16"/>
          <w:color w:val="auto"/>
        </w:rPr>
        <w:t>trials are carried out on people with the target condition, who are usually otherwise healthy, with no other medical</w:t>
      </w:r>
    </w:p>
    <w:p>
      <w:pPr>
        <w:spacing w:after="0" w:line="70" w:lineRule="exact"/>
        <w:rPr>
          <w:rFonts w:ascii="Arial" w:cs="Arial" w:eastAsia="Arial" w:hAnsi="Arial"/>
          <w:sz w:val="16"/>
          <w:szCs w:val="16"/>
          <w:color w:val="auto"/>
        </w:rPr>
      </w:pPr>
    </w:p>
    <w:p>
      <w:pPr>
        <w:ind w:left="580" w:right="20"/>
        <w:spacing w:after="0" w:line="303" w:lineRule="auto"/>
        <w:rPr>
          <w:rFonts w:ascii="Arial" w:cs="Arial" w:eastAsia="Arial" w:hAnsi="Arial"/>
          <w:sz w:val="16"/>
          <w:szCs w:val="16"/>
          <w:color w:val="auto"/>
        </w:rPr>
      </w:pPr>
      <w:r>
        <w:rPr>
          <w:rFonts w:ascii="Arial" w:cs="Arial" w:eastAsia="Arial" w:hAnsi="Arial"/>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80" w:lineRule="exact"/>
        <w:rPr>
          <w:rFonts w:ascii="Arial" w:cs="Arial" w:eastAsia="Arial" w:hAnsi="Arial"/>
          <w:sz w:val="16"/>
          <w:szCs w:val="16"/>
          <w:color w:val="auto"/>
        </w:rPr>
      </w:pPr>
    </w:p>
    <w:p>
      <w:pPr>
        <w:ind w:left="560" w:hanging="272"/>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 Phase 3 - </w:t>
      </w:r>
      <w:r>
        <w:rPr>
          <w:rFonts w:ascii="Arial" w:cs="Arial" w:eastAsia="Arial" w:hAnsi="Arial"/>
          <w:sz w:val="16"/>
          <w:szCs w:val="16"/>
          <w:color w:val="auto"/>
        </w:rPr>
        <w:t>If the results from phase II show promise, the manufacturer provides an updated clinical trial application to the TPD for</w:t>
      </w:r>
    </w:p>
    <w:p>
      <w:pPr>
        <w:spacing w:after="0" w:line="70" w:lineRule="exact"/>
        <w:rPr>
          <w:rFonts w:ascii="Arial" w:cs="Arial" w:eastAsia="Arial" w:hAnsi="Arial"/>
          <w:sz w:val="16"/>
          <w:szCs w:val="16"/>
          <w:color w:val="auto"/>
        </w:rPr>
      </w:pPr>
    </w:p>
    <w:p>
      <w:pPr>
        <w:jc w:val="both"/>
        <w:ind w:left="580" w:right="20"/>
        <w:spacing w:after="0" w:line="299" w:lineRule="auto"/>
        <w:rPr>
          <w:rFonts w:ascii="Arial" w:cs="Arial" w:eastAsia="Arial" w:hAnsi="Arial"/>
          <w:sz w:val="16"/>
          <w:szCs w:val="16"/>
          <w:color w:val="auto"/>
        </w:rPr>
      </w:pPr>
      <w:r>
        <w:rPr>
          <w:rFonts w:ascii="Arial" w:cs="Arial" w:eastAsia="Arial" w:hAnsi="Arial"/>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80" w:lineRule="exact"/>
        <w:rPr>
          <w:rFonts w:ascii="Arial" w:cs="Arial" w:eastAsia="Arial" w:hAnsi="Arial"/>
          <w:sz w:val="16"/>
          <w:szCs w:val="16"/>
          <w:color w:val="auto"/>
        </w:rPr>
      </w:pPr>
    </w:p>
    <w:p>
      <w:pPr>
        <w:jc w:val="both"/>
        <w:ind w:left="580" w:right="20" w:hanging="292"/>
        <w:spacing w:after="0" w:line="326" w:lineRule="auto"/>
        <w:tabs>
          <w:tab w:leader="none" w:pos="541"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New Drug Submission – </w:t>
      </w:r>
      <w:r>
        <w:rPr>
          <w:rFonts w:ascii="Arial" w:cs="Arial" w:eastAsia="Arial" w:hAnsi="Arial"/>
          <w:sz w:val="16"/>
          <w:szCs w:val="16"/>
          <w:color w:val="auto"/>
        </w:rPr>
        <w:t>If the results from phase III continue to be favourable, the drug manufacturer can submit a new drug submission (“</w:t>
      </w:r>
      <w:r>
        <w:rPr>
          <w:rFonts w:ascii="Arial" w:cs="Arial" w:eastAsia="Arial" w:hAnsi="Arial"/>
          <w:sz w:val="16"/>
          <w:szCs w:val="16"/>
          <w:b w:val="1"/>
          <w:bCs w:val="1"/>
          <w:color w:val="auto"/>
        </w:rPr>
        <w:t>NDS</w:t>
      </w:r>
      <w:r>
        <w:rPr>
          <w:rFonts w:ascii="Arial" w:cs="Arial" w:eastAsia="Arial" w:hAnsi="Arial"/>
          <w:sz w:val="16"/>
          <w:szCs w:val="16"/>
          <w:color w:val="auto"/>
        </w:rPr>
        <w: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TPD. A drug manufacturer can submit an NDS regardless of whether the clinical trials were carried out in Canada. The TPD reviews all the</w:t>
      </w:r>
    </w:p>
    <w:p>
      <w:pPr>
        <w:spacing w:after="0" w:line="1" w:lineRule="exact"/>
        <w:rPr>
          <w:rFonts w:ascii="Arial" w:cs="Arial" w:eastAsia="Arial" w:hAnsi="Arial"/>
          <w:sz w:val="16"/>
          <w:szCs w:val="16"/>
          <w:color w:val="auto"/>
        </w:rPr>
      </w:pPr>
    </w:p>
    <w:p>
      <w:pPr>
        <w:jc w:val="both"/>
        <w:ind w:left="580" w:right="20"/>
        <w:spacing w:after="0" w:line="292" w:lineRule="auto"/>
        <w:rPr>
          <w:rFonts w:ascii="Arial" w:cs="Arial" w:eastAsia="Arial" w:hAnsi="Arial"/>
          <w:sz w:val="16"/>
          <w:szCs w:val="16"/>
          <w:color w:val="auto"/>
        </w:rPr>
      </w:pPr>
      <w:r>
        <w:rPr>
          <w:rFonts w:ascii="Arial" w:cs="Arial" w:eastAsia="Arial" w:hAnsi="Arial"/>
          <w:sz w:val="18"/>
          <w:szCs w:val="18"/>
          <w:color w:val="auto"/>
        </w:rPr>
        <w:t>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320" w:top="731"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auto"/>
        </w:rPr>
        <w:t>United States</w:t>
      </w:r>
    </w:p>
    <w:p>
      <w:pPr>
        <w:spacing w:after="0" w:line="167"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46" w:lineRule="exact"/>
        <w:rPr>
          <w:sz w:val="20"/>
          <w:szCs w:val="20"/>
          <w:color w:val="auto"/>
        </w:rPr>
      </w:pPr>
    </w:p>
    <w:p>
      <w:pPr>
        <w:ind w:left="580" w:right="20" w:hanging="292"/>
        <w:spacing w:after="0" w:line="289" w:lineRule="auto"/>
        <w:tabs>
          <w:tab w:leader="none" w:pos="6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20" w:hanging="23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the FDA must approve before human clinical trials may begin;</w:t>
      </w:r>
    </w:p>
    <w:p>
      <w:pPr>
        <w:spacing w:after="0" w:line="35" w:lineRule="exact"/>
        <w:rPr>
          <w:rFonts w:ascii="Arial" w:cs="Arial" w:eastAsia="Arial" w:hAnsi="Arial"/>
          <w:sz w:val="18"/>
          <w:szCs w:val="18"/>
          <w:color w:val="auto"/>
        </w:rPr>
      </w:pPr>
    </w:p>
    <w:p>
      <w:pPr>
        <w:ind w:left="520" w:hanging="23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approval by an IRB or independent ethics committee at each clinical trial site before each trial may be initiated;</w:t>
      </w:r>
    </w:p>
    <w:p>
      <w:pPr>
        <w:spacing w:after="0" w:line="33" w:lineRule="exact"/>
        <w:rPr>
          <w:rFonts w:ascii="Arial" w:cs="Arial" w:eastAsia="Arial" w:hAnsi="Arial"/>
          <w:sz w:val="18"/>
          <w:szCs w:val="18"/>
          <w:color w:val="auto"/>
        </w:rPr>
      </w:pPr>
    </w:p>
    <w:p>
      <w:pPr>
        <w:ind w:left="660" w:hanging="372"/>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nearly all new pharmaceutical products, performance of adequate and well-controlled human clinical trials in accordance with the FDA’s</w:t>
      </w:r>
    </w:p>
    <w:p>
      <w:pPr>
        <w:spacing w:after="0" w:line="59" w:lineRule="exact"/>
        <w:rPr>
          <w:rFonts w:ascii="Arial" w:cs="Arial" w:eastAsia="Arial" w:hAnsi="Arial"/>
          <w:sz w:val="17"/>
          <w:szCs w:val="17"/>
          <w:color w:val="auto"/>
        </w:rPr>
      </w:pPr>
    </w:p>
    <w:p>
      <w:pPr>
        <w:ind w:left="580" w:right="20"/>
        <w:spacing w:after="0" w:line="278" w:lineRule="auto"/>
        <w:rPr>
          <w:rFonts w:ascii="Arial" w:cs="Arial" w:eastAsia="Arial" w:hAnsi="Arial"/>
          <w:sz w:val="17"/>
          <w:szCs w:val="17"/>
          <w:color w:val="auto"/>
        </w:rPr>
      </w:pPr>
      <w:r>
        <w:rPr>
          <w:rFonts w:ascii="Arial" w:cs="Arial" w:eastAsia="Arial" w:hAnsi="Arial"/>
          <w:sz w:val="18"/>
          <w:szCs w:val="18"/>
          <w:color w:val="auto"/>
        </w:rPr>
        <w:t>regulations, including Good Clinical Practices, to establish the safety and efficacy of the prescription drug product candidate for each proposed indication;</w:t>
      </w:r>
    </w:p>
    <w:p>
      <w:pPr>
        <w:spacing w:after="0" w:line="1" w:lineRule="exact"/>
        <w:rPr>
          <w:rFonts w:ascii="Arial" w:cs="Arial" w:eastAsia="Arial" w:hAnsi="Arial"/>
          <w:sz w:val="17"/>
          <w:szCs w:val="17"/>
          <w:color w:val="auto"/>
        </w:rPr>
      </w:pPr>
    </w:p>
    <w:p>
      <w:pPr>
        <w:ind w:left="520" w:hanging="23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jc w:val="both"/>
        <w:ind w:left="580" w:hanging="292"/>
        <w:spacing w:after="0" w:line="286" w:lineRule="auto"/>
        <w:tabs>
          <w:tab w:leader="none" w:pos="5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1" w:lineRule="exact"/>
        <w:rPr>
          <w:rFonts w:ascii="Arial" w:cs="Arial" w:eastAsia="Arial" w:hAnsi="Arial"/>
          <w:sz w:val="18"/>
          <w:szCs w:val="18"/>
          <w:color w:val="auto"/>
        </w:rPr>
      </w:pPr>
    </w:p>
    <w:p>
      <w:pPr>
        <w:ind w:left="520" w:hanging="23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sale or shipment of the drug.</w:t>
      </w:r>
    </w:p>
    <w:p>
      <w:pPr>
        <w:spacing w:after="0" w:line="25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97"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8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320" w:top="949" w:right="31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designations, Priority Review and Accelerated Approval, which the Company may need to rely upon in order to receive timely approval or to be competitive.</w:t>
      </w:r>
    </w:p>
    <w:p>
      <w:pPr>
        <w:spacing w:after="0" w:line="267"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62"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74"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68" w:lineRule="exact"/>
        <w:rPr>
          <w:sz w:val="20"/>
          <w:szCs w:val="20"/>
          <w:color w:val="auto"/>
        </w:rPr>
      </w:pPr>
    </w:p>
    <w:p>
      <w:pPr>
        <w:jc w:val="both"/>
        <w:spacing w:after="0" w:line="317" w:lineRule="auto"/>
        <w:rPr>
          <w:sz w:val="20"/>
          <w:szCs w:val="20"/>
          <w:color w:val="auto"/>
        </w:rPr>
      </w:pPr>
      <w:r>
        <w:rPr>
          <w:rFonts w:ascii="Arial" w:cs="Arial" w:eastAsia="Arial" w:hAnsi="Arial"/>
          <w:sz w:val="17"/>
          <w:szCs w:val="17"/>
          <w:color w:val="auto"/>
        </w:rPr>
        <w:t xml:space="preserve">In the United States, pharmaceutical manufacturers are subject to complex laws and regulations pertaining to healthcare “fraud and abuse,” including, but not limited to, the Anti-Kickback Statute, the federal </w:t>
      </w:r>
      <w:r>
        <w:rPr>
          <w:rFonts w:ascii="Arial" w:cs="Arial" w:eastAsia="Arial" w:hAnsi="Arial"/>
          <w:sz w:val="18"/>
          <w:szCs w:val="18"/>
          <w:i w:val="1"/>
          <w:iCs w:val="1"/>
          <w:color w:val="auto"/>
        </w:rPr>
        <w:t>False Claims Act</w:t>
      </w:r>
      <w:r>
        <w:rPr>
          <w:rFonts w:ascii="Arial" w:cs="Arial" w:eastAsia="Arial" w:hAnsi="Arial"/>
          <w:sz w:val="17"/>
          <w:szCs w:val="17"/>
          <w:color w:val="auto"/>
        </w:rPr>
        <w:t xml:space="preserve"> (the “</w:t>
      </w:r>
      <w:r>
        <w:rPr>
          <w:rFonts w:ascii="Arial" w:cs="Arial" w:eastAsia="Arial" w:hAnsi="Arial"/>
          <w:sz w:val="18"/>
          <w:szCs w:val="18"/>
          <w:b w:val="1"/>
          <w:bCs w:val="1"/>
          <w:color w:val="auto"/>
        </w:rPr>
        <w:t>FCA</w:t>
      </w:r>
      <w:r>
        <w:rPr>
          <w:rFonts w:ascii="Arial" w:cs="Arial" w:eastAsia="Arial" w:hAnsi="Arial"/>
          <w:sz w:val="17"/>
          <w:szCs w:val="17"/>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60"/>
          </w:cols>
          <w:pgMar w:left="320" w:top="729" w:right="319" w:bottom="1440" w:gutter="0" w:footer="0" w:header="0"/>
        </w:sectPr>
      </w:pPr>
    </w:p>
    <w:bookmarkStart w:id="63" w:name="page64"/>
    <w:bookmarkEnd w:id="63"/>
    <w:p>
      <w:pPr>
        <w:jc w:val="both"/>
        <w:spacing w:after="0" w:line="313" w:lineRule="auto"/>
        <w:rPr>
          <w:sz w:val="20"/>
          <w:szCs w:val="20"/>
          <w:color w:val="auto"/>
        </w:rPr>
      </w:pPr>
      <w:r>
        <w:rPr>
          <w:rFonts w:ascii="Arial" w:cs="Arial" w:eastAsia="Arial" w:hAnsi="Arial"/>
          <w:sz w:val="17"/>
          <w:szCs w:val="17"/>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89"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266"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35" w:lineRule="exact"/>
        <w:rPr>
          <w:sz w:val="20"/>
          <w:szCs w:val="20"/>
          <w:color w:val="auto"/>
        </w:rPr>
      </w:pPr>
    </w:p>
    <w:p>
      <w:pPr>
        <w:jc w:val="both"/>
        <w:spacing w:after="0" w:line="338" w:lineRule="auto"/>
        <w:rPr>
          <w:sz w:val="20"/>
          <w:szCs w:val="20"/>
          <w:color w:val="auto"/>
        </w:rPr>
      </w:pPr>
      <w:r>
        <w:rPr>
          <w:rFonts w:ascii="Arial" w:cs="Arial" w:eastAsia="Arial" w:hAnsi="Arial"/>
          <w:sz w:val="16"/>
          <w:szCs w:val="16"/>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6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320" w:top="949" w:right="319" w:bottom="1440" w:gutter="0" w:footer="0" w:header="0"/>
        </w:sectPr>
      </w:pPr>
    </w:p>
    <w:bookmarkStart w:id="64" w:name="page65"/>
    <w:bookmarkEnd w:id="64"/>
    <w:p>
      <w:pPr>
        <w:jc w:val="both"/>
        <w:ind w:right="20"/>
        <w:spacing w:after="0" w:line="328"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81"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9"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Europe/Netherlands</w:t>
      </w:r>
    </w:p>
    <w:p>
      <w:pPr>
        <w:spacing w:after="0" w:line="25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Regulation (EU) No 536/2014 on Clinical Trials on Medicinal Products for Human Use ( the “</w:t>
      </w:r>
      <w:r>
        <w:rPr>
          <w:rFonts w:ascii="Arial" w:cs="Arial" w:eastAsia="Arial" w:hAnsi="Arial"/>
          <w:sz w:val="18"/>
          <w:szCs w:val="18"/>
          <w:b w:val="1"/>
          <w:bCs w:val="1"/>
          <w:color w:val="auto"/>
        </w:rPr>
        <w:t>CTR</w:t>
      </w:r>
      <w:r>
        <w:rPr>
          <w:rFonts w:ascii="Arial" w:cs="Arial" w:eastAsia="Arial" w:hAnsi="Arial"/>
          <w:sz w:val="17"/>
          <w:szCs w:val="17"/>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w:t>
      </w:r>
      <w:r>
        <w:rPr>
          <w:rFonts w:ascii="Arial" w:cs="Arial" w:eastAsia="Arial" w:hAnsi="Arial"/>
          <w:sz w:val="17"/>
          <w:szCs w:val="17"/>
          <w:b w:val="1"/>
          <w:bCs w:val="1"/>
          <w:color w:val="auto"/>
        </w:rPr>
        <w:t>CTSI"</w:t>
      </w:r>
      <w:r>
        <w:rPr>
          <w:rFonts w:ascii="Arial" w:cs="Arial" w:eastAsia="Arial" w:hAnsi="Arial"/>
          <w:sz w:val="17"/>
          <w:szCs w:val="17"/>
          <w:color w:val="auto"/>
        </w:rPr>
        <w:t xml:space="preserve">)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w:t>
      </w:r>
      <w:r>
        <w:rPr>
          <w:rFonts w:ascii="Arial" w:cs="Arial" w:eastAsia="Arial" w:hAnsi="Arial"/>
          <w:sz w:val="17"/>
          <w:szCs w:val="17"/>
          <w:color w:val="0000FF"/>
        </w:rPr>
        <w:t>Annex I of the revised rules</w:t>
      </w:r>
      <w:r>
        <w:rPr>
          <w:rFonts w:ascii="Arial" w:cs="Arial" w:eastAsia="Arial" w:hAnsi="Arial"/>
          <w:sz w:val="17"/>
          <w:szCs w:val="17"/>
          <w:color w:val="auto"/>
        </w:rPr>
        <w:t xml:space="preserve"> outlines the timing of information publication for each category of clinical trial and patient population. Final implementation of these new rules is expected in the second quarter of 2024. EMA will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320" w:top="729" w:right="31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communicate the effective date of completion of the process and application of the new rules to CTIS users in due course.</w:t>
      </w:r>
    </w:p>
    <w:p>
      <w:pPr>
        <w:spacing w:after="0" w:line="2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Investigational Medical Product Dossier (“</w:t>
      </w:r>
      <w:r>
        <w:rPr>
          <w:rFonts w:ascii="Arial" w:cs="Arial" w:eastAsia="Arial" w:hAnsi="Arial"/>
          <w:sz w:val="17"/>
          <w:szCs w:val="17"/>
          <w:b w:val="1"/>
          <w:bCs w:val="1"/>
          <w:color w:val="auto"/>
        </w:rPr>
        <w:t>IMPD</w:t>
      </w:r>
      <w:r>
        <w:rPr>
          <w:rFonts w:ascii="Arial" w:cs="Arial" w:eastAsia="Arial" w:hAnsi="Arial"/>
          <w:sz w:val="16"/>
          <w:szCs w:val="16"/>
          <w:color w:val="auto"/>
        </w:rPr>
        <w:t xml:space="preserve">”)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w:t>
      </w:r>
      <w:r>
        <w:rPr>
          <w:rFonts w:ascii="Arial" w:cs="Arial" w:eastAsia="Arial" w:hAnsi="Arial"/>
          <w:sz w:val="17"/>
          <w:szCs w:val="17"/>
          <w:color w:val="auto"/>
        </w:rPr>
        <w:t>CTR</w:t>
      </w:r>
      <w:r>
        <w:rPr>
          <w:rFonts w:ascii="Arial" w:cs="Arial" w:eastAsia="Arial" w:hAnsi="Arial"/>
          <w:sz w:val="16"/>
          <w:szCs w:val="16"/>
          <w:color w:val="auto"/>
        </w:rPr>
        <w:t xml:space="preserve">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Arial" w:cs="Arial" w:eastAsia="Arial" w:hAnsi="Arial"/>
          <w:sz w:val="17"/>
          <w:szCs w:val="17"/>
          <w:b w:val="1"/>
          <w:bCs w:val="1"/>
          <w:color w:val="auto"/>
        </w:rPr>
        <w:t>Clinical Trials Directive</w:t>
      </w:r>
      <w:r>
        <w:rPr>
          <w:rFonts w:ascii="Arial" w:cs="Arial" w:eastAsia="Arial" w:hAnsi="Arial"/>
          <w:sz w:val="16"/>
          <w:szCs w:val="16"/>
          <w:color w:val="auto"/>
        </w:rPr>
        <w:t>”).</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17"/>
          <w:szCs w:val="17"/>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94"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products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60"/>
          </w:cols>
          <w:pgMar w:left="320" w:top="729" w:right="319" w:bottom="1440" w:gutter="0" w:footer="0" w:header="0"/>
        </w:sectPr>
      </w:pPr>
    </w:p>
    <w:bookmarkStart w:id="66" w:name="page67"/>
    <w:bookmarkEnd w:id="66"/>
    <w:p>
      <w:pPr>
        <w:jc w:val="both"/>
        <w:spacing w:after="0" w:line="298" w:lineRule="auto"/>
        <w:rPr>
          <w:sz w:val="20"/>
          <w:szCs w:val="20"/>
          <w:color w:val="auto"/>
        </w:rPr>
      </w:pPr>
      <w:r>
        <w:rPr>
          <w:rFonts w:ascii="Arial" w:cs="Arial" w:eastAsia="Arial" w:hAnsi="Arial"/>
          <w:sz w:val="18"/>
          <w:szCs w:val="18"/>
          <w:color w:val="auto"/>
        </w:rPr>
        <w:t>In accordance with the Dutch Medicines Act (</w:t>
      </w:r>
      <w:r>
        <w:rPr>
          <w:rFonts w:ascii="Arial" w:cs="Arial" w:eastAsia="Arial" w:hAnsi="Arial"/>
          <w:sz w:val="19"/>
          <w:szCs w:val="19"/>
          <w:i w:val="1"/>
          <w:iCs w:val="1"/>
          <w:color w:val="auto"/>
        </w:rPr>
        <w:t>Geneesmiddelenwet</w:t>
      </w:r>
      <w:r>
        <w:rPr>
          <w:rFonts w:ascii="Arial" w:cs="Arial" w:eastAsia="Arial" w:hAnsi="Arial"/>
          <w:sz w:val="18"/>
          <w:szCs w:val="18"/>
          <w:color w:val="auto"/>
        </w:rPr>
        <w: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Arial" w:cs="Arial" w:eastAsia="Arial" w:hAnsi="Arial"/>
          <w:sz w:val="17"/>
          <w:szCs w:val="17"/>
          <w:b w:val="1"/>
          <w:bCs w:val="1"/>
          <w:color w:val="auto"/>
        </w:rPr>
        <w:t>EMA</w:t>
      </w:r>
      <w:r>
        <w:rPr>
          <w:rFonts w:ascii="Arial" w:cs="Arial" w:eastAsia="Arial" w:hAnsi="Arial"/>
          <w:sz w:val="17"/>
          <w:szCs w:val="17"/>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04"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6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Authorization Regulatory Process</w:t>
      </w: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320" w:top="945" w:right="319" w:bottom="1440" w:gutter="0" w:footer="0" w:header="0"/>
        </w:sectPr>
      </w:pPr>
    </w:p>
    <w:bookmarkStart w:id="67" w:name="page68"/>
    <w:bookmarkEnd w:id="67"/>
    <w:p>
      <w:pPr>
        <w:jc w:val="both"/>
        <w:ind w:right="20"/>
        <w:spacing w:after="0" w:line="326" w:lineRule="auto"/>
        <w:rPr>
          <w:sz w:val="20"/>
          <w:szCs w:val="20"/>
          <w:color w:val="auto"/>
        </w:rPr>
      </w:pPr>
      <w:r>
        <w:rPr>
          <w:rFonts w:ascii="Arial" w:cs="Arial" w:eastAsia="Arial" w:hAnsi="Arial"/>
          <w:sz w:val="16"/>
          <w:szCs w:val="16"/>
          <w:color w:val="auto"/>
        </w:rPr>
        <w:t>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71"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Arial" w:cs="Arial" w:eastAsia="Arial" w:hAnsi="Arial"/>
          <w:sz w:val="16"/>
          <w:szCs w:val="16"/>
          <w:b w:val="1"/>
          <w:bCs w:val="1"/>
          <w:color w:val="auto"/>
        </w:rPr>
        <w:t>RMS</w:t>
      </w:r>
      <w:r>
        <w:rPr>
          <w:rFonts w:ascii="Arial" w:cs="Arial" w:eastAsia="Arial" w:hAnsi="Arial"/>
          <w:sz w:val="16"/>
          <w:szCs w:val="16"/>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6"/>
          <w:szCs w:val="16"/>
          <w:b w:val="1"/>
          <w:bCs w:val="1"/>
          <w:color w:val="auto"/>
        </w:rPr>
        <w:t>CMDh</w:t>
      </w:r>
      <w:r>
        <w:rPr>
          <w:rFonts w:ascii="Arial" w:cs="Arial" w:eastAsia="Arial" w:hAnsi="Arial"/>
          <w:sz w:val="16"/>
          <w:szCs w:val="16"/>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Ireland</w:t>
      </w:r>
    </w:p>
    <w:p>
      <w:pPr>
        <w:spacing w:after="0" w:line="26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 xml:space="preserve">In Ireland, psilocin is a controlled substance under the </w:t>
      </w:r>
      <w:r>
        <w:rPr>
          <w:rFonts w:ascii="Arial" w:cs="Arial" w:eastAsia="Arial" w:hAnsi="Arial"/>
          <w:sz w:val="18"/>
          <w:szCs w:val="18"/>
          <w:i w:val="1"/>
          <w:iCs w:val="1"/>
          <w:color w:val="auto"/>
        </w:rPr>
        <w:t>Misuse of Drugs Act, 1977, 1984 and 2015</w:t>
      </w:r>
      <w:r>
        <w:rPr>
          <w:rFonts w:ascii="Arial" w:cs="Arial" w:eastAsia="Arial" w:hAnsi="Arial"/>
          <w:sz w:val="18"/>
          <w:szCs w:val="18"/>
          <w:color w:val="auto"/>
        </w:rPr>
        <w:t xml:space="preserve"> (the “</w:t>
      </w:r>
      <w:r>
        <w:rPr>
          <w:rFonts w:ascii="Arial" w:cs="Arial" w:eastAsia="Arial" w:hAnsi="Arial"/>
          <w:sz w:val="18"/>
          <w:szCs w:val="18"/>
          <w:b w:val="1"/>
          <w:bCs w:val="1"/>
          <w:color w:val="auto"/>
        </w:rPr>
        <w:t>Ireland MDA</w:t>
      </w:r>
      <w:r>
        <w:rPr>
          <w:rFonts w:ascii="Arial" w:cs="Arial" w:eastAsia="Arial" w:hAnsi="Arial"/>
          <w:sz w:val="18"/>
          <w:szCs w:val="18"/>
          <w:color w:val="auto"/>
        </w:rPr>
        <w:t xml:space="preserve">”), the </w:t>
      </w:r>
      <w:r>
        <w:rPr>
          <w:rFonts w:ascii="Arial" w:cs="Arial" w:eastAsia="Arial" w:hAnsi="Arial"/>
          <w:sz w:val="18"/>
          <w:szCs w:val="18"/>
          <w:i w:val="1"/>
          <w:iCs w:val="1"/>
          <w:color w:val="auto"/>
        </w:rPr>
        <w:t>Misuse of Drugs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2017 </w:t>
      </w:r>
      <w:r>
        <w:rPr>
          <w:rFonts w:ascii="Arial" w:cs="Arial" w:eastAsia="Arial" w:hAnsi="Arial"/>
          <w:sz w:val="18"/>
          <w:szCs w:val="18"/>
          <w:color w:val="auto"/>
        </w:rPr>
        <w:t>(the “</w:t>
      </w:r>
      <w:r>
        <w:rPr>
          <w:rFonts w:ascii="Arial" w:cs="Arial" w:eastAsia="Arial" w:hAnsi="Arial"/>
          <w:sz w:val="18"/>
          <w:szCs w:val="18"/>
          <w:b w:val="1"/>
          <w:bCs w:val="1"/>
          <w:color w:val="auto"/>
        </w:rPr>
        <w:t>Ireland MDR</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Criminal Justice (Psychoactive Substances) Act 2010</w:t>
      </w:r>
      <w:r>
        <w:rPr>
          <w:rFonts w:ascii="Arial" w:cs="Arial" w:eastAsia="Arial" w:hAnsi="Arial"/>
          <w:sz w:val="18"/>
          <w:szCs w:val="18"/>
          <w:color w:val="auto"/>
        </w:rPr>
        <w:t>. These are the primary legislative instruments which govern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202"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320" w:top="731" w:right="319" w:bottom="1440" w:gutter="0" w:footer="0" w:header="0"/>
        </w:sectPr>
      </w:pPr>
    </w:p>
    <w:bookmarkStart w:id="68" w:name="page69"/>
    <w:bookmarkEnd w:id="68"/>
    <w:p>
      <w:pPr>
        <w:jc w:val="both"/>
        <w:spacing w:after="0" w:line="299" w:lineRule="auto"/>
        <w:rPr>
          <w:sz w:val="20"/>
          <w:szCs w:val="20"/>
          <w:color w:val="auto"/>
        </w:rPr>
      </w:pPr>
      <w:r>
        <w:rPr>
          <w:rFonts w:ascii="Arial" w:cs="Arial" w:eastAsia="Arial" w:hAnsi="Arial"/>
          <w:sz w:val="18"/>
          <w:szCs w:val="18"/>
          <w:color w:val="auto"/>
        </w:rPr>
        <w:t>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86"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87"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86"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Applicable Laws</w:t>
      </w:r>
    </w:p>
    <w:p>
      <w:pPr>
        <w:spacing w:after="0" w:line="221"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87"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0" w:lineRule="exact"/>
        <w:rPr>
          <w:sz w:val="20"/>
          <w:szCs w:val="20"/>
          <w:color w:val="auto"/>
        </w:rPr>
      </w:pPr>
    </w:p>
    <w:p>
      <w:pPr>
        <w:jc w:val="both"/>
        <w:ind w:right="20"/>
        <w:spacing w:after="0" w:line="371" w:lineRule="auto"/>
        <w:rPr>
          <w:sz w:val="20"/>
          <w:szCs w:val="20"/>
          <w:color w:val="auto"/>
        </w:rPr>
      </w:pPr>
      <w:r>
        <w:rPr>
          <w:rFonts w:ascii="Arial" w:cs="Arial" w:eastAsia="Arial" w:hAnsi="Arial"/>
          <w:sz w:val="16"/>
          <w:szCs w:val="16"/>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10"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91"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60"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320" w:top="729" w:right="319" w:bottom="1440" w:gutter="0" w:footer="0" w:header="0"/>
        </w:sectPr>
      </w:pPr>
    </w:p>
    <w:bookmarkStart w:id="69" w:name="page70"/>
    <w:bookmarkEnd w:id="69"/>
    <w:p>
      <w:pPr>
        <w:jc w:val="both"/>
        <w:ind w:right="20"/>
        <w:spacing w:after="0" w:line="315" w:lineRule="auto"/>
        <w:rPr>
          <w:sz w:val="20"/>
          <w:szCs w:val="20"/>
          <w:color w:val="auto"/>
        </w:rPr>
      </w:pPr>
      <w:r>
        <w:rPr>
          <w:rFonts w:ascii="Arial" w:cs="Arial" w:eastAsia="Arial" w:hAnsi="Arial"/>
          <w:sz w:val="17"/>
          <w:szCs w:val="17"/>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 Cooperation Treaty</w:t>
      </w:r>
    </w:p>
    <w:p>
      <w:pPr>
        <w:spacing w:after="0" w:line="254"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46"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1" w:lineRule="exact"/>
        <w:rPr>
          <w:sz w:val="20"/>
          <w:szCs w:val="20"/>
          <w:color w:val="auto"/>
        </w:rPr>
      </w:pPr>
    </w:p>
    <w:p>
      <w:pPr>
        <w:jc w:val="both"/>
        <w:ind w:right="20"/>
        <w:spacing w:after="0" w:line="314" w:lineRule="auto"/>
        <w:rPr>
          <w:sz w:val="20"/>
          <w:szCs w:val="20"/>
          <w:color w:val="auto"/>
        </w:rPr>
      </w:pPr>
      <w:r>
        <w:rPr>
          <w:rFonts w:ascii="Arial" w:cs="Arial" w:eastAsia="Arial" w:hAnsi="Arial"/>
          <w:sz w:val="17"/>
          <w:szCs w:val="17"/>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3" w:lineRule="exact"/>
        <w:rPr>
          <w:sz w:val="20"/>
          <w:szCs w:val="20"/>
          <w:color w:val="auto"/>
        </w:rPr>
      </w:pPr>
    </w:p>
    <w:p>
      <w:pPr>
        <w:jc w:val="both"/>
        <w:ind w:right="20"/>
        <w:spacing w:after="0" w:line="310" w:lineRule="auto"/>
        <w:rPr>
          <w:sz w:val="20"/>
          <w:szCs w:val="20"/>
          <w:color w:val="auto"/>
        </w:rPr>
      </w:pPr>
      <w:r>
        <w:rPr>
          <w:rFonts w:ascii="Arial" w:cs="Arial" w:eastAsia="Arial" w:hAnsi="Arial"/>
          <w:sz w:val="17"/>
          <w:szCs w:val="17"/>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320" w:top="729"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Selected Quarterly Information</w:t>
      </w:r>
    </w:p>
    <w:p>
      <w:pPr>
        <w:spacing w:after="0" w:line="266"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The following table sets forth selected consolidated financial information for the periods indicated that are derived from, and should be read in conjunction with, the Financial Statements and related notes thereto.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ind w:left="60"/>
              <w:spacing w:after="0"/>
              <w:rPr>
                <w:sz w:val="20"/>
                <w:szCs w:val="20"/>
                <w:color w:val="auto"/>
              </w:rPr>
            </w:pPr>
            <w:r>
              <w:rPr>
                <w:rFonts w:ascii="Arial" w:cs="Arial" w:eastAsia="Arial" w:hAnsi="Arial"/>
                <w:sz w:val="14"/>
                <w:szCs w:val="14"/>
                <w:i w:val="1"/>
                <w:iCs w:val="1"/>
                <w:color w:val="auto"/>
                <w:w w:val="98"/>
              </w:rPr>
              <w:t>(Canadian dollars in thousands,</w:t>
            </w: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09"/>
        </w:trPr>
        <w:tc>
          <w:tcPr>
            <w:tcW w:w="2020" w:type="dxa"/>
            <w:vAlign w:val="bottom"/>
          </w:tcPr>
          <w:p>
            <w:pPr>
              <w:ind w:left="60"/>
              <w:spacing w:after="0" w:line="110" w:lineRule="exact"/>
              <w:rPr>
                <w:sz w:val="20"/>
                <w:szCs w:val="20"/>
                <w:color w:val="auto"/>
              </w:rPr>
            </w:pPr>
            <w:r>
              <w:rPr>
                <w:rFonts w:ascii="Arial" w:cs="Arial" w:eastAsia="Arial" w:hAnsi="Arial"/>
                <w:sz w:val="11"/>
                <w:szCs w:val="11"/>
                <w:i w:val="1"/>
                <w:iCs w:val="1"/>
                <w:color w:val="auto"/>
              </w:rPr>
              <w:t>except per share and share</w:t>
            </w:r>
          </w:p>
        </w:tc>
        <w:tc>
          <w:tcPr>
            <w:tcW w:w="12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2023</w:t>
            </w:r>
          </w:p>
        </w:tc>
        <w:tc>
          <w:tcPr>
            <w:tcW w:w="10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June 30,2023</w:t>
            </w:r>
          </w:p>
        </w:tc>
        <w:tc>
          <w:tcPr>
            <w:tcW w:w="12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March 31, 2023</w:t>
            </w:r>
          </w:p>
        </w:tc>
        <w:tc>
          <w:tcPr>
            <w:tcW w:w="11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11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11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June 30, 2022</w:t>
            </w:r>
          </w:p>
        </w:tc>
        <w:tc>
          <w:tcPr>
            <w:tcW w:w="12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March 31, 2022</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8"/>
        </w:trPr>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4"/>
                <w:szCs w:val="14"/>
                <w:i w:val="1"/>
                <w:iCs w:val="1"/>
                <w:color w:val="auto"/>
              </w:rPr>
              <w:t>figures)</w:t>
            </w:r>
          </w:p>
        </w:tc>
        <w:tc>
          <w:tcPr>
            <w:tcW w:w="12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Revenues ($)</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Operating Expenses ($)</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13,910</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12,707</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13,703</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12,093</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12,327</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13,395</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16,338</w:t>
            </w:r>
          </w:p>
        </w:tc>
        <w:tc>
          <w:tcPr>
            <w:tcW w:w="1020" w:type="dxa"/>
            <w:vAlign w:val="bottom"/>
          </w:tcPr>
          <w:p>
            <w:pPr>
              <w:jc w:val="right"/>
              <w:spacing w:after="0"/>
              <w:rPr>
                <w:sz w:val="20"/>
                <w:szCs w:val="20"/>
                <w:color w:val="auto"/>
              </w:rPr>
            </w:pPr>
            <w:r>
              <w:rPr>
                <w:rFonts w:ascii="Arial" w:cs="Arial" w:eastAsia="Arial" w:hAnsi="Arial"/>
                <w:sz w:val="14"/>
                <w:szCs w:val="14"/>
                <w:color w:val="auto"/>
              </w:rPr>
              <w:t>16,455</w:t>
            </w:r>
          </w:p>
        </w:tc>
        <w:tc>
          <w:tcPr>
            <w:tcW w:w="0" w:type="dxa"/>
            <w:vAlign w:val="bottom"/>
          </w:tcPr>
          <w:p>
            <w:pPr>
              <w:spacing w:after="0"/>
              <w:rPr>
                <w:sz w:val="1"/>
                <w:szCs w:val="1"/>
                <w:color w:val="auto"/>
              </w:rPr>
            </w:pPr>
          </w:p>
        </w:tc>
      </w:tr>
      <w:tr>
        <w:trPr>
          <w:trHeight w:val="182"/>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Net loss ($)</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(11,890)</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(14,514)</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(13,720)</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(10,742)</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(9,973)</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(13,055)</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(18,097)</w:t>
            </w:r>
          </w:p>
        </w:tc>
        <w:tc>
          <w:tcPr>
            <w:tcW w:w="1020" w:type="dxa"/>
            <w:vAlign w:val="bottom"/>
          </w:tcPr>
          <w:p>
            <w:pPr>
              <w:jc w:val="right"/>
              <w:spacing w:after="0"/>
              <w:rPr>
                <w:sz w:val="20"/>
                <w:szCs w:val="20"/>
                <w:color w:val="auto"/>
              </w:rPr>
            </w:pPr>
            <w:r>
              <w:rPr>
                <w:rFonts w:ascii="Arial" w:cs="Arial" w:eastAsia="Arial" w:hAnsi="Arial"/>
                <w:sz w:val="14"/>
                <w:szCs w:val="14"/>
                <w:color w:val="auto"/>
              </w:rPr>
              <w:t>(17,210)</w:t>
            </w:r>
          </w:p>
        </w:tc>
        <w:tc>
          <w:tcPr>
            <w:tcW w:w="0" w:type="dxa"/>
            <w:vAlign w:val="bottom"/>
          </w:tcPr>
          <w:p>
            <w:pPr>
              <w:spacing w:after="0"/>
              <w:rPr>
                <w:sz w:val="1"/>
                <w:szCs w:val="1"/>
                <w:color w:val="auto"/>
              </w:rPr>
            </w:pPr>
          </w:p>
        </w:tc>
      </w:tr>
      <w:tr>
        <w:trPr>
          <w:trHeight w:val="440"/>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Basic</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234,584,277</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206,157,780</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196,144,381</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188,887,344</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180,837,176</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175,874,475</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173,873,017</w:t>
            </w:r>
          </w:p>
        </w:tc>
        <w:tc>
          <w:tcPr>
            <w:tcW w:w="1020" w:type="dxa"/>
            <w:vAlign w:val="bottom"/>
          </w:tcPr>
          <w:p>
            <w:pPr>
              <w:jc w:val="right"/>
              <w:spacing w:after="0"/>
              <w:rPr>
                <w:sz w:val="20"/>
                <w:szCs w:val="20"/>
                <w:color w:val="auto"/>
              </w:rPr>
            </w:pPr>
            <w:r>
              <w:rPr>
                <w:rFonts w:ascii="Arial" w:cs="Arial" w:eastAsia="Arial" w:hAnsi="Arial"/>
                <w:sz w:val="14"/>
                <w:szCs w:val="14"/>
                <w:color w:val="auto"/>
              </w:rPr>
              <w:t>171,833,544</w:t>
            </w:r>
          </w:p>
        </w:tc>
        <w:tc>
          <w:tcPr>
            <w:tcW w:w="0" w:type="dxa"/>
            <w:vAlign w:val="bottom"/>
          </w:tcPr>
          <w:p>
            <w:pPr>
              <w:spacing w:after="0"/>
              <w:rPr>
                <w:sz w:val="1"/>
                <w:szCs w:val="1"/>
                <w:color w:val="auto"/>
              </w:rPr>
            </w:pPr>
          </w:p>
        </w:tc>
      </w:tr>
      <w:tr>
        <w:trPr>
          <w:trHeight w:val="182"/>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Loss per share ($)</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(0.05)</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(0.07)</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(0.06)</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(0.06)</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02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392"/>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Weighted Average Shares -</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Diluted</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234,584,277</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206,157,780</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196,144,381</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188,887,344</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180,837,176</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175,874,475</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173,873,017</w:t>
            </w:r>
          </w:p>
        </w:tc>
        <w:tc>
          <w:tcPr>
            <w:tcW w:w="1020" w:type="dxa"/>
            <w:vAlign w:val="bottom"/>
          </w:tcPr>
          <w:p>
            <w:pPr>
              <w:jc w:val="right"/>
              <w:spacing w:after="0"/>
              <w:rPr>
                <w:sz w:val="20"/>
                <w:szCs w:val="20"/>
                <w:color w:val="auto"/>
              </w:rPr>
            </w:pPr>
            <w:r>
              <w:rPr>
                <w:rFonts w:ascii="Arial" w:cs="Arial" w:eastAsia="Arial" w:hAnsi="Arial"/>
                <w:sz w:val="14"/>
                <w:szCs w:val="14"/>
                <w:color w:val="auto"/>
              </w:rPr>
              <w:t>171,833,544</w:t>
            </w:r>
          </w:p>
        </w:tc>
        <w:tc>
          <w:tcPr>
            <w:tcW w:w="0" w:type="dxa"/>
            <w:vAlign w:val="bottom"/>
          </w:tcPr>
          <w:p>
            <w:pPr>
              <w:spacing w:after="0"/>
              <w:rPr>
                <w:sz w:val="1"/>
                <w:szCs w:val="1"/>
                <w:color w:val="auto"/>
              </w:rPr>
            </w:pPr>
          </w:p>
        </w:tc>
      </w:tr>
      <w:tr>
        <w:trPr>
          <w:trHeight w:val="182"/>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Loss per share ($)</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(0.05)</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(0.07)</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(0.06)</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(0.06)</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(0.07)</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(0.10)</w:t>
            </w:r>
          </w:p>
        </w:tc>
        <w:tc>
          <w:tcPr>
            <w:tcW w:w="102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424"/>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Cash and cash equivalents</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18,118</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9,349</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16,633</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22,511</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29,937</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42,460</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53,641</w:t>
            </w:r>
          </w:p>
        </w:tc>
        <w:tc>
          <w:tcPr>
            <w:tcW w:w="1020" w:type="dxa"/>
            <w:vAlign w:val="bottom"/>
          </w:tcPr>
          <w:p>
            <w:pPr>
              <w:jc w:val="right"/>
              <w:spacing w:after="0"/>
              <w:rPr>
                <w:sz w:val="20"/>
                <w:szCs w:val="20"/>
                <w:color w:val="auto"/>
              </w:rPr>
            </w:pPr>
            <w:r>
              <w:rPr>
                <w:rFonts w:ascii="Arial" w:cs="Arial" w:eastAsia="Arial" w:hAnsi="Arial"/>
                <w:sz w:val="14"/>
                <w:szCs w:val="14"/>
                <w:color w:val="auto"/>
              </w:rPr>
              <w:t>63,580</w:t>
            </w:r>
          </w:p>
        </w:tc>
        <w:tc>
          <w:tcPr>
            <w:tcW w:w="0" w:type="dxa"/>
            <w:vAlign w:val="bottom"/>
          </w:tcPr>
          <w:p>
            <w:pPr>
              <w:spacing w:after="0"/>
              <w:rPr>
                <w:sz w:val="1"/>
                <w:szCs w:val="1"/>
                <w:color w:val="auto"/>
              </w:rPr>
            </w:pPr>
          </w:p>
        </w:tc>
      </w:tr>
      <w:tr>
        <w:trPr>
          <w:trHeight w:val="182"/>
        </w:trPr>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Total Assets ($)</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57,627</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45,691</w:t>
            </w:r>
          </w:p>
        </w:tc>
        <w:tc>
          <w:tcPr>
            <w:tcW w:w="1220" w:type="dxa"/>
            <w:vAlign w:val="bottom"/>
          </w:tcPr>
          <w:p>
            <w:pPr>
              <w:jc w:val="right"/>
              <w:ind w:right="91"/>
              <w:spacing w:after="0"/>
              <w:rPr>
                <w:sz w:val="20"/>
                <w:szCs w:val="20"/>
                <w:color w:val="auto"/>
              </w:rPr>
            </w:pPr>
            <w:r>
              <w:rPr>
                <w:rFonts w:ascii="Arial" w:cs="Arial" w:eastAsia="Arial" w:hAnsi="Arial"/>
                <w:sz w:val="14"/>
                <w:szCs w:val="14"/>
                <w:color w:val="auto"/>
              </w:rPr>
              <w:t>53,897</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60,694</w:t>
            </w: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69,113</w:t>
            </w: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74,590</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84,063</w:t>
            </w:r>
          </w:p>
        </w:tc>
        <w:tc>
          <w:tcPr>
            <w:tcW w:w="1020" w:type="dxa"/>
            <w:vAlign w:val="bottom"/>
          </w:tcPr>
          <w:p>
            <w:pPr>
              <w:jc w:val="right"/>
              <w:spacing w:after="0"/>
              <w:rPr>
                <w:sz w:val="20"/>
                <w:szCs w:val="20"/>
                <w:color w:val="auto"/>
              </w:rPr>
            </w:pPr>
            <w:r>
              <w:rPr>
                <w:rFonts w:ascii="Arial" w:cs="Arial" w:eastAsia="Arial" w:hAnsi="Arial"/>
                <w:sz w:val="14"/>
                <w:szCs w:val="14"/>
                <w:color w:val="auto"/>
              </w:rPr>
              <w:t>95,161</w:t>
            </w:r>
          </w:p>
        </w:tc>
        <w:tc>
          <w:tcPr>
            <w:tcW w:w="0" w:type="dxa"/>
            <w:vAlign w:val="bottom"/>
          </w:tcPr>
          <w:p>
            <w:pPr>
              <w:spacing w:after="0"/>
              <w:rPr>
                <w:sz w:val="1"/>
                <w:szCs w:val="1"/>
                <w:color w:val="auto"/>
              </w:rPr>
            </w:pPr>
          </w:p>
        </w:tc>
      </w:tr>
      <w:tr>
        <w:trPr>
          <w:trHeight w:val="149"/>
        </w:trPr>
        <w:tc>
          <w:tcPr>
            <w:tcW w:w="20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Total Non-Current Liabilities</w:t>
            </w:r>
          </w:p>
        </w:tc>
        <w:tc>
          <w:tcPr>
            <w:tcW w:w="1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dividends on the Common Shares and does not anticipate declaring any dividends in the near future.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58"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Total assets increased by $3,730 from April 1, 2023 to September 30, 2023 mainly as a result of an equity raise, and issuances of Common Shares under the 2022 ATM Program and 2023 ATM Program (both, as defined herein).As at September 30, 2023, the Company had prepaid expenses related to future clinical work of $1,969 (US$1,457).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Liabilities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have any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60"/>
          </w:cols>
          <w:pgMar w:left="320" w:top="729" w:right="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Borders>
              <w:bottom w:val="single" w:sz="8" w:color="auto"/>
              <w:right w:val="single" w:sz="8" w:color="auto"/>
            </w:tcBorders>
          </w:tcPr>
          <w:p>
            <w:pPr>
              <w:spacing w:after="0"/>
              <w:rPr>
                <w:sz w:val="16"/>
                <w:szCs w:val="16"/>
                <w:color w:val="auto"/>
              </w:rPr>
            </w:pPr>
          </w:p>
        </w:tc>
        <w:tc>
          <w:tcPr>
            <w:tcW w:w="3040" w:type="dxa"/>
            <w:vAlign w:val="bottom"/>
            <w:tcBorders>
              <w:top w:val="single" w:sz="8" w:color="auto"/>
              <w:bottom w:val="single" w:sz="8" w:color="auto"/>
              <w:right w:val="single" w:sz="8" w:color="auto"/>
            </w:tcBorders>
            <w:gridSpan w:val="2"/>
          </w:tcPr>
          <w:p>
            <w:pPr>
              <w:jc w:val="right"/>
              <w:ind w:right="487"/>
              <w:spacing w:after="0"/>
              <w:rPr>
                <w:sz w:val="20"/>
                <w:szCs w:val="20"/>
                <w:color w:val="auto"/>
              </w:rPr>
            </w:pPr>
            <w:r>
              <w:rPr>
                <w:rFonts w:ascii="Arial" w:cs="Arial" w:eastAsia="Arial" w:hAnsi="Arial"/>
                <w:sz w:val="13"/>
                <w:szCs w:val="13"/>
                <w:b w:val="1"/>
                <w:bCs w:val="1"/>
                <w:color w:val="auto"/>
              </w:rPr>
              <w:t>Three months ended September 30,</w:t>
            </w:r>
          </w:p>
        </w:tc>
        <w:tc>
          <w:tcPr>
            <w:tcW w:w="3020" w:type="dxa"/>
            <w:vAlign w:val="bottom"/>
            <w:tcBorders>
              <w:top w:val="single" w:sz="8" w:color="auto"/>
              <w:bottom w:val="single" w:sz="8" w:color="auto"/>
            </w:tcBorders>
            <w:gridSpan w:val="2"/>
          </w:tcPr>
          <w:p>
            <w:pPr>
              <w:jc w:val="right"/>
              <w:ind w:right="528"/>
              <w:spacing w:after="0"/>
              <w:rPr>
                <w:sz w:val="20"/>
                <w:szCs w:val="20"/>
                <w:color w:val="auto"/>
              </w:rPr>
            </w:pPr>
            <w:r>
              <w:rPr>
                <w:rFonts w:ascii="Arial" w:cs="Arial" w:eastAsia="Arial" w:hAnsi="Arial"/>
                <w:sz w:val="13"/>
                <w:szCs w:val="13"/>
                <w:b w:val="1"/>
                <w:bCs w:val="1"/>
                <w:color w:val="auto"/>
              </w:rPr>
              <w:t>Six months ended September 30,</w:t>
            </w: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2023</w:t>
            </w:r>
          </w:p>
        </w:tc>
        <w:tc>
          <w:tcPr>
            <w:tcW w:w="1200" w:type="dxa"/>
            <w:vAlign w:val="bottom"/>
          </w:tcPr>
          <w:p>
            <w:pPr>
              <w:jc w:val="right"/>
              <w:ind w:right="7"/>
              <w:spacing w:after="0"/>
              <w:rPr>
                <w:sz w:val="20"/>
                <w:szCs w:val="20"/>
                <w:color w:val="auto"/>
              </w:rPr>
            </w:pPr>
            <w:r>
              <w:rPr>
                <w:rFonts w:ascii="Arial" w:cs="Arial" w:eastAsia="Arial" w:hAnsi="Arial"/>
                <w:sz w:val="15"/>
                <w:szCs w:val="15"/>
                <w:b w:val="1"/>
                <w:bCs w:val="1"/>
                <w:color w:val="auto"/>
              </w:rPr>
              <w:t>2022</w:t>
            </w:r>
          </w:p>
        </w:tc>
        <w:tc>
          <w:tcPr>
            <w:tcW w:w="1880" w:type="dxa"/>
            <w:vAlign w:val="bottom"/>
          </w:tcPr>
          <w:p>
            <w:pPr>
              <w:jc w:val="right"/>
              <w:ind w:right="353"/>
              <w:spacing w:after="0"/>
              <w:rPr>
                <w:sz w:val="20"/>
                <w:szCs w:val="20"/>
                <w:color w:val="auto"/>
              </w:rPr>
            </w:pPr>
            <w:r>
              <w:rPr>
                <w:rFonts w:ascii="Arial" w:cs="Arial" w:eastAsia="Arial" w:hAnsi="Arial"/>
                <w:sz w:val="15"/>
                <w:szCs w:val="15"/>
                <w:b w:val="1"/>
                <w:bCs w:val="1"/>
                <w:color w:val="auto"/>
              </w:rPr>
              <w:t>2023</w:t>
            </w: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51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5160" w:type="dxa"/>
            <w:vAlign w:val="bottom"/>
          </w:tcPr>
          <w:p>
            <w:pPr>
              <w:ind w:left="60"/>
              <w:spacing w:after="0"/>
              <w:rPr>
                <w:sz w:val="20"/>
                <w:szCs w:val="20"/>
                <w:color w:val="auto"/>
              </w:rPr>
            </w:pPr>
            <w:r>
              <w:rPr>
                <w:rFonts w:ascii="Arial" w:cs="Arial" w:eastAsia="Arial" w:hAnsi="Arial"/>
                <w:sz w:val="15"/>
                <w:szCs w:val="15"/>
                <w:b w:val="1"/>
                <w:bCs w:val="1"/>
                <w:color w:val="auto"/>
              </w:rPr>
              <w:t>EXPENSES</w:t>
            </w:r>
          </w:p>
        </w:tc>
        <w:tc>
          <w:tcPr>
            <w:tcW w:w="1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200"/>
              <w:spacing w:after="0"/>
              <w:rPr>
                <w:sz w:val="20"/>
                <w:szCs w:val="20"/>
                <w:color w:val="auto"/>
              </w:rPr>
            </w:pPr>
            <w:r>
              <w:rPr>
                <w:rFonts w:ascii="Arial" w:cs="Arial" w:eastAsia="Arial" w:hAnsi="Arial"/>
                <w:sz w:val="15"/>
                <w:szCs w:val="15"/>
                <w:color w:val="auto"/>
              </w:rPr>
              <w:t>Research</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6,696</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5,141</w:t>
            </w:r>
          </w:p>
        </w:tc>
        <w:tc>
          <w:tcPr>
            <w:tcW w:w="1880" w:type="dxa"/>
            <w:vAlign w:val="bottom"/>
          </w:tcPr>
          <w:p>
            <w:pPr>
              <w:jc w:val="right"/>
              <w:ind w:right="313"/>
              <w:spacing w:after="0"/>
              <w:rPr>
                <w:sz w:val="20"/>
                <w:szCs w:val="20"/>
                <w:color w:val="auto"/>
              </w:rPr>
            </w:pPr>
            <w:r>
              <w:rPr>
                <w:rFonts w:ascii="Arial" w:cs="Arial" w:eastAsia="Arial" w:hAnsi="Arial"/>
                <w:sz w:val="13"/>
                <w:szCs w:val="13"/>
                <w:color w:val="auto"/>
              </w:rPr>
              <w:t>13,080</w:t>
            </w:r>
          </w:p>
        </w:tc>
        <w:tc>
          <w:tcPr>
            <w:tcW w:w="1140" w:type="dxa"/>
            <w:vAlign w:val="bottom"/>
          </w:tcPr>
          <w:p>
            <w:pPr>
              <w:jc w:val="right"/>
              <w:spacing w:after="0"/>
              <w:rPr>
                <w:sz w:val="20"/>
                <w:szCs w:val="20"/>
                <w:color w:val="auto"/>
              </w:rPr>
            </w:pPr>
            <w:r>
              <w:rPr>
                <w:rFonts w:ascii="Arial" w:cs="Arial" w:eastAsia="Arial" w:hAnsi="Arial"/>
                <w:sz w:val="15"/>
                <w:szCs w:val="15"/>
                <w:color w:val="auto"/>
              </w:rPr>
              <w:t>11,189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5160" w:type="dxa"/>
            <w:vAlign w:val="bottom"/>
          </w:tcPr>
          <w:p>
            <w:pPr>
              <w:ind w:left="200"/>
              <w:spacing w:after="0"/>
              <w:rPr>
                <w:sz w:val="20"/>
                <w:szCs w:val="20"/>
                <w:color w:val="auto"/>
              </w:rPr>
            </w:pPr>
            <w:r>
              <w:rPr>
                <w:rFonts w:ascii="Arial" w:cs="Arial" w:eastAsia="Arial" w:hAnsi="Arial"/>
                <w:sz w:val="15"/>
                <w:szCs w:val="15"/>
                <w:color w:val="auto"/>
              </w:rPr>
              <w:t>General and administrative costs</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5,800</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6,114</w:t>
            </w:r>
          </w:p>
        </w:tc>
        <w:tc>
          <w:tcPr>
            <w:tcW w:w="1880" w:type="dxa"/>
            <w:vAlign w:val="bottom"/>
          </w:tcPr>
          <w:p>
            <w:pPr>
              <w:jc w:val="right"/>
              <w:ind w:right="313"/>
              <w:spacing w:after="0"/>
              <w:rPr>
                <w:sz w:val="20"/>
                <w:szCs w:val="20"/>
                <w:color w:val="auto"/>
              </w:rPr>
            </w:pPr>
            <w:r>
              <w:rPr>
                <w:rFonts w:ascii="Arial" w:cs="Arial" w:eastAsia="Arial" w:hAnsi="Arial"/>
                <w:sz w:val="13"/>
                <w:szCs w:val="13"/>
                <w:color w:val="auto"/>
              </w:rPr>
              <w:t>10,848</w:t>
            </w:r>
          </w:p>
        </w:tc>
        <w:tc>
          <w:tcPr>
            <w:tcW w:w="1140" w:type="dxa"/>
            <w:vAlign w:val="bottom"/>
          </w:tcPr>
          <w:p>
            <w:pPr>
              <w:jc w:val="right"/>
              <w:spacing w:after="0"/>
              <w:rPr>
                <w:sz w:val="20"/>
                <w:szCs w:val="20"/>
                <w:color w:val="auto"/>
              </w:rPr>
            </w:pPr>
            <w:r>
              <w:rPr>
                <w:rFonts w:ascii="Arial" w:cs="Arial" w:eastAsia="Arial" w:hAnsi="Arial"/>
                <w:sz w:val="15"/>
                <w:szCs w:val="15"/>
                <w:color w:val="auto"/>
              </w:rPr>
              <w:t>11,306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160" w:type="dxa"/>
            <w:vAlign w:val="bottom"/>
          </w:tcPr>
          <w:p>
            <w:pPr>
              <w:ind w:left="200"/>
              <w:spacing w:after="0"/>
              <w:rPr>
                <w:sz w:val="20"/>
                <w:szCs w:val="20"/>
                <w:color w:val="auto"/>
              </w:rPr>
            </w:pPr>
            <w:r>
              <w:rPr>
                <w:rFonts w:ascii="Arial" w:cs="Arial" w:eastAsia="Arial" w:hAnsi="Arial"/>
                <w:sz w:val="15"/>
                <w:szCs w:val="15"/>
                <w:color w:val="auto"/>
              </w:rPr>
              <w:t>Share-based compensation</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1,414</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1,072</w:t>
            </w:r>
          </w:p>
        </w:tc>
        <w:tc>
          <w:tcPr>
            <w:tcW w:w="1880" w:type="dxa"/>
            <w:vAlign w:val="bottom"/>
          </w:tcPr>
          <w:p>
            <w:pPr>
              <w:jc w:val="right"/>
              <w:ind w:right="313"/>
              <w:spacing w:after="0"/>
              <w:rPr>
                <w:sz w:val="20"/>
                <w:szCs w:val="20"/>
                <w:color w:val="auto"/>
              </w:rPr>
            </w:pPr>
            <w:r>
              <w:rPr>
                <w:rFonts w:ascii="Arial" w:cs="Arial" w:eastAsia="Arial" w:hAnsi="Arial"/>
                <w:sz w:val="13"/>
                <w:szCs w:val="13"/>
                <w:color w:val="auto"/>
              </w:rPr>
              <w:t>2,689</w:t>
            </w:r>
          </w:p>
        </w:tc>
        <w:tc>
          <w:tcPr>
            <w:tcW w:w="1140" w:type="dxa"/>
            <w:vAlign w:val="bottom"/>
          </w:tcPr>
          <w:p>
            <w:pPr>
              <w:jc w:val="right"/>
              <w:spacing w:after="0"/>
              <w:rPr>
                <w:sz w:val="20"/>
                <w:szCs w:val="20"/>
                <w:color w:val="auto"/>
              </w:rPr>
            </w:pPr>
            <w:r>
              <w:rPr>
                <w:rFonts w:ascii="Arial" w:cs="Arial" w:eastAsia="Arial" w:hAnsi="Arial"/>
                <w:sz w:val="15"/>
                <w:szCs w:val="15"/>
                <w:color w:val="auto"/>
              </w:rPr>
              <w:t>3,227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TOTAL EXPENSES</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13,910</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12,327</w:t>
            </w:r>
          </w:p>
        </w:tc>
        <w:tc>
          <w:tcPr>
            <w:tcW w:w="1880" w:type="dxa"/>
            <w:vAlign w:val="bottom"/>
          </w:tcPr>
          <w:p>
            <w:pPr>
              <w:jc w:val="right"/>
              <w:ind w:right="313"/>
              <w:spacing w:after="0"/>
              <w:rPr>
                <w:sz w:val="20"/>
                <w:szCs w:val="20"/>
                <w:color w:val="auto"/>
              </w:rPr>
            </w:pPr>
            <w:r>
              <w:rPr>
                <w:rFonts w:ascii="Arial" w:cs="Arial" w:eastAsia="Arial" w:hAnsi="Arial"/>
                <w:sz w:val="13"/>
                <w:szCs w:val="13"/>
                <w:b w:val="1"/>
                <w:bCs w:val="1"/>
                <w:color w:val="auto"/>
              </w:rPr>
              <w:t>26,617</w:t>
            </w:r>
          </w:p>
        </w:tc>
        <w:tc>
          <w:tcPr>
            <w:tcW w:w="1140" w:type="dxa"/>
            <w:vAlign w:val="bottom"/>
          </w:tcPr>
          <w:p>
            <w:pPr>
              <w:jc w:val="right"/>
              <w:spacing w:after="0"/>
              <w:rPr>
                <w:sz w:val="20"/>
                <w:szCs w:val="20"/>
                <w:color w:val="auto"/>
              </w:rPr>
            </w:pPr>
            <w:r>
              <w:rPr>
                <w:rFonts w:ascii="Arial" w:cs="Arial" w:eastAsia="Arial" w:hAnsi="Arial"/>
                <w:sz w:val="13"/>
                <w:szCs w:val="13"/>
                <w:color w:val="auto"/>
              </w:rPr>
              <w:t>25,722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160" w:type="dxa"/>
            <w:vAlign w:val="bottom"/>
            <w:tcBorders>
              <w:bottom w:val="single" w:sz="8" w:color="auto"/>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60"/>
              <w:spacing w:after="0"/>
              <w:rPr>
                <w:sz w:val="20"/>
                <w:szCs w:val="20"/>
                <w:color w:val="auto"/>
              </w:rPr>
            </w:pPr>
            <w:r>
              <w:rPr>
                <w:rFonts w:ascii="Arial" w:cs="Arial" w:eastAsia="Arial" w:hAnsi="Arial"/>
                <w:sz w:val="15"/>
                <w:szCs w:val="15"/>
                <w:b w:val="1"/>
                <w:bCs w:val="1"/>
                <w:color w:val="auto"/>
              </w:rPr>
              <w:t>OTHER INCOME (EXPENSES)</w:t>
            </w:r>
          </w:p>
        </w:tc>
        <w:tc>
          <w:tcPr>
            <w:tcW w:w="1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6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52</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174</w:t>
            </w:r>
          </w:p>
        </w:tc>
        <w:tc>
          <w:tcPr>
            <w:tcW w:w="1880" w:type="dxa"/>
            <w:vAlign w:val="bottom"/>
          </w:tcPr>
          <w:p>
            <w:pPr>
              <w:jc w:val="right"/>
              <w:ind w:right="313"/>
              <w:spacing w:after="0"/>
              <w:rPr>
                <w:sz w:val="20"/>
                <w:szCs w:val="20"/>
                <w:color w:val="auto"/>
              </w:rPr>
            </w:pPr>
            <w:r>
              <w:rPr>
                <w:rFonts w:ascii="Arial" w:cs="Arial" w:eastAsia="Arial" w:hAnsi="Arial"/>
                <w:sz w:val="13"/>
                <w:szCs w:val="13"/>
                <w:color w:val="auto"/>
              </w:rPr>
              <w:t>136</w:t>
            </w:r>
          </w:p>
        </w:tc>
        <w:tc>
          <w:tcPr>
            <w:tcW w:w="1140" w:type="dxa"/>
            <w:vAlign w:val="bottom"/>
          </w:tcPr>
          <w:p>
            <w:pPr>
              <w:jc w:val="right"/>
              <w:spacing w:after="0"/>
              <w:rPr>
                <w:sz w:val="20"/>
                <w:szCs w:val="20"/>
                <w:color w:val="auto"/>
              </w:rPr>
            </w:pPr>
            <w:r>
              <w:rPr>
                <w:rFonts w:ascii="Arial" w:cs="Arial" w:eastAsia="Arial" w:hAnsi="Arial"/>
                <w:sz w:val="15"/>
                <w:szCs w:val="15"/>
                <w:color w:val="auto"/>
              </w:rPr>
              <w:t>298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5160" w:type="dxa"/>
            <w:vAlign w:val="bottom"/>
          </w:tcPr>
          <w:p>
            <w:pPr>
              <w:ind w:left="200"/>
              <w:spacing w:after="0"/>
              <w:rPr>
                <w:sz w:val="20"/>
                <w:szCs w:val="20"/>
                <w:color w:val="auto"/>
              </w:rPr>
            </w:pPr>
            <w:r>
              <w:rPr>
                <w:rFonts w:ascii="Arial" w:cs="Arial" w:eastAsia="Arial" w:hAnsi="Arial"/>
                <w:sz w:val="15"/>
                <w:szCs w:val="15"/>
                <w:color w:val="auto"/>
              </w:rPr>
              <w:t>Foreign currency translation gain (loss)</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1,968</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2,189</w:t>
            </w:r>
          </w:p>
        </w:tc>
        <w:tc>
          <w:tcPr>
            <w:tcW w:w="1880" w:type="dxa"/>
            <w:vAlign w:val="bottom"/>
          </w:tcPr>
          <w:p>
            <w:pPr>
              <w:jc w:val="right"/>
              <w:ind w:right="313"/>
              <w:spacing w:after="0"/>
              <w:rPr>
                <w:sz w:val="20"/>
                <w:szCs w:val="20"/>
                <w:color w:val="auto"/>
              </w:rPr>
            </w:pPr>
            <w:r>
              <w:rPr>
                <w:rFonts w:ascii="Arial" w:cs="Arial" w:eastAsia="Arial" w:hAnsi="Arial"/>
                <w:sz w:val="13"/>
                <w:szCs w:val="13"/>
                <w:color w:val="auto"/>
              </w:rPr>
              <w:t>77</w:t>
            </w:r>
          </w:p>
        </w:tc>
        <w:tc>
          <w:tcPr>
            <w:tcW w:w="1140" w:type="dxa"/>
            <w:vAlign w:val="bottom"/>
          </w:tcPr>
          <w:p>
            <w:pPr>
              <w:jc w:val="right"/>
              <w:spacing w:after="0"/>
              <w:rPr>
                <w:sz w:val="20"/>
                <w:szCs w:val="20"/>
                <w:color w:val="auto"/>
              </w:rPr>
            </w:pPr>
            <w:r>
              <w:rPr>
                <w:rFonts w:ascii="Arial" w:cs="Arial" w:eastAsia="Arial" w:hAnsi="Arial"/>
                <w:sz w:val="15"/>
                <w:szCs w:val="15"/>
                <w:color w:val="auto"/>
              </w:rPr>
              <w:t>2,714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160" w:type="dxa"/>
            <w:vAlign w:val="bottom"/>
            <w:vMerge w:val="restart"/>
          </w:tcPr>
          <w:p>
            <w:pPr>
              <w:ind w:left="160"/>
              <w:spacing w:after="0"/>
              <w:rPr>
                <w:sz w:val="20"/>
                <w:szCs w:val="20"/>
                <w:color w:val="auto"/>
              </w:rPr>
            </w:pPr>
            <w:r>
              <w:rPr>
                <w:rFonts w:ascii="Arial" w:cs="Arial" w:eastAsia="Arial" w:hAnsi="Arial"/>
                <w:sz w:val="15"/>
                <w:szCs w:val="15"/>
                <w:color w:val="auto"/>
                <w:w w:val="93"/>
              </w:rPr>
              <w:t>Change in fair value of investments measured at fair value through profit or loss</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12</w:t>
            </w:r>
          </w:p>
        </w:tc>
        <w:tc>
          <w:tcPr>
            <w:tcW w:w="1880" w:type="dxa"/>
            <w:vAlign w:val="bottom"/>
            <w:vMerge w:val="restart"/>
          </w:tcPr>
          <w:p>
            <w:pPr>
              <w:jc w:val="right"/>
              <w:ind w:right="31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16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5160" w:type="dxa"/>
            <w:vAlign w:val="bottom"/>
            <w:vMerge w:val="restart"/>
          </w:tcPr>
          <w:p>
            <w:pPr>
              <w:ind w:left="20"/>
              <w:spacing w:after="0"/>
              <w:rPr>
                <w:sz w:val="20"/>
                <w:szCs w:val="20"/>
                <w:color w:val="auto"/>
              </w:rPr>
            </w:pPr>
            <w:r>
              <w:rPr>
                <w:rFonts w:ascii="Arial" w:cs="Arial" w:eastAsia="Arial" w:hAnsi="Arial"/>
                <w:sz w:val="15"/>
                <w:szCs w:val="15"/>
                <w:color w:val="auto"/>
              </w:rPr>
              <w:t>Contingent consideration accretion</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88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516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5160" w:type="dxa"/>
            <w:vAlign w:val="bottom"/>
            <w:vMerge w:val="restart"/>
          </w:tcPr>
          <w:p>
            <w:pPr>
              <w:ind w:left="200"/>
              <w:spacing w:after="0"/>
              <w:rPr>
                <w:sz w:val="20"/>
                <w:szCs w:val="20"/>
                <w:color w:val="auto"/>
              </w:rPr>
            </w:pPr>
            <w:r>
              <w:rPr>
                <w:rFonts w:ascii="Arial" w:cs="Arial" w:eastAsia="Arial" w:hAnsi="Arial"/>
                <w:sz w:val="15"/>
                <w:szCs w:val="15"/>
                <w:color w:val="auto"/>
              </w:rPr>
              <w:t>Change in fair value of contingent consideration</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(21)</w:t>
            </w:r>
          </w:p>
        </w:tc>
        <w:tc>
          <w:tcPr>
            <w:tcW w:w="1880" w:type="dxa"/>
            <w:vAlign w:val="bottom"/>
          </w:tcPr>
          <w:p>
            <w:pPr>
              <w:jc w:val="right"/>
              <w:ind w:right="313"/>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516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5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51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TOTAL OTHER INCOME (EXPENSES)</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2,020</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2,354</w:t>
            </w:r>
          </w:p>
        </w:tc>
        <w:tc>
          <w:tcPr>
            <w:tcW w:w="1880" w:type="dxa"/>
            <w:vAlign w:val="bottom"/>
          </w:tcPr>
          <w:p>
            <w:pPr>
              <w:jc w:val="right"/>
              <w:ind w:right="353"/>
              <w:spacing w:after="0"/>
              <w:rPr>
                <w:sz w:val="20"/>
                <w:szCs w:val="20"/>
                <w:color w:val="auto"/>
              </w:rPr>
            </w:pPr>
            <w:r>
              <w:rPr>
                <w:rFonts w:ascii="Arial" w:cs="Arial" w:eastAsia="Arial" w:hAnsi="Arial"/>
                <w:sz w:val="15"/>
                <w:szCs w:val="15"/>
                <w:b w:val="1"/>
                <w:bCs w:val="1"/>
                <w:color w:val="auto"/>
              </w:rPr>
              <w:t>213</w:t>
            </w:r>
          </w:p>
        </w:tc>
        <w:tc>
          <w:tcPr>
            <w:tcW w:w="1140" w:type="dxa"/>
            <w:vAlign w:val="bottom"/>
          </w:tcPr>
          <w:p>
            <w:pPr>
              <w:jc w:val="right"/>
              <w:spacing w:after="0"/>
              <w:rPr>
                <w:sz w:val="20"/>
                <w:szCs w:val="20"/>
                <w:color w:val="auto"/>
              </w:rPr>
            </w:pPr>
            <w:r>
              <w:rPr>
                <w:rFonts w:ascii="Arial" w:cs="Arial" w:eastAsia="Arial" w:hAnsi="Arial"/>
                <w:sz w:val="15"/>
                <w:szCs w:val="15"/>
                <w:color w:val="auto"/>
              </w:rPr>
              <w:t>2,694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160" w:type="dxa"/>
            <w:vAlign w:val="bottom"/>
            <w:tcBorders>
              <w:bottom w:val="single" w:sz="8" w:color="auto"/>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51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5160" w:type="dxa"/>
            <w:vAlign w:val="bottom"/>
            <w:tcBorders>
              <w:right w:val="single" w:sz="8" w:color="DBDBDB"/>
            </w:tcBorders>
            <w:vMerge w:val="restart"/>
            <w:shd w:val="clear" w:color="auto" w:fill="D9D9D9"/>
          </w:tcPr>
          <w:p>
            <w:pPr>
              <w:ind w:left="60"/>
              <w:spacing w:after="0"/>
              <w:rPr>
                <w:sz w:val="20"/>
                <w:szCs w:val="20"/>
                <w:color w:val="auto"/>
              </w:rPr>
            </w:pPr>
            <w:r>
              <w:rPr>
                <w:rFonts w:ascii="Arial" w:cs="Arial" w:eastAsia="Arial" w:hAnsi="Arial"/>
                <w:sz w:val="15"/>
                <w:szCs w:val="15"/>
                <w:b w:val="1"/>
                <w:bCs w:val="1"/>
                <w:color w:val="auto"/>
              </w:rPr>
              <w:t>NET LOSS FOR THE PERIOD</w:t>
            </w:r>
          </w:p>
        </w:tc>
        <w:tc>
          <w:tcPr>
            <w:tcW w:w="1840" w:type="dxa"/>
            <w:vAlign w:val="bottom"/>
            <w:shd w:val="clear" w:color="auto" w:fill="DBDBDB"/>
          </w:tcPr>
          <w:p>
            <w:pPr>
              <w:jc w:val="right"/>
              <w:ind w:right="308"/>
              <w:spacing w:after="0"/>
              <w:rPr>
                <w:sz w:val="20"/>
                <w:szCs w:val="20"/>
                <w:color w:val="auto"/>
              </w:rPr>
            </w:pPr>
            <w:r>
              <w:rPr>
                <w:rFonts w:ascii="Arial" w:cs="Arial" w:eastAsia="Arial" w:hAnsi="Arial"/>
                <w:sz w:val="15"/>
                <w:szCs w:val="15"/>
                <w:b w:val="1"/>
                <w:bCs w:val="1"/>
                <w:color w:val="auto"/>
              </w:rPr>
              <w:t>(11,890)</w:t>
            </w:r>
          </w:p>
        </w:tc>
        <w:tc>
          <w:tcPr>
            <w:tcW w:w="1200" w:type="dxa"/>
            <w:vAlign w:val="bottom"/>
            <w:tcBorders>
              <w:right w:val="single" w:sz="8" w:color="DBDBDB"/>
            </w:tcBorders>
            <w:shd w:val="clear" w:color="auto" w:fill="DBDBDB"/>
          </w:tcPr>
          <w:p>
            <w:pPr>
              <w:jc w:val="right"/>
              <w:ind w:right="7"/>
              <w:spacing w:after="0"/>
              <w:rPr>
                <w:sz w:val="20"/>
                <w:szCs w:val="20"/>
                <w:color w:val="auto"/>
              </w:rPr>
            </w:pPr>
            <w:r>
              <w:rPr>
                <w:rFonts w:ascii="Arial" w:cs="Arial" w:eastAsia="Arial" w:hAnsi="Arial"/>
                <w:sz w:val="15"/>
                <w:szCs w:val="15"/>
                <w:color w:val="auto"/>
              </w:rPr>
              <w:t>(9,973)</w:t>
            </w:r>
          </w:p>
        </w:tc>
        <w:tc>
          <w:tcPr>
            <w:tcW w:w="1880" w:type="dxa"/>
            <w:vAlign w:val="bottom"/>
            <w:shd w:val="clear" w:color="auto" w:fill="DBDBDB"/>
          </w:tcPr>
          <w:p>
            <w:pPr>
              <w:jc w:val="right"/>
              <w:ind w:right="353"/>
              <w:spacing w:after="0"/>
              <w:rPr>
                <w:sz w:val="20"/>
                <w:szCs w:val="20"/>
                <w:color w:val="auto"/>
              </w:rPr>
            </w:pPr>
            <w:r>
              <w:rPr>
                <w:rFonts w:ascii="Arial" w:cs="Arial" w:eastAsia="Arial" w:hAnsi="Arial"/>
                <w:sz w:val="15"/>
                <w:szCs w:val="15"/>
                <w:b w:val="1"/>
                <w:bCs w:val="1"/>
                <w:color w:val="auto"/>
              </w:rPr>
              <w:t>(26,404)</w:t>
            </w:r>
          </w:p>
        </w:tc>
        <w:tc>
          <w:tcPr>
            <w:tcW w:w="1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160" w:type="dxa"/>
            <w:vAlign w:val="bottom"/>
            <w:tcBorders>
              <w:bottom w:val="single" w:sz="8" w:color="auto"/>
              <w:right w:val="single" w:sz="8" w:color="DBDBDB"/>
            </w:tcBorders>
            <w:vMerge w:val="continue"/>
            <w:shd w:val="clear" w:color="auto" w:fill="D9D9D9"/>
          </w:tcPr>
          <w:p>
            <w:pPr>
              <w:spacing w:after="0"/>
              <w:rPr>
                <w:sz w:val="5"/>
                <w:szCs w:val="5"/>
                <w:color w:val="auto"/>
              </w:rPr>
            </w:pPr>
          </w:p>
        </w:tc>
        <w:tc>
          <w:tcPr>
            <w:tcW w:w="1840" w:type="dxa"/>
            <w:vAlign w:val="bottom"/>
            <w:tcBorders>
              <w:bottom w:val="single" w:sz="8" w:color="auto"/>
            </w:tcBorders>
            <w:shd w:val="clear" w:color="auto" w:fill="DBDBDB"/>
          </w:tcPr>
          <w:p>
            <w:pPr>
              <w:spacing w:after="0"/>
              <w:rPr>
                <w:sz w:val="5"/>
                <w:szCs w:val="5"/>
                <w:color w:val="auto"/>
              </w:rPr>
            </w:pPr>
          </w:p>
        </w:tc>
        <w:tc>
          <w:tcPr>
            <w:tcW w:w="1200" w:type="dxa"/>
            <w:vAlign w:val="bottom"/>
            <w:tcBorders>
              <w:bottom w:val="single" w:sz="8" w:color="auto"/>
              <w:right w:val="single" w:sz="8" w:color="DBDBDB"/>
            </w:tcBorders>
            <w:shd w:val="clear" w:color="auto" w:fill="DBDBDB"/>
          </w:tcPr>
          <w:p>
            <w:pPr>
              <w:spacing w:after="0"/>
              <w:rPr>
                <w:sz w:val="5"/>
                <w:szCs w:val="5"/>
                <w:color w:val="auto"/>
              </w:rPr>
            </w:pPr>
          </w:p>
        </w:tc>
        <w:tc>
          <w:tcPr>
            <w:tcW w:w="1880" w:type="dxa"/>
            <w:vAlign w:val="bottom"/>
            <w:tcBorders>
              <w:bottom w:val="single" w:sz="8" w:color="auto"/>
            </w:tcBorders>
            <w:shd w:val="clear" w:color="auto" w:fill="DBDBDB"/>
          </w:tcPr>
          <w:p>
            <w:pPr>
              <w:spacing w:after="0"/>
              <w:rPr>
                <w:sz w:val="5"/>
                <w:szCs w:val="5"/>
                <w:color w:val="auto"/>
              </w:rPr>
            </w:pPr>
          </w:p>
        </w:tc>
        <w:tc>
          <w:tcPr>
            <w:tcW w:w="1140" w:type="dxa"/>
            <w:vAlign w:val="bottom"/>
            <w:tcBorders>
              <w:bottom w:val="single" w:sz="8" w:color="auto"/>
            </w:tcBorders>
            <w:shd w:val="clear" w:color="auto" w:fill="DBDBDB"/>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160" w:type="dxa"/>
            <w:vAlign w:val="bottom"/>
            <w:vMerge w:val="restart"/>
          </w:tcPr>
          <w:p>
            <w:pPr>
              <w:ind w:left="60"/>
              <w:spacing w:after="0"/>
              <w:rPr>
                <w:sz w:val="20"/>
                <w:szCs w:val="20"/>
                <w:color w:val="auto"/>
              </w:rPr>
            </w:pPr>
            <w:r>
              <w:rPr>
                <w:rFonts w:ascii="Arial" w:cs="Arial" w:eastAsia="Arial" w:hAnsi="Arial"/>
                <w:sz w:val="15"/>
                <w:szCs w:val="15"/>
                <w:b w:val="1"/>
                <w:bCs w:val="1"/>
                <w:color w:val="auto"/>
                <w:w w:val="98"/>
              </w:rPr>
              <w:t>Basic loss per share for the period attributable to common shareholders</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(0.05)</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(0.06)</w:t>
            </w:r>
          </w:p>
        </w:tc>
        <w:tc>
          <w:tcPr>
            <w:tcW w:w="1880" w:type="dxa"/>
            <w:vAlign w:val="bottom"/>
          </w:tcPr>
          <w:p>
            <w:pPr>
              <w:jc w:val="right"/>
              <w:ind w:right="353"/>
              <w:spacing w:after="0"/>
              <w:rPr>
                <w:sz w:val="20"/>
                <w:szCs w:val="20"/>
                <w:color w:val="auto"/>
              </w:rPr>
            </w:pPr>
            <w:r>
              <w:rPr>
                <w:rFonts w:ascii="Arial" w:cs="Arial" w:eastAsia="Arial" w:hAnsi="Arial"/>
                <w:sz w:val="15"/>
                <w:szCs w:val="15"/>
                <w:b w:val="1"/>
                <w:bCs w:val="1"/>
                <w:color w:val="auto"/>
              </w:rPr>
              <w:t>(0.12)</w:t>
            </w:r>
          </w:p>
        </w:tc>
        <w:tc>
          <w:tcPr>
            <w:tcW w:w="1140" w:type="dxa"/>
            <w:vAlign w:val="bottom"/>
          </w:tcPr>
          <w:p>
            <w:pPr>
              <w:jc w:val="right"/>
              <w:spacing w:after="0"/>
              <w:rPr>
                <w:sz w:val="20"/>
                <w:szCs w:val="20"/>
                <w:color w:val="auto"/>
              </w:rPr>
            </w:pPr>
            <w:r>
              <w:rPr>
                <w:rFonts w:ascii="Arial" w:cs="Arial" w:eastAsia="Arial" w:hAnsi="Arial"/>
                <w:sz w:val="15"/>
                <w:szCs w:val="15"/>
                <w:color w:val="auto"/>
              </w:rPr>
              <w:t>(0.13)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160" w:type="dxa"/>
            <w:vAlign w:val="bottom"/>
            <w:tcBorders>
              <w:bottom w:val="single" w:sz="8" w:color="auto"/>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Weighted average number of common shares outstanding - basic</w:t>
            </w:r>
          </w:p>
        </w:tc>
        <w:tc>
          <w:tcPr>
            <w:tcW w:w="1840" w:type="dxa"/>
            <w:vAlign w:val="bottom"/>
          </w:tcPr>
          <w:p>
            <w:pPr>
              <w:jc w:val="right"/>
              <w:ind w:right="308"/>
              <w:spacing w:after="0"/>
              <w:rPr>
                <w:sz w:val="20"/>
                <w:szCs w:val="20"/>
                <w:color w:val="auto"/>
              </w:rPr>
            </w:pPr>
            <w:r>
              <w:rPr>
                <w:rFonts w:ascii="Arial" w:cs="Arial" w:eastAsia="Arial" w:hAnsi="Arial"/>
                <w:sz w:val="15"/>
                <w:szCs w:val="15"/>
                <w:b w:val="1"/>
                <w:bCs w:val="1"/>
                <w:color w:val="auto"/>
              </w:rPr>
              <w:t>234,584,277</w:t>
            </w:r>
          </w:p>
        </w:tc>
        <w:tc>
          <w:tcPr>
            <w:tcW w:w="1200" w:type="dxa"/>
            <w:vAlign w:val="bottom"/>
          </w:tcPr>
          <w:p>
            <w:pPr>
              <w:jc w:val="right"/>
              <w:ind w:right="7"/>
              <w:spacing w:after="0"/>
              <w:rPr>
                <w:sz w:val="20"/>
                <w:szCs w:val="20"/>
                <w:color w:val="auto"/>
              </w:rPr>
            </w:pPr>
            <w:r>
              <w:rPr>
                <w:rFonts w:ascii="Arial" w:cs="Arial" w:eastAsia="Arial" w:hAnsi="Arial"/>
                <w:sz w:val="15"/>
                <w:szCs w:val="15"/>
                <w:color w:val="auto"/>
              </w:rPr>
              <w:t>180,837,176</w:t>
            </w:r>
          </w:p>
        </w:tc>
        <w:tc>
          <w:tcPr>
            <w:tcW w:w="1880" w:type="dxa"/>
            <w:vAlign w:val="bottom"/>
          </w:tcPr>
          <w:p>
            <w:pPr>
              <w:jc w:val="right"/>
              <w:ind w:right="353"/>
              <w:spacing w:after="0"/>
              <w:rPr>
                <w:sz w:val="20"/>
                <w:szCs w:val="20"/>
                <w:color w:val="auto"/>
              </w:rPr>
            </w:pPr>
            <w:r>
              <w:rPr>
                <w:rFonts w:ascii="Arial" w:cs="Arial" w:eastAsia="Arial" w:hAnsi="Arial"/>
                <w:sz w:val="15"/>
                <w:szCs w:val="15"/>
                <w:b w:val="1"/>
                <w:bCs w:val="1"/>
                <w:color w:val="auto"/>
              </w:rPr>
              <w:t>220,448,697</w:t>
            </w:r>
          </w:p>
        </w:tc>
        <w:tc>
          <w:tcPr>
            <w:tcW w:w="1140" w:type="dxa"/>
            <w:vAlign w:val="bottom"/>
          </w:tcPr>
          <w:p>
            <w:pPr>
              <w:jc w:val="right"/>
              <w:spacing w:after="0"/>
              <w:rPr>
                <w:sz w:val="20"/>
                <w:szCs w:val="20"/>
                <w:color w:val="auto"/>
              </w:rPr>
            </w:pPr>
            <w:r>
              <w:rPr>
                <w:rFonts w:ascii="Arial" w:cs="Arial" w:eastAsia="Arial" w:hAnsi="Arial"/>
                <w:sz w:val="15"/>
                <w:szCs w:val="15"/>
                <w:color w:val="auto"/>
              </w:rPr>
              <w:t>178,372,616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5160" w:type="dxa"/>
            <w:vAlign w:val="bottom"/>
            <w:tcBorders>
              <w:bottom w:val="single" w:sz="8" w:color="auto"/>
            </w:tcBorders>
            <w:vMerge w:val="continue"/>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2023, Cybin incurred a net loss of $11,890, compared to a net loss of $9,973 during the same period in prior year.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September 30,2023, Cybin incurred a net loss of $26,404, compared to a net loss of $23,028 during the same period in prior year.</w:t>
      </w:r>
    </w:p>
    <w:p>
      <w:pPr>
        <w:spacing w:after="0" w:line="277" w:lineRule="exact"/>
        <w:rPr>
          <w:sz w:val="20"/>
          <w:szCs w:val="20"/>
          <w:color w:val="auto"/>
        </w:rPr>
      </w:pPr>
    </w:p>
    <w:p>
      <w:pPr>
        <w:jc w:val="both"/>
        <w:ind w:right="20"/>
        <w:spacing w:after="0" w:line="345" w:lineRule="auto"/>
        <w:rPr>
          <w:sz w:val="20"/>
          <w:szCs w:val="20"/>
          <w:color w:val="auto"/>
        </w:rPr>
      </w:pPr>
      <w:r>
        <w:rPr>
          <w:rFonts w:ascii="Arial" w:cs="Arial" w:eastAsia="Arial" w:hAnsi="Arial"/>
          <w:sz w:val="16"/>
          <w:szCs w:val="16"/>
          <w:color w:val="auto"/>
        </w:rPr>
        <w:t>During the six month period ended September 30, 2023, the Company was focused on progressing its various research programs, with a focus on its Deuterated Psilocybin Analog Program (CYB003) and Deuterated Dimethyltryptamine Program (CYB004), and raising awareness of the Company and its industry. During the period, the Company launched EMBARK OA, a free online foundational training course for psychedelic facilitation; completed dosing in its last patient in Part B of the Phase 1 CYB004-E trial, and initiated first-in-human dosing of CYB004 in Part C of the Phase 1 CYB004-E trial.</w:t>
      </w:r>
    </w:p>
    <w:p>
      <w:pPr>
        <w:spacing w:after="0" w:line="155"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On May 30, 2023, the Company entered into a Common Share purchase agreement (the “LPC Purchase Agreement”) with Lincoln Park Capital Fund, LLC (“LPC”).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w:t>
      </w:r>
    </w:p>
    <w:p>
      <w:pPr>
        <w:spacing w:after="0" w:line="186"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2,538,844 Common Shares to LPC as a commitment fee on May 30, 2023. The LPC Purchase Agreement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60"/>
          </w:cols>
          <w:pgMar w:left="320" w:top="729" w:right="319" w:bottom="1440" w:gutter="0" w:footer="0" w:header="0"/>
        </w:sectPr>
      </w:pPr>
    </w:p>
    <w:bookmarkStart w:id="72" w:name="page73"/>
    <w:bookmarkEnd w:id="72"/>
    <w:p>
      <w:pPr>
        <w:jc w:val="both"/>
        <w:spacing w:after="0" w:line="340" w:lineRule="auto"/>
        <w:rPr>
          <w:sz w:val="20"/>
          <w:szCs w:val="20"/>
          <w:color w:val="auto"/>
        </w:rPr>
      </w:pPr>
      <w:r>
        <w:rPr>
          <w:rFonts w:ascii="Arial" w:cs="Arial" w:eastAsia="Arial" w:hAnsi="Arial"/>
          <w:sz w:val="16"/>
          <w:szCs w:val="16"/>
          <w:color w:val="auto"/>
        </w:rPr>
        <w:t>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the Company announced that it had suspended all sales under the LPC Purchase Agreement in connection with the Offering (as defined below).</w:t>
      </w:r>
    </w:p>
    <w:p>
      <w:pPr>
        <w:spacing w:after="0" w:line="166" w:lineRule="exact"/>
        <w:rPr>
          <w:sz w:val="20"/>
          <w:szCs w:val="20"/>
          <w:color w:val="auto"/>
        </w:rPr>
      </w:pPr>
    </w:p>
    <w:p>
      <w:pPr>
        <w:jc w:val="both"/>
        <w:ind w:right="20"/>
        <w:spacing w:after="0" w:line="315" w:lineRule="auto"/>
        <w:rPr>
          <w:sz w:val="20"/>
          <w:szCs w:val="20"/>
          <w:color w:val="auto"/>
        </w:rPr>
      </w:pPr>
      <w:r>
        <w:rPr>
          <w:rFonts w:ascii="Arial" w:cs="Arial" w:eastAsia="Arial" w:hAnsi="Arial"/>
          <w:sz w:val="16"/>
          <w:szCs w:val="16"/>
          <w:color w:val="auto"/>
        </w:rPr>
        <w:t xml:space="preserve">On </w:t>
      </w:r>
      <w:r>
        <w:rPr>
          <w:rFonts w:ascii="Arial" w:cs="Arial" w:eastAsia="Arial" w:hAnsi="Arial"/>
          <w:sz w:val="17"/>
          <w:szCs w:val="17"/>
          <w:color w:val="auto"/>
        </w:rPr>
        <w:t>August 4, 2023, the Company completed a public offering (the</w:t>
      </w:r>
      <w:r>
        <w:rPr>
          <w:rFonts w:ascii="Arial" w:cs="Arial" w:eastAsia="Arial" w:hAnsi="Arial"/>
          <w:sz w:val="16"/>
          <w:szCs w:val="16"/>
          <w:color w:val="auto"/>
        </w:rPr>
        <w:t xml:space="preserve"> </w:t>
      </w:r>
      <w:r>
        <w:rPr>
          <w:rFonts w:ascii="Arial" w:cs="Arial" w:eastAsia="Arial" w:hAnsi="Arial"/>
          <w:sz w:val="17"/>
          <w:szCs w:val="17"/>
          <w:b w:val="1"/>
          <w:bCs w:val="1"/>
          <w:color w:val="auto"/>
        </w:rPr>
        <w:t>“Offering”</w:t>
      </w:r>
      <w:r>
        <w:rPr>
          <w:rFonts w:ascii="Arial" w:cs="Arial" w:eastAsia="Arial" w:hAnsi="Arial"/>
          <w:sz w:val="17"/>
          <w:szCs w:val="17"/>
          <w:color w:val="auto"/>
        </w:rPr>
        <w:t>) of 24,264,706 units of the Company (the “2023 Units”) at a price of US$0.34</w:t>
      </w:r>
      <w:r>
        <w:rPr>
          <w:rFonts w:ascii="Arial" w:cs="Arial" w:eastAsia="Arial" w:hAnsi="Arial"/>
          <w:sz w:val="16"/>
          <w:szCs w:val="16"/>
          <w:color w:val="auto"/>
        </w:rPr>
        <w:t xml:space="preserve"> </w:t>
      </w:r>
      <w:r>
        <w:rPr>
          <w:rFonts w:ascii="Arial" w:cs="Arial" w:eastAsia="Arial" w:hAnsi="Arial"/>
          <w:sz w:val="17"/>
          <w:szCs w:val="17"/>
          <w:color w:val="auto"/>
        </w:rPr>
        <w:t xml:space="preserve">per 2023 Unit for gross proceeds of US$8,250 pursuant to the August Prospectus Supplement to the 2021 Base Shelf Prospectus . Each 2023 Unit is comprised of one Common Share and one Common Share purchase warrant (the </w:t>
      </w:r>
      <w:r>
        <w:rPr>
          <w:rFonts w:ascii="Arial" w:cs="Arial" w:eastAsia="Arial" w:hAnsi="Arial"/>
          <w:sz w:val="17"/>
          <w:szCs w:val="17"/>
          <w:b w:val="1"/>
          <w:bCs w:val="1"/>
          <w:color w:val="auto"/>
        </w:rPr>
        <w:t>“2023 Warrants”</w:t>
      </w:r>
      <w:r>
        <w:rPr>
          <w:rFonts w:ascii="Arial" w:cs="Arial" w:eastAsia="Arial" w:hAnsi="Arial"/>
          <w:sz w:val="17"/>
          <w:szCs w:val="17"/>
          <w:color w:val="auto"/>
        </w:rPr>
        <w:t>). Each 2023 Warrant is exercisable to acquire one Common Share at a price of US$0.40 per Common Share for a period of 60 months from issuance, subject to acceleration in certain circumstances. In connection with the Offering, Cybin paid the underwriters a cash commission of US$379 and incurred additional share issuance costs related to professional fees of US$791.</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August 23, 2023, the Company announced the filing of a prospectus supplement (the “ATM Prospectus</w:t>
      </w:r>
    </w:p>
    <w:p>
      <w:pPr>
        <w:spacing w:after="0" w:line="48"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Supplement”) under the Company’s base shelf prospectus dated August 17, 2023 (the “2023 Base Shelf Prospectus”) to renew its previously established at-the-market equity program (the “</w:t>
      </w:r>
      <w:r>
        <w:rPr>
          <w:rFonts w:ascii="Arial" w:cs="Arial" w:eastAsia="Arial" w:hAnsi="Arial"/>
          <w:sz w:val="16"/>
          <w:szCs w:val="16"/>
          <w:b w:val="1"/>
          <w:bCs w:val="1"/>
          <w:color w:val="auto"/>
        </w:rPr>
        <w:t>2023 ATM Program</w:t>
      </w:r>
      <w:r>
        <w:rPr>
          <w:rFonts w:ascii="Arial" w:cs="Arial" w:eastAsia="Arial" w:hAnsi="Arial"/>
          <w:sz w:val="16"/>
          <w:szCs w:val="16"/>
          <w:color w:val="auto"/>
        </w:rPr>
        <w:t xml:space="preserve">”) that allows the Company to issue and sell up to US$35,000 of Common Shares from treasury to the public, from time to time. Distributions of Common Shares under the 2023 ATM Program will be made pursuant to the terms and conditions of an at-the-market equity distribution agreement (the </w:t>
      </w:r>
      <w:r>
        <w:rPr>
          <w:rFonts w:ascii="Arial" w:cs="Arial" w:eastAsia="Arial" w:hAnsi="Arial"/>
          <w:sz w:val="16"/>
          <w:szCs w:val="16"/>
          <w:b w:val="1"/>
          <w:bCs w:val="1"/>
          <w:color w:val="auto"/>
        </w:rPr>
        <w:t>“2023 Distribution Agreement”</w:t>
      </w:r>
      <w:r>
        <w:rPr>
          <w:rFonts w:ascii="Arial" w:cs="Arial" w:eastAsia="Arial" w:hAnsi="Arial"/>
          <w:sz w:val="16"/>
          <w:szCs w:val="16"/>
          <w:color w:val="auto"/>
        </w:rPr>
        <w:t>) dated August 23, 2023 among the Company, Cantor Fitzgerald Canada Corporation and Cantor Fitzgerald &amp; Co.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66"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From August to September 30, 2023 the Company sold 21,890,294 Common Shares under the 2023 ATM Program, of which 100,000 were not yet settled, at an average price of $0.4451 (US$0.3296) per Common Share, for aggregate gross proceeds of $9,745 (US$7,216), of which $68 (US$50) was receivable as of September 30, 2023. Share issuance costs related to the 2023 ATM Program were $293.</w:t>
      </w:r>
    </w:p>
    <w:p>
      <w:pPr>
        <w:spacing w:after="0" w:line="194" w:lineRule="exact"/>
        <w:rPr>
          <w:sz w:val="20"/>
          <w:szCs w:val="20"/>
          <w:color w:val="auto"/>
        </w:rPr>
      </w:pPr>
    </w:p>
    <w:p>
      <w:pPr>
        <w:jc w:val="both"/>
        <w:ind w:right="20"/>
        <w:spacing w:after="0" w:line="281" w:lineRule="auto"/>
        <w:rPr>
          <w:sz w:val="20"/>
          <w:szCs w:val="20"/>
          <w:color w:val="auto"/>
        </w:rPr>
      </w:pPr>
      <w:r>
        <w:rPr>
          <w:rFonts w:ascii="Arial" w:cs="Arial" w:eastAsia="Arial" w:hAnsi="Arial"/>
          <w:sz w:val="19"/>
          <w:szCs w:val="19"/>
          <w:color w:val="auto"/>
        </w:rPr>
        <w:t>O</w:t>
      </w:r>
      <w:r>
        <w:rPr>
          <w:rFonts w:ascii="Arial" w:cs="Arial" w:eastAsia="Arial" w:hAnsi="Arial"/>
          <w:sz w:val="17"/>
          <w:szCs w:val="17"/>
          <w:color w:val="auto"/>
        </w:rPr>
        <w:t>n August 23, 2023, the Company also announced the filing of a prospectus supplement under the 2023 Base Shelf Prospectus, requalifying the Company’s</w:t>
      </w:r>
      <w:r>
        <w:rPr>
          <w:rFonts w:ascii="Arial" w:cs="Arial" w:eastAsia="Arial" w:hAnsi="Arial"/>
          <w:sz w:val="19"/>
          <w:szCs w:val="19"/>
          <w:color w:val="auto"/>
        </w:rPr>
        <w:t xml:space="preserve"> </w:t>
      </w:r>
      <w:r>
        <w:rPr>
          <w:rFonts w:ascii="Arial" w:cs="Arial" w:eastAsia="Arial" w:hAnsi="Arial"/>
          <w:sz w:val="17"/>
          <w:szCs w:val="17"/>
          <w:color w:val="auto"/>
        </w:rPr>
        <w:t>LPC Purchase Agreement on the same terms as those entered into on</w:t>
      </w:r>
    </w:p>
    <w:p>
      <w:pPr>
        <w:spacing w:after="0"/>
        <w:rPr>
          <w:sz w:val="20"/>
          <w:szCs w:val="20"/>
          <w:color w:val="auto"/>
        </w:rPr>
      </w:pPr>
      <w:r>
        <w:rPr>
          <w:rFonts w:ascii="Arial" w:cs="Arial" w:eastAsia="Arial" w:hAnsi="Arial"/>
          <w:sz w:val="18"/>
          <w:szCs w:val="18"/>
          <w:color w:val="auto"/>
        </w:rPr>
        <w:t>May 30, 2023 with LPC.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320" w:top="729" w:right="3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For the three months ended September 30, 2023, operating expenses totaled $13,910 (2022 - $12,327). The operating expenses include a non-cash component of $1,414 (2022 - $1,072) related to share-based compensation. The remaining operating expenses were incurred to support raising capital, research &amp; development and the overall development of the Company.</w:t>
      </w:r>
    </w:p>
    <w:p>
      <w:pPr>
        <w:spacing w:after="0" w:line="160"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For the six months ended September 30, 2023, operating expenses totaled $26,617 (2022 - $25,722). The operating expenses include a non-cash component of $2,689 (2022 - $3,227) related to share-based compensation. The remaining operating expenses were incurred to support raising capital, research &amp; development and the overall development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w:t>
      </w:r>
    </w:p>
    <w:p>
      <w:pPr>
        <w:spacing w:after="0" w:line="246"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For the three month period ended September 30, 2023, the Company’s research expenses totaled $6,696 compared to $5,141 during the same period in prior year. Research expenses for the three month period are comprised of advancement of the development programs of $4,952 (2022 - $2,400), payroll related expenses of $1,530 (2022 - $2,089), professional and consulting fees of $17 (2022 - $379), and lab and administration expenses of $197 (2022 - $273).</w:t>
      </w:r>
    </w:p>
    <w:p>
      <w:pPr>
        <w:spacing w:after="0" w:line="143"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For the six month period ended September 30, 2023, the Company’s research expenses totaled $13,080 compared to $11,189 during the same period in prior year. Research expenses for the six month period are comprised of advancement of the development programs of $9,358 (2022 -$5,992 ), payroll related expenses of $3,209 (2022 - $4,116), professional and consulting fees of $108 (2022 - $570), and lab and administration expenses of $405 (2022 - $511).</w:t>
      </w:r>
    </w:p>
    <w:p>
      <w:pPr>
        <w:spacing w:after="0" w:line="129"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The overall increase in research expenses is due the progression of the Company's various research programs, including two programs in clinical trials. The increase is partially offset by a decrease in payroll costs as the Company has released part of its workforce that previously held roles that were not of a clinical priority or were not directly involved with any of the Company’s clinical trial initiatives. As of the date of this MD&amp;A, Cybin’s research and development team has completed over 250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administration costs</w:t>
      </w:r>
    </w:p>
    <w:p>
      <w:pPr>
        <w:spacing w:after="0" w:line="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For the three month period ended September 30, 2023, general and administrative expenses were $5,800 compared to $6,114 during the same period in the prior year. General and administrative expense for the three-month period are comprised of capital market expenses of $2,062 (2022 - $1,918), payroll related expenses of $1,342 (2022 - $1,559), office and administration expenses of $611 (2022 - $1,290), investor relations expenses of $315 (2022 - $169), professional and consulting fees of $1,088 (2022 - $663), listing fees of $81 (2022 - $137), business development expenses of $286 (2022 - $288), and marketing media fees of $15 (2022 - $90). The overall decrease in general and administrative expenses is mainly related to a reduction in the payroll, consulting and benefits spend and professional and consulting fees as a result certain cost cutting measures taken, partially offset by an increase in capital market spend as the Company continues to raise awareness of the Company and its industry.</w:t>
      </w:r>
    </w:p>
    <w:p>
      <w:pPr>
        <w:spacing w:after="0" w:line="179" w:lineRule="exact"/>
        <w:rPr>
          <w:sz w:val="20"/>
          <w:szCs w:val="20"/>
          <w:color w:val="auto"/>
        </w:rPr>
      </w:pPr>
    </w:p>
    <w:p>
      <w:pPr>
        <w:jc w:val="both"/>
        <w:spacing w:after="0" w:line="317" w:lineRule="auto"/>
        <w:rPr>
          <w:sz w:val="20"/>
          <w:szCs w:val="20"/>
          <w:color w:val="auto"/>
        </w:rPr>
      </w:pPr>
      <w:r>
        <w:rPr>
          <w:rFonts w:ascii="Arial" w:cs="Arial" w:eastAsia="Arial" w:hAnsi="Arial"/>
          <w:sz w:val="18"/>
          <w:szCs w:val="18"/>
          <w:color w:val="auto"/>
        </w:rPr>
        <w:t>For the six month period ended September 30, 2023, general and administrative expenses were $10,848 compared to $11,306 during the same period in the prior year. General and administrative expense for the six-month period are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320" w:top="765" w:right="319" w:bottom="1440" w:gutter="0" w:footer="0" w:header="0"/>
        </w:sectPr>
      </w:pPr>
    </w:p>
    <w:bookmarkStart w:id="74" w:name="page75"/>
    <w:bookmarkEnd w:id="74"/>
    <w:p>
      <w:pPr>
        <w:jc w:val="both"/>
        <w:spacing w:after="0" w:line="290" w:lineRule="auto"/>
        <w:rPr>
          <w:sz w:val="20"/>
          <w:szCs w:val="20"/>
          <w:color w:val="auto"/>
        </w:rPr>
      </w:pPr>
      <w:r>
        <w:rPr>
          <w:rFonts w:ascii="Arial" w:cs="Arial" w:eastAsia="Arial" w:hAnsi="Arial"/>
          <w:sz w:val="18"/>
          <w:szCs w:val="18"/>
          <w:color w:val="auto"/>
        </w:rPr>
        <w:t>comprised of capital market expenses of $4,224 (2022 - $2,264), payroll related expenses of $2,790 (2022 - $3,245), office and administration expenses of $1,219 (2022 - $2,150), investor relations expenses of $442 (2022 - $423), professional and consulting fees of $1,506 (2022 - $1,651), listing fees of $151 (2022 - $232), business development expenses of $489 (2022 - $538), and marketing media fees of $27 (2022 - $803). The overall decrease in general and administrative expenses is mainly related to a reduction in the payroll, consulting and benefits spend and professional and consulting fees as a result certain cost cutting measures taken, partially offset by an increase in capital market spend as the Company continues to raise awareness of the Company and its industry.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8"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During the three month period ended September 30, 2023, Cybin issued warrants and options incurring share-based payment expense of $1,414, compared to $1,072 during the same period in the prior year. The increase is largely related to the new grants issued on equity raises and timing of warrant and option grants.</w:t>
      </w:r>
    </w:p>
    <w:p>
      <w:pPr>
        <w:spacing w:after="0" w:line="160" w:lineRule="exact"/>
        <w:rPr>
          <w:sz w:val="20"/>
          <w:szCs w:val="20"/>
          <w:color w:val="auto"/>
        </w:rPr>
      </w:pPr>
    </w:p>
    <w:p>
      <w:pPr>
        <w:jc w:val="both"/>
        <w:ind w:right="20"/>
        <w:spacing w:after="0" w:line="387" w:lineRule="auto"/>
        <w:rPr>
          <w:sz w:val="20"/>
          <w:szCs w:val="20"/>
          <w:color w:val="auto"/>
        </w:rPr>
      </w:pPr>
      <w:r>
        <w:rPr>
          <w:rFonts w:ascii="Arial" w:cs="Arial" w:eastAsia="Arial" w:hAnsi="Arial"/>
          <w:sz w:val="16"/>
          <w:szCs w:val="16"/>
          <w:color w:val="auto"/>
        </w:rPr>
        <w:t>During the six month period ended September 30, 2023, Cybin issued warrants and options incurring share-based payment expense of $2,689, compared to $3,227 during the same period in the prior year. The decrease is largely related to the fluctuation of share price and timing of warrant and option grants.</w:t>
      </w:r>
    </w:p>
    <w:p>
      <w:pPr>
        <w:spacing w:after="0" w:line="100" w:lineRule="exact"/>
        <w:rPr>
          <w:sz w:val="20"/>
          <w:szCs w:val="20"/>
          <w:color w:val="auto"/>
        </w:rPr>
      </w:pPr>
    </w:p>
    <w:p>
      <w:pPr>
        <w:jc w:val="both"/>
        <w:ind w:right="20"/>
        <w:spacing w:after="0" w:line="315" w:lineRule="auto"/>
        <w:rPr>
          <w:sz w:val="20"/>
          <w:szCs w:val="20"/>
          <w:color w:val="auto"/>
        </w:rPr>
      </w:pPr>
      <w:r>
        <w:rPr>
          <w:rFonts w:ascii="Arial" w:cs="Arial" w:eastAsia="Arial" w:hAnsi="Arial"/>
          <w:sz w:val="18"/>
          <w:szCs w:val="18"/>
          <w:color w:val="auto"/>
        </w:rPr>
        <w:t>The share-based compensation expense was recorded based on the fair value using a Black Scholes Model. On exercise of these warrants and options the equity reserve balances will be moved to share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gain (loss)</w:t>
      </w:r>
    </w:p>
    <w:p>
      <w:pPr>
        <w:spacing w:after="0" w:line="27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For the three-month period ended and six month period ended September 30, 2023, the Company incurred a foreign currency translation loss from operations and revaluation of balance sheet assets and liabilities held in foreign currencies of $1,968. and $77 respectively. The Company holds assets and liabilities in Canadian dollars, U.S. dollars, Euros, and British pounds.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 period ended September 30, 2023, the Company recorded interest income of $52 compared to $174 during the same period in prior year.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largely related to an decrease on the cash balance earning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60"/>
          </w:cols>
          <w:pgMar w:left="320" w:top="731"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For the six month period ended September 30, 2023, the Company recorded interest income of $136 compared to $298 during the same period in prior year.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is largely related to an decrease on the cash balance earning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Capital Resources and Cash Flows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8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gridSpan w:val="2"/>
          </w:tcPr>
          <w:p>
            <w:pPr>
              <w:ind w:left="380"/>
              <w:spacing w:after="0" w:line="158" w:lineRule="exact"/>
              <w:rPr>
                <w:sz w:val="20"/>
                <w:szCs w:val="20"/>
                <w:color w:val="auto"/>
              </w:rPr>
            </w:pPr>
            <w:r>
              <w:rPr>
                <w:rFonts w:ascii="Arial" w:cs="Arial" w:eastAsia="Arial" w:hAnsi="Arial"/>
                <w:sz w:val="15"/>
                <w:szCs w:val="15"/>
                <w:b w:val="1"/>
                <w:bCs w:val="1"/>
                <w:color w:val="auto"/>
                <w:w w:val="87"/>
              </w:rPr>
              <w:t>Three Months ended September</w:t>
            </w:r>
          </w:p>
        </w:tc>
        <w:tc>
          <w:tcPr>
            <w:tcW w:w="620" w:type="dxa"/>
            <w:vAlign w:val="bottom"/>
            <w:tcBorders>
              <w:top w:val="single" w:sz="8" w:color="auto"/>
            </w:tcBorders>
            <w:shd w:val="clear" w:color="auto" w:fill="DBDBDB"/>
          </w:tcPr>
          <w:p>
            <w:pPr>
              <w:spacing w:after="0"/>
              <w:rPr>
                <w:sz w:val="13"/>
                <w:szCs w:val="13"/>
                <w:color w:val="auto"/>
              </w:rPr>
            </w:pPr>
          </w:p>
        </w:tc>
        <w:tc>
          <w:tcPr>
            <w:tcW w:w="1320" w:type="dxa"/>
            <w:vAlign w:val="bottom"/>
            <w:tcBorders>
              <w:top w:val="single" w:sz="8" w:color="auto"/>
            </w:tcBorders>
            <w:vMerge w:val="restart"/>
            <w:shd w:val="clear" w:color="auto" w:fill="DBDBDB"/>
          </w:tcPr>
          <w:p>
            <w:pPr>
              <w:ind w:left="120"/>
              <w:spacing w:after="0"/>
              <w:rPr>
                <w:sz w:val="20"/>
                <w:szCs w:val="20"/>
                <w:color w:val="auto"/>
              </w:rPr>
            </w:pPr>
            <w:r>
              <w:rPr>
                <w:rFonts w:ascii="Arial" w:cs="Arial" w:eastAsia="Arial" w:hAnsi="Arial"/>
                <w:sz w:val="15"/>
                <w:szCs w:val="15"/>
                <w:b w:val="1"/>
                <w:bCs w:val="1"/>
                <w:color w:val="auto"/>
              </w:rPr>
              <w:t>Change</w:t>
            </w:r>
          </w:p>
        </w:tc>
        <w:tc>
          <w:tcPr>
            <w:tcW w:w="1960" w:type="dxa"/>
            <w:vAlign w:val="bottom"/>
            <w:tcBorders>
              <w:top w:val="single" w:sz="8" w:color="auto"/>
            </w:tcBorders>
            <w:gridSpan w:val="2"/>
          </w:tcPr>
          <w:p>
            <w:pPr>
              <w:ind w:left="120"/>
              <w:spacing w:after="0" w:line="158" w:lineRule="exact"/>
              <w:rPr>
                <w:sz w:val="20"/>
                <w:szCs w:val="20"/>
                <w:color w:val="auto"/>
              </w:rPr>
            </w:pPr>
            <w:r>
              <w:rPr>
                <w:rFonts w:ascii="Arial" w:cs="Arial" w:eastAsia="Arial" w:hAnsi="Arial"/>
                <w:sz w:val="15"/>
                <w:szCs w:val="15"/>
                <w:b w:val="1"/>
                <w:bCs w:val="1"/>
                <w:color w:val="auto"/>
                <w:w w:val="86"/>
              </w:rPr>
              <w:t>Six Months ended September</w:t>
            </w:r>
          </w:p>
        </w:tc>
        <w:tc>
          <w:tcPr>
            <w:tcW w:w="640" w:type="dxa"/>
            <w:vAlign w:val="bottom"/>
            <w:tcBorders>
              <w:top w:val="single" w:sz="8" w:color="auto"/>
            </w:tcBorders>
            <w:shd w:val="clear" w:color="auto" w:fill="DBDBDB"/>
          </w:tcPr>
          <w:p>
            <w:pPr>
              <w:spacing w:after="0"/>
              <w:rPr>
                <w:sz w:val="13"/>
                <w:szCs w:val="13"/>
                <w:color w:val="auto"/>
              </w:rPr>
            </w:pPr>
          </w:p>
        </w:tc>
        <w:tc>
          <w:tcPr>
            <w:tcW w:w="1340" w:type="dxa"/>
            <w:vAlign w:val="bottom"/>
            <w:tcBorders>
              <w:top w:val="single" w:sz="8" w:color="auto"/>
            </w:tcBorders>
            <w:vMerge w:val="restart"/>
            <w:shd w:val="clear" w:color="auto" w:fill="DBDBDB"/>
          </w:tcPr>
          <w:p>
            <w:pPr>
              <w:ind w:left="12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91"/>
        </w:trPr>
        <w:tc>
          <w:tcPr>
            <w:tcW w:w="2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w:t>
            </w:r>
          </w:p>
        </w:tc>
        <w:tc>
          <w:tcPr>
            <w:tcW w:w="62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vMerge w:val="continue"/>
            <w:shd w:val="clear" w:color="auto" w:fill="DBDBDB"/>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w:t>
            </w:r>
          </w:p>
        </w:tc>
        <w:tc>
          <w:tcPr>
            <w:tcW w:w="640" w:type="dxa"/>
            <w:vAlign w:val="bottom"/>
            <w:tcBorders>
              <w:bottom w:val="single" w:sz="8" w:color="auto"/>
            </w:tcBorders>
            <w:shd w:val="clear" w:color="auto" w:fill="DBDBDB"/>
          </w:tcPr>
          <w:p>
            <w:pPr>
              <w:spacing w:after="0"/>
              <w:rPr>
                <w:sz w:val="16"/>
                <w:szCs w:val="16"/>
                <w:color w:val="auto"/>
              </w:rPr>
            </w:pPr>
          </w:p>
        </w:tc>
        <w:tc>
          <w:tcPr>
            <w:tcW w:w="134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(Canadian dollars in thousands)</w:t>
            </w: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5"/>
                <w:szCs w:val="15"/>
                <w:b w:val="1"/>
                <w:bCs w:val="1"/>
                <w:color w:val="auto"/>
                <w:w w:val="83"/>
              </w:rPr>
              <w:t>2023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shd w:val="clear" w:color="auto" w:fill="DBDBDB"/>
          </w:tcPr>
          <w:p>
            <w:pPr>
              <w:ind w:left="440"/>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w w:val="83"/>
              </w:rPr>
              <w:t>2023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4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shd w:val="clear" w:color="auto" w:fill="DBDBDB"/>
          </w:tcPr>
          <w:p>
            <w:pPr>
              <w:ind w:left="7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3"/>
        </w:trPr>
        <w:tc>
          <w:tcPr>
            <w:tcW w:w="2980" w:type="dxa"/>
            <w:vAlign w:val="bottom"/>
          </w:tcPr>
          <w:p>
            <w:pPr>
              <w:ind w:left="20"/>
              <w:spacing w:after="0"/>
              <w:rPr>
                <w:sz w:val="20"/>
                <w:szCs w:val="20"/>
                <w:color w:val="auto"/>
              </w:rPr>
            </w:pPr>
            <w:r>
              <w:rPr>
                <w:rFonts w:ascii="Arial" w:cs="Arial" w:eastAsia="Arial" w:hAnsi="Arial"/>
                <w:sz w:val="15"/>
                <w:szCs w:val="15"/>
                <w:color w:val="auto"/>
              </w:rPr>
              <w:t>Net cash used in operating activities</w:t>
            </w:r>
          </w:p>
        </w:tc>
        <w:tc>
          <w:tcPr>
            <w:tcW w:w="1300" w:type="dxa"/>
            <w:vAlign w:val="bottom"/>
          </w:tcPr>
          <w:p>
            <w:pPr>
              <w:ind w:left="220"/>
              <w:spacing w:after="0"/>
              <w:rPr>
                <w:sz w:val="20"/>
                <w:szCs w:val="20"/>
                <w:color w:val="auto"/>
              </w:rPr>
            </w:pPr>
            <w:r>
              <w:rPr>
                <w:rFonts w:ascii="Arial" w:cs="Arial" w:eastAsia="Arial" w:hAnsi="Arial"/>
                <w:sz w:val="15"/>
                <w:szCs w:val="15"/>
                <w:color w:val="auto"/>
              </w:rPr>
              <w:t>(11,463)</w:t>
            </w:r>
          </w:p>
        </w:tc>
        <w:tc>
          <w:tcPr>
            <w:tcW w:w="1100" w:type="dxa"/>
            <w:vAlign w:val="bottom"/>
          </w:tcPr>
          <w:p>
            <w:pPr>
              <w:ind w:left="20"/>
              <w:spacing w:after="0"/>
              <w:rPr>
                <w:sz w:val="20"/>
                <w:szCs w:val="20"/>
                <w:color w:val="auto"/>
              </w:rPr>
            </w:pPr>
            <w:r>
              <w:rPr>
                <w:rFonts w:ascii="Arial" w:cs="Arial" w:eastAsia="Arial" w:hAnsi="Arial"/>
                <w:sz w:val="15"/>
                <w:szCs w:val="15"/>
                <w:color w:val="auto"/>
              </w:rPr>
              <w:t>(14,683)</w:t>
            </w:r>
          </w:p>
        </w:tc>
        <w:tc>
          <w:tcPr>
            <w:tcW w:w="620" w:type="dxa"/>
            <w:vAlign w:val="bottom"/>
          </w:tcPr>
          <w:p>
            <w:pPr>
              <w:ind w:left="20"/>
              <w:spacing w:after="0"/>
              <w:rPr>
                <w:sz w:val="20"/>
                <w:szCs w:val="20"/>
                <w:color w:val="auto"/>
              </w:rPr>
            </w:pPr>
            <w:r>
              <w:rPr>
                <w:rFonts w:ascii="Arial" w:cs="Arial" w:eastAsia="Arial" w:hAnsi="Arial"/>
                <w:sz w:val="15"/>
                <w:szCs w:val="15"/>
                <w:color w:val="auto"/>
              </w:rPr>
              <w:t>3,220</w:t>
            </w:r>
          </w:p>
        </w:tc>
        <w:tc>
          <w:tcPr>
            <w:tcW w:w="1320" w:type="dxa"/>
            <w:vAlign w:val="bottom"/>
          </w:tcPr>
          <w:p>
            <w:pPr>
              <w:ind w:left="360"/>
              <w:spacing w:after="0"/>
              <w:rPr>
                <w:sz w:val="20"/>
                <w:szCs w:val="20"/>
                <w:color w:val="auto"/>
              </w:rPr>
            </w:pPr>
            <w:r>
              <w:rPr>
                <w:rFonts w:ascii="Arial" w:cs="Arial" w:eastAsia="Arial" w:hAnsi="Arial"/>
                <w:sz w:val="15"/>
                <w:szCs w:val="15"/>
                <w:color w:val="auto"/>
              </w:rPr>
              <w:t>(22)%</w:t>
            </w:r>
          </w:p>
        </w:tc>
        <w:tc>
          <w:tcPr>
            <w:tcW w:w="980" w:type="dxa"/>
            <w:vAlign w:val="bottom"/>
          </w:tcPr>
          <w:p>
            <w:pPr>
              <w:ind w:left="20"/>
              <w:spacing w:after="0"/>
              <w:rPr>
                <w:sz w:val="20"/>
                <w:szCs w:val="20"/>
                <w:color w:val="auto"/>
              </w:rPr>
            </w:pPr>
            <w:r>
              <w:rPr>
                <w:rFonts w:ascii="Arial" w:cs="Arial" w:eastAsia="Arial" w:hAnsi="Arial"/>
                <w:sz w:val="15"/>
                <w:szCs w:val="15"/>
                <w:color w:val="auto"/>
              </w:rPr>
              <w:t>(22,160)</w:t>
            </w:r>
          </w:p>
        </w:tc>
        <w:tc>
          <w:tcPr>
            <w:tcW w:w="980" w:type="dxa"/>
            <w:vAlign w:val="bottom"/>
          </w:tcPr>
          <w:p>
            <w:pPr>
              <w:ind w:left="20"/>
              <w:spacing w:after="0"/>
              <w:rPr>
                <w:sz w:val="20"/>
                <w:szCs w:val="20"/>
                <w:color w:val="auto"/>
              </w:rPr>
            </w:pPr>
            <w:r>
              <w:rPr>
                <w:rFonts w:ascii="Arial" w:cs="Arial" w:eastAsia="Arial" w:hAnsi="Arial"/>
                <w:sz w:val="15"/>
                <w:szCs w:val="15"/>
                <w:color w:val="auto"/>
              </w:rPr>
              <w:t>(25,822)</w:t>
            </w:r>
          </w:p>
        </w:tc>
        <w:tc>
          <w:tcPr>
            <w:tcW w:w="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3,662</w:t>
            </w:r>
          </w:p>
        </w:tc>
        <w:tc>
          <w:tcPr>
            <w:tcW w:w="1340" w:type="dxa"/>
            <w:vAlign w:val="bottom"/>
            <w:shd w:val="clear" w:color="auto" w:fill="DBDBDB"/>
          </w:tcPr>
          <w:p>
            <w:pPr>
              <w:ind w:left="36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4"/>
        </w:trPr>
        <w:tc>
          <w:tcPr>
            <w:tcW w:w="298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300" w:type="dxa"/>
            <w:vAlign w:val="bottom"/>
          </w:tcPr>
          <w:p>
            <w:pPr>
              <w:ind w:left="220"/>
              <w:spacing w:after="0"/>
              <w:rPr>
                <w:sz w:val="20"/>
                <w:szCs w:val="20"/>
                <w:color w:val="auto"/>
              </w:rPr>
            </w:pPr>
            <w:r>
              <w:rPr>
                <w:rFonts w:ascii="Arial" w:cs="Arial" w:eastAsia="Arial" w:hAnsi="Arial"/>
                <w:sz w:val="15"/>
                <w:szCs w:val="15"/>
                <w:color w:val="auto"/>
              </w:rPr>
              <w:t>(258)</w:t>
            </w:r>
          </w:p>
        </w:tc>
        <w:tc>
          <w:tcPr>
            <w:tcW w:w="1100" w:type="dxa"/>
            <w:vAlign w:val="bottom"/>
          </w:tcPr>
          <w:p>
            <w:pPr>
              <w:ind w:left="20"/>
              <w:spacing w:after="0"/>
              <w:rPr>
                <w:sz w:val="20"/>
                <w:szCs w:val="20"/>
                <w:color w:val="auto"/>
              </w:rPr>
            </w:pPr>
            <w:r>
              <w:rPr>
                <w:rFonts w:ascii="Arial" w:cs="Arial" w:eastAsia="Arial" w:hAnsi="Arial"/>
                <w:sz w:val="15"/>
                <w:szCs w:val="15"/>
                <w:color w:val="auto"/>
              </w:rPr>
              <w:t>(2,676)</w:t>
            </w:r>
          </w:p>
        </w:tc>
        <w:tc>
          <w:tcPr>
            <w:tcW w:w="620" w:type="dxa"/>
            <w:vAlign w:val="bottom"/>
          </w:tcPr>
          <w:p>
            <w:pPr>
              <w:ind w:left="20"/>
              <w:spacing w:after="0"/>
              <w:rPr>
                <w:sz w:val="20"/>
                <w:szCs w:val="20"/>
                <w:color w:val="auto"/>
              </w:rPr>
            </w:pPr>
            <w:r>
              <w:rPr>
                <w:rFonts w:ascii="Arial" w:cs="Arial" w:eastAsia="Arial" w:hAnsi="Arial"/>
                <w:sz w:val="15"/>
                <w:szCs w:val="15"/>
                <w:color w:val="auto"/>
              </w:rPr>
              <w:t>2,418</w:t>
            </w:r>
          </w:p>
        </w:tc>
        <w:tc>
          <w:tcPr>
            <w:tcW w:w="1320" w:type="dxa"/>
            <w:vAlign w:val="bottom"/>
          </w:tcPr>
          <w:p>
            <w:pPr>
              <w:ind w:left="360"/>
              <w:spacing w:after="0"/>
              <w:rPr>
                <w:sz w:val="20"/>
                <w:szCs w:val="20"/>
                <w:color w:val="auto"/>
              </w:rPr>
            </w:pPr>
            <w:r>
              <w:rPr>
                <w:rFonts w:ascii="Arial" w:cs="Arial" w:eastAsia="Arial" w:hAnsi="Arial"/>
                <w:sz w:val="15"/>
                <w:szCs w:val="15"/>
                <w:color w:val="auto"/>
              </w:rPr>
              <w:t>(90)%</w:t>
            </w:r>
          </w:p>
        </w:tc>
        <w:tc>
          <w:tcPr>
            <w:tcW w:w="980" w:type="dxa"/>
            <w:vAlign w:val="bottom"/>
          </w:tcPr>
          <w:p>
            <w:pPr>
              <w:ind w:left="20"/>
              <w:spacing w:after="0"/>
              <w:rPr>
                <w:sz w:val="20"/>
                <w:szCs w:val="20"/>
                <w:color w:val="auto"/>
              </w:rPr>
            </w:pPr>
            <w:r>
              <w:rPr>
                <w:rFonts w:ascii="Arial" w:cs="Arial" w:eastAsia="Arial" w:hAnsi="Arial"/>
                <w:sz w:val="15"/>
                <w:szCs w:val="15"/>
                <w:color w:val="auto"/>
              </w:rPr>
              <w:t>(323)</w:t>
            </w:r>
          </w:p>
        </w:tc>
        <w:tc>
          <w:tcPr>
            <w:tcW w:w="980" w:type="dxa"/>
            <w:vAlign w:val="bottom"/>
          </w:tcPr>
          <w:p>
            <w:pPr>
              <w:ind w:left="20"/>
              <w:spacing w:after="0"/>
              <w:rPr>
                <w:sz w:val="20"/>
                <w:szCs w:val="20"/>
                <w:color w:val="auto"/>
              </w:rPr>
            </w:pPr>
            <w:r>
              <w:rPr>
                <w:rFonts w:ascii="Arial" w:cs="Arial" w:eastAsia="Arial" w:hAnsi="Arial"/>
                <w:sz w:val="15"/>
                <w:szCs w:val="15"/>
                <w:color w:val="auto"/>
              </w:rPr>
              <w:t>(2,884)</w:t>
            </w:r>
          </w:p>
        </w:tc>
        <w:tc>
          <w:tcPr>
            <w:tcW w:w="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2,561</w:t>
            </w:r>
          </w:p>
        </w:tc>
        <w:tc>
          <w:tcPr>
            <w:tcW w:w="1340" w:type="dxa"/>
            <w:vAlign w:val="bottom"/>
            <w:shd w:val="clear" w:color="auto" w:fill="DBDBDB"/>
          </w:tcPr>
          <w:p>
            <w:pPr>
              <w:ind w:left="36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97"/>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Net cash from financing activities</w:t>
            </w: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20,384</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4,646</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15,738</w:t>
            </w: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339%</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23,904</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4,960</w:t>
            </w:r>
          </w:p>
        </w:tc>
        <w:tc>
          <w:tcPr>
            <w:tcW w:w="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18,944</w:t>
            </w:r>
          </w:p>
        </w:tc>
        <w:tc>
          <w:tcPr>
            <w:tcW w:w="134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183"/>
        </w:trPr>
        <w:tc>
          <w:tcPr>
            <w:tcW w:w="2980" w:type="dxa"/>
            <w:vAlign w:val="bottom"/>
          </w:tcPr>
          <w:p>
            <w:pPr>
              <w:ind w:left="20"/>
              <w:spacing w:after="0"/>
              <w:rPr>
                <w:sz w:val="20"/>
                <w:szCs w:val="20"/>
                <w:color w:val="auto"/>
              </w:rPr>
            </w:pPr>
            <w:r>
              <w:rPr>
                <w:rFonts w:ascii="Arial" w:cs="Arial" w:eastAsia="Arial" w:hAnsi="Arial"/>
                <w:sz w:val="15"/>
                <w:szCs w:val="15"/>
                <w:color w:val="auto"/>
              </w:rPr>
              <w:t>Decrease in cash</w:t>
            </w:r>
          </w:p>
        </w:tc>
        <w:tc>
          <w:tcPr>
            <w:tcW w:w="1300" w:type="dxa"/>
            <w:vAlign w:val="bottom"/>
          </w:tcPr>
          <w:p>
            <w:pPr>
              <w:ind w:left="220"/>
              <w:spacing w:after="0"/>
              <w:rPr>
                <w:sz w:val="20"/>
                <w:szCs w:val="20"/>
                <w:color w:val="auto"/>
              </w:rPr>
            </w:pPr>
            <w:r>
              <w:rPr>
                <w:rFonts w:ascii="Arial" w:cs="Arial" w:eastAsia="Arial" w:hAnsi="Arial"/>
                <w:sz w:val="15"/>
                <w:szCs w:val="15"/>
                <w:color w:val="auto"/>
              </w:rPr>
              <w:t>8,663</w:t>
            </w:r>
          </w:p>
        </w:tc>
        <w:tc>
          <w:tcPr>
            <w:tcW w:w="1100" w:type="dxa"/>
            <w:vAlign w:val="bottom"/>
          </w:tcPr>
          <w:p>
            <w:pPr>
              <w:ind w:left="20"/>
              <w:spacing w:after="0"/>
              <w:rPr>
                <w:sz w:val="20"/>
                <w:szCs w:val="20"/>
                <w:color w:val="auto"/>
              </w:rPr>
            </w:pPr>
            <w:r>
              <w:rPr>
                <w:rFonts w:ascii="Arial" w:cs="Arial" w:eastAsia="Arial" w:hAnsi="Arial"/>
                <w:sz w:val="15"/>
                <w:szCs w:val="15"/>
                <w:color w:val="auto"/>
              </w:rPr>
              <w:t>(12,713)</w:t>
            </w:r>
          </w:p>
        </w:tc>
        <w:tc>
          <w:tcPr>
            <w:tcW w:w="620" w:type="dxa"/>
            <w:vAlign w:val="bottom"/>
          </w:tcPr>
          <w:p>
            <w:pPr>
              <w:ind w:left="20"/>
              <w:spacing w:after="0"/>
              <w:rPr>
                <w:sz w:val="20"/>
                <w:szCs w:val="20"/>
                <w:color w:val="auto"/>
              </w:rPr>
            </w:pPr>
            <w:r>
              <w:rPr>
                <w:rFonts w:ascii="Arial" w:cs="Arial" w:eastAsia="Arial" w:hAnsi="Arial"/>
                <w:sz w:val="15"/>
                <w:szCs w:val="15"/>
                <w:color w:val="auto"/>
              </w:rPr>
              <w:t>21,376</w:t>
            </w:r>
          </w:p>
        </w:tc>
        <w:tc>
          <w:tcPr>
            <w:tcW w:w="1320" w:type="dxa"/>
            <w:vAlign w:val="bottom"/>
          </w:tcPr>
          <w:p>
            <w:pPr>
              <w:ind w:left="360"/>
              <w:spacing w:after="0"/>
              <w:rPr>
                <w:sz w:val="20"/>
                <w:szCs w:val="20"/>
                <w:color w:val="auto"/>
              </w:rPr>
            </w:pPr>
            <w:r>
              <w:rPr>
                <w:rFonts w:ascii="Arial" w:cs="Arial" w:eastAsia="Arial" w:hAnsi="Arial"/>
                <w:sz w:val="15"/>
                <w:szCs w:val="15"/>
                <w:color w:val="auto"/>
              </w:rPr>
              <w:t>(168)%</w:t>
            </w:r>
          </w:p>
        </w:tc>
        <w:tc>
          <w:tcPr>
            <w:tcW w:w="980" w:type="dxa"/>
            <w:vAlign w:val="bottom"/>
          </w:tcPr>
          <w:p>
            <w:pPr>
              <w:ind w:left="20"/>
              <w:spacing w:after="0"/>
              <w:rPr>
                <w:sz w:val="20"/>
                <w:szCs w:val="20"/>
                <w:color w:val="auto"/>
              </w:rPr>
            </w:pPr>
            <w:r>
              <w:rPr>
                <w:rFonts w:ascii="Arial" w:cs="Arial" w:eastAsia="Arial" w:hAnsi="Arial"/>
                <w:sz w:val="15"/>
                <w:szCs w:val="15"/>
                <w:color w:val="auto"/>
              </w:rPr>
              <w:t>1,421</w:t>
            </w:r>
          </w:p>
        </w:tc>
        <w:tc>
          <w:tcPr>
            <w:tcW w:w="980" w:type="dxa"/>
            <w:vAlign w:val="bottom"/>
          </w:tcPr>
          <w:p>
            <w:pPr>
              <w:ind w:left="20"/>
              <w:spacing w:after="0"/>
              <w:rPr>
                <w:sz w:val="20"/>
                <w:szCs w:val="20"/>
                <w:color w:val="auto"/>
              </w:rPr>
            </w:pPr>
            <w:r>
              <w:rPr>
                <w:rFonts w:ascii="Arial" w:cs="Arial" w:eastAsia="Arial" w:hAnsi="Arial"/>
                <w:sz w:val="15"/>
                <w:szCs w:val="15"/>
                <w:color w:val="auto"/>
              </w:rPr>
              <w:t>(23,746)</w:t>
            </w:r>
          </w:p>
        </w:tc>
        <w:tc>
          <w:tcPr>
            <w:tcW w:w="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25,167</w:t>
            </w:r>
          </w:p>
        </w:tc>
        <w:tc>
          <w:tcPr>
            <w:tcW w:w="1340" w:type="dxa"/>
            <w:vAlign w:val="bottom"/>
            <w:shd w:val="clear" w:color="auto" w:fill="DBDBDB"/>
          </w:tcPr>
          <w:p>
            <w:pPr>
              <w:ind w:left="360"/>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94"/>
        </w:trPr>
        <w:tc>
          <w:tcPr>
            <w:tcW w:w="2980" w:type="dxa"/>
            <w:vAlign w:val="bottom"/>
          </w:tcPr>
          <w:p>
            <w:pPr>
              <w:ind w:left="20"/>
              <w:spacing w:after="0"/>
              <w:rPr>
                <w:sz w:val="20"/>
                <w:szCs w:val="20"/>
                <w:color w:val="auto"/>
              </w:rPr>
            </w:pPr>
            <w:r>
              <w:rPr>
                <w:rFonts w:ascii="Arial" w:cs="Arial" w:eastAsia="Arial" w:hAnsi="Arial"/>
                <w:sz w:val="15"/>
                <w:szCs w:val="15"/>
                <w:color w:val="auto"/>
              </w:rPr>
              <w:t>Net foreign exchange difference</w:t>
            </w:r>
          </w:p>
        </w:tc>
        <w:tc>
          <w:tcPr>
            <w:tcW w:w="1300" w:type="dxa"/>
            <w:vAlign w:val="bottom"/>
          </w:tcPr>
          <w:p>
            <w:pPr>
              <w:ind w:left="220"/>
              <w:spacing w:after="0"/>
              <w:rPr>
                <w:sz w:val="20"/>
                <w:szCs w:val="20"/>
                <w:color w:val="auto"/>
              </w:rPr>
            </w:pPr>
            <w:r>
              <w:rPr>
                <w:rFonts w:ascii="Arial" w:cs="Arial" w:eastAsia="Arial" w:hAnsi="Arial"/>
                <w:sz w:val="15"/>
                <w:szCs w:val="15"/>
                <w:color w:val="auto"/>
              </w:rPr>
              <w:t>106</w:t>
            </w:r>
          </w:p>
        </w:tc>
        <w:tc>
          <w:tcPr>
            <w:tcW w:w="1100" w:type="dxa"/>
            <w:vAlign w:val="bottom"/>
          </w:tcPr>
          <w:p>
            <w:pPr>
              <w:ind w:left="20"/>
              <w:spacing w:after="0"/>
              <w:rPr>
                <w:sz w:val="20"/>
                <w:szCs w:val="20"/>
                <w:color w:val="auto"/>
              </w:rPr>
            </w:pPr>
            <w:r>
              <w:rPr>
                <w:rFonts w:ascii="Arial" w:cs="Arial" w:eastAsia="Arial" w:hAnsi="Arial"/>
                <w:sz w:val="15"/>
                <w:szCs w:val="15"/>
                <w:color w:val="auto"/>
              </w:rPr>
              <w:t>190</w:t>
            </w:r>
          </w:p>
        </w:tc>
        <w:tc>
          <w:tcPr>
            <w:tcW w:w="620" w:type="dxa"/>
            <w:vAlign w:val="bottom"/>
          </w:tcPr>
          <w:p>
            <w:pPr>
              <w:ind w:left="20"/>
              <w:spacing w:after="0"/>
              <w:rPr>
                <w:sz w:val="20"/>
                <w:szCs w:val="20"/>
                <w:color w:val="auto"/>
              </w:rPr>
            </w:pPr>
            <w:r>
              <w:rPr>
                <w:rFonts w:ascii="Arial" w:cs="Arial" w:eastAsia="Arial" w:hAnsi="Arial"/>
                <w:sz w:val="15"/>
                <w:szCs w:val="15"/>
                <w:color w:val="auto"/>
              </w:rPr>
              <w:t>(84)</w:t>
            </w:r>
          </w:p>
        </w:tc>
        <w:tc>
          <w:tcPr>
            <w:tcW w:w="1320" w:type="dxa"/>
            <w:vAlign w:val="bottom"/>
          </w:tcPr>
          <w:p>
            <w:pPr>
              <w:ind w:left="360"/>
              <w:spacing w:after="0"/>
              <w:rPr>
                <w:sz w:val="20"/>
                <w:szCs w:val="20"/>
                <w:color w:val="auto"/>
              </w:rPr>
            </w:pPr>
            <w:r>
              <w:rPr>
                <w:rFonts w:ascii="Arial" w:cs="Arial" w:eastAsia="Arial" w:hAnsi="Arial"/>
                <w:sz w:val="15"/>
                <w:szCs w:val="15"/>
                <w:color w:val="auto"/>
              </w:rPr>
              <w:t>(44)%</w:t>
            </w:r>
          </w:p>
        </w:tc>
        <w:tc>
          <w:tcPr>
            <w:tcW w:w="980" w:type="dxa"/>
            <w:vAlign w:val="bottom"/>
          </w:tcPr>
          <w:p>
            <w:pPr>
              <w:ind w:left="20"/>
              <w:spacing w:after="0"/>
              <w:rPr>
                <w:sz w:val="20"/>
                <w:szCs w:val="20"/>
                <w:color w:val="auto"/>
              </w:rPr>
            </w:pPr>
            <w:r>
              <w:rPr>
                <w:rFonts w:ascii="Arial" w:cs="Arial" w:eastAsia="Arial" w:hAnsi="Arial"/>
                <w:sz w:val="15"/>
                <w:szCs w:val="15"/>
                <w:color w:val="auto"/>
              </w:rPr>
              <w:t>64</w:t>
            </w:r>
          </w:p>
        </w:tc>
        <w:tc>
          <w:tcPr>
            <w:tcW w:w="980" w:type="dxa"/>
            <w:vAlign w:val="bottom"/>
          </w:tcPr>
          <w:p>
            <w:pPr>
              <w:ind w:left="20"/>
              <w:spacing w:after="0"/>
              <w:rPr>
                <w:sz w:val="20"/>
                <w:szCs w:val="20"/>
                <w:color w:val="auto"/>
              </w:rPr>
            </w:pPr>
            <w:r>
              <w:rPr>
                <w:rFonts w:ascii="Arial" w:cs="Arial" w:eastAsia="Arial" w:hAnsi="Arial"/>
                <w:sz w:val="15"/>
                <w:szCs w:val="15"/>
                <w:color w:val="auto"/>
              </w:rPr>
              <w:t>42</w:t>
            </w:r>
          </w:p>
        </w:tc>
        <w:tc>
          <w:tcPr>
            <w:tcW w:w="640" w:type="dxa"/>
            <w:vAlign w:val="bottom"/>
            <w:shd w:val="clear" w:color="auto" w:fill="DBDBDB"/>
          </w:tcPr>
          <w:p>
            <w:pPr>
              <w:ind w:left="20"/>
              <w:spacing w:after="0"/>
              <w:rPr>
                <w:sz w:val="20"/>
                <w:szCs w:val="20"/>
                <w:color w:val="auto"/>
              </w:rPr>
            </w:pPr>
            <w:r>
              <w:rPr>
                <w:rFonts w:ascii="Arial" w:cs="Arial" w:eastAsia="Arial" w:hAnsi="Arial"/>
                <w:sz w:val="15"/>
                <w:szCs w:val="15"/>
                <w:color w:val="auto"/>
              </w:rPr>
              <w:t>22</w:t>
            </w:r>
          </w:p>
        </w:tc>
        <w:tc>
          <w:tcPr>
            <w:tcW w:w="1340" w:type="dxa"/>
            <w:vAlign w:val="bottom"/>
            <w:shd w:val="clear" w:color="auto" w:fill="DBDBDB"/>
          </w:tcPr>
          <w:p>
            <w:pPr>
              <w:ind w:left="36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97"/>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3"/>
              </w:rPr>
              <w:t>Cash and cash equivalents, beginning of period</w:t>
            </w: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9,349</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42,460</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(33,111)</w:t>
            </w: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(78)%</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16,633</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53,641</w:t>
            </w:r>
          </w:p>
        </w:tc>
        <w:tc>
          <w:tcPr>
            <w:tcW w:w="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(37,008)</w:t>
            </w:r>
          </w:p>
        </w:tc>
        <w:tc>
          <w:tcPr>
            <w:tcW w:w="134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8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18,118</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29,937</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(11,819)</w:t>
            </w: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(39)%</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18,118</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29,937</w:t>
            </w:r>
          </w:p>
        </w:tc>
        <w:tc>
          <w:tcPr>
            <w:tcW w:w="6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rPr>
              <w:t>(11,819)</w:t>
            </w:r>
          </w:p>
        </w:tc>
        <w:tc>
          <w:tcPr>
            <w:tcW w:w="134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ind w:left="2380"/>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150"/>
        </w:trPr>
        <w:tc>
          <w:tcPr>
            <w:tcW w:w="4220" w:type="dxa"/>
            <w:vAlign w:val="bottom"/>
            <w:shd w:val="clear" w:color="auto" w:fill="DBDBDB"/>
          </w:tcPr>
          <w:p>
            <w:pPr>
              <w:ind w:left="20"/>
              <w:spacing w:after="0" w:line="150" w:lineRule="exact"/>
              <w:rPr>
                <w:sz w:val="20"/>
                <w:szCs w:val="20"/>
                <w:color w:val="auto"/>
              </w:rPr>
            </w:pPr>
            <w:r>
              <w:rPr>
                <w:rFonts w:ascii="Arial" w:cs="Arial" w:eastAsia="Arial" w:hAnsi="Arial"/>
                <w:sz w:val="16"/>
                <w:szCs w:val="16"/>
                <w:b w:val="1"/>
                <w:bCs w:val="1"/>
                <w:color w:val="auto"/>
              </w:rPr>
              <w:t>Net cash used in operating activities</w:t>
            </w:r>
          </w:p>
        </w:tc>
        <w:tc>
          <w:tcPr>
            <w:tcW w:w="7000" w:type="dxa"/>
            <w:vAlign w:val="bottom"/>
          </w:tcPr>
          <w:p>
            <w:pPr>
              <w:ind w:left="20"/>
              <w:spacing w:after="0" w:line="150" w:lineRule="exact"/>
              <w:rPr>
                <w:sz w:val="20"/>
                <w:szCs w:val="20"/>
                <w:color w:val="auto"/>
              </w:rPr>
            </w:pPr>
            <w:r>
              <w:rPr>
                <w:rFonts w:ascii="Arial" w:cs="Arial" w:eastAsia="Arial" w:hAnsi="Arial"/>
                <w:sz w:val="16"/>
                <w:szCs w:val="16"/>
                <w:color w:val="auto"/>
                <w:w w:val="97"/>
              </w:rPr>
              <w:t>Primarily relates to cash used for operating expenses including research and development expenses,</w:t>
            </w:r>
          </w:p>
        </w:tc>
        <w:tc>
          <w:tcPr>
            <w:tcW w:w="0" w:type="dxa"/>
            <w:vAlign w:val="bottom"/>
          </w:tcPr>
          <w:p>
            <w:pPr>
              <w:spacing w:after="0"/>
              <w:rPr>
                <w:sz w:val="1"/>
                <w:szCs w:val="1"/>
                <w:color w:val="auto"/>
              </w:rPr>
            </w:pPr>
          </w:p>
        </w:tc>
      </w:tr>
      <w:tr>
        <w:trPr>
          <w:trHeight w:val="169"/>
        </w:trPr>
        <w:tc>
          <w:tcPr>
            <w:tcW w:w="4220" w:type="dxa"/>
            <w:vAlign w:val="bottom"/>
            <w:shd w:val="clear" w:color="auto" w:fill="DBDBDB"/>
          </w:tcPr>
          <w:p>
            <w:pPr>
              <w:spacing w:after="0"/>
              <w:rPr>
                <w:sz w:val="14"/>
                <w:szCs w:val="14"/>
                <w:color w:val="auto"/>
              </w:rPr>
            </w:pPr>
          </w:p>
        </w:tc>
        <w:tc>
          <w:tcPr>
            <w:tcW w:w="7000" w:type="dxa"/>
            <w:vAlign w:val="bottom"/>
          </w:tcPr>
          <w:p>
            <w:pPr>
              <w:ind w:left="20"/>
              <w:spacing w:after="0" w:line="169" w:lineRule="exact"/>
              <w:rPr>
                <w:sz w:val="20"/>
                <w:szCs w:val="20"/>
                <w:color w:val="auto"/>
              </w:rPr>
            </w:pPr>
            <w:r>
              <w:rPr>
                <w:rFonts w:ascii="Arial" w:cs="Arial" w:eastAsia="Arial" w:hAnsi="Arial"/>
                <w:sz w:val="16"/>
                <w:szCs w:val="16"/>
                <w:color w:val="auto"/>
                <w:w w:val="96"/>
              </w:rPr>
              <w:t>salaries, and other general and administration expenses. Cash flows from operating activities exclude</w:t>
            </w:r>
          </w:p>
        </w:tc>
        <w:tc>
          <w:tcPr>
            <w:tcW w:w="0" w:type="dxa"/>
            <w:vAlign w:val="bottom"/>
          </w:tcPr>
          <w:p>
            <w:pPr>
              <w:spacing w:after="0"/>
              <w:rPr>
                <w:sz w:val="1"/>
                <w:szCs w:val="1"/>
                <w:color w:val="auto"/>
              </w:rPr>
            </w:pPr>
          </w:p>
        </w:tc>
      </w:tr>
      <w:tr>
        <w:trPr>
          <w:trHeight w:val="158"/>
        </w:trPr>
        <w:tc>
          <w:tcPr>
            <w:tcW w:w="4220" w:type="dxa"/>
            <w:vAlign w:val="bottom"/>
            <w:shd w:val="clear" w:color="auto" w:fill="DBDBDB"/>
          </w:tcPr>
          <w:p>
            <w:pPr>
              <w:spacing w:after="0"/>
              <w:rPr>
                <w:sz w:val="13"/>
                <w:szCs w:val="13"/>
                <w:color w:val="auto"/>
              </w:rPr>
            </w:pPr>
          </w:p>
        </w:tc>
        <w:tc>
          <w:tcPr>
            <w:tcW w:w="7000" w:type="dxa"/>
            <w:vAlign w:val="bottom"/>
          </w:tcPr>
          <w:p>
            <w:pPr>
              <w:ind w:left="20"/>
              <w:spacing w:after="0" w:line="158" w:lineRule="exact"/>
              <w:rPr>
                <w:sz w:val="20"/>
                <w:szCs w:val="20"/>
                <w:color w:val="auto"/>
              </w:rPr>
            </w:pPr>
            <w:r>
              <w:rPr>
                <w:rFonts w:ascii="Arial" w:cs="Arial" w:eastAsia="Arial" w:hAnsi="Arial"/>
                <w:sz w:val="16"/>
                <w:szCs w:val="16"/>
                <w:color w:val="auto"/>
                <w:w w:val="92"/>
              </w:rPr>
              <w:t>expenses not affecting cash, such as share based compensation expense, depreciation, unrealized foreign</w:t>
            </w:r>
          </w:p>
        </w:tc>
        <w:tc>
          <w:tcPr>
            <w:tcW w:w="0" w:type="dxa"/>
            <w:vAlign w:val="bottom"/>
          </w:tcPr>
          <w:p>
            <w:pPr>
              <w:spacing w:after="0"/>
              <w:rPr>
                <w:sz w:val="1"/>
                <w:szCs w:val="1"/>
                <w:color w:val="auto"/>
              </w:rPr>
            </w:pPr>
          </w:p>
        </w:tc>
      </w:tr>
      <w:tr>
        <w:trPr>
          <w:trHeight w:val="206"/>
        </w:trPr>
        <w:tc>
          <w:tcPr>
            <w:tcW w:w="4220" w:type="dxa"/>
            <w:vAlign w:val="bottom"/>
            <w:shd w:val="clear" w:color="auto" w:fill="DBDBDB"/>
          </w:tcPr>
          <w:p>
            <w:pPr>
              <w:spacing w:after="0"/>
              <w:rPr>
                <w:sz w:val="17"/>
                <w:szCs w:val="17"/>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rPr>
              <w:t>exchange gains or losses, and net changes in non-cash balances relating to operations.</w:t>
            </w:r>
          </w:p>
        </w:tc>
        <w:tc>
          <w:tcPr>
            <w:tcW w:w="0" w:type="dxa"/>
            <w:vAlign w:val="bottom"/>
          </w:tcPr>
          <w:p>
            <w:pPr>
              <w:spacing w:after="0"/>
              <w:rPr>
                <w:sz w:val="1"/>
                <w:szCs w:val="1"/>
                <w:color w:val="auto"/>
              </w:rPr>
            </w:pPr>
          </w:p>
        </w:tc>
      </w:tr>
      <w:tr>
        <w:trPr>
          <w:trHeight w:val="266"/>
        </w:trPr>
        <w:tc>
          <w:tcPr>
            <w:tcW w:w="4220" w:type="dxa"/>
            <w:vAlign w:val="bottom"/>
            <w:shd w:val="clear" w:color="auto" w:fill="DBDBDB"/>
          </w:tcPr>
          <w:p>
            <w:pPr>
              <w:spacing w:after="0"/>
              <w:rPr>
                <w:sz w:val="23"/>
                <w:szCs w:val="23"/>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w w:val="92"/>
              </w:rPr>
              <w:t>For the six month period ended September 30, 2023, cash used in operating activities was $22,160 driven</w:t>
            </w:r>
          </w:p>
        </w:tc>
        <w:tc>
          <w:tcPr>
            <w:tcW w:w="0" w:type="dxa"/>
            <w:vAlign w:val="bottom"/>
          </w:tcPr>
          <w:p>
            <w:pPr>
              <w:spacing w:after="0"/>
              <w:rPr>
                <w:sz w:val="1"/>
                <w:szCs w:val="1"/>
                <w:color w:val="auto"/>
              </w:rPr>
            </w:pPr>
          </w:p>
        </w:tc>
      </w:tr>
      <w:tr>
        <w:trPr>
          <w:trHeight w:val="255"/>
        </w:trPr>
        <w:tc>
          <w:tcPr>
            <w:tcW w:w="4220" w:type="dxa"/>
            <w:vAlign w:val="bottom"/>
            <w:shd w:val="clear" w:color="auto" w:fill="DBDBDB"/>
          </w:tcPr>
          <w:p>
            <w:pPr>
              <w:spacing w:after="0"/>
              <w:rPr>
                <w:sz w:val="22"/>
                <w:szCs w:val="22"/>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w w:val="98"/>
              </w:rPr>
              <w:t>by a net loss for the period of $26,404 partially offset by the following non-cash items: an unrealized</w:t>
            </w:r>
          </w:p>
        </w:tc>
        <w:tc>
          <w:tcPr>
            <w:tcW w:w="0" w:type="dxa"/>
            <w:vAlign w:val="bottom"/>
          </w:tcPr>
          <w:p>
            <w:pPr>
              <w:spacing w:after="0"/>
              <w:rPr>
                <w:sz w:val="1"/>
                <w:szCs w:val="1"/>
                <w:color w:val="auto"/>
              </w:rPr>
            </w:pPr>
          </w:p>
        </w:tc>
      </w:tr>
      <w:tr>
        <w:trPr>
          <w:trHeight w:val="243"/>
        </w:trPr>
        <w:tc>
          <w:tcPr>
            <w:tcW w:w="4220" w:type="dxa"/>
            <w:vAlign w:val="bottom"/>
            <w:shd w:val="clear" w:color="auto" w:fill="DBDBDB"/>
          </w:tcPr>
          <w:p>
            <w:pPr>
              <w:spacing w:after="0"/>
              <w:rPr>
                <w:sz w:val="21"/>
                <w:szCs w:val="21"/>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w w:val="97"/>
              </w:rPr>
              <w:t>foreign exchange gain of $95, share-based compensation of $2,689,an increase in working capital of</w:t>
            </w:r>
          </w:p>
        </w:tc>
        <w:tc>
          <w:tcPr>
            <w:tcW w:w="0" w:type="dxa"/>
            <w:vAlign w:val="bottom"/>
          </w:tcPr>
          <w:p>
            <w:pPr>
              <w:spacing w:after="0"/>
              <w:rPr>
                <w:sz w:val="1"/>
                <w:szCs w:val="1"/>
                <w:color w:val="auto"/>
              </w:rPr>
            </w:pPr>
          </w:p>
        </w:tc>
      </w:tr>
      <w:tr>
        <w:trPr>
          <w:trHeight w:val="265"/>
        </w:trPr>
        <w:tc>
          <w:tcPr>
            <w:tcW w:w="4220" w:type="dxa"/>
            <w:vAlign w:val="bottom"/>
            <w:shd w:val="clear" w:color="auto" w:fill="DBDBDB"/>
          </w:tcPr>
          <w:p>
            <w:pPr>
              <w:spacing w:after="0"/>
              <w:rPr>
                <w:sz w:val="23"/>
                <w:szCs w:val="23"/>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rPr>
              <w:t xml:space="preserve">$1,512, </w:t>
            </w:r>
            <w:r>
              <w:rPr>
                <w:rFonts w:ascii="Arial" w:cs="Arial" w:eastAsia="Arial" w:hAnsi="Arial"/>
                <w:sz w:val="19"/>
                <w:szCs w:val="19"/>
                <w:color w:val="auto"/>
              </w:rPr>
              <w:t>and depreciation and amortization of $138.</w:t>
            </w:r>
          </w:p>
        </w:tc>
        <w:tc>
          <w:tcPr>
            <w:tcW w:w="0" w:type="dxa"/>
            <w:vAlign w:val="bottom"/>
          </w:tcPr>
          <w:p>
            <w:pPr>
              <w:spacing w:after="0"/>
              <w:rPr>
                <w:sz w:val="1"/>
                <w:szCs w:val="1"/>
                <w:color w:val="auto"/>
              </w:rPr>
            </w:pPr>
          </w:p>
        </w:tc>
      </w:tr>
      <w:tr>
        <w:trPr>
          <w:trHeight w:val="63"/>
        </w:trPr>
        <w:tc>
          <w:tcPr>
            <w:tcW w:w="4220" w:type="dxa"/>
            <w:vAlign w:val="bottom"/>
            <w:tcBorders>
              <w:bottom w:val="single" w:sz="8" w:color="auto"/>
            </w:tcBorders>
            <w:shd w:val="clear" w:color="auto" w:fill="DBDBDB"/>
          </w:tcPr>
          <w:p>
            <w:pPr>
              <w:spacing w:after="0"/>
              <w:rPr>
                <w:sz w:val="5"/>
                <w:szCs w:val="5"/>
                <w:color w:val="auto"/>
              </w:rPr>
            </w:pPr>
          </w:p>
        </w:tc>
        <w:tc>
          <w:tcPr>
            <w:tcW w:w="7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7000" w:type="dxa"/>
            <w:vAlign w:val="bottom"/>
            <w:vMerge w:val="restart"/>
          </w:tcPr>
          <w:p>
            <w:pPr>
              <w:ind w:left="20"/>
              <w:spacing w:after="0"/>
              <w:rPr>
                <w:sz w:val="20"/>
                <w:szCs w:val="20"/>
                <w:color w:val="auto"/>
              </w:rPr>
            </w:pPr>
            <w:r>
              <w:rPr>
                <w:rFonts w:ascii="Arial" w:cs="Arial" w:eastAsia="Arial" w:hAnsi="Arial"/>
                <w:sz w:val="16"/>
                <w:szCs w:val="16"/>
                <w:color w:val="auto"/>
                <w:w w:val="92"/>
              </w:rPr>
              <w:t>For the six month period ended September 30, 2023, cash flows used in investing activities were driven by</w:t>
            </w:r>
          </w:p>
        </w:tc>
        <w:tc>
          <w:tcPr>
            <w:tcW w:w="0" w:type="dxa"/>
            <w:vAlign w:val="bottom"/>
          </w:tcPr>
          <w:p>
            <w:pPr>
              <w:spacing w:after="0"/>
              <w:rPr>
                <w:sz w:val="1"/>
                <w:szCs w:val="1"/>
                <w:color w:val="auto"/>
              </w:rPr>
            </w:pPr>
          </w:p>
        </w:tc>
      </w:tr>
      <w:tr>
        <w:trPr>
          <w:trHeight w:val="56"/>
        </w:trPr>
        <w:tc>
          <w:tcPr>
            <w:tcW w:w="4220" w:type="dxa"/>
            <w:vAlign w:val="bottom"/>
            <w:shd w:val="clear" w:color="auto" w:fill="DBDBDB"/>
          </w:tcPr>
          <w:p>
            <w:pPr>
              <w:spacing w:after="0"/>
              <w:rPr>
                <w:sz w:val="4"/>
                <w:szCs w:val="4"/>
                <w:color w:val="auto"/>
              </w:rPr>
            </w:pPr>
          </w:p>
        </w:tc>
        <w:tc>
          <w:tcPr>
            <w:tcW w:w="7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4220" w:type="dxa"/>
            <w:vAlign w:val="bottom"/>
            <w:tcBorders>
              <w:bottom w:val="single" w:sz="8" w:color="DBDBDB"/>
            </w:tcBorders>
            <w:shd w:val="clear" w:color="auto" w:fill="DBDBDB"/>
          </w:tcPr>
          <w:p>
            <w:pPr>
              <w:spacing w:after="0"/>
              <w:rPr>
                <w:sz w:val="24"/>
                <w:szCs w:val="24"/>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rPr>
              <w:t>the purchase of intangible assets of $323.</w:t>
            </w:r>
          </w:p>
        </w:tc>
        <w:tc>
          <w:tcPr>
            <w:tcW w:w="0" w:type="dxa"/>
            <w:vAlign w:val="bottom"/>
          </w:tcPr>
          <w:p>
            <w:pPr>
              <w:spacing w:after="0"/>
              <w:rPr>
                <w:sz w:val="1"/>
                <w:szCs w:val="1"/>
                <w:color w:val="auto"/>
              </w:rPr>
            </w:pPr>
          </w:p>
        </w:tc>
      </w:tr>
      <w:tr>
        <w:trPr>
          <w:trHeight w:val="246"/>
        </w:trPr>
        <w:tc>
          <w:tcPr>
            <w:tcW w:w="42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Net cash from financing activities</w:t>
            </w:r>
          </w:p>
        </w:tc>
        <w:tc>
          <w:tcPr>
            <w:tcW w:w="7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4"/>
              </w:rPr>
              <w:t>For the six month period ended September 30, 2023, cash flows from financing activities were related to</w:t>
            </w:r>
          </w:p>
        </w:tc>
        <w:tc>
          <w:tcPr>
            <w:tcW w:w="0" w:type="dxa"/>
            <w:vAlign w:val="bottom"/>
          </w:tcPr>
          <w:p>
            <w:pPr>
              <w:spacing w:after="0"/>
              <w:rPr>
                <w:sz w:val="1"/>
                <w:szCs w:val="1"/>
                <w:color w:val="auto"/>
              </w:rPr>
            </w:pPr>
          </w:p>
        </w:tc>
      </w:tr>
      <w:tr>
        <w:trPr>
          <w:trHeight w:val="230"/>
        </w:trPr>
        <w:tc>
          <w:tcPr>
            <w:tcW w:w="4220" w:type="dxa"/>
            <w:vAlign w:val="bottom"/>
            <w:shd w:val="clear" w:color="auto" w:fill="DBDBDB"/>
          </w:tcPr>
          <w:p>
            <w:pPr>
              <w:spacing w:after="0"/>
              <w:rPr>
                <w:sz w:val="20"/>
                <w:szCs w:val="20"/>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w w:val="94"/>
              </w:rPr>
              <w:t>net proceeds from issuance of Common Shares, through the 2022 ATM Program (as defined below) the</w:t>
            </w:r>
          </w:p>
        </w:tc>
        <w:tc>
          <w:tcPr>
            <w:tcW w:w="0" w:type="dxa"/>
            <w:vAlign w:val="bottom"/>
          </w:tcPr>
          <w:p>
            <w:pPr>
              <w:spacing w:after="0"/>
              <w:rPr>
                <w:sz w:val="1"/>
                <w:szCs w:val="1"/>
                <w:color w:val="auto"/>
              </w:rPr>
            </w:pPr>
          </w:p>
        </w:tc>
      </w:tr>
      <w:tr>
        <w:trPr>
          <w:trHeight w:val="218"/>
        </w:trPr>
        <w:tc>
          <w:tcPr>
            <w:tcW w:w="4220" w:type="dxa"/>
            <w:vAlign w:val="bottom"/>
            <w:shd w:val="clear" w:color="auto" w:fill="DBDBDB"/>
          </w:tcPr>
          <w:p>
            <w:pPr>
              <w:spacing w:after="0"/>
              <w:rPr>
                <w:sz w:val="18"/>
                <w:szCs w:val="18"/>
                <w:color w:val="auto"/>
              </w:rPr>
            </w:pPr>
          </w:p>
        </w:tc>
        <w:tc>
          <w:tcPr>
            <w:tcW w:w="7000" w:type="dxa"/>
            <w:vAlign w:val="bottom"/>
          </w:tcPr>
          <w:p>
            <w:pPr>
              <w:ind w:left="20"/>
              <w:spacing w:after="0"/>
              <w:rPr>
                <w:sz w:val="20"/>
                <w:szCs w:val="20"/>
                <w:color w:val="auto"/>
              </w:rPr>
            </w:pPr>
            <w:r>
              <w:rPr>
                <w:rFonts w:ascii="Arial" w:cs="Arial" w:eastAsia="Arial" w:hAnsi="Arial"/>
                <w:sz w:val="16"/>
                <w:szCs w:val="16"/>
                <w:color w:val="auto"/>
              </w:rPr>
              <w:t>2023 ATM Program and pursuant to the LPC Agreement, of $23,904.</w:t>
            </w:r>
          </w:p>
        </w:tc>
        <w:tc>
          <w:tcPr>
            <w:tcW w:w="0" w:type="dxa"/>
            <w:vAlign w:val="bottom"/>
          </w:tcPr>
          <w:p>
            <w:pPr>
              <w:spacing w:after="0"/>
              <w:rPr>
                <w:sz w:val="1"/>
                <w:szCs w:val="1"/>
                <w:color w:val="auto"/>
              </w:rPr>
            </w:pPr>
          </w:p>
        </w:tc>
      </w:tr>
      <w:tr>
        <w:trPr>
          <w:trHeight w:val="61"/>
        </w:trPr>
        <w:tc>
          <w:tcPr>
            <w:tcW w:w="4220" w:type="dxa"/>
            <w:vAlign w:val="bottom"/>
            <w:tcBorders>
              <w:bottom w:val="single" w:sz="8" w:color="auto"/>
            </w:tcBorders>
            <w:shd w:val="clear" w:color="auto" w:fill="DBDBDB"/>
          </w:tcPr>
          <w:p>
            <w:pPr>
              <w:spacing w:after="0"/>
              <w:rPr>
                <w:sz w:val="5"/>
                <w:szCs w:val="5"/>
                <w:color w:val="auto"/>
              </w:rPr>
            </w:pPr>
          </w:p>
        </w:tc>
        <w:tc>
          <w:tcPr>
            <w:tcW w:w="7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auto"/>
        </w:rPr>
        <w:t>On August 8, 2022, the Company established an at-the-market program (</w:t>
      </w:r>
      <w:r>
        <w:rPr>
          <w:rFonts w:ascii="Arial" w:cs="Arial" w:eastAsia="Arial" w:hAnsi="Arial"/>
          <w:sz w:val="18"/>
          <w:szCs w:val="18"/>
          <w:b w:val="1"/>
          <w:bCs w:val="1"/>
          <w:color w:val="auto"/>
        </w:rPr>
        <w:t>“2022 ATM Program”</w:t>
      </w:r>
      <w:r>
        <w:rPr>
          <w:rFonts w:ascii="Arial" w:cs="Arial" w:eastAsia="Arial" w:hAnsi="Arial"/>
          <w:sz w:val="18"/>
          <w:szCs w:val="18"/>
          <w:color w:val="auto"/>
        </w:rPr>
        <w:t xml:space="preserve">) that allowed the Company to issue and sell up to US$35,000 of Common Shares in the capital of the Company from treasury to the public, from time to time, which was qualified by way of a prospectus supplement dated August 8, 2022 to the 2021 Base Shelf Prospectus. The 2021 Base Shelf Prospectus was effective for a period of 25 months, ending on August 5, 2023 (the </w:t>
      </w:r>
      <w:r>
        <w:rPr>
          <w:rFonts w:ascii="Arial" w:cs="Arial" w:eastAsia="Arial" w:hAnsi="Arial"/>
          <w:sz w:val="18"/>
          <w:szCs w:val="18"/>
          <w:b w:val="1"/>
          <w:bCs w:val="1"/>
          <w:color w:val="auto"/>
        </w:rPr>
        <w:t>“Lapse Date”</w:t>
      </w:r>
      <w:r>
        <w:rPr>
          <w:rFonts w:ascii="Arial" w:cs="Arial" w:eastAsia="Arial" w:hAnsi="Arial"/>
          <w:sz w:val="18"/>
          <w:szCs w:val="18"/>
          <w:color w:val="auto"/>
        </w:rPr>
        <w:t>).</w:t>
      </w:r>
    </w:p>
    <w:p>
      <w:pPr>
        <w:spacing w:after="0" w:line="202"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 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 were issued and sold at the prevailing market price at the time of the applicable sale, prices varied among purchasers through the duration of the 2022 ATM Program. During the six month period ended September 30, 2023,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320" w:top="729" w:right="319" w:bottom="1440" w:gutter="0" w:footer="0" w:header="0"/>
        </w:sectPr>
      </w:pPr>
    </w:p>
    <w:bookmarkStart w:id="76" w:name="page77"/>
    <w:bookmarkEnd w:id="76"/>
    <w:p>
      <w:pPr>
        <w:jc w:val="both"/>
        <w:ind w:right="20"/>
        <w:spacing w:after="0" w:line="315" w:lineRule="auto"/>
        <w:rPr>
          <w:sz w:val="20"/>
          <w:szCs w:val="20"/>
          <w:color w:val="auto"/>
        </w:rPr>
      </w:pPr>
      <w:r>
        <w:rPr>
          <w:rFonts w:ascii="Arial" w:cs="Arial" w:eastAsia="Arial" w:hAnsi="Arial"/>
          <w:sz w:val="18"/>
          <w:szCs w:val="18"/>
          <w:color w:val="auto"/>
        </w:rPr>
        <w:t>Company had sold 23,982,976 Common Shares under the 2022 ATM Program at an average price of $0.4581 (US$0.3400) per Common Share, for aggregate gross proceeds of $10,986 (US$8,153).</w:t>
      </w:r>
    </w:p>
    <w:p>
      <w:pPr>
        <w:spacing w:after="0" w:line="170"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color w:val="auto"/>
        </w:rPr>
        <w:t>On May 30, 2023, the Company entered into the LPC Purchase Agreement. Subject to the terms and conditions of the LPC Purchase Agreement, the Company had the right to sell, and LPC was obligated to purchase, up to US$30,000 of Common Shares over a 36-month period at prices that are based on the market price at the time of each sale to LPC. Cybin, in its sole discretion, controls the timing and amount of all sales of Common Shares under the LPC Purchase Agreement.On July 31, 2023, Cybin announced that it had suspended all sales under the LPC Purchase Agreement in</w:t>
      </w:r>
    </w:p>
    <w:p>
      <w:pPr>
        <w:spacing w:after="0" w:line="3" w:lineRule="exact"/>
        <w:rPr>
          <w:sz w:val="20"/>
          <w:szCs w:val="20"/>
          <w:color w:val="auto"/>
        </w:rPr>
      </w:pPr>
    </w:p>
    <w:p>
      <w:pPr>
        <w:ind w:right="3080"/>
        <w:spacing w:after="0" w:line="370" w:lineRule="auto"/>
        <w:rPr>
          <w:sz w:val="20"/>
          <w:szCs w:val="20"/>
          <w:color w:val="auto"/>
        </w:rPr>
      </w:pPr>
      <w:r>
        <w:rPr>
          <w:rFonts w:ascii="Arial" w:cs="Arial" w:eastAsia="Arial" w:hAnsi="Arial"/>
          <w:sz w:val="14"/>
          <w:szCs w:val="14"/>
          <w:color w:val="auto"/>
        </w:rPr>
        <w:t>connection with the Offering. On August 23, 2023, the Company also announced the filing of a prospectus supplement under the 2023 Base Shelf Prospectus, requalifying the LPC Purchase Agreement on the same terms as</w:t>
      </w:r>
    </w:p>
    <w:p>
      <w:pPr>
        <w:spacing w:after="0" w:line="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those entered into on May 30, 2023, with LPC. During the six month period ended September 30, 2023, the Company sold 1,925,000 Common Shares, at an average price of $0.3236 (US$0.2417) per Common Share, for aggregate gross proceeds of $623 (US$465) pursuant to the LPC Purchase Agreement.</w:t>
      </w:r>
    </w:p>
    <w:p>
      <w:pPr>
        <w:jc w:val="both"/>
        <w:spacing w:after="0" w:line="289" w:lineRule="auto"/>
        <w:rPr>
          <w:sz w:val="20"/>
          <w:szCs w:val="20"/>
          <w:color w:val="auto"/>
        </w:rPr>
      </w:pPr>
      <w:r>
        <w:rPr>
          <w:rFonts w:ascii="Arial" w:cs="Arial" w:eastAsia="Arial" w:hAnsi="Arial"/>
          <w:sz w:val="18"/>
          <w:szCs w:val="18"/>
          <w:color w:val="auto"/>
        </w:rPr>
        <w:t>On August 4, 2023, the Company completed the Offering of the 2023 Units at a price of US$0.34 per 2023 Unit for gross proceeds of US$8,250 pursuant to the August Prospectus Supplement to the 2021 Base Shelf Prospectus. Each 2023 Unit is comprised of one Common Share and one 2023 Warrant. Each 2023 Warrant is exercisable to acquire one Common Share at a price of US$0.40 per Common Share for a period of 60 months from issuance, subject to acceleration in certain circumstances. In connection with the Offering, Cybin paid the underwriters a cash commission of US$379 and incurred additional share issuance costs related to professional fees of US$791.</w:t>
      </w:r>
    </w:p>
    <w:p>
      <w:pPr>
        <w:spacing w:after="0" w:line="209"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On August 23, 2023, the Company announced the filing of the ATM Prospectus Supplement under the 2023 Base Shelf Prospectus to renew its previously established at-the-market equity program that allows the Company to issue and sell up to US$35,000 of Common Shares from treasury to the public, from time to time. Distributions of Common Shares under the 2023 ATM Program will be made pursuant to the terms and conditions of the 2023 Distribution Agreement. The 2023 ATM Program is effective until the earlier of the issuance and sale of all of the Common Shares issuable pursuant to the 2023 ATM Program and September 17, 2025 unless earlier terminated in accordance with the terms of the 2023 Distribution Agreement.</w:t>
      </w:r>
    </w:p>
    <w:p>
      <w:pPr>
        <w:spacing w:after="0" w:line="179" w:lineRule="exact"/>
        <w:rPr>
          <w:sz w:val="20"/>
          <w:szCs w:val="20"/>
          <w:color w:val="auto"/>
        </w:rPr>
      </w:pPr>
    </w:p>
    <w:p>
      <w:pPr>
        <w:jc w:val="both"/>
        <w:ind w:right="20"/>
        <w:spacing w:after="0" w:line="350" w:lineRule="auto"/>
        <w:rPr>
          <w:sz w:val="20"/>
          <w:szCs w:val="20"/>
          <w:color w:val="auto"/>
        </w:rPr>
      </w:pPr>
      <w:r>
        <w:rPr>
          <w:rFonts w:ascii="Arial" w:cs="Arial" w:eastAsia="Arial" w:hAnsi="Arial"/>
          <w:sz w:val="16"/>
          <w:szCs w:val="16"/>
          <w:color w:val="auto"/>
        </w:rPr>
        <w:t>From August 23, 2023, being the date of the launch of the 2023 ATM Program to September 30, 2023 the Company sold 21,890,294 Common Shares under the 2023 ATM Program, of which 100,000 were not yet settled, at an average price of $0.4451 (US$0.3296) per Common Share, for aggregate gross proceeds of $9,745 (US$7,216), of which $68 (US$50) was receivable as of September 30, 2023. Share issuance costs related to the 2023 ATM Program were $293.</w:t>
      </w:r>
    </w:p>
    <w:p>
      <w:pPr>
        <w:spacing w:after="0" w:line="15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20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As at September 30, 2023, the Company had working capital of $17,496.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4"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On February 22, 2023, the Company announced a streamlining plan aimed at maximizing the Company’s operating efficiency and to allow the Company to focus on critical clinical trials. The Company released approximately 15% of its workforce that previously held roles that were not of a clinical priority or were not directly involved with any of the Company’s clinical trial initiatives.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320" w:top="731" w:right="319" w:bottom="1440" w:gutter="0" w:footer="0" w:header="0"/>
        </w:sectPr>
      </w:pPr>
    </w:p>
    <w:bookmarkStart w:id="77" w:name="page78"/>
    <w:bookmarkEnd w:id="77"/>
    <w:p>
      <w:pPr>
        <w:jc w:val="both"/>
        <w:ind w:right="20"/>
        <w:spacing w:after="0" w:line="293" w:lineRule="auto"/>
        <w:rPr>
          <w:sz w:val="20"/>
          <w:szCs w:val="20"/>
          <w:color w:val="auto"/>
        </w:rPr>
      </w:pPr>
      <w:r>
        <w:rPr>
          <w:rFonts w:ascii="Arial" w:cs="Arial" w:eastAsia="Arial" w:hAnsi="Arial"/>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9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1" w:lineRule="exact"/>
        <w:rPr>
          <w:sz w:val="20"/>
          <w:szCs w:val="20"/>
          <w:color w:val="auto"/>
        </w:rPr>
      </w:pPr>
    </w:p>
    <w:p>
      <w:pPr>
        <w:jc w:val="both"/>
        <w:ind w:right="20"/>
        <w:spacing w:after="0" w:line="317" w:lineRule="auto"/>
        <w:rPr>
          <w:sz w:val="20"/>
          <w:szCs w:val="20"/>
          <w:color w:val="auto"/>
        </w:rPr>
      </w:pPr>
      <w:r>
        <w:rPr>
          <w:rFonts w:ascii="Arial" w:cs="Arial" w:eastAsia="Arial" w:hAnsi="Arial"/>
          <w:sz w:val="17"/>
          <w:szCs w:val="17"/>
          <w:color w:val="auto"/>
        </w:rPr>
        <w:t xml:space="preserve">The Company’s current expenditure obligations include commitments for those projects described in the section entitled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Non-Revenue Generating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Projects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this MD&amp;A. The Company expects to continue funding these projects with available cash and cash equivalents, and therefore, is subject to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62"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The Company constantly monitors and manages its capital resources to assess the liquidity necessary to fund operations and capacity expansion. As at September 30, 2023, the Company had a cash balance of $18,118 and current liabilities of $9,243. The Company’s current resources are sufficient to settle its current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raise the capital necessary to become a fully operational enterprise.</w:t>
      </w:r>
    </w:p>
    <w:p>
      <w:pPr>
        <w:spacing w:after="0" w:line="230" w:lineRule="exact"/>
        <w:rPr>
          <w:sz w:val="20"/>
          <w:szCs w:val="20"/>
          <w:color w:val="auto"/>
        </w:rPr>
      </w:pPr>
    </w:p>
    <w:p>
      <w:pPr>
        <w:jc w:val="both"/>
        <w:ind w:right="20"/>
        <w:spacing w:after="0" w:line="314" w:lineRule="auto"/>
        <w:rPr>
          <w:sz w:val="20"/>
          <w:szCs w:val="20"/>
          <w:color w:val="auto"/>
        </w:rPr>
      </w:pPr>
      <w:r>
        <w:rPr>
          <w:rFonts w:ascii="Arial" w:cs="Arial" w:eastAsia="Arial" w:hAnsi="Arial"/>
          <w:sz w:val="17"/>
          <w:szCs w:val="17"/>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52"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60"/>
          </w:cols>
          <w:pgMar w:left="320" w:top="731" w:right="319" w:bottom="1440" w:gutter="0" w:footer="0" w:header="0"/>
        </w:sectPr>
      </w:pPr>
    </w:p>
    <w:bookmarkStart w:id="78" w:name="page79"/>
    <w:bookmarkEnd w:id="78"/>
    <w:p>
      <w:pPr>
        <w:jc w:val="both"/>
        <w:spacing w:after="0" w:line="293" w:lineRule="auto"/>
        <w:rPr>
          <w:sz w:val="20"/>
          <w:szCs w:val="20"/>
          <w:color w:val="auto"/>
        </w:rPr>
      </w:pPr>
      <w:r>
        <w:rPr>
          <w:rFonts w:ascii="Arial" w:cs="Arial" w:eastAsia="Arial" w:hAnsi="Arial"/>
          <w:sz w:val="18"/>
          <w:szCs w:val="18"/>
          <w:color w:val="auto"/>
        </w:rPr>
        <w:t>As at September 30, 2023, the Company had sold 53,270,565 Common Shares under the 2022 ATM Program and 2023 ATM Program at an average price of US$0.3973 per Common Share, for aggregate gross proceeds of US$21,166. The Company also raised capital pursuant to the LPC Purchase Agreement. As at September 30, 2023, the Company sold 1,925,000 Common Shares, at an average price of US$0.2417 per Common Share, for aggregate gross proceeds of US$465 pursuant to the LPC Purchase Agreement.</w:t>
      </w:r>
    </w:p>
    <w:p>
      <w:pPr>
        <w:spacing w:after="0" w:line="396"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(as defined below) to manage its short- and long-term cash flow needs as it continues to invest into its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30"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As at September 30, 2023, the Company had also entered into agreements for various studies which may require the Company to spend up to an additional $7,347. The Company expects to pay this amount within the next 12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64" w:lineRule="exact"/>
        <w:rPr>
          <w:sz w:val="20"/>
          <w:szCs w:val="20"/>
          <w:color w:val="auto"/>
        </w:rPr>
      </w:pPr>
    </w:p>
    <w:p>
      <w:pPr>
        <w:jc w:val="both"/>
        <w:ind w:right="20"/>
        <w:spacing w:after="0" w:line="314" w:lineRule="auto"/>
        <w:rPr>
          <w:sz w:val="20"/>
          <w:szCs w:val="20"/>
          <w:color w:val="auto"/>
        </w:rPr>
      </w:pPr>
      <w:r>
        <w:rPr>
          <w:rFonts w:ascii="Arial" w:cs="Arial" w:eastAsia="Arial" w:hAnsi="Arial"/>
          <w:sz w:val="17"/>
          <w:szCs w:val="17"/>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Neo Exchange Inc. There is no assurance that the aforementioned milestones will be met.</w:t>
      </w:r>
    </w:p>
    <w:p>
      <w:pPr>
        <w:spacing w:after="0" w:line="176"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97"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In the normal course of business, the Company may be subject to legal proceedings and claims. As at September 30, 2023, there was no ongoing litigation and therefore no contingent liabilities have been recorded.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320" w:top="729"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Outstanding share data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out the outstanding share capital of the Company as at September 30, 2023 and as of the date of this MD&amp;A:</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4280" w:type="dxa"/>
            <w:vAlign w:val="bottom"/>
            <w:tcBorders>
              <w:top w:val="single" w:sz="8" w:color="auto"/>
              <w:left w:val="single" w:sz="8" w:color="auto"/>
              <w:bottom w:val="single" w:sz="8" w:color="auto"/>
              <w:right w:val="single" w:sz="8" w:color="auto"/>
            </w:tcBorders>
            <w:shd w:val="clear" w:color="auto" w:fill="DBDBDB"/>
          </w:tcPr>
          <w:p>
            <w:pPr>
              <w:ind w:left="1560"/>
              <w:spacing w:after="0"/>
              <w:rPr>
                <w:sz w:val="20"/>
                <w:szCs w:val="20"/>
                <w:color w:val="auto"/>
              </w:rPr>
            </w:pPr>
            <w:r>
              <w:rPr>
                <w:rFonts w:ascii="Arial" w:cs="Arial" w:eastAsia="Arial" w:hAnsi="Arial"/>
                <w:sz w:val="16"/>
                <w:szCs w:val="16"/>
                <w:b w:val="1"/>
                <w:bCs w:val="1"/>
                <w:color w:val="auto"/>
              </w:rPr>
              <w:t>Class of Security</w:t>
            </w:r>
          </w:p>
        </w:tc>
        <w:tc>
          <w:tcPr>
            <w:tcW w:w="3200" w:type="dxa"/>
            <w:vAlign w:val="bottom"/>
            <w:tcBorders>
              <w:top w:val="single" w:sz="8" w:color="auto"/>
              <w:bottom w:val="single" w:sz="8" w:color="auto"/>
              <w:right w:val="single" w:sz="8" w:color="auto"/>
            </w:tcBorders>
            <w:shd w:val="clear" w:color="auto" w:fill="DBDBDB"/>
          </w:tcPr>
          <w:p>
            <w:pPr>
              <w:jc w:val="right"/>
              <w:ind w:right="659"/>
              <w:spacing w:after="0"/>
              <w:rPr>
                <w:sz w:val="20"/>
                <w:szCs w:val="20"/>
                <w:color w:val="auto"/>
              </w:rPr>
            </w:pPr>
            <w:r>
              <w:rPr>
                <w:rFonts w:ascii="Arial" w:cs="Arial" w:eastAsia="Arial" w:hAnsi="Arial"/>
                <w:sz w:val="16"/>
                <w:szCs w:val="16"/>
                <w:b w:val="1"/>
                <w:bCs w:val="1"/>
                <w:color w:val="auto"/>
              </w:rPr>
              <w:t>As of September 30, 2023</w:t>
            </w:r>
          </w:p>
        </w:tc>
        <w:tc>
          <w:tcPr>
            <w:tcW w:w="3660" w:type="dxa"/>
            <w:vAlign w:val="bottom"/>
            <w:tcBorders>
              <w:top w:val="single" w:sz="8" w:color="auto"/>
              <w:bottom w:val="single" w:sz="8" w:color="auto"/>
              <w:right w:val="single" w:sz="8" w:color="auto"/>
            </w:tcBorders>
            <w:shd w:val="clear" w:color="auto" w:fill="DBDBDB"/>
          </w:tcPr>
          <w:p>
            <w:pPr>
              <w:jc w:val="right"/>
              <w:ind w:right="759"/>
              <w:spacing w:after="0"/>
              <w:rPr>
                <w:sz w:val="20"/>
                <w:szCs w:val="20"/>
                <w:color w:val="auto"/>
              </w:rPr>
            </w:pPr>
            <w:r>
              <w:rPr>
                <w:rFonts w:ascii="Arial" w:cs="Arial" w:eastAsia="Arial" w:hAnsi="Arial"/>
                <w:sz w:val="16"/>
                <w:szCs w:val="16"/>
                <w:b w:val="1"/>
                <w:bCs w:val="1"/>
                <w:color w:val="auto"/>
              </w:rPr>
              <w:t>As of the date of this MD&amp;A</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Shares</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256,573,528</w:t>
            </w:r>
          </w:p>
        </w:tc>
        <w:tc>
          <w:tcPr>
            <w:tcW w:w="3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405,910,711</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41,886,675</w:t>
            </w:r>
          </w:p>
        </w:tc>
        <w:tc>
          <w:tcPr>
            <w:tcW w:w="3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41,694,175</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Underwriters Warrants</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868,740</w:t>
            </w:r>
          </w:p>
        </w:tc>
        <w:tc>
          <w:tcPr>
            <w:tcW w:w="3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868,740</w:t>
            </w:r>
          </w:p>
        </w:tc>
      </w:tr>
      <w:tr>
        <w:trPr>
          <w:trHeight w:val="198"/>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Common Share purchase warrants</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46,836,331</w:t>
            </w:r>
          </w:p>
        </w:tc>
        <w:tc>
          <w:tcPr>
            <w:tcW w:w="3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113,401,998</w:t>
            </w:r>
          </w:p>
        </w:tc>
      </w:tr>
      <w:tr>
        <w:trPr>
          <w:trHeight w:val="307"/>
        </w:trPr>
        <w:tc>
          <w:tcPr>
            <w:tcW w:w="4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Class B Shares (as defined below) </w:t>
            </w:r>
            <w:r>
              <w:rPr>
                <w:rFonts w:ascii="Arial" w:cs="Arial" w:eastAsia="Arial" w:hAnsi="Arial"/>
                <w:sz w:val="21"/>
                <w:szCs w:val="21"/>
                <w:color w:val="auto"/>
                <w:vertAlign w:val="superscript"/>
              </w:rPr>
              <w:t>(1)</w:t>
            </w:r>
          </w:p>
        </w:tc>
        <w:tc>
          <w:tcPr>
            <w:tcW w:w="3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530,542.1</w:t>
            </w:r>
          </w:p>
        </w:tc>
        <w:tc>
          <w:tcPr>
            <w:tcW w:w="3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530,542.1</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82" w:lineRule="exact"/>
        <w:rPr>
          <w:sz w:val="20"/>
          <w:szCs w:val="20"/>
          <w:color w:val="auto"/>
        </w:rPr>
      </w:pPr>
    </w:p>
    <w:p>
      <w:pPr>
        <w:ind w:left="580" w:hanging="1"/>
        <w:spacing w:after="0" w:line="319" w:lineRule="auto"/>
        <w:tabs>
          <w:tab w:leader="none" w:pos="798"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Class B Shares are exchangeable for Common Shares, on the basis of 10 Common Shares for each Class B Share, at the option of the holder thereof, subject to customary adjustments.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authorized capital of the Company consists of an unlimited number of Common Shares without par value and an unlimited number of preferred shares.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256,573,528 Common Shares were outstanding and no preferred shares were issued and outstanding. As of the date of this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MD&amp;A, 405,910,711 Common Shares are outstanding (see "Subsequent Events").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0"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As of September 30, 2023, options to purchase up to 41,886,675 Common Shares were outstanding under Cybin’s equity incentive plan. As of the date of this MD&amp;A, options to purchase up to 41,694,175 Common Shares were outstanding under Cybin’s equity incentive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Underwriter’s Warrants</w:t>
      </w:r>
    </w:p>
    <w:p>
      <w:pPr>
        <w:spacing w:after="0" w:line="266"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As of September 30, 2023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 Purchase Warrants</w:t>
      </w:r>
    </w:p>
    <w:p>
      <w:pPr>
        <w:spacing w:after="0" w:line="23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As of September 30, 2023, warrants to purchase up to 46,836,331 Common Shares were outstanding, exercisable at weighted average exercise price of $0.90 per Common Share. As of the date of this MD&amp;A, warrants to purchase up to 113,401,998 Common Shares were outstanding, exercisable at weighted average exercise price of $0.79 per Common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Shares</w:t>
      </w:r>
    </w:p>
    <w:p>
      <w:pPr>
        <w:spacing w:after="0" w:line="25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In connection with the Adelia Transaction (see “Acquisitions”), Cybin U.S. (a subsidiary of the Company) has issued 868,833 Class B Shares. The Class B Shares are exchangeable at the holder’s option for Common Shares on the basis of 10 Common Shares for 1 Class B Share, subject to customary adjustments. As of September 30, 2023 and as of the date of this MD&amp;A, 530,542.1 Class B Shares were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Adelia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810" w:right="339" w:bottom="1440" w:gutter="0" w:footer="0" w:header="0"/>
        </w:sectPr>
      </w:pPr>
    </w:p>
    <w:bookmarkStart w:id="80" w:name="page81"/>
    <w:bookmarkEnd w:id="80"/>
    <w:p>
      <w:pPr>
        <w:jc w:val="both"/>
        <w:ind w:right="20"/>
        <w:spacing w:after="0" w:line="287" w:lineRule="auto"/>
        <w:rPr>
          <w:sz w:val="20"/>
          <w:szCs w:val="20"/>
          <w:color w:val="auto"/>
        </w:rPr>
      </w:pPr>
      <w:r>
        <w:rPr>
          <w:rFonts w:ascii="Arial" w:cs="Arial" w:eastAsia="Arial" w:hAnsi="Arial"/>
          <w:sz w:val="18"/>
          <w:szCs w:val="18"/>
          <w:color w:val="auto"/>
        </w:rPr>
        <w:t>On December 4, 2020, Cybin entered into a contribution agreement, as amended on September 24, 2021, (the “</w:t>
      </w:r>
      <w:r>
        <w:rPr>
          <w:rFonts w:ascii="Arial" w:cs="Arial" w:eastAsia="Arial" w:hAnsi="Arial"/>
          <w:sz w:val="18"/>
          <w:szCs w:val="18"/>
          <w:b w:val="1"/>
          <w:bCs w:val="1"/>
          <w:color w:val="auto"/>
        </w:rPr>
        <w:t>Contribution Agreement</w:t>
      </w:r>
      <w:r>
        <w:rPr>
          <w:rFonts w:ascii="Arial" w:cs="Arial" w:eastAsia="Arial" w:hAnsi="Arial"/>
          <w:sz w:val="18"/>
          <w:szCs w:val="18"/>
          <w:color w:val="auto"/>
        </w:rPr>
        <w:t>”) with Cybin Corp., Cybin U.S. (the “</w:t>
      </w:r>
      <w:r>
        <w:rPr>
          <w:rFonts w:ascii="Arial" w:cs="Arial" w:eastAsia="Arial" w:hAnsi="Arial"/>
          <w:sz w:val="18"/>
          <w:szCs w:val="18"/>
          <w:b w:val="1"/>
          <w:bCs w:val="1"/>
          <w:color w:val="auto"/>
        </w:rPr>
        <w:t>Acquiror</w:t>
      </w:r>
      <w:r>
        <w:rPr>
          <w:rFonts w:ascii="Arial" w:cs="Arial" w:eastAsia="Arial" w:hAnsi="Arial"/>
          <w:sz w:val="18"/>
          <w:szCs w:val="18"/>
          <w:color w:val="auto"/>
        </w:rPr>
        <w:t>”), a newly formed fully-controlled subsidiary of Cybin created for the purposes of the Adelia Transaction, and all of the shareholders of Adelia (the “</w:t>
      </w:r>
      <w:r>
        <w:rPr>
          <w:rFonts w:ascii="Arial" w:cs="Arial" w:eastAsia="Arial" w:hAnsi="Arial"/>
          <w:sz w:val="18"/>
          <w:szCs w:val="18"/>
          <w:b w:val="1"/>
          <w:bCs w:val="1"/>
          <w:color w:val="auto"/>
        </w:rPr>
        <w:t>Adelia Shareholders</w:t>
      </w:r>
      <w:r>
        <w:rPr>
          <w:rFonts w:ascii="Arial" w:cs="Arial" w:eastAsia="Arial" w:hAnsi="Arial"/>
          <w:sz w:val="18"/>
          <w:szCs w:val="18"/>
          <w:color w:val="auto"/>
        </w:rPr>
        <w:t>”) whereby the Acquiror has agreed to purchase from the Adelia Shareholders all of the issued and outstanding common shares of Adelia (the “</w:t>
      </w:r>
      <w:r>
        <w:rPr>
          <w:rFonts w:ascii="Arial" w:cs="Arial" w:eastAsia="Arial" w:hAnsi="Arial"/>
          <w:sz w:val="18"/>
          <w:szCs w:val="18"/>
          <w:b w:val="1"/>
          <w:bCs w:val="1"/>
          <w:color w:val="auto"/>
        </w:rPr>
        <w:t>Adelia Shares</w:t>
      </w:r>
      <w:r>
        <w:rPr>
          <w:rFonts w:ascii="Arial" w:cs="Arial" w:eastAsia="Arial" w:hAnsi="Arial"/>
          <w:sz w:val="18"/>
          <w:szCs w:val="18"/>
          <w:color w:val="auto"/>
        </w:rPr>
        <w:t>”) in exchange for non-voting Class B common shares in the capital of the Acquiror (the “</w:t>
      </w:r>
      <w:r>
        <w:rPr>
          <w:rFonts w:ascii="Arial" w:cs="Arial" w:eastAsia="Arial" w:hAnsi="Arial"/>
          <w:sz w:val="18"/>
          <w:szCs w:val="18"/>
          <w:b w:val="1"/>
          <w:bCs w:val="1"/>
          <w:color w:val="auto"/>
        </w:rPr>
        <w:t>Class B</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The Adelia Transaction closed on December 14, 2020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3"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On the occurrence of certain milestones as set out in the Contribution Agreement (each a “</w:t>
      </w:r>
      <w:r>
        <w:rPr>
          <w:rFonts w:ascii="Arial" w:cs="Arial" w:eastAsia="Arial" w:hAnsi="Arial"/>
          <w:sz w:val="16"/>
          <w:szCs w:val="16"/>
          <w:b w:val="1"/>
          <w:bCs w:val="1"/>
          <w:color w:val="auto"/>
        </w:rPr>
        <w:t>Milestone</w:t>
      </w:r>
      <w:r>
        <w:rPr>
          <w:rFonts w:ascii="Arial" w:cs="Arial" w:eastAsia="Arial" w:hAnsi="Arial"/>
          <w:sz w:val="16"/>
          <w:szCs w:val="16"/>
          <w:color w:val="auto"/>
        </w:rPr>
        <w:t>”), the Acquiror will issue to the Adelia Shareholders in accordance with their pro rata percentage, within five business days following the relevant date at which there is agreement as to the achievement of the Milestone (the “</w:t>
      </w:r>
      <w:r>
        <w:rPr>
          <w:rFonts w:ascii="Arial" w:cs="Arial" w:eastAsia="Arial" w:hAnsi="Arial"/>
          <w:sz w:val="16"/>
          <w:szCs w:val="16"/>
          <w:b w:val="1"/>
          <w:bCs w:val="1"/>
          <w:color w:val="auto"/>
        </w:rPr>
        <w:t>Milestone Determination Date</w:t>
      </w:r>
      <w:r>
        <w:rPr>
          <w:rFonts w:ascii="Arial" w:cs="Arial" w:eastAsia="Arial" w:hAnsi="Arial"/>
          <w:sz w:val="16"/>
          <w:szCs w:val="16"/>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1,061,083.2 Class B Shares have been exchanged into Common Shares. Pursuant to the Contribution Agreement, Cybin, the Acquiror and the Adelia Shareholders also entered into a support agreement dated December 14, 2020 (the “</w:t>
      </w:r>
      <w:r>
        <w:rPr>
          <w:rFonts w:ascii="Arial" w:cs="Arial" w:eastAsia="Arial" w:hAnsi="Arial"/>
          <w:sz w:val="16"/>
          <w:szCs w:val="16"/>
          <w:b w:val="1"/>
          <w:bCs w:val="1"/>
          <w:color w:val="auto"/>
        </w:rPr>
        <w:t>Support Agreement</w:t>
      </w:r>
      <w:r>
        <w:rPr>
          <w:rFonts w:ascii="Arial" w:cs="Arial" w:eastAsia="Arial" w:hAnsi="Arial"/>
          <w:sz w:val="16"/>
          <w:szCs w:val="16"/>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60"/>
          </w:cols>
          <w:pgMar w:left="320" w:top="725" w:right="319" w:bottom="1440" w:gutter="0" w:footer="0" w:header="0"/>
        </w:sectPr>
      </w:pPr>
    </w:p>
    <w:bookmarkStart w:id="81" w:name="page82"/>
    <w:bookmarkEnd w:id="81"/>
    <w:p>
      <w:pPr>
        <w:jc w:val="both"/>
        <w:ind w:right="20"/>
        <w:spacing w:after="0" w:line="315" w:lineRule="auto"/>
        <w:rPr>
          <w:sz w:val="20"/>
          <w:szCs w:val="20"/>
          <w:color w:val="auto"/>
        </w:rPr>
      </w:pPr>
      <w:r>
        <w:rPr>
          <w:rFonts w:ascii="Arial" w:cs="Arial" w:eastAsia="Arial" w:hAnsi="Arial"/>
          <w:sz w:val="18"/>
          <w:szCs w:val="18"/>
          <w:color w:val="auto"/>
        </w:rPr>
        <w:t>exchange of the Class B Shares for the Common Shares, subject to the Hold Periods, such Common Shares will no longer be within a restrictive period as prescribed under applicable securities law and free trading securities.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6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205"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87"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9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203"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18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320" w:top="731" w:right="319" w:bottom="1440" w:gutter="0" w:footer="0" w:header="0"/>
        </w:sectPr>
      </w:pPr>
    </w:p>
    <w:bookmarkStart w:id="82" w:name="page83"/>
    <w:bookmarkEnd w:id="82"/>
    <w:p>
      <w:pPr>
        <w:jc w:val="both"/>
        <w:ind w:right="20"/>
        <w:spacing w:after="0" w:line="350" w:lineRule="auto"/>
        <w:rPr>
          <w:sz w:val="20"/>
          <w:szCs w:val="20"/>
          <w:color w:val="auto"/>
        </w:rPr>
      </w:pPr>
      <w:r>
        <w:rPr>
          <w:rFonts w:ascii="Arial" w:cs="Arial" w:eastAsia="Arial" w:hAnsi="Arial"/>
          <w:sz w:val="16"/>
          <w:szCs w:val="16"/>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172"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20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58"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2,669,331 Common Shares, representing an effective issue price of $0.762 per Common Share.</w:t>
      </w:r>
    </w:p>
    <w:p>
      <w:pPr>
        <w:spacing w:after="0" w:line="185"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63" w:lineRule="exact"/>
        <w:rPr>
          <w:sz w:val="20"/>
          <w:szCs w:val="20"/>
          <w:color w:val="auto"/>
        </w:rPr>
      </w:pPr>
    </w:p>
    <w:p>
      <w:pPr>
        <w:jc w:val="both"/>
        <w:ind w:right="20"/>
        <w:spacing w:after="0" w:line="344" w:lineRule="auto"/>
        <w:rPr>
          <w:sz w:val="20"/>
          <w:szCs w:val="20"/>
          <w:color w:val="auto"/>
        </w:rPr>
      </w:pPr>
      <w:r>
        <w:rPr>
          <w:rFonts w:ascii="Arial" w:cs="Arial" w:eastAsia="Arial" w:hAnsi="Arial"/>
          <w:sz w:val="16"/>
          <w:szCs w:val="16"/>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331,901 Common Shares, representing an effective issue price of $1.41 per Common Share.</w:t>
      </w:r>
    </w:p>
    <w:p>
      <w:pPr>
        <w:spacing w:after="0" w:line="16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320" w:top="731" w:right="319" w:bottom="1440" w:gutter="0" w:footer="0" w:header="0"/>
        </w:sectPr>
      </w:pPr>
    </w:p>
    <w:bookmarkStart w:id="83" w:name="page84"/>
    <w:bookmarkEnd w:id="83"/>
    <w:p>
      <w:pPr>
        <w:jc w:val="both"/>
        <w:spacing w:after="0" w:line="339" w:lineRule="auto"/>
        <w:rPr>
          <w:sz w:val="20"/>
          <w:szCs w:val="20"/>
          <w:color w:val="auto"/>
        </w:rPr>
      </w:pPr>
      <w:r>
        <w:rPr>
          <w:rFonts w:ascii="Arial" w:cs="Arial" w:eastAsia="Arial" w:hAnsi="Arial"/>
          <w:sz w:val="16"/>
          <w:szCs w:val="16"/>
          <w:color w:val="auto"/>
        </w:rPr>
        <w:t>Pursuant to the Contribution Agreement certain members of Adelia entered into advisory and/or executive employment arrangements with Cybin upon the Closing and, in such capacity, received, in the aggregate, a grant of 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71"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 into advisory roles at the Company. Alex Nivorozhkin Ph.D., one of Adelia’s founders, is continuing in his role as Chief Scientific Officer of Cybin.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Pharma Acquisition</w:t>
      </w:r>
    </w:p>
    <w:p>
      <w:pPr>
        <w:spacing w:after="0" w:line="230" w:lineRule="exact"/>
        <w:rPr>
          <w:sz w:val="20"/>
          <w:szCs w:val="20"/>
          <w:color w:val="auto"/>
        </w:rPr>
      </w:pPr>
    </w:p>
    <w:p>
      <w:pPr>
        <w:ind w:right="3020"/>
        <w:spacing w:after="0" w:line="320" w:lineRule="auto"/>
        <w:rPr>
          <w:sz w:val="20"/>
          <w:szCs w:val="20"/>
          <w:color w:val="auto"/>
        </w:rPr>
      </w:pPr>
      <w:r>
        <w:rPr>
          <w:rFonts w:ascii="Arial" w:cs="Arial" w:eastAsia="Arial" w:hAnsi="Arial"/>
          <w:sz w:val="17"/>
          <w:szCs w:val="17"/>
          <w:color w:val="auto"/>
        </w:rPr>
        <w:t>On August 28, 2023, the Company entered into a definitive arrangement agreement (the “Arrangement Agreement”) with Small Pharma pursuant to which Cybin agreed to acquire all of the issued and outstanding shares of Small Pharma (each, a “Small Pharma Share”) in an all-equity business combination transaction to be completed by way of a plan of arrangement under the Business Corporations Act (British Columbia).</w:t>
      </w:r>
    </w:p>
    <w:p>
      <w:pPr>
        <w:spacing w:after="0" w:line="172" w:lineRule="exact"/>
        <w:rPr>
          <w:sz w:val="20"/>
          <w:szCs w:val="20"/>
          <w:color w:val="auto"/>
        </w:rPr>
      </w:pPr>
    </w:p>
    <w:p>
      <w:pPr>
        <w:ind w:right="2940"/>
        <w:spacing w:after="0" w:line="337" w:lineRule="auto"/>
        <w:rPr>
          <w:sz w:val="20"/>
          <w:szCs w:val="20"/>
          <w:color w:val="auto"/>
        </w:rPr>
      </w:pPr>
      <w:r>
        <w:rPr>
          <w:rFonts w:ascii="Arial" w:cs="Arial" w:eastAsia="Arial" w:hAnsi="Arial"/>
          <w:sz w:val="16"/>
          <w:szCs w:val="16"/>
          <w:color w:val="auto"/>
        </w:rPr>
        <w:t>On September 13, 2023, Small Pharma was granted an interim order (the “Interim Order”) by the Supreme Court of British Columbia (the “Court”)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74" w:lineRule="exact"/>
        <w:rPr>
          <w:sz w:val="20"/>
          <w:szCs w:val="20"/>
          <w:color w:val="auto"/>
        </w:rPr>
      </w:pPr>
    </w:p>
    <w:p>
      <w:pPr>
        <w:ind w:right="2920"/>
        <w:spacing w:after="0" w:line="345" w:lineRule="auto"/>
        <w:rPr>
          <w:sz w:val="20"/>
          <w:szCs w:val="20"/>
          <w:color w:val="auto"/>
        </w:rPr>
      </w:pPr>
      <w:r>
        <w:rPr>
          <w:rFonts w:ascii="Arial" w:cs="Arial" w:eastAsia="Arial" w:hAnsi="Arial"/>
          <w:sz w:val="16"/>
          <w:szCs w:val="16"/>
          <w:color w:val="auto"/>
        </w:rPr>
        <w:t>On October 12, 2023, the Company held an annual and special meeting of shareholders (the “Special Meeting”)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See “Subsequent Events”.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0"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As at September 30, 2023 and the date of this MD&amp;A, other than these contractual obligations and commitments disclosed in note 10 of the Financial Statements, the Company does not have any off-balance sheet arrangements that have or are reasonably likely to have a current or future effect on the results of operations or financial condition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between related parties</w:t>
      </w:r>
    </w:p>
    <w:p>
      <w:pPr>
        <w:spacing w:after="0" w:line="24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For the six month period ended September 30, 2023, the key management personnel of the Company were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the Chief Executive Officer, Chief Financial Officer, Chief Operating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949" w:right="339" w:bottom="1440" w:gutter="0" w:footer="0" w:header="0"/>
        </w:sectPr>
      </w:pPr>
    </w:p>
    <w:bookmarkStart w:id="84" w:name="page85"/>
    <w:bookmarkEnd w:id="84"/>
    <w:p>
      <w:pPr>
        <w:jc w:val="both"/>
        <w:ind w:right="20"/>
        <w:spacing w:after="0" w:line="317" w:lineRule="auto"/>
        <w:rPr>
          <w:sz w:val="20"/>
          <w:szCs w:val="20"/>
          <w:color w:val="auto"/>
        </w:rPr>
      </w:pPr>
      <w:r>
        <w:rPr>
          <w:rFonts w:ascii="Arial" w:cs="Arial" w:eastAsia="Arial" w:hAnsi="Arial"/>
          <w:sz w:val="18"/>
          <w:szCs w:val="18"/>
          <w:color w:val="auto"/>
        </w:rPr>
        <w:t>Officer, Chief Growth Officer, Chief Compliance, Ethics &amp; Administrative Officer, Chief Legal Officer, Chief Innovation Officer, Chief Medical Officer, and Chief Scientific Officer.</w:t>
      </w:r>
    </w:p>
    <w:p>
      <w:pPr>
        <w:spacing w:after="0" w:line="146"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color w:val="auto"/>
        </w:rPr>
        <w:t>Compensation for key management personnel of the Company for the three month period ended September 30, 2023 consisted of consulting fees, short term benefits and other compensation of $1,029 (three-month period ended September 30, 2022 - $1,400).</w:t>
      </w:r>
    </w:p>
    <w:p>
      <w:pPr>
        <w:spacing w:after="0" w:line="170"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Compensation for key management personnel of the Company for the six month period ended September 30, 2023 consisted of consulting fees, short term benefits and other compensation of $2,317(six-month period ended September 30, 2022 - $2,780)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4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 xml:space="preserve">The preparation of the Company’s Interim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annual consolidated financial statements for the year ended March 31, 2023, found on SEDAR+ at </w:t>
      </w:r>
      <w:r>
        <w:rPr>
          <w:rFonts w:ascii="Arial" w:cs="Arial" w:eastAsia="Arial" w:hAnsi="Arial"/>
          <w:sz w:val="16"/>
          <w:szCs w:val="16"/>
          <w:i w:val="1"/>
          <w:iCs w:val="1"/>
          <w:color w:val="auto"/>
        </w:rPr>
        <w:t>www.sedarplus.ca.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The Company’s significant accounting policies are set out in note 2 of the of the Company’s annual consolidated financial statements for the year ended March 31, 2023, found on SEDAR+ at </w:t>
      </w:r>
      <w:r>
        <w:rPr>
          <w:rFonts w:ascii="Arial" w:cs="Arial" w:eastAsia="Arial" w:hAnsi="Arial"/>
          <w:sz w:val="18"/>
          <w:szCs w:val="18"/>
          <w:i w:val="1"/>
          <w:iCs w:val="1"/>
          <w:u w:val="single" w:color="auto"/>
          <w:color w:val="0563C1"/>
        </w:rPr>
        <w:t>www.sedarplus.ca</w:t>
      </w:r>
      <w:r>
        <w:rPr>
          <w:rFonts w:ascii="Arial" w:cs="Arial" w:eastAsia="Arial" w:hAnsi="Arial"/>
          <w:sz w:val="18"/>
          <w:szCs w:val="18"/>
          <w:color w:val="auto"/>
        </w:rPr>
        <w:t>. This MD&amp;A should be read in conjunction with the Interim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30" w:lineRule="exact"/>
        <w:rPr>
          <w:sz w:val="20"/>
          <w:szCs w:val="20"/>
          <w:color w:val="auto"/>
        </w:rPr>
      </w:pPr>
    </w:p>
    <w:p>
      <w:pPr>
        <w:jc w:val="both"/>
        <w:ind w:right="20"/>
        <w:spacing w:after="0" w:line="338" w:lineRule="auto"/>
        <w:rPr>
          <w:sz w:val="20"/>
          <w:szCs w:val="20"/>
          <w:color w:val="auto"/>
        </w:rPr>
      </w:pPr>
      <w:r>
        <w:rPr>
          <w:rFonts w:ascii="Arial" w:cs="Arial" w:eastAsia="Arial" w:hAnsi="Arial"/>
          <w:sz w:val="16"/>
          <w:szCs w:val="16"/>
          <w:color w:val="auto"/>
        </w:rPr>
        <w:t>Management maintains appropriate information systems, procedures and controls to provide reasonable assurance that information that is publicly disclosed is complete, reliable and timely. The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and Chief Financial Officer (the “</w:t>
      </w:r>
      <w:r>
        <w:rPr>
          <w:rFonts w:ascii="Arial" w:cs="Arial" w:eastAsia="Arial" w:hAnsi="Arial"/>
          <w:sz w:val="16"/>
          <w:szCs w:val="16"/>
          <w:b w:val="1"/>
          <w:bCs w:val="1"/>
          <w:color w:val="auto"/>
        </w:rPr>
        <w:t>CFO</w:t>
      </w:r>
      <w:r>
        <w:rPr>
          <w:rFonts w:ascii="Arial" w:cs="Arial" w:eastAsia="Arial" w:hAnsi="Arial"/>
          <w:sz w:val="16"/>
          <w:szCs w:val="16"/>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6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320" w:top="729" w:right="319" w:bottom="1440" w:gutter="0" w:footer="0" w:header="0"/>
        </w:sectPr>
      </w:pPr>
    </w:p>
    <w:bookmarkStart w:id="85" w:name="page86"/>
    <w:bookmarkEnd w:id="85"/>
    <w:p>
      <w:pPr>
        <w:ind w:left="520" w:hanging="23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maintenance of records in reasonable detail, that accurately and fairly reflect the transactions and dispositions of assets;</w:t>
      </w:r>
    </w:p>
    <w:p>
      <w:pPr>
        <w:spacing w:after="0" w:line="47" w:lineRule="exact"/>
        <w:rPr>
          <w:rFonts w:ascii="Arial" w:cs="Arial" w:eastAsia="Arial" w:hAnsi="Arial"/>
          <w:sz w:val="18"/>
          <w:szCs w:val="18"/>
          <w:color w:val="auto"/>
        </w:rPr>
      </w:pPr>
    </w:p>
    <w:p>
      <w:pPr>
        <w:ind w:left="520" w:hanging="232"/>
        <w:spacing w:after="0"/>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reasonable assurance that transactions are recorded as necessary to permit preparation of financial statements in accordance with applicable IFRS;</w:t>
      </w:r>
    </w:p>
    <w:p>
      <w:pPr>
        <w:spacing w:after="0" w:line="56" w:lineRule="exact"/>
        <w:rPr>
          <w:rFonts w:ascii="Arial" w:cs="Arial" w:eastAsia="Arial" w:hAnsi="Arial"/>
          <w:sz w:val="16"/>
          <w:szCs w:val="16"/>
          <w:color w:val="auto"/>
        </w:rPr>
      </w:pPr>
    </w:p>
    <w:p>
      <w:pPr>
        <w:ind w:left="520" w:hanging="23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receipts and expenditures are only being made in accordance with authorizations of management or the Board; and</w:t>
      </w:r>
    </w:p>
    <w:p>
      <w:pPr>
        <w:spacing w:after="0" w:line="35" w:lineRule="exact"/>
        <w:rPr>
          <w:rFonts w:ascii="Arial" w:cs="Arial" w:eastAsia="Arial" w:hAnsi="Arial"/>
          <w:sz w:val="18"/>
          <w:szCs w:val="18"/>
          <w:color w:val="auto"/>
        </w:rPr>
      </w:pPr>
    </w:p>
    <w:p>
      <w:pPr>
        <w:ind w:left="580" w:right="20" w:hanging="292"/>
        <w:spacing w:after="0" w:line="317" w:lineRule="auto"/>
        <w:tabs>
          <w:tab w:leader="none" w:pos="5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57"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During the period ended September 30, 2023, the Company did not make any significant changes to its internal controls over financial reporting that would have materially affected, or reasonably likely to materially affect, its internal controls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Disclosure Controls and Procedures and Internal Control over Financial Reporting</w:t>
      </w:r>
    </w:p>
    <w:p>
      <w:pPr>
        <w:spacing w:after="0" w:line="254"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and interpretations not yet adopted</w:t>
      </w:r>
    </w:p>
    <w:p>
      <w:pPr>
        <w:spacing w:after="0" w:line="256"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A number of new standards, amendments to standards and interpretations are not yet effective at September 30, 2023, and have not been applied in preparing the condensed interim consolidated financial statements. Management has determined that none of these will have a significant effect on the condensed interim consolidated financial statements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Risk Management</w:t>
      </w:r>
    </w:p>
    <w:p>
      <w:pPr>
        <w:spacing w:after="0" w:line="254"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12,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noted the following risks specific to the psychedelic industry that it is exposed to:</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7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320" w:top="731" w:right="319" w:bottom="1440" w:gutter="0" w:footer="0" w:header="0"/>
        </w:sectPr>
      </w:pPr>
    </w:p>
    <w:bookmarkStart w:id="86" w:name="page87"/>
    <w:bookmarkEnd w:id="86"/>
    <w:p>
      <w:pPr>
        <w:jc w:val="both"/>
        <w:spacing w:after="0" w:line="315" w:lineRule="auto"/>
        <w:rPr>
          <w:sz w:val="20"/>
          <w:szCs w:val="20"/>
          <w:color w:val="auto"/>
        </w:rPr>
      </w:pPr>
      <w:r>
        <w:rPr>
          <w:rFonts w:ascii="Arial" w:cs="Arial" w:eastAsia="Arial" w:hAnsi="Arial"/>
          <w:sz w:val="18"/>
          <w:szCs w:val="18"/>
          <w:color w:val="auto"/>
        </w:rPr>
        <w:t>The board of directors reviews and approves the Company’s operating and capital budgets, as well as any material transactions not in the ordinary course of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risk</w:t>
      </w:r>
    </w:p>
    <w:p>
      <w:pPr>
        <w:spacing w:after="0" w:line="258"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8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risk</w:t>
      </w:r>
    </w:p>
    <w:p>
      <w:pPr>
        <w:spacing w:after="0" w:line="258" w:lineRule="exact"/>
        <w:rPr>
          <w:sz w:val="20"/>
          <w:szCs w:val="20"/>
          <w:color w:val="auto"/>
        </w:rPr>
      </w:pPr>
    </w:p>
    <w:p>
      <w:pPr>
        <w:jc w:val="both"/>
        <w:spacing w:after="0" w:line="350" w:lineRule="auto"/>
        <w:rPr>
          <w:sz w:val="20"/>
          <w:szCs w:val="20"/>
          <w:color w:val="auto"/>
        </w:rPr>
      </w:pPr>
      <w:r>
        <w:rPr>
          <w:rFonts w:ascii="Arial" w:cs="Arial" w:eastAsia="Arial" w:hAnsi="Arial"/>
          <w:sz w:val="17"/>
          <w:szCs w:val="17"/>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42" w:lineRule="exact"/>
        <w:rPr>
          <w:sz w:val="20"/>
          <w:szCs w:val="20"/>
          <w:color w:val="auto"/>
        </w:rPr>
      </w:pPr>
    </w:p>
    <w:p>
      <w:pPr>
        <w:jc w:val="both"/>
        <w:spacing w:after="0" w:line="344" w:lineRule="auto"/>
        <w:rPr>
          <w:sz w:val="20"/>
          <w:szCs w:val="20"/>
          <w:color w:val="auto"/>
        </w:rPr>
      </w:pPr>
      <w:r>
        <w:rPr>
          <w:rFonts w:ascii="Arial" w:cs="Arial" w:eastAsia="Arial" w:hAnsi="Arial"/>
          <w:sz w:val="16"/>
          <w:szCs w:val="16"/>
          <w:color w:val="auto"/>
        </w:rPr>
        <w:t>On October 3, 2023, the Company announced that it had completed dosing in Cohort 6, being the final cohort, of its Phase 2a study of CYB003. The following doses were evaluated in the six cohorts: 1mg, 3mg, 8mg, 10mg, 12mg, and 16mg. To date, CYB003 has been shown to be safe and tolerable at all doses evaluated with no serious adverse events or discontinuations due to adverse events having been observed in the final dose cohort.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On October 17, 2023, the Company announced that Small Pharma had obtained a final order of the Court approving the Arrangement.</w:t>
      </w:r>
    </w:p>
    <w:p>
      <w:pPr>
        <w:spacing w:after="0" w:line="25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On October 23, 2023, the Company announced the completion of the Arrangement. As a result of the Arrangement, Small Pharma shareholders received 0.2409 of a Common Share in exchange for each Small Pharma Share held immediately prior to closing of the Arrangement. In aggregate, the Company issued 80,945,254 Common Shares pursuant to the Arrangement to former Small Pharma shareholders as consideration for their Small Pharma Shares. Small Pharma is now a wholly-owned subsidiary of the Company, and the Small Pharma Shares were delisted from the TSX Venture Exchange on October 25, 2023.</w:t>
      </w:r>
    </w:p>
    <w:p>
      <w:pPr>
        <w:spacing w:after="0" w:line="199" w:lineRule="exact"/>
        <w:rPr>
          <w:sz w:val="20"/>
          <w:szCs w:val="20"/>
          <w:color w:val="auto"/>
        </w:rPr>
      </w:pPr>
    </w:p>
    <w:p>
      <w:pPr>
        <w:ind w:right="2980"/>
        <w:spacing w:after="0" w:line="299" w:lineRule="auto"/>
        <w:rPr>
          <w:sz w:val="20"/>
          <w:szCs w:val="20"/>
          <w:color w:val="auto"/>
        </w:rPr>
      </w:pPr>
      <w:r>
        <w:rPr>
          <w:rFonts w:ascii="Arial" w:cs="Arial" w:eastAsia="Arial" w:hAnsi="Arial"/>
          <w:sz w:val="18"/>
          <w:szCs w:val="18"/>
          <w:color w:val="auto"/>
        </w:rPr>
        <w:t>Effective October 23, 2023, in connection with the Arrangement, George Tziras, the former Chief Executive Officer of Small Pharma, was appointed to the Board of Directors and will also serve as the Company’s Chief Business Officer.</w:t>
      </w:r>
    </w:p>
    <w:p>
      <w:pPr>
        <w:spacing w:after="0" w:line="184" w:lineRule="exact"/>
        <w:rPr>
          <w:sz w:val="20"/>
          <w:szCs w:val="20"/>
          <w:color w:val="auto"/>
        </w:rPr>
      </w:pPr>
    </w:p>
    <w:p>
      <w:pPr>
        <w:ind w:right="2880"/>
        <w:spacing w:after="0" w:line="338" w:lineRule="auto"/>
        <w:rPr>
          <w:sz w:val="20"/>
          <w:szCs w:val="20"/>
          <w:color w:val="auto"/>
        </w:rPr>
      </w:pPr>
      <w:r>
        <w:rPr>
          <w:rFonts w:ascii="Arial" w:cs="Arial" w:eastAsia="Arial" w:hAnsi="Arial"/>
          <w:sz w:val="16"/>
          <w:szCs w:val="16"/>
          <w:color w:val="auto"/>
        </w:rPr>
        <w:t>On October 25, 2023, the Company announced that the USPTO had issued two patent grants that offer protection for its Deuterated Dimethyltryptamine Program (CYB004). The granted patents protecting the Company’s Deuterated Dimethyltryptamine Program (CYB004) are (i) United States patent no. 11,771,681, which provides composition of matter protection for certain deuterated analogs of DMT, and (ii) United States patent no. 11,773,062, which provides protection for the medical use and the novel, efficient and scalable synthesis of certain analogs of DMT.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On October 26, 2023, the Company announced that the European Patent Office (“EP”) had granted a patent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731" w:right="339" w:bottom="1440" w:gutter="0" w:footer="0" w:header="0"/>
        </w:sectPr>
      </w:pPr>
    </w:p>
    <w:bookmarkStart w:id="87" w:name="page88"/>
    <w:bookmarkEnd w:id="87"/>
    <w:p>
      <w:pPr>
        <w:ind w:right="2900"/>
        <w:spacing w:after="0" w:line="293" w:lineRule="auto"/>
        <w:rPr>
          <w:sz w:val="20"/>
          <w:szCs w:val="20"/>
          <w:color w:val="auto"/>
        </w:rPr>
      </w:pPr>
      <w:r>
        <w:rPr>
          <w:rFonts w:ascii="Arial" w:cs="Arial" w:eastAsia="Arial" w:hAnsi="Arial"/>
          <w:sz w:val="18"/>
          <w:szCs w:val="18"/>
          <w:color w:val="auto"/>
        </w:rPr>
        <w:t>protecting the Company’s Deuterated Psilocybin Analog Program (CYB003) and Deuterated Dimethyltryptamine Program (CYB004). EP patent no. 4,031,529 provides composition of matter protection for certain deuterated tryptamine compounds, including deuterated psilocybin analogs within the Deuterated Psilocybin Analog Program (CYB003) and deuterated analogs of DMT within the Deuterated Dimethyltryptamine Program (CYB004), as well as their medical use.</w:t>
      </w:r>
    </w:p>
    <w:p>
      <w:pPr>
        <w:spacing w:after="0" w:line="206" w:lineRule="exact"/>
        <w:rPr>
          <w:sz w:val="20"/>
          <w:szCs w:val="20"/>
          <w:color w:val="auto"/>
        </w:rPr>
      </w:pPr>
    </w:p>
    <w:p>
      <w:pPr>
        <w:ind w:right="2880"/>
        <w:spacing w:after="0" w:line="323" w:lineRule="auto"/>
        <w:rPr>
          <w:sz w:val="20"/>
          <w:szCs w:val="20"/>
          <w:color w:val="auto"/>
        </w:rPr>
      </w:pPr>
      <w:r>
        <w:rPr>
          <w:rFonts w:ascii="Arial" w:cs="Arial" w:eastAsia="Arial" w:hAnsi="Arial"/>
          <w:sz w:val="16"/>
          <w:szCs w:val="16"/>
          <w:color w:val="auto"/>
        </w:rPr>
        <w:t>On October 31, 2023, the Company announced Phase 2a interim results for CYB003, its proprietary deuterated psilocybin analog, demonstrating a rapid, robust and statistically significant reduction in symptoms of depression three weeks following a single 12mg dose compared to placebo. At the 3-week primary efficacy endpoint, the reduction in MDD symptoms, defined as change from baseline in MADRS total score, was superior in participants assigned to CYB003 compared to the participants who received placebo by 14.08 points (p=0.0005, Cohen’s d=2.15). A p-value indicates statistical significance. Generally, values &lt;0.05 are considered statistically significant and values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&lt;0.001 are considered highly statistically significant.</w:t>
      </w:r>
    </w:p>
    <w:p>
      <w:pPr>
        <w:spacing w:after="0" w:line="271" w:lineRule="exact"/>
        <w:rPr>
          <w:sz w:val="20"/>
          <w:szCs w:val="20"/>
          <w:color w:val="auto"/>
        </w:rPr>
      </w:pPr>
    </w:p>
    <w:p>
      <w:pPr>
        <w:jc w:val="both"/>
        <w:ind w:right="20"/>
        <w:spacing w:after="0" w:line="315" w:lineRule="auto"/>
        <w:rPr>
          <w:sz w:val="20"/>
          <w:szCs w:val="20"/>
          <w:color w:val="auto"/>
        </w:rPr>
      </w:pPr>
      <w:r>
        <w:rPr>
          <w:rFonts w:ascii="Arial" w:cs="Arial" w:eastAsia="Arial" w:hAnsi="Arial"/>
          <w:sz w:val="18"/>
          <w:szCs w:val="18"/>
          <w:color w:val="auto"/>
        </w:rPr>
        <w:t>On November 3, 2023, the Company announced that Doug Drysdale, Cybin’s Chief Executive Officer, will be speaking at the 2023 Milken Institute Future of Health Summit on a panel entitled “Revolutionizing Mental Health Care through Innovation.”</w:t>
      </w:r>
    </w:p>
    <w:p>
      <w:pPr>
        <w:spacing w:after="0" w:line="16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On November 14, 2023, the Company completed an underwritten offering (the “</w:t>
      </w:r>
      <w:r>
        <w:rPr>
          <w:rFonts w:ascii="Arial" w:cs="Arial" w:eastAsia="Arial" w:hAnsi="Arial"/>
          <w:sz w:val="18"/>
          <w:szCs w:val="18"/>
          <w:b w:val="1"/>
          <w:bCs w:val="1"/>
          <w:color w:val="auto"/>
        </w:rPr>
        <w:t>November 2023 Offering</w:t>
      </w:r>
      <w:r>
        <w:rPr>
          <w:rFonts w:ascii="Arial" w:cs="Arial" w:eastAsia="Arial" w:hAnsi="Arial"/>
          <w:sz w:val="17"/>
          <w:szCs w:val="17"/>
          <w:color w:val="auto"/>
        </w:rPr>
        <w:t>”) of 66,666,667 units of the Company (the “</w:t>
      </w:r>
      <w:r>
        <w:rPr>
          <w:rFonts w:ascii="Arial" w:cs="Arial" w:eastAsia="Arial" w:hAnsi="Arial"/>
          <w:sz w:val="18"/>
          <w:szCs w:val="18"/>
          <w:b w:val="1"/>
          <w:bCs w:val="1"/>
          <w:color w:val="auto"/>
        </w:rPr>
        <w:t>November 2023 Units</w:t>
      </w:r>
      <w:r>
        <w:rPr>
          <w:rFonts w:ascii="Arial" w:cs="Arial" w:eastAsia="Arial" w:hAnsi="Arial"/>
          <w:sz w:val="17"/>
          <w:szCs w:val="17"/>
          <w:color w:val="auto"/>
        </w:rPr>
        <w:t>”) at a price of US$0.45 per November 2023 Unit for gross proceeds of approximately US$30,000. Each November 2023 Unit is comprised of one Common Share and one Common Share purchase warrant (the “</w:t>
      </w:r>
      <w:r>
        <w:rPr>
          <w:rFonts w:ascii="Arial" w:cs="Arial" w:eastAsia="Arial" w:hAnsi="Arial"/>
          <w:sz w:val="18"/>
          <w:szCs w:val="18"/>
          <w:b w:val="1"/>
          <w:bCs w:val="1"/>
          <w:color w:val="auto"/>
        </w:rPr>
        <w:t>November 2023 Warrants</w:t>
      </w:r>
      <w:r>
        <w:rPr>
          <w:rFonts w:ascii="Arial" w:cs="Arial" w:eastAsia="Arial" w:hAnsi="Arial"/>
          <w:sz w:val="17"/>
          <w:szCs w:val="17"/>
          <w:color w:val="auto"/>
        </w:rPr>
        <w:t xml:space="preserve">”). Each November 2023 Warrant is exercisable to acquire one Common Share at a price of US$0.51 per Common Share between May </w:t>
      </w:r>
      <w:r>
        <w:rPr>
          <w:rFonts w:ascii="Arial" w:cs="Arial" w:eastAsia="Arial" w:hAnsi="Arial"/>
          <w:sz w:val="17"/>
          <w:szCs w:val="17"/>
          <w:b w:val="1"/>
          <w:bCs w:val="1"/>
          <w:color w:val="auto"/>
        </w:rPr>
        <w:t>[14]</w:t>
      </w:r>
      <w:r>
        <w:rPr>
          <w:rFonts w:ascii="Arial" w:cs="Arial" w:eastAsia="Arial" w:hAnsi="Arial"/>
          <w:sz w:val="17"/>
          <w:szCs w:val="17"/>
          <w:color w:val="auto"/>
        </w:rPr>
        <w:t xml:space="preserve">, 2024 and May </w:t>
      </w:r>
      <w:r>
        <w:rPr>
          <w:rFonts w:ascii="Arial" w:cs="Arial" w:eastAsia="Arial" w:hAnsi="Arial"/>
          <w:sz w:val="17"/>
          <w:szCs w:val="17"/>
          <w:b w:val="1"/>
          <w:bCs w:val="1"/>
          <w:color w:val="auto"/>
        </w:rPr>
        <w:t>[14]</w:t>
      </w:r>
      <w:r>
        <w:rPr>
          <w:rFonts w:ascii="Arial" w:cs="Arial" w:eastAsia="Arial" w:hAnsi="Arial"/>
          <w:sz w:val="17"/>
          <w:szCs w:val="17"/>
          <w:color w:val="auto"/>
        </w:rPr>
        <w:t xml:space="preserve">, 2029, subject to acceleration in certain circumstances. In the context of arranging for the November 2023 Offering, on November 9, 2023, the Company suspended all sales under the LPC Purchase Agreement. </w:t>
      </w:r>
      <w:r>
        <w:rPr>
          <w:rFonts w:ascii="Arial" w:cs="Arial" w:eastAsia="Arial" w:hAnsi="Arial"/>
          <w:sz w:val="17"/>
          <w:szCs w:val="17"/>
          <w:b w:val="1"/>
          <w:bCs w:val="1"/>
          <w:color w:val="auto"/>
        </w:rPr>
        <w:t>[NTD: A&amp;B will promptly wire the net proceeds of the private placement to Cybin on closing. Depending on timing of receipt of</w:t>
      </w:r>
      <w:r>
        <w:rPr>
          <w:rFonts w:ascii="Arial" w:cs="Arial" w:eastAsia="Arial" w:hAnsi="Arial"/>
          <w:sz w:val="17"/>
          <w:szCs w:val="17"/>
          <w:color w:val="auto"/>
        </w:rPr>
        <w:t xml:space="preserve"> </w:t>
      </w:r>
      <w:r>
        <w:rPr>
          <w:rFonts w:ascii="Arial" w:cs="Arial" w:eastAsia="Arial" w:hAnsi="Arial"/>
          <w:sz w:val="17"/>
          <w:szCs w:val="17"/>
          <w:b w:val="1"/>
          <w:bCs w:val="1"/>
          <w:color w:val="auto"/>
        </w:rPr>
        <w:t>the wires from AGP and Awareness Fund, the wires may only be sent after November 14</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to Cybin. In particular, we understand that it may take a few business days for wire from Awareness Fund to arrive and we would close on wire confirmations. Cybin to consider the impact, if any, on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23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320" w:top="729"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Risks Related to the Company’s Business and Industry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the Novel Coronavirus “COVID-19”</w:t>
      </w:r>
    </w:p>
    <w:p>
      <w:pPr>
        <w:spacing w:after="0" w:line="252"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outbreak of COVID-19 and its eventual declaration as a pandemic by the World Health Organization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Company in future periods. The Company is not currently aware of any changes in laws, regulations or guidelines, including tax and accounting requirements, arising from COVID-19 which would be reasonably anticipated to materially affect the Company’s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25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Achieving Publicly Announced Milestones</w:t>
      </w:r>
    </w:p>
    <w:p>
      <w:pPr>
        <w:spacing w:after="0" w:line="266"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69"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The Company undertakes no obligation to update or revise any forward-looking information or statements, whether as a result of new information, future events or otherwise, except as otherwise required by-law. Any variation in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60"/>
          </w:cols>
          <w:pgMar w:left="320" w:top="725" w:right="319" w:bottom="1440" w:gutter="0" w:footer="0" w:header="0"/>
        </w:sectPr>
      </w:pPr>
    </w:p>
    <w:bookmarkStart w:id="89" w:name="page90"/>
    <w:bookmarkEnd w:id="89"/>
    <w:p>
      <w:pPr>
        <w:jc w:val="both"/>
        <w:ind w:right="20"/>
        <w:spacing w:after="0" w:line="317" w:lineRule="auto"/>
        <w:rPr>
          <w:sz w:val="20"/>
          <w:szCs w:val="20"/>
          <w:color w:val="auto"/>
        </w:rPr>
      </w:pPr>
      <w:r>
        <w:rPr>
          <w:rFonts w:ascii="Arial" w:cs="Arial" w:eastAsia="Arial" w:hAnsi="Arial"/>
          <w:sz w:val="18"/>
          <w:szCs w:val="18"/>
          <w:color w:val="auto"/>
        </w:rPr>
        <w:t>timing of previously announced milestones could have a material adverse effect on the Company’s business plan, financial condition or operating results and the trading price of the Common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Speculative Nature of Investment Risk</w:t>
      </w:r>
    </w:p>
    <w:p>
      <w:pPr>
        <w:spacing w:after="0" w:line="254" w:lineRule="exact"/>
        <w:rPr>
          <w:sz w:val="20"/>
          <w:szCs w:val="20"/>
          <w:color w:val="auto"/>
        </w:rPr>
      </w:pPr>
    </w:p>
    <w:p>
      <w:pPr>
        <w:jc w:val="both"/>
        <w:ind w:right="20"/>
        <w:spacing w:after="0" w:line="387" w:lineRule="auto"/>
        <w:rPr>
          <w:sz w:val="20"/>
          <w:szCs w:val="20"/>
          <w:color w:val="auto"/>
        </w:rPr>
      </w:pPr>
      <w:r>
        <w:rPr>
          <w:rFonts w:ascii="Arial" w:cs="Arial" w:eastAsia="Arial" w:hAnsi="Arial"/>
          <w:sz w:val="16"/>
          <w:szCs w:val="16"/>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Stage of the Industry and Product Development</w:t>
      </w:r>
    </w:p>
    <w:p>
      <w:pPr>
        <w:spacing w:after="0" w:line="252"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Arial" w:cs="Arial" w:eastAsia="Arial" w:hAnsi="Arial"/>
          <w:sz w:val="16"/>
          <w:szCs w:val="16"/>
          <w:b w:val="1"/>
          <w:bCs w:val="1"/>
          <w:color w:val="auto"/>
        </w:rPr>
        <w:t>PDD</w:t>
      </w:r>
      <w:r>
        <w:rPr>
          <w:rFonts w:ascii="Arial" w:cs="Arial" w:eastAsia="Arial" w:hAnsi="Arial"/>
          <w:sz w:val="16"/>
          <w:szCs w:val="16"/>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78"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69"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79"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60"/>
          </w:cols>
          <w:pgMar w:left="320" w:top="729" w:right="319" w:bottom="1440" w:gutter="0" w:footer="0" w:header="0"/>
        </w:sectPr>
      </w:pPr>
    </w:p>
    <w:bookmarkStart w:id="90" w:name="page91"/>
    <w:bookmarkEnd w:id="90"/>
    <w:p>
      <w:pPr>
        <w:jc w:val="both"/>
        <w:ind w:right="20"/>
        <w:spacing w:after="0" w:line="348" w:lineRule="auto"/>
        <w:rPr>
          <w:sz w:val="20"/>
          <w:szCs w:val="20"/>
          <w:color w:val="auto"/>
        </w:rPr>
      </w:pPr>
      <w:r>
        <w:rPr>
          <w:rFonts w:ascii="Arial" w:cs="Arial" w:eastAsia="Arial" w:hAnsi="Arial"/>
          <w:sz w:val="17"/>
          <w:szCs w:val="17"/>
          <w:color w:val="auto"/>
        </w:rPr>
        <w:t>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47"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75" w:lineRule="exact"/>
        <w:rPr>
          <w:sz w:val="20"/>
          <w:szCs w:val="20"/>
          <w:color w:val="auto"/>
        </w:rPr>
      </w:pPr>
    </w:p>
    <w:p>
      <w:pPr>
        <w:jc w:val="both"/>
        <w:ind w:right="20"/>
        <w:spacing w:after="0" w:line="333" w:lineRule="auto"/>
        <w:rPr>
          <w:sz w:val="20"/>
          <w:szCs w:val="20"/>
          <w:color w:val="auto"/>
        </w:rPr>
      </w:pPr>
      <w:r>
        <w:rPr>
          <w:rFonts w:ascii="Arial" w:cs="Arial" w:eastAsia="Arial" w:hAnsi="Arial"/>
          <w:sz w:val="16"/>
          <w:szCs w:val="16"/>
          <w:color w:val="auto"/>
        </w:rPr>
        <w:t xml:space="preserve">The Company’s business relies on its ability to access, develop, and sell psilocybin,DMT-based compounds and other psychedelic compounds. Psilocybin DMT-based compounds and other psychedelic compounds are controlled substance in many jurisdictions, including in Canada under Schedule III of the </w:t>
      </w:r>
      <w:r>
        <w:rPr>
          <w:rFonts w:ascii="Arial" w:cs="Arial" w:eastAsia="Arial" w:hAnsi="Arial"/>
          <w:sz w:val="16"/>
          <w:szCs w:val="16"/>
          <w:i w:val="1"/>
          <w:iCs w:val="1"/>
          <w:color w:val="auto"/>
        </w:rPr>
        <w:t xml:space="preserve">Controlled Drugs and Substances Act </w:t>
      </w:r>
      <w:r>
        <w:rPr>
          <w:rFonts w:ascii="Arial" w:cs="Arial" w:eastAsia="Arial" w:hAnsi="Arial"/>
          <w:sz w:val="16"/>
          <w:szCs w:val="16"/>
          <w:color w:val="auto"/>
        </w:rPr>
        <w:t>and in the United States. The Company may face difficulty accessing the public capital markets in Canada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Uncertainties</w:t>
      </w:r>
    </w:p>
    <w:p>
      <w:pPr>
        <w:spacing w:after="0" w:line="24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8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320" w:top="731" w:right="319" w:bottom="1440" w:gutter="0" w:footer="0" w:header="0"/>
        </w:sectPr>
      </w:pPr>
    </w:p>
    <w:bookmarkStart w:id="91" w:name="page92"/>
    <w:bookmarkEnd w:id="91"/>
    <w:p>
      <w:pPr>
        <w:jc w:val="both"/>
        <w:ind w:right="20"/>
        <w:spacing w:after="0" w:line="292" w:lineRule="auto"/>
        <w:rPr>
          <w:sz w:val="20"/>
          <w:szCs w:val="20"/>
          <w:color w:val="auto"/>
        </w:rPr>
      </w:pPr>
      <w:r>
        <w:rPr>
          <w:rFonts w:ascii="Arial" w:cs="Arial" w:eastAsia="Arial" w:hAnsi="Arial"/>
          <w:sz w:val="18"/>
          <w:szCs w:val="18"/>
          <w:color w:val="auto"/>
        </w:rPr>
        <w:t>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loss of the necessary licences and permits for any of the above scheduled drugs could have an adverse effect on the Company’s operations.</w:t>
      </w:r>
    </w:p>
    <w:p>
      <w:pPr>
        <w:spacing w:after="0" w:line="267" w:lineRule="exact"/>
        <w:rPr>
          <w:sz w:val="20"/>
          <w:szCs w:val="20"/>
          <w:color w:val="auto"/>
        </w:rPr>
      </w:pPr>
    </w:p>
    <w:p>
      <w:pPr>
        <w:jc w:val="both"/>
        <w:spacing w:after="0" w:line="314" w:lineRule="auto"/>
        <w:rPr>
          <w:sz w:val="20"/>
          <w:szCs w:val="20"/>
          <w:color w:val="auto"/>
        </w:rPr>
      </w:pPr>
      <w:r>
        <w:rPr>
          <w:rFonts w:ascii="Arial" w:cs="Arial" w:eastAsia="Arial" w:hAnsi="Arial"/>
          <w:sz w:val="17"/>
          <w:szCs w:val="17"/>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77"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87"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of Operating in European Countries</w:t>
      </w:r>
    </w:p>
    <w:p>
      <w:pPr>
        <w:spacing w:after="0" w:line="25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320" w:top="731" w:right="319" w:bottom="1440" w:gutter="0" w:footer="0" w:header="0"/>
        </w:sectPr>
      </w:pPr>
    </w:p>
    <w:bookmarkStart w:id="92" w:name="page93"/>
    <w:bookmarkEnd w:id="92"/>
    <w:p>
      <w:pPr>
        <w:jc w:val="both"/>
        <w:spacing w:after="0" w:line="317" w:lineRule="auto"/>
        <w:rPr>
          <w:sz w:val="20"/>
          <w:szCs w:val="20"/>
          <w:color w:val="auto"/>
        </w:rPr>
      </w:pPr>
      <w:r>
        <w:rPr>
          <w:rFonts w:ascii="Arial" w:cs="Arial" w:eastAsia="Arial" w:hAnsi="Arial"/>
          <w:sz w:val="18"/>
          <w:szCs w:val="18"/>
          <w:color w:val="auto"/>
        </w:rPr>
        <w:t>These and other risks associated with the Company’s international operations may materially adversely affect its ability to attain or maintain profitable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Private Issuer” Status Under U.S. Securities Laws</w:t>
      </w:r>
    </w:p>
    <w:p>
      <w:pPr>
        <w:spacing w:after="0" w:line="242"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The Company is a “foreign private issuer”, under applicable U.S. federal securities laws, and is, therefore, not subject to the same requirements that are imposed upon U.S. domestic issuers by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Plans for Growth</w:t>
      </w:r>
    </w:p>
    <w:p>
      <w:pPr>
        <w:spacing w:after="0" w:line="26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Products</w:t>
      </w:r>
    </w:p>
    <w:p>
      <w:pPr>
        <w:spacing w:after="0" w:line="254"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6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90"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60"/>
          </w:cols>
          <w:pgMar w:left="320" w:top="729" w:right="319" w:bottom="1440" w:gutter="0" w:footer="0" w:header="0"/>
        </w:sectPr>
      </w:pPr>
    </w:p>
    <w:bookmarkStart w:id="93" w:name="page94"/>
    <w:bookmarkEnd w:id="93"/>
    <w:p>
      <w:pPr>
        <w:jc w:val="both"/>
        <w:spacing w:after="0" w:line="317" w:lineRule="auto"/>
        <w:rPr>
          <w:sz w:val="20"/>
          <w:szCs w:val="20"/>
          <w:color w:val="auto"/>
        </w:rPr>
      </w:pPr>
      <w:r>
        <w:rPr>
          <w:rFonts w:ascii="Arial" w:cs="Arial" w:eastAsia="Arial" w:hAnsi="Arial"/>
          <w:sz w:val="18"/>
          <w:szCs w:val="18"/>
          <w:color w:val="auto"/>
        </w:rPr>
        <w:t>pharmaceutical products. Adverse publicity about psychedelic pharmaceutical products that the Company sells may discourage consumers from buying products distributed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Marketing and Sales Capabilities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of Commercial Success</w:t>
      </w: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Profits or Significant Revenues</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Third Parties for Clinical Development Activities</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Third Party Relationships</w:t>
      </w:r>
    </w:p>
    <w:p>
      <w:pPr>
        <w:spacing w:after="0" w:line="26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Company intends to enter into strategic alliances with third parties that the Company believes will complement or augment its proposed business or will have a beneficial impact on the Company. Strategic alliances could present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729" w:right="339" w:bottom="1440" w:gutter="0" w:footer="0" w:header="0"/>
        </w:sectPr>
      </w:pPr>
    </w:p>
    <w:bookmarkStart w:id="94" w:name="page95"/>
    <w:bookmarkEnd w:id="94"/>
    <w:p>
      <w:pPr>
        <w:jc w:val="both"/>
        <w:ind w:right="20"/>
        <w:spacing w:after="0" w:line="310" w:lineRule="auto"/>
        <w:rPr>
          <w:sz w:val="20"/>
          <w:szCs w:val="20"/>
          <w:color w:val="auto"/>
        </w:rPr>
      </w:pPr>
      <w:r>
        <w:rPr>
          <w:rFonts w:ascii="Arial" w:cs="Arial" w:eastAsia="Arial" w:hAnsi="Arial"/>
          <w:sz w:val="17"/>
          <w:szCs w:val="17"/>
          <w:color w:val="auto"/>
        </w:rPr>
        <w:t>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Contract Manufacturers</w:t>
      </w:r>
    </w:p>
    <w:p>
      <w:pPr>
        <w:spacing w:after="0" w:line="250"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The Company has limited manufacturing experience and relies on contract manufacturing organizations (“</w:t>
      </w:r>
      <w:r>
        <w:rPr>
          <w:rFonts w:ascii="Arial" w:cs="Arial" w:eastAsia="Arial" w:hAnsi="Arial"/>
          <w:sz w:val="16"/>
          <w:szCs w:val="16"/>
          <w:b w:val="1"/>
          <w:bCs w:val="1"/>
          <w:color w:val="auto"/>
        </w:rPr>
        <w:t>CMOs</w:t>
      </w:r>
      <w:r>
        <w:rPr>
          <w:rFonts w:ascii="Arial" w:cs="Arial" w:eastAsia="Arial" w:hAnsi="Arial"/>
          <w:sz w:val="16"/>
          <w:szCs w:val="16"/>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and Efficacy of Products</w:t>
      </w:r>
    </w:p>
    <w:p>
      <w:pPr>
        <w:spacing w:after="0" w:line="25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60"/>
          </w:cols>
          <w:pgMar w:left="320" w:top="731" w:right="319" w:bottom="1440" w:gutter="0" w:footer="0" w:header="0"/>
        </w:sectPr>
      </w:pPr>
    </w:p>
    <w:bookmarkStart w:id="95" w:name="page96"/>
    <w:bookmarkEnd w:id="95"/>
    <w:p>
      <w:pPr>
        <w:jc w:val="both"/>
        <w:spacing w:after="0" w:line="333" w:lineRule="auto"/>
        <w:rPr>
          <w:sz w:val="20"/>
          <w:szCs w:val="20"/>
          <w:color w:val="auto"/>
        </w:rPr>
      </w:pPr>
      <w:r>
        <w:rPr>
          <w:rFonts w:ascii="Arial" w:cs="Arial" w:eastAsia="Arial" w:hAnsi="Arial"/>
          <w:sz w:val="16"/>
          <w:szCs w:val="16"/>
          <w:color w:val="auto"/>
        </w:rPr>
        <w:t>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spacing w:after="0" w:line="166" w:lineRule="exact"/>
        <w:rPr>
          <w:sz w:val="20"/>
          <w:szCs w:val="20"/>
          <w:color w:val="auto"/>
        </w:rPr>
      </w:pPr>
    </w:p>
    <w:p>
      <w:pPr>
        <w:jc w:val="both"/>
        <w:ind w:right="20"/>
        <w:spacing w:after="0" w:line="327"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Testing and Commercializing Products</w:t>
      </w:r>
    </w:p>
    <w:p>
      <w:pPr>
        <w:spacing w:after="0" w:line="25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60"/>
          </w:cols>
          <w:pgMar w:left="320" w:top="731" w:right="319" w:bottom="1440" w:gutter="0" w:footer="0" w:header="0"/>
        </w:sectPr>
      </w:pPr>
    </w:p>
    <w:bookmarkStart w:id="96" w:name="page97"/>
    <w:bookmarkEnd w:id="96"/>
    <w:p>
      <w:pPr>
        <w:ind w:right="20"/>
        <w:spacing w:after="0" w:line="317" w:lineRule="auto"/>
        <w:rPr>
          <w:sz w:val="20"/>
          <w:szCs w:val="20"/>
          <w:color w:val="auto"/>
        </w:rPr>
      </w:pPr>
      <w:r>
        <w:rPr>
          <w:rFonts w:ascii="Arial" w:cs="Arial" w:eastAsia="Arial" w:hAnsi="Arial"/>
          <w:sz w:val="18"/>
          <w:szCs w:val="18"/>
          <w:color w:val="auto"/>
        </w:rPr>
        <w:t>The commencement and completion of clinical trials for the Company’s prescription drug product candidates may be delayed for a number of reasons, including but not limited, to:</w:t>
      </w:r>
    </w:p>
    <w:p>
      <w:pPr>
        <w:spacing w:after="0" w:line="169" w:lineRule="exact"/>
        <w:rPr>
          <w:sz w:val="20"/>
          <w:szCs w:val="20"/>
          <w:color w:val="auto"/>
        </w:rPr>
      </w:pPr>
    </w:p>
    <w:p>
      <w:pPr>
        <w:ind w:left="540" w:hanging="25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regulatory authorities to grant permission to proceed or placing clinical trials on hold;</w:t>
      </w:r>
    </w:p>
    <w:p>
      <w:pPr>
        <w:spacing w:after="0" w:line="35" w:lineRule="exact"/>
        <w:rPr>
          <w:rFonts w:ascii="Arial" w:cs="Arial" w:eastAsia="Arial" w:hAnsi="Arial"/>
          <w:sz w:val="18"/>
          <w:szCs w:val="18"/>
          <w:color w:val="auto"/>
        </w:rPr>
      </w:pPr>
    </w:p>
    <w:p>
      <w:pPr>
        <w:ind w:left="580" w:hanging="292"/>
        <w:spacing w:after="0" w:line="288" w:lineRule="auto"/>
        <w:tabs>
          <w:tab w:leader="none" w:pos="5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ind w:left="580" w:right="20" w:hanging="292"/>
        <w:spacing w:after="0" w:line="288" w:lineRule="auto"/>
        <w:tabs>
          <w:tab w:leader="none" w:pos="56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changes to the Company’s manufacturing process that may be necessary or desired, delays or failure to obtain clinical supply from CMOs of the Company’s products necessary to conduct clinical trials;</w:t>
      </w:r>
    </w:p>
    <w:p>
      <w:pPr>
        <w:ind w:left="580" w:right="20" w:hanging="292"/>
        <w:spacing w:after="0" w:line="289" w:lineRule="auto"/>
        <w:tabs>
          <w:tab w:leader="none" w:pos="5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prescription drug product candidates demonstrating a lack of safety or efficacy during clinical trials, reports of clinical testing on similar technologies and products raising safety or efficacy concerns;</w:t>
      </w:r>
    </w:p>
    <w:p>
      <w:pPr>
        <w:jc w:val="both"/>
        <w:ind w:left="580" w:right="20" w:hanging="292"/>
        <w:spacing w:after="0" w:line="285" w:lineRule="auto"/>
        <w:tabs>
          <w:tab w:leader="none" w:pos="5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ind w:left="540" w:hanging="25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of the Company’s contract research organizations to satisfy their contractual duties or meet expected deadlines;</w:t>
      </w:r>
    </w:p>
    <w:p>
      <w:pPr>
        <w:spacing w:after="0" w:line="35" w:lineRule="exact"/>
        <w:rPr>
          <w:rFonts w:ascii="Arial" w:cs="Arial" w:eastAsia="Arial" w:hAnsi="Arial"/>
          <w:sz w:val="18"/>
          <w:szCs w:val="18"/>
          <w:color w:val="auto"/>
        </w:rPr>
      </w:pPr>
    </w:p>
    <w:p>
      <w:pPr>
        <w:ind w:left="540" w:hanging="25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inspections of clinical trial sites by regulatory authorities;</w:t>
      </w:r>
    </w:p>
    <w:p>
      <w:pPr>
        <w:spacing w:after="0" w:line="37" w:lineRule="exact"/>
        <w:rPr>
          <w:rFonts w:ascii="Arial" w:cs="Arial" w:eastAsia="Arial" w:hAnsi="Arial"/>
          <w:sz w:val="18"/>
          <w:szCs w:val="18"/>
          <w:color w:val="auto"/>
        </w:rPr>
      </w:pPr>
    </w:p>
    <w:p>
      <w:pPr>
        <w:ind w:left="580" w:right="20" w:hanging="292"/>
        <w:spacing w:after="0" w:line="287" w:lineRule="auto"/>
        <w:tabs>
          <w:tab w:leader="none" w:pos="6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2" w:lineRule="exact"/>
        <w:rPr>
          <w:rFonts w:ascii="Arial" w:cs="Arial" w:eastAsia="Arial" w:hAnsi="Arial"/>
          <w:sz w:val="18"/>
          <w:szCs w:val="18"/>
          <w:color w:val="auto"/>
        </w:rPr>
      </w:pPr>
    </w:p>
    <w:p>
      <w:pPr>
        <w:ind w:left="580" w:right="20" w:hanging="292"/>
        <w:spacing w:after="0" w:line="287" w:lineRule="auto"/>
        <w:tabs>
          <w:tab w:leader="none" w:pos="5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spacing w:after="0" w:line="2" w:lineRule="exact"/>
        <w:rPr>
          <w:rFonts w:ascii="Arial" w:cs="Arial" w:eastAsia="Arial" w:hAnsi="Arial"/>
          <w:sz w:val="18"/>
          <w:szCs w:val="18"/>
          <w:color w:val="auto"/>
        </w:rPr>
      </w:pPr>
    </w:p>
    <w:p>
      <w:pPr>
        <w:ind w:left="540" w:hanging="25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reach agreement on acceptable terms with prospective clinical trial sites.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9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92"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Completion of Clinical Trials</w:t>
      </w:r>
    </w:p>
    <w:p>
      <w:pPr>
        <w:spacing w:after="0" w:line="254"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As the Company’s prescription drug product candidates advance from preclinical testing to clinical testing, and then through progressively larger and more complex clinical trials, the Company will need to enroll an increasing number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320" w:top="729" w:right="319" w:bottom="1440" w:gutter="0" w:footer="0" w:header="0"/>
        </w:sectPr>
      </w:pPr>
    </w:p>
    <w:bookmarkStart w:id="97" w:name="page98"/>
    <w:bookmarkEnd w:id="97"/>
    <w:p>
      <w:pPr>
        <w:jc w:val="both"/>
        <w:spacing w:after="0" w:line="293" w:lineRule="auto"/>
        <w:rPr>
          <w:sz w:val="20"/>
          <w:szCs w:val="20"/>
          <w:color w:val="auto"/>
        </w:rPr>
      </w:pPr>
      <w:r>
        <w:rPr>
          <w:rFonts w:ascii="Arial" w:cs="Arial" w:eastAsia="Arial" w:hAnsi="Arial"/>
          <w:sz w:val="18"/>
          <w:szCs w:val="18"/>
          <w:color w:val="auto"/>
        </w:rPr>
        <w:t>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Grade Product Manufacturing</w:t>
      </w:r>
    </w:p>
    <w:p>
      <w:pPr>
        <w:spacing w:after="0" w:line="254"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Regulatory Approvals</w:t>
      </w:r>
    </w:p>
    <w:p>
      <w:pPr>
        <w:spacing w:after="0" w:line="25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8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60"/>
          </w:cols>
          <w:pgMar w:left="320" w:top="729" w:right="319" w:bottom="1440" w:gutter="0" w:footer="0" w:header="0"/>
        </w:sectPr>
      </w:pPr>
    </w:p>
    <w:bookmarkStart w:id="98" w:name="page99"/>
    <w:bookmarkEnd w:id="98"/>
    <w:p>
      <w:pPr>
        <w:jc w:val="both"/>
        <w:ind w:right="20"/>
        <w:spacing w:after="0" w:line="317" w:lineRule="auto"/>
        <w:rPr>
          <w:sz w:val="20"/>
          <w:szCs w:val="20"/>
          <w:color w:val="auto"/>
        </w:rPr>
      </w:pPr>
      <w:r>
        <w:rPr>
          <w:rFonts w:ascii="Arial" w:cs="Arial" w:eastAsia="Arial" w:hAnsi="Arial"/>
          <w:sz w:val="18"/>
          <w:szCs w:val="18"/>
          <w:color w:val="auto"/>
        </w:rPr>
        <w:t>other benefits outweigh its safety risks, or deficiencies in the manufacturing processes or the failure of facilities of CMOs with whom the Company contracts for clinical and commercial supplies to pass a pre-approval inspection.</w:t>
      </w:r>
    </w:p>
    <w:p>
      <w:pPr>
        <w:spacing w:after="0" w:line="171"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180"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Access and Acceptance</w:t>
      </w:r>
    </w:p>
    <w:p>
      <w:pPr>
        <w:spacing w:after="0" w:line="25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173" w:lineRule="exact"/>
        <w:rPr>
          <w:sz w:val="20"/>
          <w:szCs w:val="20"/>
          <w:color w:val="auto"/>
        </w:rPr>
      </w:pPr>
    </w:p>
    <w:p>
      <w:pPr>
        <w:ind w:left="580" w:hanging="29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acceptance by healthcare professionals, patients and healthcare payors of each product as safe, effective and cost-effective;</w:t>
      </w:r>
    </w:p>
    <w:p>
      <w:pPr>
        <w:spacing w:after="0" w:line="47" w:lineRule="exact"/>
        <w:rPr>
          <w:rFonts w:ascii="Arial" w:cs="Arial" w:eastAsia="Arial" w:hAnsi="Arial"/>
          <w:sz w:val="18"/>
          <w:szCs w:val="18"/>
          <w:color w:val="auto"/>
        </w:rPr>
      </w:pPr>
    </w:p>
    <w:p>
      <w:pPr>
        <w:ind w:left="580" w:hanging="29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product;</w:t>
      </w:r>
    </w:p>
    <w:p>
      <w:pPr>
        <w:spacing w:after="0" w:line="35" w:lineRule="exact"/>
        <w:rPr>
          <w:rFonts w:ascii="Arial" w:cs="Arial" w:eastAsia="Arial" w:hAnsi="Arial"/>
          <w:sz w:val="18"/>
          <w:szCs w:val="18"/>
          <w:color w:val="auto"/>
        </w:rPr>
      </w:pPr>
    </w:p>
    <w:p>
      <w:pPr>
        <w:ind w:left="580" w:hanging="29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47" w:lineRule="exact"/>
        <w:rPr>
          <w:rFonts w:ascii="Arial" w:cs="Arial" w:eastAsia="Arial" w:hAnsi="Arial"/>
          <w:sz w:val="18"/>
          <w:szCs w:val="18"/>
          <w:color w:val="auto"/>
        </w:rPr>
      </w:pPr>
    </w:p>
    <w:p>
      <w:pPr>
        <w:ind w:left="580" w:hanging="29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35" w:lineRule="exact"/>
        <w:rPr>
          <w:rFonts w:ascii="Arial" w:cs="Arial" w:eastAsia="Arial" w:hAnsi="Arial"/>
          <w:sz w:val="18"/>
          <w:szCs w:val="18"/>
          <w:color w:val="auto"/>
        </w:rPr>
      </w:pPr>
    </w:p>
    <w:p>
      <w:pPr>
        <w:ind w:left="520" w:hanging="23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product’s relative convenience, ease of use, ease of administration and other perceived advantages over alternatives;</w:t>
      </w:r>
    </w:p>
    <w:p>
      <w:pPr>
        <w:spacing w:after="0" w:line="47" w:lineRule="exact"/>
        <w:rPr>
          <w:rFonts w:ascii="Arial" w:cs="Arial" w:eastAsia="Arial" w:hAnsi="Arial"/>
          <w:sz w:val="18"/>
          <w:szCs w:val="18"/>
          <w:color w:val="auto"/>
        </w:rPr>
      </w:pPr>
    </w:p>
    <w:p>
      <w:pPr>
        <w:ind w:left="580" w:hanging="29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prevalence and severity of adverse events or publicity;</w:t>
      </w:r>
    </w:p>
    <w:p>
      <w:pPr>
        <w:spacing w:after="0" w:line="35" w:lineRule="exact"/>
        <w:rPr>
          <w:rFonts w:ascii="Arial" w:cs="Arial" w:eastAsia="Arial" w:hAnsi="Arial"/>
          <w:sz w:val="18"/>
          <w:szCs w:val="18"/>
          <w:color w:val="auto"/>
        </w:rPr>
      </w:pPr>
    </w:p>
    <w:p>
      <w:pPr>
        <w:ind w:left="580" w:right="20" w:hanging="292"/>
        <w:spacing w:after="0" w:line="303" w:lineRule="auto"/>
        <w:tabs>
          <w:tab w:leader="none" w:pos="6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limitations, precautions or warnings listed in the summary of product characteristics, patient information leaflet, package labeling or instructions for use;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60"/>
          </w:cols>
          <w:pgMar w:left="320" w:top="729" w:right="319" w:bottom="1440" w:gutter="0" w:footer="0" w:header="0"/>
        </w:sectPr>
      </w:pPr>
    </w:p>
    <w:bookmarkStart w:id="99" w:name="page100"/>
    <w:bookmarkEnd w:id="99"/>
    <w:p>
      <w:pPr>
        <w:ind w:left="580" w:hanging="29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treatment with the Company’s product in relation to alternatives;</w:t>
      </w:r>
    </w:p>
    <w:p>
      <w:pPr>
        <w:spacing w:after="0" w:line="45" w:lineRule="exact"/>
        <w:rPr>
          <w:rFonts w:ascii="Arial" w:cs="Arial" w:eastAsia="Arial" w:hAnsi="Arial"/>
          <w:sz w:val="18"/>
          <w:szCs w:val="18"/>
          <w:color w:val="auto"/>
        </w:rPr>
      </w:pPr>
    </w:p>
    <w:p>
      <w:pPr>
        <w:ind w:left="580" w:hanging="29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steps that prescribers and dispensers must take, as well as the perceived risks based upon its controlled substance status;</w:t>
      </w:r>
    </w:p>
    <w:p>
      <w:pPr>
        <w:spacing w:after="0" w:line="37" w:lineRule="exact"/>
        <w:rPr>
          <w:rFonts w:ascii="Arial" w:cs="Arial" w:eastAsia="Arial" w:hAnsi="Arial"/>
          <w:sz w:val="18"/>
          <w:szCs w:val="18"/>
          <w:color w:val="auto"/>
        </w:rPr>
      </w:pPr>
    </w:p>
    <w:p>
      <w:pPr>
        <w:ind w:left="580" w:hanging="29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to manufacture the Company’s product in sufficient quantities and yields with adequate purity;</w:t>
      </w:r>
    </w:p>
    <w:p>
      <w:pPr>
        <w:spacing w:after="0" w:line="47" w:lineRule="exact"/>
        <w:rPr>
          <w:rFonts w:ascii="Arial" w:cs="Arial" w:eastAsia="Arial" w:hAnsi="Arial"/>
          <w:sz w:val="18"/>
          <w:szCs w:val="18"/>
          <w:color w:val="auto"/>
        </w:rPr>
      </w:pPr>
    </w:p>
    <w:p>
      <w:pPr>
        <w:ind w:left="580" w:right="20" w:hanging="292"/>
        <w:spacing w:after="0" w:line="288" w:lineRule="auto"/>
        <w:tabs>
          <w:tab w:leader="none" w:pos="5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and amount of coverage and reimbursement from healthcare payors, and the willingness of patients to pay out of pocket in the absence of healthcare payor coverage or adequate reimbursement;</w:t>
      </w:r>
    </w:p>
    <w:p>
      <w:pPr>
        <w:ind w:left="580" w:hanging="29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healthcare professionals to prescribe, the product;</w:t>
      </w:r>
    </w:p>
    <w:p>
      <w:pPr>
        <w:spacing w:after="0" w:line="33" w:lineRule="exact"/>
        <w:rPr>
          <w:rFonts w:ascii="Arial" w:cs="Arial" w:eastAsia="Arial" w:hAnsi="Arial"/>
          <w:sz w:val="18"/>
          <w:szCs w:val="18"/>
          <w:color w:val="auto"/>
        </w:rPr>
      </w:pPr>
    </w:p>
    <w:p>
      <w:pPr>
        <w:ind w:left="580" w:right="20" w:hanging="292"/>
        <w:spacing w:after="0" w:line="288" w:lineRule="auto"/>
        <w:tabs>
          <w:tab w:leader="none" w:pos="5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potential unfavorable publicity, including negative publicity associated with recreational use or abuse of psilocybin, DMT-based compounds and other psychedelic compounds; and</w:t>
      </w:r>
    </w:p>
    <w:p>
      <w:pPr>
        <w:ind w:left="520" w:hanging="23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restrictions on the use, sale or distribution of the Company’s future products.</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203"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Unfavourable Publicity or Consumer Perception</w:t>
      </w:r>
    </w:p>
    <w:p>
      <w:pPr>
        <w:spacing w:after="0" w:line="264"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86"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DMT or isolated constituents, regulatory proceedings, litigation, media attention or other research</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60"/>
          </w:cols>
          <w:pgMar w:left="320" w:top="731" w:right="3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findings or publicity will be favourable to the industry or the Company or any particular product, or consistent with earlier publicity.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w:t>
      </w:r>
    </w:p>
    <w:p>
      <w:pPr>
        <w:spacing w:after="0" w:line="256"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Biotechnology and Pharmaceutical Market Competition</w:t>
      </w:r>
    </w:p>
    <w:p>
      <w:pPr>
        <w:spacing w:after="0" w:line="25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86" w:lineRule="exact"/>
        <w:rPr>
          <w:sz w:val="20"/>
          <w:szCs w:val="20"/>
          <w:color w:val="auto"/>
        </w:rPr>
      </w:pPr>
    </w:p>
    <w:p>
      <w:pPr>
        <w:ind w:left="580" w:right="20" w:hanging="292"/>
        <w:spacing w:after="0" w:line="288" w:lineRule="auto"/>
        <w:tabs>
          <w:tab w:leader="none" w:pos="5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efficacy and safety profile of its prescription drug product candidates relative to marketed products and other prescription drug product candidates in development;</w:t>
      </w:r>
    </w:p>
    <w:p>
      <w:pPr>
        <w:ind w:left="540" w:hanging="25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ability to develop and maintain a competitive position in the product categories and technologies on which it focuses;</w:t>
      </w:r>
    </w:p>
    <w:p>
      <w:pPr>
        <w:spacing w:after="0" w:line="35" w:lineRule="exact"/>
        <w:rPr>
          <w:rFonts w:ascii="Arial" w:cs="Arial" w:eastAsia="Arial" w:hAnsi="Arial"/>
          <w:sz w:val="18"/>
          <w:szCs w:val="18"/>
          <w:color w:val="auto"/>
        </w:rPr>
      </w:pPr>
    </w:p>
    <w:p>
      <w:pPr>
        <w:ind w:left="540" w:hanging="252"/>
        <w:spacing w:after="0"/>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time it takes for the Company’s prescription drug product candidates to complete clinical development and receive marketing approval;</w:t>
      </w:r>
    </w:p>
    <w:p>
      <w:pPr>
        <w:spacing w:after="0" w:line="47" w:lineRule="exact"/>
        <w:rPr>
          <w:rFonts w:ascii="Arial" w:cs="Arial" w:eastAsia="Arial" w:hAnsi="Arial"/>
          <w:sz w:val="17"/>
          <w:szCs w:val="17"/>
          <w:color w:val="auto"/>
        </w:rPr>
      </w:pPr>
    </w:p>
    <w:p>
      <w:pPr>
        <w:ind w:left="540" w:hanging="25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ability to obtain required regulatory approvals;</w:t>
      </w:r>
    </w:p>
    <w:p>
      <w:pPr>
        <w:spacing w:after="0" w:line="47" w:lineRule="exact"/>
        <w:rPr>
          <w:rFonts w:ascii="Arial" w:cs="Arial" w:eastAsia="Arial" w:hAnsi="Arial"/>
          <w:sz w:val="18"/>
          <w:szCs w:val="18"/>
          <w:color w:val="auto"/>
        </w:rPr>
      </w:pPr>
    </w:p>
    <w:p>
      <w:pPr>
        <w:ind w:left="540" w:hanging="25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Company’s ability to commercialize any of its prescription drug product candidates that receive regulatory approval;</w:t>
      </w:r>
    </w:p>
    <w:p>
      <w:pPr>
        <w:spacing w:after="0" w:line="35" w:lineRule="exact"/>
        <w:rPr>
          <w:rFonts w:ascii="Arial" w:cs="Arial" w:eastAsia="Arial" w:hAnsi="Arial"/>
          <w:sz w:val="18"/>
          <w:szCs w:val="18"/>
          <w:color w:val="auto"/>
        </w:rPr>
      </w:pPr>
    </w:p>
    <w:p>
      <w:pPr>
        <w:ind w:left="540" w:hanging="252"/>
        <w:spacing w:after="0"/>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Company’s ability to establish, maintain and protect intellectual property rights related to its prescription drug product candidates; and</w:t>
      </w:r>
    </w:p>
    <w:p>
      <w:pPr>
        <w:spacing w:after="0" w:line="59" w:lineRule="exact"/>
        <w:rPr>
          <w:rFonts w:ascii="Arial" w:cs="Arial" w:eastAsia="Arial" w:hAnsi="Arial"/>
          <w:sz w:val="17"/>
          <w:szCs w:val="17"/>
          <w:color w:val="auto"/>
        </w:rPr>
      </w:pPr>
    </w:p>
    <w:p>
      <w:pPr>
        <w:ind w:left="580" w:right="20" w:hanging="292"/>
        <w:spacing w:after="0" w:line="303" w:lineRule="auto"/>
        <w:tabs>
          <w:tab w:leader="none" w:pos="6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acceptance of any of the Company’s prescription drug product candidates that receive regulatory approval by physicians and other healthcare providers and payers.</w:t>
      </w:r>
    </w:p>
    <w:p>
      <w:pPr>
        <w:spacing w:after="0" w:line="181"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60"/>
          </w:cols>
          <w:pgMar w:left="320" w:top="731" w:right="319" w:bottom="1440" w:gutter="0" w:footer="0" w:header="0"/>
        </w:sectPr>
      </w:pPr>
    </w:p>
    <w:bookmarkStart w:id="101" w:name="page102"/>
    <w:bookmarkEnd w:id="101"/>
    <w:p>
      <w:pPr>
        <w:jc w:val="both"/>
        <w:ind w:right="20"/>
        <w:spacing w:after="0" w:line="351" w:lineRule="auto"/>
        <w:rPr>
          <w:sz w:val="20"/>
          <w:szCs w:val="20"/>
          <w:color w:val="auto"/>
        </w:rPr>
      </w:pPr>
      <w:r>
        <w:rPr>
          <w:rFonts w:ascii="Arial" w:cs="Arial" w:eastAsia="Arial" w:hAnsi="Arial"/>
          <w:sz w:val="16"/>
          <w:szCs w:val="16"/>
          <w:color w:val="auto"/>
        </w:rPr>
        <w:t>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151" w:lineRule="exact"/>
        <w:rPr>
          <w:sz w:val="20"/>
          <w:szCs w:val="20"/>
          <w:color w:val="auto"/>
        </w:rPr>
      </w:pPr>
    </w:p>
    <w:p>
      <w:pPr>
        <w:jc w:val="both"/>
        <w:ind w:right="20"/>
        <w:spacing w:after="0" w:line="317" w:lineRule="auto"/>
        <w:rPr>
          <w:sz w:val="20"/>
          <w:szCs w:val="20"/>
          <w:color w:val="auto"/>
        </w:rPr>
      </w:pPr>
      <w:r>
        <w:rPr>
          <w:rFonts w:ascii="Arial" w:cs="Arial" w:eastAsia="Arial" w:hAnsi="Arial"/>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71" w:lineRule="exact"/>
        <w:rPr>
          <w:sz w:val="20"/>
          <w:szCs w:val="20"/>
          <w:color w:val="auto"/>
        </w:rPr>
      </w:pPr>
    </w:p>
    <w:p>
      <w:pPr>
        <w:jc w:val="both"/>
        <w:ind w:right="20"/>
        <w:spacing w:after="0" w:line="314" w:lineRule="auto"/>
        <w:rPr>
          <w:sz w:val="20"/>
          <w:szCs w:val="20"/>
          <w:color w:val="auto"/>
        </w:rPr>
      </w:pPr>
      <w:r>
        <w:rPr>
          <w:rFonts w:ascii="Arial" w:cs="Arial" w:eastAsia="Arial" w:hAnsi="Arial"/>
          <w:sz w:val="17"/>
          <w:szCs w:val="17"/>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Executives and Scientists</w:t>
      </w:r>
    </w:p>
    <w:p>
      <w:pPr>
        <w:spacing w:after="0" w:line="252" w:lineRule="exact"/>
        <w:rPr>
          <w:sz w:val="20"/>
          <w:szCs w:val="20"/>
          <w:color w:val="auto"/>
        </w:rPr>
      </w:pPr>
    </w:p>
    <w:p>
      <w:pPr>
        <w:jc w:val="both"/>
        <w:ind w:right="20"/>
        <w:spacing w:after="0" w:line="327" w:lineRule="auto"/>
        <w:rPr>
          <w:sz w:val="20"/>
          <w:szCs w:val="20"/>
          <w:color w:val="auto"/>
        </w:rPr>
      </w:pPr>
      <w:r>
        <w:rPr>
          <w:rFonts w:ascii="Arial" w:cs="Arial" w:eastAsia="Arial" w:hAnsi="Arial"/>
          <w:sz w:val="16"/>
          <w:szCs w:val="16"/>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Misconduct</w:t>
      </w:r>
    </w:p>
    <w:p>
      <w:pPr>
        <w:spacing w:after="0" w:line="2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60"/>
          </w:cols>
          <w:pgMar w:left="320" w:top="729" w:right="319" w:bottom="1440" w:gutter="0" w:footer="0" w:header="0"/>
        </w:sectPr>
      </w:pPr>
    </w:p>
    <w:bookmarkStart w:id="102" w:name="page103"/>
    <w:bookmarkEnd w:id="102"/>
    <w:p>
      <w:pPr>
        <w:jc w:val="both"/>
        <w:ind w:right="20"/>
        <w:spacing w:after="0" w:line="324" w:lineRule="auto"/>
        <w:rPr>
          <w:sz w:val="20"/>
          <w:szCs w:val="20"/>
          <w:color w:val="auto"/>
        </w:rPr>
      </w:pPr>
      <w:r>
        <w:rPr>
          <w:rFonts w:ascii="Arial" w:cs="Arial" w:eastAsia="Arial" w:hAnsi="Arial"/>
          <w:sz w:val="17"/>
          <w:szCs w:val="17"/>
          <w:color w:val="auto"/>
        </w:rPr>
        <w:t>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Expansion and Growth</w:t>
      </w:r>
    </w:p>
    <w:p>
      <w:pPr>
        <w:spacing w:after="0" w:line="26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92"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Results of External Clinical Trials or Studies</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66"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7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60"/>
          </w:cols>
          <w:pgMar w:left="320" w:top="729" w:right="319" w:bottom="1440" w:gutter="0" w:footer="0" w:header="0"/>
        </w:sectPr>
      </w:pPr>
    </w:p>
    <w:bookmarkStart w:id="103" w:name="page104"/>
    <w:bookmarkEnd w:id="103"/>
    <w:p>
      <w:pPr>
        <w:jc w:val="both"/>
        <w:ind w:right="20"/>
        <w:spacing w:after="0" w:line="299" w:lineRule="auto"/>
        <w:rPr>
          <w:sz w:val="20"/>
          <w:szCs w:val="20"/>
          <w:color w:val="auto"/>
        </w:rPr>
      </w:pPr>
      <w:r>
        <w:rPr>
          <w:rFonts w:ascii="Arial" w:cs="Arial" w:eastAsia="Arial" w:hAnsi="Arial"/>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Enforcing Contracts</w:t>
      </w:r>
    </w:p>
    <w:p>
      <w:pPr>
        <w:spacing w:after="0" w:line="266" w:lineRule="exact"/>
        <w:rPr>
          <w:sz w:val="20"/>
          <w:szCs w:val="20"/>
          <w:color w:val="auto"/>
        </w:rPr>
      </w:pPr>
    </w:p>
    <w:p>
      <w:pPr>
        <w:jc w:val="both"/>
        <w:ind w:right="20"/>
        <w:spacing w:after="0" w:line="344" w:lineRule="auto"/>
        <w:rPr>
          <w:sz w:val="20"/>
          <w:szCs w:val="20"/>
          <w:color w:val="auto"/>
        </w:rPr>
      </w:pPr>
      <w:r>
        <w:rPr>
          <w:rFonts w:ascii="Arial" w:cs="Arial" w:eastAsia="Arial" w:hAnsi="Arial"/>
          <w:sz w:val="16"/>
          <w:szCs w:val="16"/>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67" w:lineRule="exact"/>
        <w:rPr>
          <w:sz w:val="20"/>
          <w:szCs w:val="20"/>
          <w:color w:val="auto"/>
        </w:rPr>
      </w:pPr>
    </w:p>
    <w:p>
      <w:pPr>
        <w:jc w:val="both"/>
        <w:spacing w:after="0" w:line="371" w:lineRule="auto"/>
        <w:rPr>
          <w:sz w:val="20"/>
          <w:szCs w:val="20"/>
          <w:color w:val="auto"/>
        </w:rPr>
      </w:pPr>
      <w:r>
        <w:rPr>
          <w:rFonts w:ascii="Arial" w:cs="Arial" w:eastAsia="Arial" w:hAnsi="Arial"/>
          <w:sz w:val="16"/>
          <w:szCs w:val="16"/>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Material Recalls</w:t>
      </w:r>
    </w:p>
    <w:p>
      <w:pPr>
        <w:spacing w:after="0" w:line="252"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191"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Supply Chain Interruption</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Difficulty to Forecast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320" w:top="947" w:right="319" w:bottom="1440" w:gutter="0" w:footer="0" w:header="0"/>
        </w:sectPr>
      </w:pPr>
    </w:p>
    <w:bookmarkStart w:id="104" w:name="page105"/>
    <w:bookmarkEnd w:id="104"/>
    <w:p>
      <w:pPr>
        <w:jc w:val="both"/>
        <w:ind w:right="20"/>
        <w:spacing w:after="0" w:line="293" w:lineRule="auto"/>
        <w:rPr>
          <w:sz w:val="20"/>
          <w:szCs w:val="20"/>
          <w:color w:val="auto"/>
        </w:rPr>
      </w:pPr>
      <w:r>
        <w:rPr>
          <w:rFonts w:ascii="Arial" w:cs="Arial" w:eastAsia="Arial" w:hAnsi="Arial"/>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Promoting the Brand</w:t>
      </w:r>
    </w:p>
    <w:p>
      <w:pPr>
        <w:spacing w:after="0" w:line="254"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Viability</w:t>
      </w:r>
    </w:p>
    <w:p>
      <w:pPr>
        <w:spacing w:after="0" w:line="256" w:lineRule="exact"/>
        <w:rPr>
          <w:sz w:val="20"/>
          <w:szCs w:val="20"/>
          <w:color w:val="auto"/>
        </w:rPr>
      </w:pPr>
    </w:p>
    <w:p>
      <w:pPr>
        <w:jc w:val="both"/>
        <w:ind w:right="20"/>
        <w:spacing w:after="0" w:line="314" w:lineRule="auto"/>
        <w:rPr>
          <w:sz w:val="20"/>
          <w:szCs w:val="20"/>
          <w:color w:val="auto"/>
        </w:rPr>
      </w:pPr>
      <w:r>
        <w:rPr>
          <w:rFonts w:ascii="Arial" w:cs="Arial" w:eastAsia="Arial" w:hAnsi="Arial"/>
          <w:sz w:val="17"/>
          <w:szCs w:val="17"/>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of Quality Control Systems</w:t>
      </w:r>
    </w:p>
    <w:p>
      <w:pPr>
        <w:spacing w:after="0" w:line="254"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Key Inputs</w:t>
      </w:r>
    </w:p>
    <w:p>
      <w:pPr>
        <w:spacing w:after="0" w:line="25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Arising from Fraudulent or Illegal Activity</w:t>
      </w:r>
    </w:p>
    <w:p>
      <w:pPr>
        <w:spacing w:after="0" w:line="266"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60"/>
          </w:cols>
          <w:pgMar w:left="320" w:top="729" w:right="319" w:bottom="1440" w:gutter="0" w:footer="0" w:header="0"/>
        </w:sectPr>
      </w:pPr>
    </w:p>
    <w:bookmarkStart w:id="105" w:name="page106"/>
    <w:bookmarkEnd w:id="105"/>
    <w:p>
      <w:pPr>
        <w:jc w:val="both"/>
        <w:ind w:right="20"/>
        <w:spacing w:after="0" w:line="299" w:lineRule="auto"/>
        <w:rPr>
          <w:sz w:val="20"/>
          <w:szCs w:val="20"/>
          <w:color w:val="auto"/>
        </w:rPr>
      </w:pPr>
      <w:r>
        <w:rPr>
          <w:rFonts w:ascii="Arial" w:cs="Arial" w:eastAsia="Arial" w:hAnsi="Arial"/>
          <w:sz w:val="18"/>
          <w:szCs w:val="18"/>
          <w:color w:val="auto"/>
        </w:rPr>
        <w:t>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84"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Risk and Insurance Coverage</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Operating as Public Company</w:t>
      </w: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of Growth</w:t>
      </w:r>
    </w:p>
    <w:p>
      <w:pPr>
        <w:spacing w:after="0" w:line="254"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60"/>
          </w:cols>
          <w:pgMar w:left="320" w:top="729"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26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21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93" w:lineRule="exact"/>
        <w:rPr>
          <w:sz w:val="20"/>
          <w:szCs w:val="20"/>
          <w:color w:val="auto"/>
        </w:rPr>
      </w:pPr>
    </w:p>
    <w:p>
      <w:pPr>
        <w:jc w:val="both"/>
        <w:ind w:right="20"/>
        <w:spacing w:after="0" w:line="350" w:lineRule="auto"/>
        <w:rPr>
          <w:sz w:val="20"/>
          <w:szCs w:val="20"/>
          <w:color w:val="auto"/>
        </w:rPr>
      </w:pPr>
      <w:r>
        <w:rPr>
          <w:rFonts w:ascii="Arial" w:cs="Arial" w:eastAsia="Arial" w:hAnsi="Arial"/>
          <w:sz w:val="16"/>
          <w:szCs w:val="16"/>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Operations</w:t>
      </w:r>
    </w:p>
    <w:p>
      <w:pPr>
        <w:spacing w:after="0" w:line="266" w:lineRule="exact"/>
        <w:rPr>
          <w:sz w:val="20"/>
          <w:szCs w:val="20"/>
          <w:color w:val="auto"/>
        </w:rPr>
      </w:pPr>
    </w:p>
    <w:p>
      <w:pPr>
        <w:jc w:val="both"/>
        <w:ind w:right="20"/>
        <w:spacing w:after="0" w:line="288" w:lineRule="auto"/>
        <w:rPr>
          <w:sz w:val="20"/>
          <w:szCs w:val="20"/>
          <w:color w:val="auto"/>
        </w:rPr>
      </w:pPr>
      <w:r>
        <w:rPr>
          <w:rFonts w:ascii="Arial" w:cs="Arial" w:eastAsia="Arial" w:hAnsi="Arial"/>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w:t>
      </w:r>
    </w:p>
    <w:p>
      <w:pPr>
        <w:ind w:left="520" w:hanging="23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additional implications that may have a material impact on the Company’s ability to operate in other jurisdictions include:</w:t>
      </w:r>
    </w:p>
    <w:p>
      <w:pPr>
        <w:spacing w:after="0" w:line="33" w:lineRule="exact"/>
        <w:rPr>
          <w:rFonts w:ascii="Arial" w:cs="Arial" w:eastAsia="Arial" w:hAnsi="Arial"/>
          <w:sz w:val="18"/>
          <w:szCs w:val="18"/>
          <w:color w:val="auto"/>
        </w:rPr>
      </w:pPr>
    </w:p>
    <w:p>
      <w:pPr>
        <w:ind w:left="520" w:hanging="23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differences in the regulatory requirements for drug approvals;</w:t>
      </w:r>
    </w:p>
    <w:p>
      <w:pPr>
        <w:spacing w:after="0" w:line="35" w:lineRule="exact"/>
        <w:rPr>
          <w:rFonts w:ascii="Arial" w:cs="Arial" w:eastAsia="Arial" w:hAnsi="Arial"/>
          <w:sz w:val="18"/>
          <w:szCs w:val="18"/>
          <w:color w:val="auto"/>
        </w:rPr>
      </w:pPr>
    </w:p>
    <w:p>
      <w:pPr>
        <w:ind w:left="520" w:hanging="23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differing requirements for securing, maintaining or obtaining freedom to operate;</w:t>
      </w:r>
    </w:p>
    <w:p>
      <w:pPr>
        <w:spacing w:after="0" w:line="47" w:lineRule="exact"/>
        <w:rPr>
          <w:rFonts w:ascii="Arial" w:cs="Arial" w:eastAsia="Arial" w:hAnsi="Arial"/>
          <w:sz w:val="18"/>
          <w:szCs w:val="18"/>
          <w:color w:val="auto"/>
        </w:rPr>
      </w:pPr>
    </w:p>
    <w:p>
      <w:pPr>
        <w:ind w:left="520" w:hanging="23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potential for reduced protection for intellectual property rights;</w:t>
      </w:r>
    </w:p>
    <w:p>
      <w:pPr>
        <w:spacing w:after="0" w:line="35" w:lineRule="exact"/>
        <w:rPr>
          <w:rFonts w:ascii="Arial" w:cs="Arial" w:eastAsia="Arial" w:hAnsi="Arial"/>
          <w:sz w:val="18"/>
          <w:szCs w:val="18"/>
          <w:color w:val="auto"/>
        </w:rPr>
      </w:pPr>
    </w:p>
    <w:p>
      <w:pPr>
        <w:ind w:left="580" w:hanging="29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challenges with compliance to different regulations and court systems of multiple jurisdictions and</w:t>
      </w:r>
    </w:p>
    <w:p>
      <w:pPr>
        <w:spacing w:after="0" w:line="47" w:lineRule="exact"/>
        <w:rPr>
          <w:rFonts w:ascii="Arial" w:cs="Arial" w:eastAsia="Arial" w:hAnsi="Arial"/>
          <w:sz w:val="18"/>
          <w:szCs w:val="18"/>
          <w:color w:val="auto"/>
        </w:rPr>
      </w:pPr>
    </w:p>
    <w:p>
      <w:pPr>
        <w:ind w:left="520" w:hanging="23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a wide variety of foreign laws, treaties and regulations;</w:t>
      </w:r>
    </w:p>
    <w:p>
      <w:pPr>
        <w:spacing w:after="0" w:line="35" w:lineRule="exact"/>
        <w:rPr>
          <w:rFonts w:ascii="Arial" w:cs="Arial" w:eastAsia="Arial" w:hAnsi="Arial"/>
          <w:sz w:val="18"/>
          <w:szCs w:val="18"/>
          <w:color w:val="auto"/>
        </w:rPr>
      </w:pPr>
    </w:p>
    <w:p>
      <w:pPr>
        <w:ind w:left="580" w:hanging="29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international markets;</w:t>
      </w:r>
    </w:p>
    <w:p>
      <w:pPr>
        <w:spacing w:after="0" w:line="47" w:lineRule="exact"/>
        <w:rPr>
          <w:rFonts w:ascii="Arial" w:cs="Arial" w:eastAsia="Arial" w:hAnsi="Arial"/>
          <w:sz w:val="18"/>
          <w:szCs w:val="18"/>
          <w:color w:val="auto"/>
        </w:rPr>
      </w:pPr>
    </w:p>
    <w:p>
      <w:pPr>
        <w:ind w:left="580" w:hanging="29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differing labor relations that create challenges with staffing and managing international operations; and</w:t>
      </w:r>
    </w:p>
    <w:p>
      <w:pPr>
        <w:spacing w:after="0" w:line="35" w:lineRule="exact"/>
        <w:rPr>
          <w:rFonts w:ascii="Arial" w:cs="Arial" w:eastAsia="Arial" w:hAnsi="Arial"/>
          <w:sz w:val="18"/>
          <w:szCs w:val="18"/>
          <w:color w:val="auto"/>
        </w:rPr>
      </w:pPr>
    </w:p>
    <w:p>
      <w:pPr>
        <w:ind w:left="580" w:hanging="29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impacts on manufacturing capabilities leading to production shortages.</w:t>
      </w:r>
    </w:p>
    <w:p>
      <w:pPr>
        <w:spacing w:after="0" w:line="266"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51"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60"/>
          </w:cols>
          <w:pgMar w:left="320" w:top="729"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Exchange Rate Fluctuations</w:t>
      </w:r>
    </w:p>
    <w:p>
      <w:pPr>
        <w:spacing w:after="0" w:line="26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and Privacy Risk</w:t>
      </w:r>
    </w:p>
    <w:p>
      <w:pPr>
        <w:spacing w:after="0" w:line="25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82"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86"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Arial" w:cs="Arial" w:eastAsia="Arial" w:hAnsi="Arial"/>
          <w:sz w:val="17"/>
          <w:szCs w:val="17"/>
          <w:i w:val="1"/>
          <w:iCs w:val="1"/>
          <w:color w:val="auto"/>
        </w:rPr>
        <w:t>Personal Information Protection and Electronics Documents Act</w:t>
      </w:r>
      <w:r>
        <w:rPr>
          <w:rFonts w:ascii="Arial" w:cs="Arial" w:eastAsia="Arial" w:hAnsi="Arial"/>
          <w:sz w:val="17"/>
          <w:szCs w:val="17"/>
          <w:color w:val="auto"/>
        </w:rPr>
        <w:t xml:space="preserve"> (Canada) (“</w:t>
      </w:r>
      <w:r>
        <w:rPr>
          <w:rFonts w:ascii="Arial" w:cs="Arial" w:eastAsia="Arial" w:hAnsi="Arial"/>
          <w:sz w:val="17"/>
          <w:szCs w:val="17"/>
          <w:b w:val="1"/>
          <w:bCs w:val="1"/>
          <w:color w:val="auto"/>
        </w:rPr>
        <w:t>PIPEDA</w:t>
      </w:r>
      <w:r>
        <w:rPr>
          <w:rFonts w:ascii="Arial" w:cs="Arial" w:eastAsia="Arial" w:hAnsi="Arial"/>
          <w:sz w:val="17"/>
          <w:szCs w:val="17"/>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 and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60"/>
          </w:cols>
          <w:pgMar w:left="320" w:top="949" w:right="319" w:bottom="1440" w:gutter="0" w:footer="0" w:header="0"/>
        </w:sectPr>
      </w:pPr>
    </w:p>
    <w:bookmarkStart w:id="108" w:name="page109"/>
    <w:bookmarkEnd w:id="108"/>
    <w:p>
      <w:pPr>
        <w:jc w:val="both"/>
        <w:spacing w:after="0" w:line="338" w:lineRule="auto"/>
        <w:rPr>
          <w:sz w:val="20"/>
          <w:szCs w:val="20"/>
          <w:color w:val="auto"/>
        </w:rPr>
      </w:pPr>
      <w:r>
        <w:rPr>
          <w:rFonts w:ascii="Arial" w:cs="Arial" w:eastAsia="Arial" w:hAnsi="Arial"/>
          <w:sz w:val="16"/>
          <w:szCs w:val="16"/>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60"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8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Decriminalization of Psychedelics</w:t>
      </w:r>
    </w:p>
    <w:p>
      <w:pPr>
        <w:spacing w:after="0" w:line="254"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DMT,and potentially other psychotropic compounds in the future may also impact commercial sales for the Company due to a reduced barrier to entry leading to a risk of increasing competition.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 may prove to be inaccurate</w:t>
      </w:r>
    </w:p>
    <w:p>
      <w:pPr>
        <w:spacing w:after="0" w:line="254" w:lineRule="exact"/>
        <w:rPr>
          <w:sz w:val="20"/>
          <w:szCs w:val="20"/>
          <w:color w:val="auto"/>
        </w:rPr>
      </w:pPr>
    </w:p>
    <w:p>
      <w:pPr>
        <w:jc w:val="both"/>
        <w:spacing w:after="0" w:line="351" w:lineRule="auto"/>
        <w:rPr>
          <w:sz w:val="20"/>
          <w:szCs w:val="20"/>
          <w:color w:val="auto"/>
        </w:rPr>
      </w:pPr>
      <w:r>
        <w:rPr>
          <w:rFonts w:ascii="Arial" w:cs="Arial" w:eastAsia="Arial" w:hAnsi="Arial"/>
          <w:sz w:val="16"/>
          <w:szCs w:val="16"/>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54"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60"/>
          </w:cols>
          <w:pgMar w:left="320" w:top="729"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Political and Economic Conditions</w:t>
      </w:r>
    </w:p>
    <w:p>
      <w:pPr>
        <w:spacing w:after="0" w:line="26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20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72" w:lineRule="exact"/>
        <w:rPr>
          <w:sz w:val="20"/>
          <w:szCs w:val="20"/>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inflation;</w:t>
      </w:r>
    </w:p>
    <w:p>
      <w:pPr>
        <w:spacing w:after="0" w:line="33"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exchange rates;</w:t>
      </w:r>
    </w:p>
    <w:p>
      <w:pPr>
        <w:spacing w:after="0" w:line="49"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exchange controls and restrictions on remittances abroad;</w:t>
      </w:r>
    </w:p>
    <w:p>
      <w:pPr>
        <w:spacing w:after="0" w:line="33"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rates and monetary policies;</w:t>
      </w:r>
    </w:p>
    <w:p>
      <w:pPr>
        <w:spacing w:after="0" w:line="35"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47"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liquidity of domestic capital, credit and financial markets;</w:t>
      </w:r>
    </w:p>
    <w:p>
      <w:pPr>
        <w:spacing w:after="0" w:line="35"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or contraction of foreign economies, as measured by rates of growth in gross domestic product;</w:t>
      </w:r>
    </w:p>
    <w:p>
      <w:pPr>
        <w:spacing w:after="0" w:line="37"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fiscal policies; and</w:t>
      </w:r>
    </w:p>
    <w:p>
      <w:pPr>
        <w:spacing w:after="0" w:line="47" w:lineRule="exact"/>
        <w:rPr>
          <w:rFonts w:ascii="Arial" w:cs="Arial" w:eastAsia="Arial" w:hAnsi="Arial"/>
          <w:sz w:val="18"/>
          <w:szCs w:val="18"/>
          <w:color w:val="auto"/>
        </w:rPr>
      </w:pPr>
    </w:p>
    <w:p>
      <w:pPr>
        <w:ind w:left="540" w:hanging="25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political, social and economic developments in or affecting foreign markets.</w:t>
      </w:r>
    </w:p>
    <w:p>
      <w:pPr>
        <w:spacing w:after="0" w:line="25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202" w:lineRule="exact"/>
        <w:rPr>
          <w:sz w:val="20"/>
          <w:szCs w:val="20"/>
          <w:color w:val="auto"/>
        </w:rPr>
      </w:pPr>
    </w:p>
    <w:p>
      <w:pPr>
        <w:jc w:val="both"/>
        <w:spacing w:after="0" w:line="335" w:lineRule="auto"/>
        <w:rPr>
          <w:sz w:val="20"/>
          <w:szCs w:val="20"/>
          <w:color w:val="auto"/>
        </w:rPr>
      </w:pPr>
      <w:r>
        <w:rPr>
          <w:rFonts w:ascii="Arial" w:cs="Arial" w:eastAsia="Arial" w:hAnsi="Arial"/>
          <w:sz w:val="17"/>
          <w:szCs w:val="17"/>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8" w:lineRule="exact"/>
        <w:rPr>
          <w:sz w:val="20"/>
          <w:szCs w:val="20"/>
          <w:color w:val="auto"/>
        </w:rPr>
      </w:pPr>
    </w:p>
    <w:p>
      <w:pPr>
        <w:jc w:val="both"/>
        <w:ind w:right="20"/>
        <w:spacing w:after="0" w:line="299" w:lineRule="auto"/>
        <w:rPr>
          <w:sz w:val="20"/>
          <w:szCs w:val="20"/>
          <w:color w:val="auto"/>
        </w:rPr>
      </w:pPr>
      <w:r>
        <w:rPr>
          <w:rFonts w:ascii="Arial" w:cs="Arial" w:eastAsia="Arial" w:hAnsi="Arial"/>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and Interpretation of Tax Laws</w:t>
      </w:r>
    </w:p>
    <w:p>
      <w:pPr>
        <w:spacing w:after="0" w:line="254"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60"/>
          </w:cols>
          <w:pgMar w:left="320" w:top="731" w:right="319" w:bottom="1440" w:gutter="0" w:footer="0" w:header="0"/>
        </w:sectPr>
      </w:pPr>
    </w:p>
    <w:bookmarkStart w:id="110" w:name="page111"/>
    <w:bookmarkEnd w:id="110"/>
    <w:p>
      <w:pPr>
        <w:jc w:val="both"/>
        <w:spacing w:after="0" w:line="317" w:lineRule="auto"/>
        <w:rPr>
          <w:sz w:val="20"/>
          <w:szCs w:val="20"/>
          <w:color w:val="auto"/>
        </w:rPr>
      </w:pPr>
      <w:r>
        <w:rPr>
          <w:rFonts w:ascii="Arial" w:cs="Arial" w:eastAsia="Arial" w:hAnsi="Arial"/>
          <w:sz w:val="18"/>
          <w:szCs w:val="18"/>
          <w:color w:val="auto"/>
        </w:rPr>
        <w:t>fiscal policy, changes in legislation, evolution of regulation and court rulings. The application of these tax laws and related regulations is subject to legal and factual interpretation, judgment and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Civil Liabilities</w:t>
      </w:r>
    </w:p>
    <w:p>
      <w:pPr>
        <w:spacing w:after="0" w:line="254" w:lineRule="exact"/>
        <w:rPr>
          <w:sz w:val="20"/>
          <w:szCs w:val="20"/>
          <w:color w:val="auto"/>
        </w:rPr>
      </w:pPr>
    </w:p>
    <w:p>
      <w:pPr>
        <w:jc w:val="both"/>
        <w:spacing w:after="0" w:line="320" w:lineRule="auto"/>
        <w:rPr>
          <w:sz w:val="20"/>
          <w:szCs w:val="20"/>
          <w:color w:val="auto"/>
        </w:rPr>
      </w:pPr>
      <w:r>
        <w:rPr>
          <w:rFonts w:ascii="Arial" w:cs="Arial" w:eastAsia="Arial" w:hAnsi="Arial"/>
          <w:sz w:val="16"/>
          <w:szCs w:val="16"/>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 Protection</w:t>
      </w:r>
    </w:p>
    <w:p>
      <w:pPr>
        <w:spacing w:after="0" w:line="24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Failure to register trademarks for the Company or its products could require the Company to rebrand its products resulting in a material adverse impact on its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42" w:lineRule="exact"/>
        <w:rPr>
          <w:sz w:val="20"/>
          <w:szCs w:val="20"/>
          <w:color w:val="auto"/>
        </w:rPr>
      </w:pPr>
    </w:p>
    <w:p>
      <w:pPr>
        <w:jc w:val="both"/>
        <w:spacing w:after="0" w:line="326" w:lineRule="auto"/>
        <w:rPr>
          <w:sz w:val="20"/>
          <w:szCs w:val="20"/>
          <w:color w:val="auto"/>
        </w:rPr>
      </w:pPr>
      <w:r>
        <w:rPr>
          <w:rFonts w:ascii="Arial" w:cs="Arial" w:eastAsia="Arial" w:hAnsi="Arial"/>
          <w:sz w:val="16"/>
          <w:szCs w:val="16"/>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72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Patent Law Reform</w:t>
      </w:r>
    </w:p>
    <w:p>
      <w:pPr>
        <w:spacing w:after="0" w:line="242"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Litigation and Intellectual Property</w:t>
      </w:r>
    </w:p>
    <w:p>
      <w:pPr>
        <w:spacing w:after="0" w:line="242" w:lineRule="exact"/>
        <w:rPr>
          <w:sz w:val="20"/>
          <w:szCs w:val="20"/>
          <w:color w:val="auto"/>
        </w:rPr>
      </w:pPr>
    </w:p>
    <w:p>
      <w:pPr>
        <w:jc w:val="both"/>
        <w:ind w:right="20"/>
        <w:spacing w:after="0" w:line="290" w:lineRule="auto"/>
        <w:rPr>
          <w:sz w:val="20"/>
          <w:szCs w:val="20"/>
          <w:color w:val="auto"/>
        </w:rPr>
      </w:pPr>
      <w:r>
        <w:rPr>
          <w:rFonts w:ascii="Arial" w:cs="Arial" w:eastAsia="Arial" w:hAnsi="Arial"/>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80"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1"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60"/>
          </w:cols>
          <w:pgMar w:left="320" w:top="729" w:right="319" w:bottom="1440" w:gutter="0" w:footer="0" w:header="0"/>
        </w:sectPr>
      </w:pPr>
    </w:p>
    <w:bookmarkStart w:id="112" w:name="page113"/>
    <w:bookmarkEnd w:id="112"/>
    <w:p>
      <w:pPr>
        <w:jc w:val="both"/>
        <w:spacing w:after="0" w:line="309" w:lineRule="auto"/>
        <w:rPr>
          <w:sz w:val="20"/>
          <w:szCs w:val="20"/>
          <w:color w:val="auto"/>
        </w:rPr>
      </w:pPr>
      <w:r>
        <w:rPr>
          <w:rFonts w:ascii="Arial" w:cs="Arial" w:eastAsia="Arial" w:hAnsi="Arial"/>
          <w:sz w:val="17"/>
          <w:szCs w:val="17"/>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Intellectual Property</w:t>
      </w:r>
    </w:p>
    <w:p>
      <w:pPr>
        <w:spacing w:after="0" w:line="232"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Licences</w:t>
      </w:r>
    </w:p>
    <w:p>
      <w:pPr>
        <w:spacing w:after="0" w:line="240"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56" w:lineRule="exact"/>
        <w:rPr>
          <w:sz w:val="20"/>
          <w:szCs w:val="20"/>
          <w:color w:val="auto"/>
        </w:rPr>
      </w:pPr>
    </w:p>
    <w:p>
      <w:pPr>
        <w:jc w:val="both"/>
        <w:ind w:right="20"/>
        <w:spacing w:after="0" w:line="298" w:lineRule="auto"/>
        <w:rPr>
          <w:sz w:val="20"/>
          <w:szCs w:val="20"/>
          <w:color w:val="auto"/>
        </w:rPr>
      </w:pPr>
      <w:r>
        <w:rPr>
          <w:rFonts w:ascii="Arial" w:cs="Arial" w:eastAsia="Arial" w:hAnsi="Arial"/>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Accounting Risks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Number of Authorized but Unissued Common Shares</w:t>
      </w:r>
    </w:p>
    <w:p>
      <w:pPr>
        <w:spacing w:after="0" w:line="25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254" w:lineRule="exact"/>
        <w:rPr>
          <w:sz w:val="20"/>
          <w:szCs w:val="20"/>
          <w:color w:val="auto"/>
        </w:rPr>
      </w:pPr>
    </w:p>
    <w:p>
      <w:pPr>
        <w:jc w:val="both"/>
        <w:ind w:right="20"/>
        <w:spacing w:after="0" w:line="351" w:lineRule="auto"/>
        <w:rPr>
          <w:sz w:val="20"/>
          <w:szCs w:val="20"/>
          <w:color w:val="auto"/>
        </w:rPr>
      </w:pPr>
      <w:r>
        <w:rPr>
          <w:rFonts w:ascii="Arial" w:cs="Arial" w:eastAsia="Arial" w:hAnsi="Arial"/>
          <w:sz w:val="16"/>
          <w:szCs w:val="16"/>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60"/>
          </w:cols>
          <w:pgMar w:left="320" w:top="729" w:right="319" w:bottom="1440" w:gutter="0" w:footer="0" w:header="0"/>
        </w:sectPr>
      </w:pPr>
    </w:p>
    <w:bookmarkStart w:id="113" w:name="page114"/>
    <w:bookmarkEnd w:id="113"/>
    <w:p>
      <w:pPr>
        <w:jc w:val="both"/>
        <w:ind w:right="20"/>
        <w:spacing w:after="0" w:line="299" w:lineRule="auto"/>
        <w:rPr>
          <w:sz w:val="20"/>
          <w:szCs w:val="20"/>
          <w:color w:val="auto"/>
        </w:rPr>
      </w:pPr>
      <w:r>
        <w:rPr>
          <w:rFonts w:ascii="Arial" w:cs="Arial" w:eastAsia="Arial" w:hAnsi="Arial"/>
          <w:sz w:val="18"/>
          <w:szCs w:val="18"/>
          <w:color w:val="auto"/>
        </w:rPr>
        <w:t>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Cash Flow from Operating Activities and Going Concern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76" w:lineRule="exact"/>
        <w:rPr>
          <w:sz w:val="20"/>
          <w:szCs w:val="20"/>
          <w:color w:val="auto"/>
        </w:rPr>
      </w:pPr>
    </w:p>
    <w:p>
      <w:pPr>
        <w:jc w:val="both"/>
        <w:spacing w:after="0" w:line="318" w:lineRule="auto"/>
        <w:rPr>
          <w:sz w:val="20"/>
          <w:szCs w:val="20"/>
          <w:color w:val="auto"/>
        </w:rPr>
      </w:pPr>
      <w:r>
        <w:rPr>
          <w:rFonts w:ascii="Arial" w:cs="Arial" w:eastAsia="Arial" w:hAnsi="Arial"/>
          <w:sz w:val="16"/>
          <w:szCs w:val="16"/>
          <w:color w:val="auto"/>
        </w:rPr>
        <w:t xml:space="preserve">The threat of the Company’s ability </w:t>
      </w:r>
      <w:r>
        <w:rPr>
          <w:rFonts w:ascii="Arial" w:cs="Arial" w:eastAsia="Arial" w:hAnsi="Arial"/>
          <w:sz w:val="17"/>
          <w:szCs w:val="17"/>
          <w:color w:val="auto"/>
        </w:rPr>
        <w:t>to</w:t>
      </w:r>
      <w:r>
        <w:rPr>
          <w:rFonts w:ascii="Arial" w:cs="Arial" w:eastAsia="Arial" w:hAnsi="Arial"/>
          <w:sz w:val="16"/>
          <w:szCs w:val="16"/>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Financial Statements do not include any adjustments to the Company’s recorded assets or liabilities that might be necessary if the Company becomes unable to continue as a going concern.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Capital Requirements</w:t>
      </w:r>
    </w:p>
    <w:p>
      <w:pPr>
        <w:spacing w:after="0" w:line="254"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16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Heightened regulatory scrutiny could have a negative impact on the Company’s ability to raise capital.The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Significant Product Revenue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60"/>
          </w:cols>
          <w:pgMar w:left="320" w:top="729" w:right="319" w:bottom="1440" w:gutter="0" w:footer="0" w:header="0"/>
        </w:sectPr>
      </w:pPr>
    </w:p>
    <w:bookmarkStart w:id="114" w:name="page115"/>
    <w:bookmarkEnd w:id="114"/>
    <w:p>
      <w:pPr>
        <w:jc w:val="both"/>
        <w:spacing w:after="0" w:line="333" w:lineRule="auto"/>
        <w:rPr>
          <w:sz w:val="20"/>
          <w:szCs w:val="20"/>
          <w:color w:val="auto"/>
        </w:rPr>
      </w:pPr>
      <w:r>
        <w:rPr>
          <w:rFonts w:ascii="Arial" w:cs="Arial" w:eastAsia="Arial" w:hAnsi="Arial"/>
          <w:sz w:val="16"/>
          <w:szCs w:val="16"/>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or Judgments Relating to Critical Accounting Policies</w:t>
      </w:r>
    </w:p>
    <w:p>
      <w:pPr>
        <w:spacing w:after="0" w:line="26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Inadequate Internal Controls</w:t>
      </w:r>
    </w:p>
    <w:p>
      <w:pPr>
        <w:spacing w:after="0" w:line="252"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Common Shares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the Common Shares</w:t>
      </w:r>
    </w:p>
    <w:p>
      <w:pPr>
        <w:spacing w:after="0" w:line="23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60"/>
          </w:cols>
          <w:pgMar w:left="320" w:top="947" w:right="319" w:bottom="1440" w:gutter="0" w:footer="0" w:header="0"/>
        </w:sectPr>
      </w:pPr>
    </w:p>
    <w:bookmarkStart w:id="115" w:name="page116"/>
    <w:bookmarkEnd w:id="115"/>
    <w:p>
      <w:pPr>
        <w:jc w:val="both"/>
        <w:ind w:right="20"/>
        <w:spacing w:after="0" w:line="317" w:lineRule="auto"/>
        <w:rPr>
          <w:sz w:val="20"/>
          <w:szCs w:val="20"/>
          <w:color w:val="auto"/>
        </w:rPr>
      </w:pPr>
      <w:r>
        <w:rPr>
          <w:rFonts w:ascii="Arial" w:cs="Arial" w:eastAsia="Arial" w:hAnsi="Arial"/>
          <w:sz w:val="18"/>
          <w:szCs w:val="18"/>
          <w:color w:val="auto"/>
        </w:rPr>
        <w:t>escrow releases, sales of large blocks of the Common Shares; (xiii) departures of key employees or members of management; or (xiv) an adverse impact on the Company from any of the other risks cited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Sales of the Common Shares</w:t>
      </w:r>
    </w:p>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17"/>
          <w:szCs w:val="17"/>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Volatile Market Price for the Common Shares</w:t>
      </w:r>
    </w:p>
    <w:p>
      <w:pPr>
        <w:spacing w:after="0" w:line="242"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6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Issues</w:t>
      </w:r>
    </w:p>
    <w:p>
      <w:pPr>
        <w:spacing w:after="0" w:line="24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There may be income tax consequences in relation to the Common Shares, which will vary according to circumstances. Independent advice from tax and legal advisers should be obtained.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Dividends</w:t>
      </w:r>
    </w:p>
    <w:p>
      <w:pPr>
        <w:spacing w:after="0" w:line="242" w:lineRule="exact"/>
        <w:rPr>
          <w:sz w:val="20"/>
          <w:szCs w:val="20"/>
          <w:color w:val="auto"/>
        </w:rPr>
      </w:pPr>
    </w:p>
    <w:p>
      <w:pPr>
        <w:jc w:val="both"/>
        <w:spacing w:after="0" w:line="299" w:lineRule="auto"/>
        <w:rPr>
          <w:sz w:val="20"/>
          <w:szCs w:val="20"/>
          <w:color w:val="auto"/>
        </w:rPr>
      </w:pPr>
      <w:r>
        <w:rPr>
          <w:rFonts w:ascii="Arial" w:cs="Arial" w:eastAsia="Arial" w:hAnsi="Arial"/>
          <w:sz w:val="18"/>
          <w:szCs w:val="18"/>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60"/>
          </w:cols>
          <w:pgMar w:left="320" w:top="729" w:right="319" w:bottom="1440" w:gutter="0" w:footer="0" w:header="0"/>
        </w:sectPr>
      </w:pPr>
    </w:p>
    <w:bookmarkStart w:id="116" w:name="page117"/>
    <w:bookmarkEnd w:id="116"/>
    <w:p>
      <w:pPr>
        <w:spacing w:after="0" w:line="317" w:lineRule="auto"/>
        <w:rPr>
          <w:sz w:val="20"/>
          <w:szCs w:val="20"/>
          <w:color w:val="auto"/>
        </w:rPr>
      </w:pPr>
      <w:r>
        <w:rPr>
          <w:rFonts w:ascii="Arial" w:cs="Arial" w:eastAsia="Arial" w:hAnsi="Arial"/>
          <w:sz w:val="18"/>
          <w:szCs w:val="18"/>
          <w:color w:val="auto"/>
        </w:rPr>
        <w:t>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on the Company has been filed electronically through SEDAR+ and is available online at </w:t>
      </w:r>
      <w:r>
        <w:rPr>
          <w:rFonts w:ascii="Arial" w:cs="Arial" w:eastAsia="Arial" w:hAnsi="Arial"/>
          <w:sz w:val="18"/>
          <w:szCs w:val="18"/>
          <w:i w:val="1"/>
          <w:iCs w:val="1"/>
          <w:u w:val="single" w:color="auto"/>
          <w:color w:val="0563C1"/>
        </w:rPr>
        <w:t>www.sedarplus.ca</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729" w:right="339" w:bottom="1440" w:gutter="0" w:footer="0" w:header="0"/>
        </w:sectPr>
      </w:pPr>
    </w:p>
    <w:bookmarkStart w:id="117" w:name="page118"/>
    <w:bookmarkEnd w:id="117"/>
    <w:p>
      <w:pPr>
        <w:jc w:val="center"/>
        <w:ind w:right="-2"/>
        <w:spacing w:after="0"/>
        <w:rPr>
          <w:sz w:val="20"/>
          <w:szCs w:val="20"/>
          <w:color w:val="auto"/>
        </w:rPr>
      </w:pPr>
      <w:r>
        <w:rPr>
          <w:rFonts w:ascii="Arial" w:cs="Arial" w:eastAsia="Arial" w:hAnsi="Arial"/>
          <w:sz w:val="16"/>
          <w:szCs w:val="16"/>
          <w:b w:val="1"/>
          <w:bCs w:val="1"/>
          <w:color w:val="auto"/>
        </w:rPr>
        <w:t>FORM 52-109F2</w:t>
      </w:r>
    </w:p>
    <w:p>
      <w:pPr>
        <w:jc w:val="center"/>
        <w:ind w:right="-2"/>
        <w:spacing w:after="0" w:line="221" w:lineRule="auto"/>
        <w:rPr>
          <w:sz w:val="20"/>
          <w:szCs w:val="20"/>
          <w:color w:val="auto"/>
        </w:rPr>
      </w:pPr>
      <w:r>
        <w:rPr>
          <w:rFonts w:ascii="Arial" w:cs="Arial" w:eastAsia="Arial" w:hAnsi="Arial"/>
          <w:sz w:val="16"/>
          <w:szCs w:val="16"/>
          <w:b w:val="1"/>
          <w:bCs w:val="1"/>
          <w:color w:val="auto"/>
        </w:rPr>
        <w:t>CERTIFICATION OF INTERIM FILINGS</w:t>
      </w:r>
    </w:p>
    <w:p>
      <w:pPr>
        <w:ind w:left="4843"/>
        <w:spacing w:after="0"/>
        <w:rPr>
          <w:sz w:val="20"/>
          <w:szCs w:val="20"/>
          <w:color w:val="auto"/>
        </w:rPr>
      </w:pPr>
      <w:r>
        <w:rPr>
          <w:rFonts w:ascii="Arial" w:cs="Arial" w:eastAsia="Arial" w:hAnsi="Arial"/>
          <w:sz w:val="16"/>
          <w:szCs w:val="16"/>
          <w:b w:val="1"/>
          <w:bCs w:val="1"/>
          <w:color w:val="auto"/>
        </w:rPr>
        <w:t>FULL CERTIFICATE</w:t>
      </w:r>
    </w:p>
    <w:p>
      <w:pPr>
        <w:spacing w:after="0" w:line="178" w:lineRule="exact"/>
        <w:rPr>
          <w:sz w:val="20"/>
          <w:szCs w:val="20"/>
          <w:color w:val="auto"/>
        </w:rPr>
      </w:pPr>
    </w:p>
    <w:p>
      <w:pPr>
        <w:ind w:left="3"/>
        <w:spacing w:after="0"/>
        <w:rPr>
          <w:sz w:val="20"/>
          <w:szCs w:val="20"/>
          <w:color w:val="auto"/>
        </w:rPr>
      </w:pPr>
      <w:r>
        <w:rPr>
          <w:rFonts w:ascii="Arial" w:cs="Arial" w:eastAsia="Arial" w:hAnsi="Arial"/>
          <w:sz w:val="16"/>
          <w:szCs w:val="16"/>
          <w:color w:val="auto"/>
        </w:rPr>
        <w:t>I, Douglas Drysdale, as Chief Executive Officer of Cybin Inc., certify the following:</w:t>
      </w:r>
    </w:p>
    <w:p>
      <w:pPr>
        <w:spacing w:after="0" w:line="192" w:lineRule="exact"/>
        <w:rPr>
          <w:sz w:val="20"/>
          <w:szCs w:val="20"/>
          <w:color w:val="auto"/>
        </w:rPr>
      </w:pPr>
    </w:p>
    <w:p>
      <w:pPr>
        <w:ind w:left="583" w:hanging="292"/>
        <w:spacing w:after="0" w:line="250" w:lineRule="auto"/>
        <w:tabs>
          <w:tab w:leader="none" w:pos="583"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(the “issuer”) for the interim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2023.</w:t>
      </w:r>
    </w:p>
    <w:p>
      <w:pPr>
        <w:spacing w:after="0" w:line="162" w:lineRule="exact"/>
        <w:rPr>
          <w:rFonts w:ascii="Arial" w:cs="Arial" w:eastAsia="Arial" w:hAnsi="Arial"/>
          <w:sz w:val="16"/>
          <w:szCs w:val="16"/>
          <w:color w:val="auto"/>
        </w:rPr>
      </w:pPr>
    </w:p>
    <w:p>
      <w:pPr>
        <w:jc w:val="both"/>
        <w:ind w:left="583" w:hanging="292"/>
        <w:spacing w:after="0" w:line="231" w:lineRule="auto"/>
        <w:tabs>
          <w:tab w:leader="none" w:pos="583"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3" w:hanging="292"/>
        <w:spacing w:after="0" w:line="231" w:lineRule="auto"/>
        <w:tabs>
          <w:tab w:leader="none" w:pos="583"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3" w:hanging="292"/>
        <w:spacing w:after="0" w:line="231" w:lineRule="auto"/>
        <w:tabs>
          <w:tab w:leader="none" w:pos="583"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3" w:hanging="292"/>
        <w:spacing w:after="0" w:line="237" w:lineRule="auto"/>
        <w:tabs>
          <w:tab w:leader="none" w:pos="583"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82" w:lineRule="exact"/>
        <w:rPr>
          <w:rFonts w:ascii="Arial" w:cs="Arial" w:eastAsia="Arial" w:hAnsi="Arial"/>
          <w:sz w:val="16"/>
          <w:szCs w:val="16"/>
          <w:color w:val="auto"/>
        </w:rPr>
      </w:pPr>
    </w:p>
    <w:p>
      <w:pPr>
        <w:ind w:left="1163" w:hanging="290"/>
        <w:spacing w:after="0"/>
        <w:tabs>
          <w:tab w:leader="none" w:pos="1163"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1" w:lineRule="exact"/>
        <w:rPr>
          <w:rFonts w:ascii="Arial" w:cs="Arial" w:eastAsia="Arial" w:hAnsi="Arial"/>
          <w:sz w:val="16"/>
          <w:szCs w:val="16"/>
          <w:color w:val="auto"/>
        </w:rPr>
      </w:pPr>
    </w:p>
    <w:p>
      <w:pPr>
        <w:ind w:left="1743" w:hanging="288"/>
        <w:spacing w:after="0" w:line="237" w:lineRule="auto"/>
        <w:tabs>
          <w:tab w:leader="none" w:pos="1743" w:val="left"/>
        </w:tabs>
        <w:numPr>
          <w:ilvl w:val="2"/>
          <w:numId w:val="56"/>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82" w:lineRule="exact"/>
        <w:rPr>
          <w:rFonts w:ascii="Arial" w:cs="Arial" w:eastAsia="Arial" w:hAnsi="Arial"/>
          <w:sz w:val="16"/>
          <w:szCs w:val="16"/>
          <w:color w:val="auto"/>
        </w:rPr>
      </w:pPr>
    </w:p>
    <w:p>
      <w:pPr>
        <w:ind w:left="1743" w:hanging="288"/>
        <w:spacing w:after="0" w:line="237" w:lineRule="auto"/>
        <w:tabs>
          <w:tab w:leader="none" w:pos="1743" w:val="left"/>
        </w:tabs>
        <w:numPr>
          <w:ilvl w:val="2"/>
          <w:numId w:val="56"/>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0" w:lineRule="exact"/>
        <w:rPr>
          <w:rFonts w:ascii="Arial" w:cs="Arial" w:eastAsia="Arial" w:hAnsi="Arial"/>
          <w:sz w:val="16"/>
          <w:szCs w:val="16"/>
          <w:color w:val="auto"/>
        </w:rPr>
      </w:pPr>
    </w:p>
    <w:p>
      <w:pPr>
        <w:ind w:left="1163" w:hanging="290"/>
        <w:spacing w:after="0" w:line="250" w:lineRule="auto"/>
        <w:tabs>
          <w:tab w:leader="none" w:pos="1163"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2" w:lineRule="exact"/>
        <w:rPr>
          <w:sz w:val="20"/>
          <w:szCs w:val="20"/>
          <w:color w:val="auto"/>
        </w:rPr>
      </w:pPr>
    </w:p>
    <w:p>
      <w:pPr>
        <w:ind w:left="583" w:hanging="290"/>
        <w:spacing w:after="0" w:line="237" w:lineRule="auto"/>
        <w:tabs>
          <w:tab w:leader="none" w:pos="563"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82" w:lineRule="exact"/>
        <w:rPr>
          <w:sz w:val="20"/>
          <w:szCs w:val="20"/>
          <w:color w:val="auto"/>
        </w:rPr>
      </w:pPr>
    </w:p>
    <w:p>
      <w:pPr>
        <w:ind w:left="283"/>
        <w:spacing w:after="0"/>
        <w:tabs>
          <w:tab w:leader="none" w:pos="643"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283"/>
        <w:spacing w:after="0"/>
        <w:tabs>
          <w:tab w:leader="none" w:pos="643"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583" w:hanging="292"/>
        <w:spacing w:after="0" w:line="250" w:lineRule="auto"/>
        <w:tabs>
          <w:tab w:leader="none" w:pos="583"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July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and ended on September 30, 2023 that has materially affected, or is reasonably likely to materially affect, the issuer’s ICFR.</w:t>
      </w:r>
    </w:p>
    <w:p>
      <w:pPr>
        <w:spacing w:after="0" w:line="102"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November 14, 2023.</w:t>
      </w:r>
    </w:p>
    <w:p>
      <w:pPr>
        <w:spacing w:after="0" w:line="204" w:lineRule="exact"/>
        <w:rPr>
          <w:sz w:val="20"/>
          <w:szCs w:val="20"/>
          <w:color w:val="auto"/>
        </w:rPr>
      </w:pPr>
    </w:p>
    <w:p>
      <w:pPr>
        <w:ind w:left="63" w:right="9640" w:hanging="63"/>
        <w:spacing w:after="0" w:line="318" w:lineRule="auto"/>
        <w:tabs>
          <w:tab w:leader="none" w:pos="213" w:val="left"/>
        </w:tabs>
        <w:numPr>
          <w:ilvl w:val="0"/>
          <w:numId w:val="5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"Douglas Drysdale" </w:t>
      </w:r>
      <w:r>
        <w:rPr>
          <w:rFonts w:ascii="Arial" w:cs="Arial" w:eastAsia="Arial" w:hAnsi="Arial"/>
          <w:sz w:val="15"/>
          <w:szCs w:val="15"/>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19558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ectPr>
          <w:pgSz w:w="11900" w:h="16838" w:orient="portrait"/>
          <w:cols w:equalWidth="0" w:num="1">
            <w:col w:w="11243"/>
          </w:cols>
          <w:pgMar w:left="317" w:top="126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t>FORM 52-109F2</w:t>
      </w:r>
    </w:p>
    <w:p>
      <w:pPr>
        <w:jc w:val="center"/>
        <w:spacing w:after="0" w:line="221" w:lineRule="auto"/>
        <w:rPr>
          <w:sz w:val="20"/>
          <w:szCs w:val="20"/>
          <w:color w:val="auto"/>
        </w:rPr>
      </w:pPr>
      <w:r>
        <w:rPr>
          <w:rFonts w:ascii="Arial" w:cs="Arial" w:eastAsia="Arial" w:hAnsi="Arial"/>
          <w:sz w:val="16"/>
          <w:szCs w:val="16"/>
          <w:b w:val="1"/>
          <w:bCs w:val="1"/>
          <w:color w:val="auto"/>
        </w:rPr>
        <w:t>CERTIFICATION OF INTERIM FILINGS</w:t>
      </w:r>
    </w:p>
    <w:p>
      <w:pPr>
        <w:ind w:left="4840"/>
        <w:spacing w:after="0"/>
        <w:rPr>
          <w:sz w:val="20"/>
          <w:szCs w:val="20"/>
          <w:color w:val="auto"/>
        </w:rPr>
      </w:pPr>
      <w:r>
        <w:rPr>
          <w:rFonts w:ascii="Arial" w:cs="Arial" w:eastAsia="Arial" w:hAnsi="Arial"/>
          <w:sz w:val="16"/>
          <w:szCs w:val="16"/>
          <w:b w:val="1"/>
          <w:bCs w:val="1"/>
          <w:color w:val="auto"/>
        </w:rPr>
        <w:t>FULL CERTIFICATE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Greg Cavers, as Chief Financial Officer of Cybin Inc., certify the following:</w:t>
      </w:r>
    </w:p>
    <w:p>
      <w:pPr>
        <w:spacing w:after="0" w:line="168" w:lineRule="exact"/>
        <w:rPr>
          <w:sz w:val="20"/>
          <w:szCs w:val="20"/>
          <w:color w:val="auto"/>
        </w:rPr>
      </w:pPr>
    </w:p>
    <w:p>
      <w:pPr>
        <w:ind w:left="580" w:hanging="292"/>
        <w:spacing w:after="0" w:line="250"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Review: </w:t>
      </w:r>
      <w:r>
        <w:rPr>
          <w:rFonts w:ascii="Arial" w:cs="Arial" w:eastAsia="Arial" w:hAnsi="Arial"/>
          <w:sz w:val="16"/>
          <w:szCs w:val="16"/>
          <w:color w:val="auto"/>
        </w:rPr>
        <w:t>I have reviewed the interim financial statements and interim MD&amp;A (together, the “interim filings”) of Cybin Inc. (the “issuer”) for the interim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2023.</w:t>
      </w:r>
    </w:p>
    <w:p>
      <w:pPr>
        <w:spacing w:after="0" w:line="162" w:lineRule="exact"/>
        <w:rPr>
          <w:rFonts w:ascii="Arial" w:cs="Arial" w:eastAsia="Arial" w:hAnsi="Arial"/>
          <w:sz w:val="16"/>
          <w:szCs w:val="16"/>
          <w:color w:val="auto"/>
        </w:rPr>
      </w:pPr>
    </w:p>
    <w:p>
      <w:pPr>
        <w:jc w:val="both"/>
        <w:ind w:left="580" w:hanging="292"/>
        <w:spacing w:after="0" w:line="231"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No misrepresentations</w:t>
      </w:r>
      <w:r>
        <w:rPr>
          <w:rFonts w:ascii="Arial" w:cs="Arial" w:eastAsia="Arial" w:hAnsi="Arial"/>
          <w:sz w:val="16"/>
          <w:szCs w:val="16"/>
          <w:color w:val="auto"/>
        </w:rPr>
        <w:t>: Based on my knowledge, having exercised reasonable diligence, the interim filings do not contain any untrue statement of a material fact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2" w:lineRule="exact"/>
        <w:rPr>
          <w:rFonts w:ascii="Arial" w:cs="Arial" w:eastAsia="Arial" w:hAnsi="Arial"/>
          <w:sz w:val="16"/>
          <w:szCs w:val="16"/>
          <w:color w:val="auto"/>
        </w:rPr>
      </w:pPr>
    </w:p>
    <w:p>
      <w:pPr>
        <w:jc w:val="both"/>
        <w:ind w:left="580" w:hanging="292"/>
        <w:spacing w:after="0" w:line="231"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presentation: </w:t>
      </w:r>
      <w:r>
        <w:rPr>
          <w:rFonts w:ascii="Arial" w:cs="Arial" w:eastAsia="Arial" w:hAnsi="Arial"/>
          <w:sz w:val="16"/>
          <w:szCs w:val="16"/>
          <w:color w:val="auto"/>
        </w:rPr>
        <w:t>Based on my knowledge, having exercised reasonable diligence, the interim financial statements together with the other financial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2" w:lineRule="exact"/>
        <w:rPr>
          <w:rFonts w:ascii="Arial" w:cs="Arial" w:eastAsia="Arial" w:hAnsi="Arial"/>
          <w:sz w:val="16"/>
          <w:szCs w:val="16"/>
          <w:color w:val="auto"/>
        </w:rPr>
      </w:pPr>
    </w:p>
    <w:p>
      <w:pPr>
        <w:jc w:val="both"/>
        <w:ind w:left="580" w:hanging="292"/>
        <w:spacing w:after="0" w:line="231"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Responsibility: </w:t>
      </w:r>
      <w:r>
        <w:rPr>
          <w:rFonts w:ascii="Arial" w:cs="Arial" w:eastAsia="Arial" w:hAnsi="Arial"/>
          <w:sz w:val="16"/>
          <w:szCs w:val="16"/>
          <w:color w:val="auto"/>
        </w:rPr>
        <w:t>The issuer’s other certifying officer(s) and I are responsible for establishing and maintaining disclosure controls and procedures (DC&amp;P)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internal control over financial reporting (ICFR), as those terms are defined in National Instrument 52-109 Certification of Disclosure in Issuers’ Annual and Interim Filings, for the issuer.</w:t>
      </w:r>
    </w:p>
    <w:p>
      <w:pPr>
        <w:spacing w:after="0" w:line="172" w:lineRule="exact"/>
        <w:rPr>
          <w:rFonts w:ascii="Arial" w:cs="Arial" w:eastAsia="Arial" w:hAnsi="Arial"/>
          <w:sz w:val="16"/>
          <w:szCs w:val="16"/>
          <w:color w:val="auto"/>
        </w:rPr>
      </w:pPr>
    </w:p>
    <w:p>
      <w:pPr>
        <w:ind w:left="580" w:hanging="292"/>
        <w:spacing w:after="0" w:line="237"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Design: </w:t>
      </w:r>
      <w:r>
        <w:rPr>
          <w:rFonts w:ascii="Arial" w:cs="Arial" w:eastAsia="Arial" w:hAnsi="Arial"/>
          <w:sz w:val="16"/>
          <w:szCs w:val="16"/>
          <w:color w:val="auto"/>
        </w:rPr>
        <w:t>Subject to the limitations, if any, described in paragraphs 5.2 and 5.3, the issuer’s other certifying officer(s) and I have, as at the end of the period covered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interim filings</w:t>
      </w:r>
    </w:p>
    <w:p>
      <w:pPr>
        <w:spacing w:after="0" w:line="182" w:lineRule="exact"/>
        <w:rPr>
          <w:rFonts w:ascii="Arial" w:cs="Arial" w:eastAsia="Arial" w:hAnsi="Arial"/>
          <w:sz w:val="16"/>
          <w:szCs w:val="16"/>
          <w:color w:val="auto"/>
        </w:rPr>
      </w:pPr>
    </w:p>
    <w:p>
      <w:pPr>
        <w:ind w:left="1160" w:hanging="290"/>
        <w:spacing w:after="0"/>
        <w:tabs>
          <w:tab w:leader="none" w:pos="11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DC&amp;P, or caused it to be designed under our supervision, to provide reasonable assurance that</w:t>
      </w:r>
    </w:p>
    <w:p>
      <w:pPr>
        <w:spacing w:after="0" w:line="191" w:lineRule="exact"/>
        <w:rPr>
          <w:rFonts w:ascii="Arial" w:cs="Arial" w:eastAsia="Arial" w:hAnsi="Arial"/>
          <w:sz w:val="16"/>
          <w:szCs w:val="16"/>
          <w:color w:val="auto"/>
        </w:rPr>
      </w:pPr>
    </w:p>
    <w:p>
      <w:pPr>
        <w:ind w:left="1740" w:hanging="288"/>
        <w:spacing w:after="0" w:line="237" w:lineRule="auto"/>
        <w:tabs>
          <w:tab w:leader="none" w:pos="1740" w:val="left"/>
        </w:tabs>
        <w:numPr>
          <w:ilvl w:val="2"/>
          <w:numId w:val="59"/>
        </w:numPr>
        <w:rPr>
          <w:rFonts w:ascii="Arial" w:cs="Arial" w:eastAsia="Arial" w:hAnsi="Arial"/>
          <w:sz w:val="16"/>
          <w:szCs w:val="16"/>
          <w:color w:val="auto"/>
        </w:rPr>
      </w:pPr>
      <w:r>
        <w:rPr>
          <w:rFonts w:ascii="Arial" w:cs="Arial" w:eastAsia="Arial" w:hAnsi="Arial"/>
          <w:sz w:val="16"/>
          <w:szCs w:val="16"/>
          <w:color w:val="auto"/>
        </w:rPr>
        <w:t>material information relating to the issuer is made known to us by others, particularly during the period in which the interim filings are being prepared; and</w:t>
      </w:r>
    </w:p>
    <w:p>
      <w:pPr>
        <w:spacing w:after="0" w:line="182" w:lineRule="exact"/>
        <w:rPr>
          <w:rFonts w:ascii="Arial" w:cs="Arial" w:eastAsia="Arial" w:hAnsi="Arial"/>
          <w:sz w:val="16"/>
          <w:szCs w:val="16"/>
          <w:color w:val="auto"/>
        </w:rPr>
      </w:pPr>
    </w:p>
    <w:p>
      <w:pPr>
        <w:ind w:left="1740" w:hanging="288"/>
        <w:spacing w:after="0" w:line="237" w:lineRule="auto"/>
        <w:tabs>
          <w:tab w:leader="none" w:pos="1740" w:val="left"/>
        </w:tabs>
        <w:numPr>
          <w:ilvl w:val="2"/>
          <w:numId w:val="59"/>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70" w:lineRule="exact"/>
        <w:rPr>
          <w:rFonts w:ascii="Arial" w:cs="Arial" w:eastAsia="Arial" w:hAnsi="Arial"/>
          <w:sz w:val="16"/>
          <w:szCs w:val="16"/>
          <w:color w:val="auto"/>
        </w:rPr>
      </w:pPr>
    </w:p>
    <w:p>
      <w:pPr>
        <w:ind w:left="1160" w:hanging="290"/>
        <w:spacing w:after="0" w:line="250" w:lineRule="auto"/>
        <w:tabs>
          <w:tab w:leader="none" w:pos="11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2" w:lineRule="exact"/>
        <w:rPr>
          <w:sz w:val="20"/>
          <w:szCs w:val="20"/>
          <w:color w:val="auto"/>
        </w:rPr>
      </w:pPr>
    </w:p>
    <w:p>
      <w:pPr>
        <w:ind w:left="580" w:hanging="290"/>
        <w:spacing w:after="0" w:line="237" w:lineRule="auto"/>
        <w:tabs>
          <w:tab w:leader="none" w:pos="5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6"/>
          <w:szCs w:val="16"/>
          <w:b w:val="1"/>
          <w:bCs w:val="1"/>
          <w:i w:val="1"/>
          <w:iCs w:val="1"/>
          <w:color w:val="auto"/>
        </w:rPr>
        <w:t xml:space="preserve">Control framework: </w:t>
      </w:r>
      <w:r>
        <w:rPr>
          <w:rFonts w:ascii="Arial" w:cs="Arial" w:eastAsia="Arial" w:hAnsi="Arial"/>
          <w:sz w:val="16"/>
          <w:szCs w:val="16"/>
          <w:color w:val="auto"/>
        </w:rPr>
        <w:t>The control framework the issuer’s other certifying officer(s) and I used to design the issuer’s ICFR is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 Control –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Framework (2013) issued by The Committee of Sponsoring Organization of the Treadway Commission (COSO).</w:t>
      </w:r>
    </w:p>
    <w:p>
      <w:pPr>
        <w:spacing w:after="0" w:line="182"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5"/>
          <w:szCs w:val="15"/>
          <w:b w:val="1"/>
          <w:bCs w:val="1"/>
          <w:i w:val="1"/>
          <w:iCs w:val="1"/>
          <w:color w:val="auto"/>
        </w:rPr>
        <w:t>N/A.</w:t>
      </w:r>
    </w:p>
    <w:p>
      <w:pPr>
        <w:spacing w:after="0" w:line="192" w:lineRule="exact"/>
        <w:rPr>
          <w:sz w:val="20"/>
          <w:szCs w:val="20"/>
          <w:color w:val="auto"/>
        </w:rPr>
      </w:pPr>
    </w:p>
    <w:p>
      <w:pPr>
        <w:ind w:left="580" w:hanging="292"/>
        <w:spacing w:after="0" w:line="250" w:lineRule="auto"/>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 on July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and ended on September 30, 2023 that has materially affected, or is reasonably likely to materially affect, the issuer’s ICFR.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14, 2023.</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9558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Greg Cavers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267" w:right="3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2981325</wp:posOffset>
            </wp:positionH>
            <wp:positionV relativeFrom="page">
              <wp:posOffset>966470</wp:posOffset>
            </wp:positionV>
            <wp:extent cx="1586230" cy="923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58623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Cybin Reports Second Quarter Financial Results and Recent Business Highlights</w:t>
      </w:r>
    </w:p>
    <w:p>
      <w:pPr>
        <w:spacing w:after="0" w:line="250" w:lineRule="exact"/>
        <w:rPr>
          <w:sz w:val="20"/>
          <w:szCs w:val="20"/>
          <w:color w:val="auto"/>
        </w:rPr>
      </w:pPr>
    </w:p>
    <w:p>
      <w:pPr>
        <w:ind w:left="400" w:hanging="111"/>
        <w:spacing w:after="0"/>
        <w:tabs>
          <w:tab w:leader="none" w:pos="40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unprecedented positive Phase 2 interim data for CYB003, its proprietary deuterated psilocybin analog, in major depressive</w:t>
      </w:r>
    </w:p>
    <w:p>
      <w:pPr>
        <w:spacing w:after="0" w:line="35" w:lineRule="exact"/>
        <w:rPr>
          <w:rFonts w:ascii="Arial" w:cs="Arial" w:eastAsia="Arial" w:hAnsi="Arial"/>
          <w:sz w:val="18"/>
          <w:szCs w:val="18"/>
          <w:i w:val="1"/>
          <w:iCs w:val="1"/>
          <w:color w:val="auto"/>
        </w:rPr>
      </w:pPr>
    </w:p>
    <w:p>
      <w:pPr>
        <w:ind w:left="52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disorder -</w:t>
      </w:r>
    </w:p>
    <w:p>
      <w:pPr>
        <w:spacing w:after="0" w:line="241" w:lineRule="exact"/>
        <w:rPr>
          <w:rFonts w:ascii="Arial" w:cs="Arial" w:eastAsia="Arial" w:hAnsi="Arial"/>
          <w:sz w:val="18"/>
          <w:szCs w:val="18"/>
          <w:i w:val="1"/>
          <w:iCs w:val="1"/>
          <w:color w:val="auto"/>
        </w:rPr>
      </w:pPr>
    </w:p>
    <w:p>
      <w:pPr>
        <w:ind w:left="1000" w:hanging="108"/>
        <w:spacing w:after="0"/>
        <w:tabs>
          <w:tab w:leader="none" w:pos="1000"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closing of a unit offering of up to US$64 (C$88.4) million led by one of its largest institutional shareholders -</w:t>
      </w:r>
    </w:p>
    <w:p>
      <w:pPr>
        <w:spacing w:after="0" w:line="253" w:lineRule="exact"/>
        <w:rPr>
          <w:rFonts w:ascii="Arial" w:cs="Arial" w:eastAsia="Arial" w:hAnsi="Arial"/>
          <w:sz w:val="18"/>
          <w:szCs w:val="18"/>
          <w:i w:val="1"/>
          <w:iCs w:val="1"/>
          <w:color w:val="auto"/>
        </w:rPr>
      </w:pPr>
    </w:p>
    <w:p>
      <w:pPr>
        <w:ind w:left="3040" w:hanging="118"/>
        <w:spacing w:after="0"/>
        <w:tabs>
          <w:tab w:leader="none" w:pos="3040" w:val="left"/>
        </w:tabs>
        <w:numPr>
          <w:ilvl w:val="2"/>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Strengthened patent portfolio with the addition of four new patents -</w:t>
      </w:r>
    </w:p>
    <w:p>
      <w:pPr>
        <w:spacing w:after="0" w:line="241" w:lineRule="exact"/>
        <w:rPr>
          <w:rFonts w:ascii="Arial" w:cs="Arial" w:eastAsia="Arial" w:hAnsi="Arial"/>
          <w:sz w:val="18"/>
          <w:szCs w:val="18"/>
          <w:i w:val="1"/>
          <w:iCs w:val="1"/>
          <w:color w:val="auto"/>
        </w:rPr>
      </w:pPr>
    </w:p>
    <w:p>
      <w:pPr>
        <w:ind w:left="3900" w:hanging="109"/>
        <w:spacing w:after="0"/>
        <w:tabs>
          <w:tab w:leader="none" w:pos="3900" w:val="left"/>
        </w:tabs>
        <w:numPr>
          <w:ilvl w:val="3"/>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Completed acquisition of Small Pharma Inc. -</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Topline clinical readout of Phase 2 efficacy data for CYB003 expected in Q4 2023</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Topline clinical readout of Phase 1 data for CYB004 and SPL028 expected around year end 2023</w:t>
      </w: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 xml:space="preserve"> -</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17"/>
          <w:szCs w:val="17"/>
          <w:b w:val="1"/>
          <w:bCs w:val="1"/>
          <w:color w:val="auto"/>
        </w:rPr>
        <w:t xml:space="preserve">TORONTO, CANADA </w:t>
      </w:r>
      <w:r>
        <w:rPr>
          <w:rFonts w:ascii="Arial" w:cs="Arial" w:eastAsia="Arial" w:hAnsi="Arial"/>
          <w:sz w:val="17"/>
          <w:szCs w:val="17"/>
          <w:color w:val="auto"/>
        </w:rPr>
        <w:t>– November 14, 2023 –</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563C1"/>
        </w:rPr>
        <w:t>Cybin Inc.</w:t>
      </w:r>
      <w:r>
        <w:rPr>
          <w:rFonts w:ascii="Arial" w:cs="Arial" w:eastAsia="Arial" w:hAnsi="Arial"/>
          <w:sz w:val="17"/>
          <w:szCs w:val="17"/>
          <w:b w:val="1"/>
          <w:bCs w:val="1"/>
          <w:color w:val="auto"/>
        </w:rPr>
        <w:t xml:space="preserve"> </w:t>
      </w:r>
      <w:r>
        <w:rPr>
          <w:rFonts w:ascii="Arial" w:cs="Arial" w:eastAsia="Arial" w:hAnsi="Arial"/>
          <w:sz w:val="17"/>
          <w:szCs w:val="17"/>
          <w:color w:val="auto"/>
        </w:rPr>
        <w:t>(NYSE American:CYBN) (NEO:CYBN) (“</w:t>
      </w:r>
      <w:r>
        <w:rPr>
          <w:rFonts w:ascii="Arial" w:cs="Arial" w:eastAsia="Arial" w:hAnsi="Arial"/>
          <w:sz w:val="17"/>
          <w:szCs w:val="17"/>
          <w:b w:val="1"/>
          <w:bCs w:val="1"/>
          <w:color w:val="auto"/>
        </w:rPr>
        <w:t>Cybin</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 clinical-stage</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 company committed to revolutionizing mental healthcare by developing new and innovative next-generation 2.0 psychedelic treatment options, today reported unaudited financial results for its second quarter ended September 30, 2023, and recent business highlights.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“Advancing our clinical programs with the goal of changing the treatment landscape in mental health has always been Cybin’s mission,” said Doug Drysdale, Chief Executive Officer of Cybin. “We have made enormous progress during the past quarter, with ample momentum to carry us through year-end and into 2024. We are actively gathering important data from CYB003, our deuterated psilocybin analog program, and CYB004 and SPL028, our deuterated DMT programs, with topline readouts expected before the end of 2023. As a company, we are proud of our consistent progress, robust patent portfolio, skilled and dedicated team of drug development experts, and believe we are well-positioned to progress our pipeline toward potential regulatory approval.”</w:t>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254"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b w:val="1"/>
          <w:bCs w:val="1"/>
          <w:color w:val="auto"/>
        </w:rPr>
        <w:t xml:space="preserve">Announced closing of unit offering led by one of the Company’s largest institutional shareholders. </w:t>
      </w:r>
      <w:r>
        <w:rPr>
          <w:rFonts w:ascii="Arial" w:cs="Arial" w:eastAsia="Arial" w:hAnsi="Arial"/>
          <w:sz w:val="18"/>
          <w:szCs w:val="18"/>
          <w:color w:val="auto"/>
        </w:rPr>
        <w:t>The Company has closed its</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announced underwritten offering (the “</w:t>
      </w:r>
      <w:r>
        <w:rPr>
          <w:rFonts w:ascii="Arial" w:cs="Arial" w:eastAsia="Arial" w:hAnsi="Arial"/>
          <w:sz w:val="18"/>
          <w:szCs w:val="18"/>
          <w:b w:val="1"/>
          <w:bCs w:val="1"/>
          <w:color w:val="auto"/>
        </w:rPr>
        <w:t>Offering</w:t>
      </w:r>
      <w:r>
        <w:rPr>
          <w:rFonts w:ascii="Arial" w:cs="Arial" w:eastAsia="Arial" w:hAnsi="Arial"/>
          <w:sz w:val="18"/>
          <w:szCs w:val="18"/>
          <w:color w:val="auto"/>
        </w:rPr>
        <w:t>”). In connection with the Offering, the Company issued an aggregate of 66,666,667 units of the Company (the “</w:t>
      </w:r>
      <w:r>
        <w:rPr>
          <w:rFonts w:ascii="Arial" w:cs="Arial" w:eastAsia="Arial" w:hAnsi="Arial"/>
          <w:sz w:val="18"/>
          <w:szCs w:val="18"/>
          <w:b w:val="1"/>
          <w:bCs w:val="1"/>
          <w:color w:val="auto"/>
        </w:rPr>
        <w:t>Units</w:t>
      </w:r>
      <w:r>
        <w:rPr>
          <w:rFonts w:ascii="Arial" w:cs="Arial" w:eastAsia="Arial" w:hAnsi="Arial"/>
          <w:sz w:val="18"/>
          <w:szCs w:val="18"/>
          <w:color w:val="auto"/>
        </w:rPr>
        <w:t>”) at a price of US$0.45 per Unit for aggregate gross proceeds of US$30 million (C$41.5). Each Unit was comprised of one common share in the capital of the Company (a “</w:t>
      </w:r>
      <w:r>
        <w:rPr>
          <w:rFonts w:ascii="Arial" w:cs="Arial" w:eastAsia="Arial" w:hAnsi="Arial"/>
          <w:sz w:val="18"/>
          <w:szCs w:val="18"/>
          <w:b w:val="1"/>
          <w:bCs w:val="1"/>
          <w:color w:val="auto"/>
        </w:rPr>
        <w:t>Common Share</w:t>
      </w:r>
      <w:r>
        <w:rPr>
          <w:rFonts w:ascii="Arial" w:cs="Arial" w:eastAsia="Arial" w:hAnsi="Arial"/>
          <w:sz w:val="18"/>
          <w:szCs w:val="18"/>
          <w:color w:val="auto"/>
        </w:rPr>
        <w:t>”) and one Common Share purchase warrant (a “</w:t>
      </w:r>
      <w:r>
        <w:rPr>
          <w:rFonts w:ascii="Arial" w:cs="Arial" w:eastAsia="Arial" w:hAnsi="Arial"/>
          <w:sz w:val="18"/>
          <w:szCs w:val="18"/>
          <w:b w:val="1"/>
          <w:bCs w:val="1"/>
          <w:color w:val="auto"/>
        </w:rPr>
        <w:t>Warrant</w:t>
      </w:r>
      <w:r>
        <w:rPr>
          <w:rFonts w:ascii="Arial" w:cs="Arial" w:eastAsia="Arial" w:hAnsi="Arial"/>
          <w:sz w:val="18"/>
          <w:szCs w:val="18"/>
          <w:color w:val="auto"/>
        </w:rPr>
        <w:t>”). Each Warrant is exercisable to acquire one Common Share at a price of US$0.51 per Common Share any time on or after the date that is six months after issuance until May 14, 2029, subject to acceleration in certain circumstances.</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7"/>
          <w:szCs w:val="17"/>
          <w:b w:val="1"/>
          <w:bCs w:val="1"/>
          <w:color w:val="auto"/>
        </w:rPr>
        <w:t xml:space="preserve">Announced unprecedented positive Phase 2 interim data for CYB003, the Company’s proprietary deuterated psilocybin analog, in major depressive disorder (“MDD”). </w:t>
      </w:r>
      <w:r>
        <w:rPr>
          <w:rFonts w:ascii="Arial" w:cs="Arial" w:eastAsia="Arial" w:hAnsi="Arial"/>
          <w:sz w:val="17"/>
          <w:szCs w:val="17"/>
          <w:color w:val="auto"/>
        </w:rPr>
        <w:t>The study met its primary efficacy endpoint and demonstrated a rapid, robust and statistically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reduction in symptoms of depression three weeks following a single 12mg dose compared to placebo. At the three-week primary efficacy endpoint, the reduction in MDD symptoms, defined as change from baseline in the Montgomery-Asberg Depression Rating Scale (“</w:t>
      </w:r>
      <w:r>
        <w:rPr>
          <w:rFonts w:ascii="Arial" w:cs="Arial" w:eastAsia="Arial" w:hAnsi="Arial"/>
          <w:sz w:val="17"/>
          <w:szCs w:val="17"/>
          <w:b w:val="1"/>
          <w:bCs w:val="1"/>
          <w:color w:val="auto"/>
        </w:rPr>
        <w:t>MADRS</w:t>
      </w:r>
      <w:r>
        <w:rPr>
          <w:rFonts w:ascii="Arial" w:cs="Arial" w:eastAsia="Arial" w:hAnsi="Arial"/>
          <w:sz w:val="17"/>
          <w:szCs w:val="17"/>
          <w:color w:val="auto"/>
        </w:rPr>
        <w:t>”) total score, was superior in participants assigned to CYB003 compared to the participants who received placebo by 14.08 points (p=0.0005, Cohen’s d=2.15</w:t>
      </w:r>
      <w:r>
        <w:rPr>
          <w:rFonts w:ascii="Arial" w:cs="Arial" w:eastAsia="Arial" w:hAnsi="Arial"/>
          <w:sz w:val="22"/>
          <w:szCs w:val="22"/>
          <w:color w:val="auto"/>
          <w:vertAlign w:val="superscript"/>
        </w:rPr>
        <w:t>2</w:t>
      </w:r>
      <w:r>
        <w:rPr>
          <w:rFonts w:ascii="Arial" w:cs="Arial" w:eastAsia="Arial" w:hAnsi="Arial"/>
          <w:sz w:val="17"/>
          <w:szCs w:val="17"/>
          <w:color w:val="auto"/>
        </w:rPr>
        <w:t>). To date, CYB003 has demonstrated a favorable safety and tolerability profile at all doses evaluated, up to 16mg.</w:t>
      </w:r>
    </w:p>
    <w:p>
      <w:pPr>
        <w:spacing w:after="0" w:line="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Completed the acquisition of Small Pharma Inc. (“Small Pharma”) </w:t>
      </w:r>
      <w:r>
        <w:rPr>
          <w:rFonts w:ascii="Arial" w:cs="Arial" w:eastAsia="Arial" w:hAnsi="Arial"/>
          <w:sz w:val="18"/>
          <w:szCs w:val="18"/>
          <w:color w:val="auto"/>
        </w:rPr>
        <w:t>by way of a plan of arrangement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(British Columbia), and pursuant to the terms of an arrangement agreement dated August 28, 2023. Small Pharma is now a wholly owned subsidiary of Cybin. The combined N,N-dimethyltryptamine (“</w:t>
      </w:r>
      <w:r>
        <w:rPr>
          <w:rFonts w:ascii="Arial" w:cs="Arial" w:eastAsia="Arial" w:hAnsi="Arial"/>
          <w:sz w:val="18"/>
          <w:szCs w:val="18"/>
          <w:b w:val="1"/>
          <w:bCs w:val="1"/>
          <w:color w:val="auto"/>
        </w:rPr>
        <w:t>DMT</w:t>
      </w:r>
      <w:r>
        <w:rPr>
          <w:rFonts w:ascii="Arial" w:cs="Arial" w:eastAsia="Arial" w:hAnsi="Arial"/>
          <w:sz w:val="18"/>
          <w:szCs w:val="18"/>
          <w:color w:val="auto"/>
        </w:rPr>
        <w:t>”) and deuterated DMT (“</w:t>
      </w:r>
      <w:r>
        <w:rPr>
          <w:rFonts w:ascii="Arial" w:cs="Arial" w:eastAsia="Arial" w:hAnsi="Arial"/>
          <w:sz w:val="18"/>
          <w:szCs w:val="18"/>
          <w:b w:val="1"/>
          <w:bCs w:val="1"/>
          <w:color w:val="auto"/>
        </w:rPr>
        <w:t>dDMT</w:t>
      </w:r>
      <w:r>
        <w:rPr>
          <w:rFonts w:ascii="Arial" w:cs="Arial" w:eastAsia="Arial" w:hAnsi="Arial"/>
          <w:sz w:val="18"/>
          <w:szCs w:val="18"/>
          <w:color w:val="auto"/>
        </w:rPr>
        <w:t>)” programs creates the most advanced dataset of systematic research on these short-duration psychedelic molecules. The development portfolios are highly complementary and provide multiple opportunities to create operational and cost synergies.</w:t>
      </w:r>
    </w:p>
    <w:p>
      <w:pPr>
        <w:spacing w:after="0" w:line="189" w:lineRule="exact"/>
        <w:rPr>
          <w:sz w:val="20"/>
          <w:szCs w:val="20"/>
          <w:color w:val="auto"/>
        </w:rPr>
      </w:pPr>
    </w:p>
    <w:p>
      <w:pPr>
        <w:jc w:val="both"/>
        <w:ind w:left="580" w:right="20" w:hanging="292"/>
        <w:spacing w:after="0" w:line="284" w:lineRule="auto"/>
        <w:tabs>
          <w:tab w:leader="none" w:pos="5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Reported positive topline data from a Phase 1b SPL026 (DMT)-SSRI Drug Interaction Study in MDD, which showed positive safety, tolerability and efficacy data in respect of the interaction between selective serotonin reuptake inhibitors (“</w:t>
      </w:r>
      <w:r>
        <w:rPr>
          <w:rFonts w:ascii="Arial" w:cs="Arial" w:eastAsia="Arial" w:hAnsi="Arial"/>
          <w:sz w:val="18"/>
          <w:szCs w:val="18"/>
          <w:b w:val="1"/>
          <w:bCs w:val="1"/>
          <w:color w:val="auto"/>
        </w:rPr>
        <w:t>SSRIs</w:t>
      </w:r>
      <w:r>
        <w:rPr>
          <w:rFonts w:ascii="Arial" w:cs="Arial" w:eastAsia="Arial" w:hAnsi="Arial"/>
          <w:sz w:val="18"/>
          <w:szCs w:val="18"/>
          <w:color w:val="auto"/>
        </w:rPr>
        <w:t>”) and SPL026, native DMT in patients with MDD.</w:t>
      </w:r>
    </w:p>
    <w:p>
      <w:pPr>
        <w:spacing w:after="0" w:line="198" w:lineRule="exact"/>
        <w:rPr>
          <w:rFonts w:ascii="Arial" w:cs="Arial" w:eastAsia="Arial" w:hAnsi="Arial"/>
          <w:sz w:val="18"/>
          <w:szCs w:val="18"/>
          <w:color w:val="auto"/>
        </w:rPr>
      </w:pPr>
    </w:p>
    <w:p>
      <w:pPr>
        <w:jc w:val="both"/>
        <w:ind w:left="580" w:right="20" w:hanging="292"/>
        <w:spacing w:after="0" w:line="274" w:lineRule="auto"/>
        <w:tabs>
          <w:tab w:leader="none" w:pos="5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Positive results were also reported earlier in the year from the Phase IIa trial investigating the safety, tolerability and efficacy of intravenous SPL026, with supportive therapy, in 34 patients with moderate/severe MDD. The trial met its key primary and secondary</w:t>
      </w:r>
    </w:p>
    <w:p>
      <w:pPr>
        <w:jc w:val="both"/>
        <w:ind w:left="580" w:right="20"/>
        <w:spacing w:after="0" w:line="274" w:lineRule="auto"/>
        <w:rPr>
          <w:rFonts w:ascii="Arial" w:cs="Arial" w:eastAsia="Arial" w:hAnsi="Arial"/>
          <w:sz w:val="18"/>
          <w:szCs w:val="18"/>
          <w:color w:val="auto"/>
        </w:rPr>
      </w:pPr>
      <w:r>
        <w:rPr>
          <w:rFonts w:ascii="Arial" w:cs="Arial" w:eastAsia="Arial" w:hAnsi="Arial"/>
          <w:sz w:val="18"/>
          <w:szCs w:val="18"/>
          <w:color w:val="auto"/>
        </w:rPr>
        <w:t>endpoints with SPL026 demonstrating a rapid and durable antidepressant response to at least six months, as measured by MADRS. Further analyses of additional secondary and exploratory endpoints demonstrated clinically relevant improvements in self-reported</w:t>
      </w:r>
    </w:p>
    <w:p>
      <w:pPr>
        <w:ind w:left="580" w:right="20"/>
        <w:spacing w:after="0" w:line="287" w:lineRule="auto"/>
        <w:rPr>
          <w:rFonts w:ascii="Arial" w:cs="Arial" w:eastAsia="Arial" w:hAnsi="Arial"/>
          <w:sz w:val="18"/>
          <w:szCs w:val="18"/>
          <w:color w:val="auto"/>
        </w:rPr>
      </w:pPr>
      <w:r>
        <w:rPr>
          <w:rFonts w:ascii="Arial" w:cs="Arial" w:eastAsia="Arial" w:hAnsi="Arial"/>
          <w:sz w:val="18"/>
          <w:szCs w:val="18"/>
          <w:color w:val="auto"/>
        </w:rPr>
        <w:t>depression, anxiety and well-being. These data demonstrate proof of concept for dDMT and serve to further de-risk this development program.</w:t>
      </w:r>
    </w:p>
    <w:p>
      <w:pPr>
        <w:sectPr>
          <w:pgSz w:w="11900" w:h="16838" w:orient="portrait"/>
          <w:cols w:equalWidth="0" w:num="1">
            <w:col w:w="11260"/>
          </w:cols>
          <w:pgMar w:left="320" w:top="1291" w:right="319" w:bottom="1440" w:gutter="0" w:footer="0" w:header="0"/>
        </w:sectPr>
      </w:pPr>
    </w:p>
    <w:bookmarkStart w:id="121" w:name="page122"/>
    <w:bookmarkEnd w:id="121"/>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Strengthened patent portfolio with the addition of four new patents.</w:t>
      </w:r>
    </w:p>
    <w:p>
      <w:pPr>
        <w:spacing w:after="0" w:line="46" w:lineRule="exact"/>
        <w:rPr>
          <w:sz w:val="20"/>
          <w:szCs w:val="20"/>
          <w:color w:val="auto"/>
        </w:rPr>
      </w:pPr>
    </w:p>
    <w:p>
      <w:pPr>
        <w:jc w:val="both"/>
        <w:ind w:left="580" w:right="20" w:hanging="292"/>
        <w:spacing w:after="0" w:line="274" w:lineRule="auto"/>
        <w:tabs>
          <w:tab w:leader="none" w:pos="5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U.S. Patent and Trademark Office granted U.S. patent no. 11,724,985, to a deuterated psilocybin analog in the Company’s CYB003 investigational drug program. The patent, which is expected to provide exclusivity until 2041, includes composition of matter</w:t>
      </w:r>
    </w:p>
    <w:p>
      <w:pPr>
        <w:ind w:left="580" w:right="20"/>
        <w:spacing w:after="0" w:line="274" w:lineRule="auto"/>
        <w:rPr>
          <w:rFonts w:ascii="Arial" w:cs="Arial" w:eastAsia="Arial" w:hAnsi="Arial"/>
          <w:sz w:val="18"/>
          <w:szCs w:val="18"/>
          <w:color w:val="auto"/>
        </w:rPr>
      </w:pPr>
      <w:r>
        <w:rPr>
          <w:rFonts w:ascii="Arial" w:cs="Arial" w:eastAsia="Arial" w:hAnsi="Arial"/>
          <w:sz w:val="18"/>
          <w:szCs w:val="18"/>
          <w:color w:val="auto"/>
        </w:rPr>
        <w:t>claims to deuterated tryptamines in support of the Company’s CYB003 and CYB004 clinical programs, as well as claims directed toward methods of treating MDD and treatment-resistant depression.</w:t>
      </w:r>
    </w:p>
    <w:p>
      <w:pPr>
        <w:ind w:left="560" w:hanging="272"/>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United States patent no. 11,771,681 provides composition of matter protection for certain deuterated analogs of DMT.</w:t>
      </w:r>
    </w:p>
    <w:p>
      <w:pPr>
        <w:spacing w:after="0" w:line="23" w:lineRule="exact"/>
        <w:rPr>
          <w:rFonts w:ascii="Arial" w:cs="Arial" w:eastAsia="Arial" w:hAnsi="Arial"/>
          <w:sz w:val="18"/>
          <w:szCs w:val="18"/>
          <w:color w:val="auto"/>
        </w:rPr>
      </w:pPr>
    </w:p>
    <w:p>
      <w:pPr>
        <w:ind w:left="580" w:hanging="292"/>
        <w:spacing w:after="0" w:line="270" w:lineRule="auto"/>
        <w:tabs>
          <w:tab w:leader="none" w:pos="5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United States patent no. 11,773,062 provides protection for the medical use and the novel, efficient and scalable synthesis of certain analogs of DMT.</w:t>
      </w:r>
    </w:p>
    <w:p>
      <w:pPr>
        <w:spacing w:after="0" w:line="1" w:lineRule="exact"/>
        <w:rPr>
          <w:rFonts w:ascii="Arial" w:cs="Arial" w:eastAsia="Arial" w:hAnsi="Arial"/>
          <w:sz w:val="18"/>
          <w:szCs w:val="18"/>
          <w:color w:val="auto"/>
        </w:rPr>
      </w:pPr>
    </w:p>
    <w:p>
      <w:pPr>
        <w:jc w:val="both"/>
        <w:ind w:left="580" w:right="20" w:hanging="292"/>
        <w:spacing w:after="0" w:line="285" w:lineRule="auto"/>
        <w:tabs>
          <w:tab w:leader="none" w:pos="5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European Patent Office (the “</w:t>
      </w:r>
      <w:r>
        <w:rPr>
          <w:rFonts w:ascii="Arial" w:cs="Arial" w:eastAsia="Arial" w:hAnsi="Arial"/>
          <w:sz w:val="18"/>
          <w:szCs w:val="18"/>
          <w:b w:val="1"/>
          <w:bCs w:val="1"/>
          <w:color w:val="auto"/>
        </w:rPr>
        <w:t>EP</w:t>
      </w:r>
      <w:r>
        <w:rPr>
          <w:rFonts w:ascii="Arial" w:cs="Arial" w:eastAsia="Arial" w:hAnsi="Arial"/>
          <w:sz w:val="18"/>
          <w:szCs w:val="18"/>
          <w:color w:val="auto"/>
        </w:rPr>
        <w:t>”) granted a patent protecting Cybin’s proprietary deuterated psilocybin analog and DMT programs. This EP patent no. 4,031,529 provides composition of matter protection for certain deuterated tryptamine compounds, including deuterated psilocybin analogs within the CYB003 program and deuterated analogs of DMT within Cybin’s DMT program, as well as their medical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Clinical Milestones and Future Studies: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CYB003 - Deuterated Psilocybin Analog Program</w:t>
      </w:r>
      <w:r>
        <w:rPr>
          <w:rFonts w:ascii="Arial" w:cs="Arial" w:eastAsia="Arial" w:hAnsi="Arial"/>
          <w:sz w:val="23"/>
          <w:szCs w:val="23"/>
          <w:color w:val="auto"/>
          <w:vertAlign w:val="superscript"/>
        </w:rPr>
        <w:t>1</w:t>
      </w:r>
    </w:p>
    <w:p>
      <w:pPr>
        <w:ind w:left="580" w:right="20" w:hanging="292"/>
        <w:spacing w:after="0" w:line="264" w:lineRule="auto"/>
        <w:tabs>
          <w:tab w:leader="none" w:pos="576" w:val="left"/>
        </w:tabs>
        <w:numPr>
          <w:ilvl w:val="0"/>
          <w:numId w:val="64"/>
        </w:numPr>
        <w:rPr>
          <w:rFonts w:ascii="Arial" w:cs="Arial" w:eastAsia="Arial" w:hAnsi="Arial"/>
          <w:sz w:val="16"/>
          <w:szCs w:val="16"/>
          <w:color w:val="auto"/>
        </w:rPr>
      </w:pPr>
      <w:r>
        <w:rPr>
          <w:rFonts w:ascii="Arial" w:cs="Arial" w:eastAsia="Arial" w:hAnsi="Arial"/>
          <w:sz w:val="18"/>
          <w:szCs w:val="18"/>
          <w:color w:val="auto"/>
        </w:rPr>
        <w:t>Complete Phase 2 topline safety and efficacy data readout for CYB003 in MDD, including 6-week data and results on the incremental benefit of a second dose expected in Q4 2023.</w:t>
      </w:r>
    </w:p>
    <w:p>
      <w:pPr>
        <w:ind w:left="580" w:right="20" w:hanging="292"/>
        <w:spacing w:after="0" w:line="277" w:lineRule="auto"/>
        <w:tabs>
          <w:tab w:leader="none" w:pos="576" w:val="left"/>
        </w:tabs>
        <w:numPr>
          <w:ilvl w:val="0"/>
          <w:numId w:val="64"/>
        </w:numPr>
        <w:rPr>
          <w:rFonts w:ascii="Arial" w:cs="Arial" w:eastAsia="Arial" w:hAnsi="Arial"/>
          <w:sz w:val="16"/>
          <w:szCs w:val="16"/>
          <w:color w:val="auto"/>
        </w:rPr>
      </w:pPr>
      <w:r>
        <w:rPr>
          <w:rFonts w:ascii="Arial" w:cs="Arial" w:eastAsia="Arial" w:hAnsi="Arial"/>
          <w:sz w:val="18"/>
          <w:szCs w:val="18"/>
          <w:color w:val="auto"/>
        </w:rPr>
        <w:t>Submission of topline data to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following readout, for an end of Phase 2 meeting in early 2024.</w:t>
      </w:r>
    </w:p>
    <w:p>
      <w:pPr>
        <w:ind w:left="580" w:hanging="292"/>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8"/>
          <w:szCs w:val="18"/>
          <w:color w:val="auto"/>
        </w:rPr>
        <w:t>Additional Phase 2 data assessing durability of effect for CYB003 at 12 weeks expected in Q1 2024.</w:t>
      </w:r>
    </w:p>
    <w:p>
      <w:pPr>
        <w:spacing w:after="0" w:line="35" w:lineRule="exact"/>
        <w:rPr>
          <w:rFonts w:ascii="Arial" w:cs="Arial" w:eastAsia="Arial" w:hAnsi="Arial"/>
          <w:sz w:val="16"/>
          <w:szCs w:val="16"/>
          <w:color w:val="auto"/>
        </w:rPr>
      </w:pPr>
    </w:p>
    <w:p>
      <w:pPr>
        <w:ind w:left="580" w:right="20" w:hanging="292"/>
        <w:spacing w:after="0" w:line="287" w:lineRule="auto"/>
        <w:tabs>
          <w:tab w:leader="none" w:pos="576" w:val="left"/>
        </w:tabs>
        <w:numPr>
          <w:ilvl w:val="0"/>
          <w:numId w:val="64"/>
        </w:numPr>
        <w:rPr>
          <w:rFonts w:ascii="Arial" w:cs="Arial" w:eastAsia="Arial" w:hAnsi="Arial"/>
          <w:sz w:val="16"/>
          <w:szCs w:val="16"/>
          <w:color w:val="auto"/>
        </w:rPr>
      </w:pPr>
      <w:r>
        <w:rPr>
          <w:rFonts w:ascii="Arial" w:cs="Arial" w:eastAsia="Arial" w:hAnsi="Arial"/>
          <w:sz w:val="18"/>
          <w:szCs w:val="18"/>
          <w:color w:val="auto"/>
        </w:rPr>
        <w:t>Progression to an international, multisite Phase 3 trial in early 2024 to further evaluate the safety and efficacy of CYB003 capsules in a larger MDD patient population, with recruiting expected to begin around the end of Q1 2024.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dDMT Program</w:t>
      </w:r>
      <w:r>
        <w:rPr>
          <w:rFonts w:ascii="Arial" w:cs="Arial" w:eastAsia="Arial" w:hAnsi="Arial"/>
          <w:sz w:val="23"/>
          <w:szCs w:val="23"/>
          <w:color w:val="auto"/>
          <w:vertAlign w:val="superscript"/>
        </w:rPr>
        <w:t>1</w:t>
      </w:r>
    </w:p>
    <w:p>
      <w:pPr>
        <w:ind w:left="580" w:right="20" w:hanging="292"/>
        <w:spacing w:after="0" w:line="267" w:lineRule="auto"/>
        <w:tabs>
          <w:tab w:leader="none" w:pos="576" w:val="left"/>
        </w:tabs>
        <w:numPr>
          <w:ilvl w:val="0"/>
          <w:numId w:val="65"/>
        </w:numPr>
        <w:rPr>
          <w:rFonts w:ascii="Arial" w:cs="Arial" w:eastAsia="Arial" w:hAnsi="Arial"/>
          <w:sz w:val="16"/>
          <w:szCs w:val="16"/>
          <w:color w:val="auto"/>
        </w:rPr>
      </w:pPr>
      <w:r>
        <w:rPr>
          <w:rFonts w:ascii="Arial" w:cs="Arial" w:eastAsia="Arial" w:hAnsi="Arial"/>
          <w:sz w:val="18"/>
          <w:szCs w:val="18"/>
          <w:color w:val="auto"/>
        </w:rPr>
        <w:t>Phase 1 dosing, pharmacokinetic and pharmacodynamic, and safety data for CYB004 and Part A data for SPL028 expected around year end 2023.</w:t>
      </w:r>
    </w:p>
    <w:p>
      <w:pPr>
        <w:ind w:left="580" w:hanging="292"/>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8"/>
          <w:szCs w:val="18"/>
          <w:color w:val="auto"/>
        </w:rPr>
        <w:t>Initiate Phase 2 proof-of-concept study in participants with generalized anxiety disorder in Q1 2024.</w:t>
      </w:r>
    </w:p>
    <w:p>
      <w:pPr>
        <w:spacing w:after="0" w:line="35" w:lineRule="exact"/>
        <w:rPr>
          <w:rFonts w:ascii="Arial" w:cs="Arial" w:eastAsia="Arial" w:hAnsi="Arial"/>
          <w:sz w:val="16"/>
          <w:szCs w:val="16"/>
          <w:color w:val="auto"/>
        </w:rPr>
      </w:pPr>
    </w:p>
    <w:p>
      <w:pPr>
        <w:ind w:left="580" w:hanging="292"/>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8"/>
          <w:szCs w:val="18"/>
          <w:color w:val="auto"/>
        </w:rPr>
        <w:t>A CYB004 subcutaneous formulation study in Q1 2024 in addition to the SPL028 formulation work.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Financial Information</w:t>
      </w:r>
    </w:p>
    <w:p>
      <w:pPr>
        <w:spacing w:after="0" w:line="264" w:lineRule="exact"/>
        <w:rPr>
          <w:sz w:val="20"/>
          <w:szCs w:val="20"/>
          <w:color w:val="auto"/>
        </w:rPr>
      </w:pPr>
    </w:p>
    <w:p>
      <w:pPr>
        <w:ind w:left="560" w:hanging="272"/>
        <w:spacing w:after="0"/>
        <w:tabs>
          <w:tab w:leader="none" w:pos="5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Cash totaled C$18.1 million as of September 30, 2023.</w:t>
      </w:r>
    </w:p>
    <w:p>
      <w:pPr>
        <w:sectPr>
          <w:pgSz w:w="11900" w:h="16838" w:orient="portrait"/>
          <w:cols w:equalWidth="0" w:num="1">
            <w:col w:w="11260"/>
          </w:cols>
          <w:pgMar w:left="320" w:top="1440" w:right="319" w:bottom="1440" w:gutter="0" w:footer="0" w:header="0"/>
        </w:sectPr>
      </w:pPr>
    </w:p>
    <w:bookmarkStart w:id="122" w:name="page123"/>
    <w:bookmarkEnd w:id="122"/>
    <w:p>
      <w:pPr>
        <w:ind w:left="580" w:right="120" w:hanging="292"/>
        <w:spacing w:after="0" w:line="273" w:lineRule="auto"/>
        <w:tabs>
          <w:tab w:leader="none" w:pos="5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the recently completed Offering of Units and a combination of the Company's current cash position, current at-the-market equity program and assuming exercise in full of the Warrants issued as part of the Units, the Company has access to over C$138 million.</w:t>
      </w:r>
    </w:p>
    <w:p>
      <w:pPr>
        <w:spacing w:after="0" w:line="2" w:lineRule="exact"/>
        <w:rPr>
          <w:rFonts w:ascii="Arial" w:cs="Arial" w:eastAsia="Arial" w:hAnsi="Arial"/>
          <w:sz w:val="18"/>
          <w:szCs w:val="18"/>
          <w:color w:val="auto"/>
        </w:rPr>
      </w:pPr>
    </w:p>
    <w:p>
      <w:pPr>
        <w:ind w:left="580" w:right="100" w:hanging="292"/>
        <w:spacing w:after="0" w:line="273" w:lineRule="auto"/>
        <w:tabs>
          <w:tab w:leader="none" w:pos="5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loss was C$11.9 million for the quarter ended September 30, 2023, compared to a net loss of C$10.0 million in the same period last year.</w:t>
      </w:r>
    </w:p>
    <w:p>
      <w:pPr>
        <w:spacing w:after="0" w:line="2" w:lineRule="exact"/>
        <w:rPr>
          <w:rFonts w:ascii="Arial" w:cs="Arial" w:eastAsia="Arial" w:hAnsi="Arial"/>
          <w:sz w:val="18"/>
          <w:szCs w:val="18"/>
          <w:color w:val="auto"/>
        </w:rPr>
      </w:pPr>
    </w:p>
    <w:p>
      <w:pPr>
        <w:ind w:left="580" w:right="120" w:hanging="292"/>
        <w:spacing w:after="0" w:line="273" w:lineRule="auto"/>
        <w:tabs>
          <w:tab w:leader="none" w:pos="5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Cash-based operating expenses totaled C$12.5 million for the quarter ended September 30, 2023, compared to C$11.3 million, in the prior year quarter, of which C$2.1 and C$2.0 million were one-time costs, respectively.</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flows used in operating activities were C$11.5 million for the quarter ended September 30, 2023, compared to C$14.7 million in</w:t>
      </w:r>
    </w:p>
    <w:p>
      <w:pPr>
        <w:spacing w:after="0" w:line="35" w:lineRule="exact"/>
        <w:rPr>
          <w:rFonts w:ascii="Arial" w:cs="Arial" w:eastAsia="Arial" w:hAnsi="Arial"/>
          <w:sz w:val="18"/>
          <w:szCs w:val="18"/>
          <w:color w:val="auto"/>
        </w:rPr>
      </w:pPr>
    </w:p>
    <w:p>
      <w:pPr>
        <w:ind w:left="580" w:right="120"/>
        <w:spacing w:after="0" w:line="274" w:lineRule="auto"/>
        <w:rPr>
          <w:rFonts w:ascii="Arial" w:cs="Arial" w:eastAsia="Arial" w:hAnsi="Arial"/>
          <w:sz w:val="18"/>
          <w:szCs w:val="18"/>
          <w:color w:val="auto"/>
        </w:rPr>
      </w:pPr>
      <w:r>
        <w:rPr>
          <w:rFonts w:ascii="Arial" w:cs="Arial" w:eastAsia="Arial" w:hAnsi="Arial"/>
          <w:sz w:val="18"/>
          <w:szCs w:val="18"/>
          <w:color w:val="auto"/>
        </w:rPr>
        <w:t>the same period last year, of which C$2.1 million and C$2.5 million were one-time, non-recurring costs and C$2.4 million were recorded to prepaid expenses related to future clinical work.</w:t>
      </w:r>
    </w:p>
    <w:p>
      <w:pPr>
        <w:jc w:val="both"/>
        <w:ind w:left="580" w:right="100" w:hanging="292"/>
        <w:spacing w:after="0" w:line="284" w:lineRule="auto"/>
        <w:tabs>
          <w:tab w:leader="none" w:pos="569"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flows received from financing activities were C$20.4 million for the quarter ended September 30, 2023, compared to C$4.6 million in the same period last year, related to the net proceeds on the issuance of Common Shares through the Company’s August 3, 2023 financing and its at-the-market equity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6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Cybin’s goal of revolutionizing mental healthcare is supported by a network of world-class partners and internationally recognized scientists aimed at progressing proprietary drug discovery platforms, innovative drug delivery systems, novel formulation approaches and treatment regimens. Cybin is currently developing CYB003, a proprietary deuterated psilocybin analog for the treatment of major depressive disorder and CYB004, a proprietary dDMT molecule for generalized anxiety disorder and has a research pipeline of investigational psychedelic-based compounds.</w:t>
      </w:r>
    </w:p>
    <w:p>
      <w:pPr>
        <w:spacing w:after="0" w:line="192" w:lineRule="exact"/>
        <w:rPr>
          <w:sz w:val="20"/>
          <w:szCs w:val="20"/>
          <w:color w:val="auto"/>
        </w:rPr>
      </w:pPr>
    </w:p>
    <w:p>
      <w:pPr>
        <w:jc w:val="both"/>
        <w:ind w:right="20"/>
        <w:spacing w:after="0" w:line="333" w:lineRule="auto"/>
        <w:rPr>
          <w:sz w:val="20"/>
          <w:szCs w:val="20"/>
          <w:color w:val="auto"/>
        </w:rPr>
      </w:pPr>
      <w:r>
        <w:rPr>
          <w:rFonts w:ascii="Arial" w:cs="Arial" w:eastAsia="Arial" w:hAnsi="Arial"/>
          <w:sz w:val="17"/>
          <w:szCs w:val="17"/>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6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w:t>
      </w:r>
    </w:p>
    <w:p>
      <w:pPr>
        <w:sectPr>
          <w:pgSz w:w="11900" w:h="16838" w:orient="portrait"/>
          <w:cols w:equalWidth="0" w:num="1">
            <w:col w:w="11260"/>
          </w:cols>
          <w:pgMar w:left="320" w:top="1300" w:right="319" w:bottom="1440" w:gutter="0" w:footer="0" w:header="0"/>
        </w:sectPr>
      </w:pPr>
    </w:p>
    <w:bookmarkStart w:id="123" w:name="page124"/>
    <w:bookmarkEnd w:id="123"/>
    <w:p>
      <w:pPr>
        <w:jc w:val="both"/>
        <w:spacing w:after="0" w:line="295" w:lineRule="auto"/>
        <w:rPr>
          <w:sz w:val="20"/>
          <w:szCs w:val="20"/>
          <w:color w:val="auto"/>
        </w:rPr>
      </w:pPr>
      <w:r>
        <w:rPr>
          <w:rFonts w:ascii="Arial" w:cs="Arial" w:eastAsia="Arial" w:hAnsi="Arial"/>
          <w:sz w:val="17"/>
          <w:szCs w:val="17"/>
          <w:color w:val="auto"/>
        </w:rPr>
        <w:t>be identified by the use of forward-looking words such as “may”, “should”, “could”, “intend”, “estimate”, “plan”, “anticipate”, “expect”, “believe” or “continue”, or the negative thereof or similar variations. Forward-looking statements in this news release include statements regarding the Company’s plans to report Phase 2 safety and efficacy data from its CYB003 program in Q4 2023; release of 6-week data on the incremental benefit of a second dose of CYB003 in Q4 2023; release of CYB003 12-week durability data in Q1 2024; progression to Phase 3 development of CYB003 in early 2024; recruitment for a CYB003 Phase 3 study and commencement of the phase 3 study in Q1 2024; submission of topline data to the FDA for an end of Phase 2 meeting in early 2024; topline Phase 1 data for CYB004 and Part A data SPL028 expected in Q4 2023; commencement of a Phase 2 study of the Company’s proprietary novel dDMT compounds in patients with generalized anxiety disorder in Q1 2024; CYB004 subcutaneous formulation study in Q1 2024; the Company’s ability to access capital under its current at-the-market offering; the Company’s ability to access capital as a result of the exercise of the Warrants; and the Company’s plans to engineer proprietary drug discovery platforms, innovative drug delivery systems, novel formulation approaches and treatment regimens for mental health conditions.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2023 and the Company’s annual information form for the year ended March 31, 2023,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9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w:t>
      </w:r>
    </w:p>
    <w:p>
      <w:pPr>
        <w:sectPr>
          <w:pgSz w:w="11900" w:h="16838" w:orient="portrait"/>
          <w:cols w:equalWidth="0" w:num="1">
            <w:col w:w="11260"/>
          </w:cols>
          <w:pgMar w:left="320" w:top="1300" w:right="319" w:bottom="1440" w:gutter="0" w:footer="0" w:header="0"/>
        </w:sectPr>
      </w:pPr>
    </w:p>
    <w:bookmarkStart w:id="124" w:name="page125"/>
    <w:bookmarkEnd w:id="124"/>
    <w:p>
      <w:pPr>
        <w:jc w:val="both"/>
        <w:spacing w:after="0" w:line="277" w:lineRule="auto"/>
        <w:rPr>
          <w:sz w:val="20"/>
          <w:szCs w:val="20"/>
          <w:color w:val="auto"/>
        </w:rPr>
      </w:pPr>
      <w:r>
        <w:rPr>
          <w:rFonts w:ascii="Arial" w:cs="Arial" w:eastAsia="Arial" w:hAnsi="Arial"/>
          <w:sz w:val="18"/>
          <w:szCs w:val="18"/>
          <w:color w:val="auto"/>
        </w:rPr>
        <w:t>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Neither the Cboe Canada, operating as the Neo Exchange Inc., nor the NYSE American LLC stock exchange have approved or disapproved the contents of this news release and are not responsible for the adequacy and accuracy of the contents herein.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1-866-292-4601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irteam@cybin.com – or – media@cybin.com</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p>
    <w:p>
      <w:pPr>
        <w:spacing w:after="0" w:line="42" w:lineRule="exact"/>
        <w:rPr>
          <w:sz w:val="20"/>
          <w:szCs w:val="20"/>
          <w:color w:val="auto"/>
        </w:rPr>
      </w:pPr>
    </w:p>
    <w:p>
      <w:pPr>
        <w:jc w:val="both"/>
        <w:ind w:left="580" w:hanging="292"/>
        <w:spacing w:after="0" w:line="278" w:lineRule="auto"/>
        <w:tabs>
          <w:tab w:leader="none" w:pos="57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There is no assurance that timelines will be met.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 the success of implementation and results of such studies on timelines indicated as possible by such guidelines, other industry examples, and the Company’s development efforts to date.</w:t>
      </w:r>
    </w:p>
    <w:p>
      <w:pPr>
        <w:spacing w:after="0" w:line="1" w:lineRule="exact"/>
        <w:rPr>
          <w:rFonts w:ascii="Arial" w:cs="Arial" w:eastAsia="Arial" w:hAnsi="Arial"/>
          <w:sz w:val="16"/>
          <w:szCs w:val="16"/>
          <w:color w:val="auto"/>
        </w:rPr>
      </w:pPr>
    </w:p>
    <w:p>
      <w:pPr>
        <w:ind w:left="580" w:hanging="292"/>
        <w:spacing w:after="0" w:line="313" w:lineRule="auto"/>
        <w:tabs>
          <w:tab w:leader="none" w:pos="57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p-value indicates statistical significance. Values &lt;0.05 are considered statistically significant and values &lt;0.001 are considered highly statistically significant. Cohen’s d represents size of the effect. An effect size of 2.15 is considered large.</w:t>
      </w:r>
    </w:p>
    <w:sectPr>
      <w:pgSz w:w="11900" w:h="16838" w:orient="portrait"/>
      <w:cols w:equalWidth="0" w:num="1">
        <w:col w:w="11240"/>
      </w:cols>
      <w:pgMar w:left="320" w:top="13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1."/>
      <w:numFmt w:val="decimal"/>
      <w:start w:val="2"/>
    </w:lvl>
  </w:abstractNum>
  <w:abstractNum w:abstractNumId="2">
    <w:nsid w:val="440BADFC"/>
    <w:multiLevelType w:val="hybridMultilevel"/>
    <w:lvl w:ilvl="0">
      <w:lvlJc w:val="left"/>
      <w:lvlText w:val="1"/>
      <w:numFmt w:val="bullet"/>
      <w:start w:val="1"/>
    </w:lvl>
  </w:abstractNum>
  <w:abstractNum w:abstractNumId="3">
    <w:nsid w:val="5072367"/>
    <w:multiLevelType w:val="hybridMultilevel"/>
    <w:lvl w:ilvl="0">
      <w:lvlJc w:val="left"/>
      <w:lvlText w:val="%1."/>
      <w:numFmt w:val="decimal"/>
      <w:start w:val="6"/>
    </w:lvl>
    <w:lvl w:ilvl="1">
      <w:lvlJc w:val="left"/>
      <w:lvlText w:val="%2)"/>
      <w:numFmt w:val="lowerLetter"/>
      <w:start w:val="1"/>
    </w:lvl>
  </w:abstractNum>
  <w:abstractNum w:abstractNumId="4">
    <w:nsid w:val="3804823E"/>
    <w:multiLevelType w:val="hybridMultilevel"/>
    <w:lvl w:ilvl="0">
      <w:lvlJc w:val="left"/>
      <w:lvlText w:val="%1)"/>
      <w:numFmt w:val="lowerLetter"/>
      <w:start w:val="2"/>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2"/>
    </w:lvl>
  </w:abstractNum>
  <w:abstractNum w:abstractNumId="8">
    <w:nsid w:val="2463B9EA"/>
    <w:multiLevelType w:val="hybridMultilevel"/>
    <w:lvl w:ilvl="0">
      <w:lvlJc w:val="left"/>
      <w:lvlText w:val="%1)"/>
      <w:numFmt w:val="lowerLetter"/>
      <w:start w:val="4"/>
    </w:lvl>
  </w:abstractNum>
  <w:abstractNum w:abstractNumId="9">
    <w:nsid w:val="5E884ADC"/>
    <w:multiLevelType w:val="hybridMultilevel"/>
    <w:lvl w:ilvl="0">
      <w:lvlJc w:val="left"/>
      <w:lvlText w:val="%1."/>
      <w:numFmt w:val="decimal"/>
      <w:start w:val="7"/>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1"/>
      <w:numFmt w:val="bullet"/>
      <w:start w:val="1"/>
    </w:lvl>
  </w:abstractNum>
  <w:abstractNum w:abstractNumId="21">
    <w:nsid w:val="57E4CCAF"/>
    <w:multiLevelType w:val="hybridMultilevel"/>
    <w:lvl w:ilvl="0">
      <w:lvlJc w:val="left"/>
      <w:lvlText w:val="2"/>
      <w:numFmt w:val="bullet"/>
      <w:start w:val="1"/>
    </w:lvl>
  </w:abstractNum>
  <w:abstractNum w:abstractNumId="22">
    <w:nsid w:val="7A6D8D3C"/>
    <w:multiLevelType w:val="hybridMultilevel"/>
    <w:lvl w:ilvl="0">
      <w:lvlJc w:val="left"/>
      <w:lvlText w:val="4"/>
      <w:numFmt w:val="bullet"/>
      <w:start w:val="1"/>
    </w:lvl>
  </w:abstractNum>
  <w:abstractNum w:abstractNumId="23">
    <w:nsid w:val="4B588F54"/>
    <w:multiLevelType w:val="hybridMultilevel"/>
    <w:lvl w:ilvl="0">
      <w:lvlJc w:val="left"/>
      <w:lvlText w:val="5"/>
      <w:numFmt w:val="bullet"/>
      <w:start w:val="1"/>
    </w:lvl>
  </w:abstractNum>
  <w:abstractNum w:abstractNumId="24">
    <w:nsid w:val="542289EC"/>
    <w:multiLevelType w:val="hybridMultilevel"/>
    <w:lvl w:ilvl="0">
      <w:lvlJc w:val="left"/>
      <w:lvlText w:val="6"/>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7"/>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0"/>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decimal"/>
      <w:start w:val="1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1"/>
      <w:numFmt w:val="decimal"/>
      <w:start w:val="15"/>
    </w:lvl>
  </w:abstractNum>
  <w:abstractNum w:abstractNumId="33">
    <w:nsid w:val="1BA026FA"/>
    <w:multiLevelType w:val="hybridMultilevel"/>
    <w:lvl w:ilvl="0">
      <w:lvlJc w:val="left"/>
      <w:lvlText w:val="%1."/>
      <w:numFmt w:val="decimal"/>
      <w:start w:val="9"/>
    </w:lvl>
  </w:abstractNum>
  <w:abstractNum w:abstractNumId="34">
    <w:nsid w:val="79A1DEAA"/>
    <w:multiLevelType w:val="hybridMultilevel"/>
    <w:lvl w:ilvl="0">
      <w:lvlJc w:val="left"/>
      <w:lvlText w:val="%1"/>
      <w:numFmt w:val="decimal"/>
      <w:start w:val="18"/>
    </w:lvl>
  </w:abstractNum>
  <w:abstractNum w:abstractNumId="35">
    <w:nsid w:val="75C6C33A"/>
    <w:multiLevelType w:val="hybridMultilevel"/>
    <w:lvl w:ilvl="0">
      <w:lvlJc w:val="left"/>
      <w:lvlText w:val="%1"/>
      <w:numFmt w:val="decimal"/>
      <w:start w:val="19"/>
    </w:lvl>
  </w:abstractNum>
  <w:abstractNum w:abstractNumId="36">
    <w:nsid w:val="12E685FB"/>
    <w:multiLevelType w:val="hybridMultilevel"/>
    <w:lvl w:ilvl="0">
      <w:lvlJc w:val="left"/>
      <w:lvlText w:val="%1"/>
      <w:numFmt w:val="decimal"/>
      <w:start w:val="23"/>
    </w:lvl>
  </w:abstractNum>
  <w:abstractNum w:abstractNumId="37">
    <w:nsid w:val="70C6A529"/>
    <w:multiLevelType w:val="hybridMultilevel"/>
    <w:lvl w:ilvl="0">
      <w:lvlJc w:val="left"/>
      <w:lvlText w:val="%1"/>
      <w:numFmt w:val="decimal"/>
      <w:start w:val="26"/>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27"/>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28"/>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decimal"/>
      <w:start w:val="29"/>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6">
    <w:nsid w:val="7E0C57B1"/>
    <w:multiLevelType w:val="hybridMultilevel"/>
    <w:lvl w:ilvl="0">
      <w:lvlJc w:val="left"/>
      <w:lvlText w:val="%1."/>
      <w:numFmt w:val="decimal"/>
      <w:start w:val="6"/>
    </w:lvl>
  </w:abstractNum>
  <w:abstractNum w:abstractNumId="57">
    <w:nsid w:val="77AE35EB"/>
    <w:multiLevelType w:val="hybridMultilevel"/>
    <w:lvl w:ilvl="0">
      <w:lvlJc w:val="left"/>
      <w:lvlText w:val="(%1)"/>
      <w:numFmt w:val="lowerLetter"/>
      <w:start w:val="19"/>
    </w:lvl>
  </w:abstractNum>
  <w:abstractNum w:abstractNumId="58">
    <w:nsid w:val="579BE4F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9">
    <w:nsid w:val="310C50B3"/>
    <w:multiLevelType w:val="hybridMultilevel"/>
    <w:lvl w:ilvl="0">
      <w:lvlJc w:val="left"/>
      <w:lvlText w:val="%1."/>
      <w:numFmt w:val="decimal"/>
      <w:start w:val="6"/>
    </w:lvl>
  </w:abstractNum>
  <w:abstractNum w:abstractNumId="60">
    <w:nsid w:val="5FF87E05"/>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2023-11-15T05:39:15Z</dcterms:created>
  <dcterms:modified xsi:type="dcterms:W3CDTF">2023-11-15T05:39:15Z</dcterms:modified>
</cp:coreProperties>
</file>