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December,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2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40" w:type="dxa"/>
            <w:vAlign w:val="bottom"/>
          </w:tcPr>
          <w:p>
            <w:pPr>
              <w:spacing w:after="0"/>
              <w:rPr>
                <w:sz w:val="19"/>
                <w:szCs w:val="19"/>
                <w:color w:val="auto"/>
              </w:rPr>
            </w:pPr>
          </w:p>
        </w:tc>
        <w:tc>
          <w:tcPr>
            <w:tcW w:w="7180" w:type="dxa"/>
            <w:vAlign w:val="bottom"/>
            <w:gridSpan w:val="2"/>
          </w:tcPr>
          <w:p>
            <w:pPr>
              <w:ind w:left="20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840" w:type="dxa"/>
            <w:vAlign w:val="bottom"/>
          </w:tcPr>
          <w:p>
            <w:pPr>
              <w:spacing w:after="0"/>
              <w:rPr>
                <w:sz w:val="20"/>
                <w:szCs w:val="20"/>
                <w:color w:val="auto"/>
              </w:rPr>
            </w:pPr>
          </w:p>
        </w:tc>
        <w:tc>
          <w:tcPr>
            <w:tcW w:w="7180" w:type="dxa"/>
            <w:vAlign w:val="bottom"/>
            <w:gridSpan w:val="2"/>
          </w:tcPr>
          <w:p>
            <w:pPr>
              <w:ind w:left="2020"/>
              <w:spacing w:after="0"/>
              <w:rPr>
                <w:sz w:val="20"/>
                <w:szCs w:val="20"/>
                <w:color w:val="auto"/>
              </w:rPr>
            </w:pPr>
            <w:r>
              <w:rPr>
                <w:rFonts w:ascii="Arial" w:cs="Arial" w:eastAsia="Arial" w:hAnsi="Arial"/>
                <w:sz w:val="18"/>
                <w:szCs w:val="18"/>
                <w:color w:val="auto"/>
              </w:rPr>
              <w:t>(Registrant)</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 December 21, 2021</w:t>
            </w: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840" w:type="dxa"/>
            <w:vAlign w:val="bottom"/>
          </w:tcPr>
          <w:p>
            <w:pPr>
              <w:spacing w:after="0"/>
              <w:rPr>
                <w:sz w:val="18"/>
                <w:szCs w:val="18"/>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84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December 21,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Cybin to Participate in the 11th Annual LifeSci Partners Corporate Access Event and H.C. Wainwright Bioconnect Conference</w:t>
      </w:r>
    </w:p>
    <w:p>
      <w:pPr>
        <w:spacing w:after="0" w:line="237"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December 21,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NEO:CYBN</w:t>
      </w:r>
      <w:r>
        <w:rPr>
          <w:rFonts w:ascii="Arial" w:cs="Arial" w:eastAsia="Arial" w:hAnsi="Arial"/>
          <w:sz w:val="18"/>
          <w:szCs w:val="18"/>
          <w:color w:val="auto"/>
        </w:rPr>
        <w:t>) (</w:t>
      </w:r>
      <w:r>
        <w:rPr>
          <w:rFonts w:ascii="Arial" w:cs="Arial" w:eastAsia="Arial" w:hAnsi="Arial"/>
          <w:sz w:val="18"/>
          <w:szCs w:val="18"/>
          <w:u w:val="single" w:color="auto"/>
          <w:color w:val="auto"/>
        </w:rPr>
        <w:t>NYSE American:CYBN</w:t>
      </w:r>
      <w:r>
        <w:rPr>
          <w:rFonts w:ascii="Arial" w:cs="Arial" w:eastAsia="Arial" w:hAnsi="Arial"/>
          <w:sz w:val="18"/>
          <w:szCs w:val="18"/>
          <w:color w:val="auto"/>
        </w:rPr>
        <w:t>)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progressing “Psychedelics to Therapeutics</w:t>
      </w:r>
      <w:r>
        <w:rPr>
          <w:rFonts w:ascii="Arial" w:cs="Arial" w:eastAsia="Arial" w:hAnsi="Arial"/>
          <w:sz w:val="15"/>
          <w:szCs w:val="15"/>
          <w:color w:val="auto"/>
        </w:rPr>
        <w:t>TM</w:t>
      </w:r>
      <w:r>
        <w:rPr>
          <w:rFonts w:ascii="Arial" w:cs="Arial" w:eastAsia="Arial" w:hAnsi="Arial"/>
          <w:sz w:val="18"/>
          <w:szCs w:val="18"/>
          <w:color w:val="auto"/>
        </w:rPr>
        <w:t>” is pleased to announce that Doug Drysdale, Cybin’s Chief Executive Officer, will participate in two upcoming virtual investor conferences as follows: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Annual LifeSci Partners Annual Corporate Access Event, January 5-7, 2022</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Mr. Drysdale will participate in a panel discussion titled “Psychedelics: More Than Just a Trip” on Wednesday, January 5, 2022 at 10:00 a.m. ET. Please </w:t>
      </w:r>
      <w:r>
        <w:rPr>
          <w:rFonts w:ascii="Arial" w:cs="Arial" w:eastAsia="Arial" w:hAnsi="Arial"/>
          <w:sz w:val="18"/>
          <w:szCs w:val="18"/>
          <w:u w:val="single" w:color="auto"/>
          <w:color w:val="auto"/>
        </w:rPr>
        <w:t>click here</w:t>
      </w:r>
      <w:r>
        <w:rPr>
          <w:rFonts w:ascii="Arial" w:cs="Arial" w:eastAsia="Arial" w:hAnsi="Arial"/>
          <w:sz w:val="18"/>
          <w:szCs w:val="18"/>
          <w:color w:val="auto"/>
        </w:rPr>
        <w:t xml:space="preserve"> to register and access the webcast.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 Wainwright Bioconnect Conference, January 10-13, 2022</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Mr. Drysdale will participate in a fireside chat at the H.C. Wainwright Bioconnect Conference being held virtually on Monday, January 10, 2022.</w:t>
      </w:r>
    </w:p>
    <w:p>
      <w:pPr>
        <w:spacing w:after="0" w:line="23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 xml:space="preserve">The fireside chat will be available on-demand beginning on January 10, 2022 at 7:00 a.m. ET. To listen to the event, please </w:t>
      </w:r>
      <w:r>
        <w:rPr>
          <w:rFonts w:ascii="Arial" w:cs="Arial" w:eastAsia="Arial" w:hAnsi="Arial"/>
          <w:sz w:val="16"/>
          <w:szCs w:val="16"/>
          <w:u w:val="single" w:color="auto"/>
          <w:color w:val="auto"/>
        </w:rPr>
        <w:t>click here</w:t>
      </w:r>
      <w:r>
        <w:rPr>
          <w:rFonts w:ascii="Arial" w:cs="Arial" w:eastAsia="Arial" w:hAnsi="Arial"/>
          <w:sz w:val="16"/>
          <w:szCs w:val="16"/>
          <w:color w:val="auto"/>
        </w:rPr>
        <w:t xml:space="preserve"> to register and access the webcast. The archived webcast will also be available on the Company’s investor relations website on the </w:t>
      </w:r>
      <w:r>
        <w:rPr>
          <w:rFonts w:ascii="Arial" w:cs="Arial" w:eastAsia="Arial" w:hAnsi="Arial"/>
          <w:sz w:val="16"/>
          <w:szCs w:val="16"/>
          <w:u w:val="single" w:color="auto"/>
          <w:color w:val="auto"/>
        </w:rPr>
        <w:t>Events &amp; Presentations</w:t>
      </w:r>
      <w:r>
        <w:rPr>
          <w:rFonts w:ascii="Arial" w:cs="Arial" w:eastAsia="Arial" w:hAnsi="Arial"/>
          <w:sz w:val="16"/>
          <w:szCs w:val="16"/>
          <w:color w:val="auto"/>
        </w:rPr>
        <w:t xml:space="preserve"> page.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the United States, United Kingdom and Ireland. The Company is focused on progressing Psychedelics to Therapeutics</w:t>
      </w:r>
      <w:r>
        <w:rPr>
          <w:rFonts w:ascii="Arial" w:cs="Arial" w:eastAsia="Arial" w:hAnsi="Arial"/>
          <w:sz w:val="15"/>
          <w:szCs w:val="15"/>
          <w:color w:val="auto"/>
        </w:rPr>
        <w:t>™</w:t>
      </w:r>
      <w:r>
        <w:rPr>
          <w:rFonts w:ascii="Arial" w:cs="Arial" w:eastAsia="Arial" w:hAnsi="Arial"/>
          <w:sz w:val="18"/>
          <w:szCs w:val="18"/>
          <w:color w:val="auto"/>
        </w:rPr>
        <w:t xml:space="preserve"> by engineering proprietary drug discovery platforms, innovative drug delivery systems, novel formulation approaches and treatment regimens for mental health disorders.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&amp; Media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Leah Gibson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leah@cybin.com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2021-12-21T13:25:09Z</dcterms:created>
  <dcterms:modified xsi:type="dcterms:W3CDTF">2021-12-21T13:25:09Z</dcterms:modified>
</cp:coreProperties>
</file>