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January,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January 27,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January 27,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911860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Cybin Announces Additional Adelia Milestone Achievement</w:t>
      </w:r>
    </w:p>
    <w:p>
      <w:pPr>
        <w:spacing w:after="0" w:line="165" w:lineRule="exact"/>
        <w:rPr>
          <w:sz w:val="20"/>
          <w:szCs w:val="20"/>
          <w:color w:val="auto"/>
        </w:rPr>
      </w:pPr>
    </w:p>
    <w:p>
      <w:pPr>
        <w:jc w:val="both"/>
        <w:spacing w:after="0" w:line="209"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27,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biotechnology company focused on progressing Psychedelics to Therapeutics™, is pleased to announce that Adelia Therapeutics Inc. (“</w:t>
      </w:r>
      <w:r>
        <w:rPr>
          <w:rFonts w:ascii="Arial" w:cs="Arial" w:eastAsia="Arial" w:hAnsi="Arial"/>
          <w:sz w:val="20"/>
          <w:szCs w:val="20"/>
          <w:b w:val="1"/>
          <w:bCs w:val="1"/>
          <w:color w:val="auto"/>
        </w:rPr>
        <w:t>Adelia</w:t>
      </w:r>
      <w:r>
        <w:rPr>
          <w:rFonts w:ascii="Arial" w:cs="Arial" w:eastAsia="Arial" w:hAnsi="Arial"/>
          <w:sz w:val="20"/>
          <w:szCs w:val="20"/>
          <w:color w:val="auto"/>
        </w:rPr>
        <w:t>”), a wholly-controlled subsidiary of Cybin, has achieved the milestones identified as Y1, Q4 (iv), Y1, Q4 (v) and Y2, Q1 (vi) as contemplated by the terms of a contribution agreement dated December 4, 2020 (the “</w:t>
      </w:r>
      <w:r>
        <w:rPr>
          <w:rFonts w:ascii="Arial" w:cs="Arial" w:eastAsia="Arial" w:hAnsi="Arial"/>
          <w:sz w:val="20"/>
          <w:szCs w:val="20"/>
          <w:b w:val="1"/>
          <w:bCs w:val="1"/>
          <w:color w:val="auto"/>
        </w:rPr>
        <w:t>Transaction</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among Cybin, Cybin Corp., Cybin US Holdings Inc. (the “</w:t>
      </w:r>
      <w:r>
        <w:rPr>
          <w:rFonts w:ascii="Arial" w:cs="Arial" w:eastAsia="Arial" w:hAnsi="Arial"/>
          <w:sz w:val="20"/>
          <w:szCs w:val="20"/>
          <w:b w:val="1"/>
          <w:bCs w:val="1"/>
          <w:color w:val="auto"/>
        </w:rPr>
        <w:t>Acquiror</w:t>
      </w:r>
      <w:r>
        <w:rPr>
          <w:rFonts w:ascii="Arial" w:cs="Arial" w:eastAsia="Arial" w:hAnsi="Arial"/>
          <w:sz w:val="20"/>
          <w:szCs w:val="20"/>
          <w:color w:val="auto"/>
        </w:rPr>
        <w:t>”), a wholly-controlled subsidiary of Cybin, and</w:t>
      </w:r>
      <w:r>
        <w:rPr>
          <w:rFonts w:ascii="Arial" w:cs="Arial" w:eastAsia="Arial" w:hAnsi="Arial"/>
          <w:sz w:val="20"/>
          <w:szCs w:val="20"/>
          <w:b w:val="1"/>
          <w:bCs w:val="1"/>
          <w:color w:val="auto"/>
        </w:rPr>
        <w:t xml:space="preserve"> </w:t>
      </w:r>
      <w:r>
        <w:rPr>
          <w:rFonts w:ascii="Arial" w:cs="Arial" w:eastAsia="Arial" w:hAnsi="Arial"/>
          <w:sz w:val="20"/>
          <w:szCs w:val="20"/>
          <w:color w:val="auto"/>
        </w:rPr>
        <w:t>all of the previous shareholders of Adelia (the “</w:t>
      </w:r>
      <w:r>
        <w:rPr>
          <w:rFonts w:ascii="Arial" w:cs="Arial" w:eastAsia="Arial" w:hAnsi="Arial"/>
          <w:sz w:val="20"/>
          <w:szCs w:val="20"/>
          <w:b w:val="1"/>
          <w:bCs w:val="1"/>
          <w:color w:val="auto"/>
        </w:rPr>
        <w:t>Adelia Shareholders</w:t>
      </w:r>
      <w:r>
        <w:rPr>
          <w:rFonts w:ascii="Arial" w:cs="Arial" w:eastAsia="Arial" w:hAnsi="Arial"/>
          <w:sz w:val="20"/>
          <w:szCs w:val="20"/>
          <w:color w:val="auto"/>
        </w:rPr>
        <w:t>”).</w:t>
      </w:r>
    </w:p>
    <w:p>
      <w:pPr>
        <w:spacing w:after="0" w:line="108"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Pursuant to the terms of the Transaction Agreement, Class B common shares in the capital of the Acquiror (the “</w:t>
      </w:r>
      <w:r>
        <w:rPr>
          <w:rFonts w:ascii="Arial" w:cs="Arial" w:eastAsia="Arial" w:hAnsi="Arial"/>
          <w:sz w:val="20"/>
          <w:szCs w:val="20"/>
          <w:b w:val="1"/>
          <w:bCs w:val="1"/>
          <w:color w:val="auto"/>
        </w:rPr>
        <w:t>Class B</w:t>
      </w:r>
      <w:r>
        <w:rPr>
          <w:rFonts w:ascii="Arial" w:cs="Arial" w:eastAsia="Arial" w:hAnsi="Arial"/>
          <w:sz w:val="20"/>
          <w:szCs w:val="20"/>
          <w:color w:val="auto"/>
        </w:rPr>
        <w:t xml:space="preserve"> </w:t>
      </w:r>
      <w:r>
        <w:rPr>
          <w:rFonts w:ascii="Arial" w:cs="Arial" w:eastAsia="Arial" w:hAnsi="Arial"/>
          <w:sz w:val="20"/>
          <w:szCs w:val="20"/>
          <w:b w:val="1"/>
          <w:bCs w:val="1"/>
          <w:color w:val="auto"/>
        </w:rPr>
        <w:t>Shares</w:t>
      </w:r>
      <w:r>
        <w:rPr>
          <w:rFonts w:ascii="Arial" w:cs="Arial" w:eastAsia="Arial" w:hAnsi="Arial"/>
          <w:sz w:val="20"/>
          <w:szCs w:val="20"/>
          <w:color w:val="auto"/>
        </w:rPr>
        <w:t>”) shall be issued to the Adelia Shareholders, in satisfaction of the $551,171.99 (approximately US$437,229.88) due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on meeting a portion of the relevant milestones, at an effective issue price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20"/>
          <w:szCs w:val="20"/>
          <w:b w:val="1"/>
          <w:bCs w:val="1"/>
          <w:color w:val="auto"/>
        </w:rPr>
        <w:t>Cybin Shares</w:t>
      </w:r>
      <w:r>
        <w:rPr>
          <w:rFonts w:ascii="Arial" w:cs="Arial" w:eastAsia="Arial" w:hAnsi="Arial"/>
          <w:sz w:val="20"/>
          <w:szCs w:val="20"/>
          <w:color w:val="auto"/>
        </w:rPr>
        <w:t>”) on a 10 Cybin Shares for 1 Class B Share basis, at the option of the holder thereof, subject to customary adjustments. No Class B Shares were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33"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Additional information related to the transaction is available in the Transaction Agreement, which is filed under Cybin’s profile on SEDAR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Cybin is a leading ethical biotechnology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Adelia</w:t>
      </w:r>
    </w:p>
    <w:p>
      <w:pPr>
        <w:spacing w:after="0" w:line="172"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13" w:lineRule="auto"/>
        <w:rPr>
          <w:sz w:val="20"/>
          <w:szCs w:val="20"/>
          <w:color w:val="auto"/>
        </w:rPr>
      </w:pPr>
      <w:r>
        <w:rPr>
          <w:rFonts w:ascii="Arial" w:cs="Arial" w:eastAsia="Arial" w:hAnsi="Arial"/>
          <w:sz w:val="20"/>
          <w:szCs w:val="20"/>
          <w:color w:val="auto"/>
        </w:rPr>
        <w:t>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72"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31" w:lineRule="exact"/>
        <w:rPr>
          <w:sz w:val="20"/>
          <w:szCs w:val="20"/>
          <w:color w:val="auto"/>
        </w:rPr>
      </w:pPr>
    </w:p>
    <w:p>
      <w:pPr>
        <w:jc w:val="both"/>
        <w:spacing w:after="0" w:line="210"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months ended September 30, 2021 and the Company's listing statement dated November 9, 2020, 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563C1"/>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39" w:lineRule="exact"/>
        <w:rPr>
          <w:sz w:val="20"/>
          <w:szCs w:val="20"/>
          <w:color w:val="auto"/>
        </w:rPr>
      </w:pPr>
    </w:p>
    <w:p>
      <w:pPr>
        <w:jc w:val="both"/>
        <w:spacing w:after="0" w:line="20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2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ectPr>
          <w:pgSz w:w="11900" w:h="16838" w:orient="portrait"/>
          <w:cols w:equalWidth="0" w:num="1">
            <w:col w:w="11240"/>
          </w:cols>
          <w:pgMar w:left="320" w:top="1418"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Unless otherwise indicated, all dollar amounts in this news release are expressed in Canadian dollars.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97" w:lineRule="auto"/>
        <w:rPr>
          <w:sz w:val="20"/>
          <w:szCs w:val="20"/>
          <w:color w:val="auto"/>
        </w:rPr>
      </w:pPr>
      <w:r>
        <w:rPr>
          <w:rFonts w:ascii="Arial" w:cs="Arial" w:eastAsia="Arial" w:hAnsi="Arial"/>
          <w:sz w:val="20"/>
          <w:szCs w:val="20"/>
          <w:color w:val="auto"/>
        </w:rPr>
        <w:t>Vice President, Investor Relations</w:t>
      </w:r>
    </w:p>
    <w:p>
      <w:pPr>
        <w:spacing w:after="0" w:line="197" w:lineRule="auto"/>
        <w:rPr>
          <w:sz w:val="20"/>
          <w:szCs w:val="20"/>
          <w:color w:val="auto"/>
        </w:rPr>
      </w:pPr>
      <w:r>
        <w:rPr>
          <w:rFonts w:ascii="Arial" w:cs="Arial" w:eastAsia="Arial" w:hAnsi="Arial"/>
          <w:sz w:val="20"/>
          <w:szCs w:val="20"/>
          <w:color w:val="auto"/>
        </w:rPr>
        <w:t>Cybin Inc.</w:t>
      </w:r>
    </w:p>
    <w:p>
      <w:pPr>
        <w:spacing w:after="0"/>
        <w:rPr>
          <w:sz w:val="20"/>
          <w:szCs w:val="20"/>
          <w:color w:val="auto"/>
        </w:rPr>
      </w:pPr>
      <w:r>
        <w:rPr>
          <w:rFonts w:ascii="Arial" w:cs="Arial" w:eastAsia="Arial" w:hAnsi="Arial"/>
          <w:sz w:val="20"/>
          <w:szCs w:val="20"/>
          <w:u w:val="single" w:color="auto"/>
          <w:color w:val="0563C1"/>
        </w:rPr>
        <w:t>leah@cybin.com</w:t>
      </w:r>
    </w:p>
    <w:sectPr>
      <w:pgSz w:w="11900" w:h="16838" w:orient="portrait"/>
      <w:cols w:equalWidth="0" w:num="1">
        <w:col w:w="10139"/>
      </w:cols>
      <w:pgMar w:left="32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2022-01-28T14:34:07Z</dcterms:created>
  <dcterms:modified xsi:type="dcterms:W3CDTF">2022-01-28T14:34:07Z</dcterms:modified>
</cp:coreProperties>
</file>